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5266" w14:textId="577A99EE" w:rsidR="00485DF5" w:rsidRPr="00310498" w:rsidRDefault="008D474B" w:rsidP="00A96B1F">
      <w:pPr>
        <w:pStyle w:val="1-MainHeading"/>
      </w:pPr>
      <w:bookmarkStart w:id="0" w:name="_Toc174923372"/>
      <w:bookmarkStart w:id="1" w:name="_Toc176785095"/>
      <w:r w:rsidRPr="00310498">
        <w:t>6.01</w:t>
      </w:r>
      <w:r w:rsidR="00485DF5" w:rsidRPr="00310498">
        <w:tab/>
        <w:t>DURVALUMAB,</w:t>
      </w:r>
      <w:r w:rsidR="00485DF5" w:rsidRPr="00310498">
        <w:br/>
        <w:t>Solution concentrate for I.V. infusion 120</w:t>
      </w:r>
      <w:r w:rsidR="00B522B0" w:rsidRPr="00310498">
        <w:t xml:space="preserve"> </w:t>
      </w:r>
      <w:r w:rsidR="00485DF5" w:rsidRPr="00310498">
        <w:t xml:space="preserve">mg in </w:t>
      </w:r>
      <w:r w:rsidR="00B522B0" w:rsidRPr="00310498">
        <w:br/>
      </w:r>
      <w:r w:rsidR="00485DF5" w:rsidRPr="00310498">
        <w:t>2.4</w:t>
      </w:r>
      <w:r w:rsidR="00B522B0" w:rsidRPr="00310498">
        <w:t xml:space="preserve"> </w:t>
      </w:r>
      <w:r w:rsidR="00485DF5" w:rsidRPr="00310498">
        <w:t>mL,</w:t>
      </w:r>
      <w:r w:rsidR="00485DF5" w:rsidRPr="00310498">
        <w:br/>
        <w:t>Solution concentrate for I.V. infusion 500</w:t>
      </w:r>
      <w:r w:rsidR="00B522B0" w:rsidRPr="00310498">
        <w:t xml:space="preserve"> </w:t>
      </w:r>
      <w:r w:rsidR="00485DF5" w:rsidRPr="00310498">
        <w:t xml:space="preserve">mg in </w:t>
      </w:r>
      <w:r w:rsidR="00B522B0" w:rsidRPr="00310498">
        <w:br/>
      </w:r>
      <w:r w:rsidR="00485DF5" w:rsidRPr="00310498">
        <w:t>10</w:t>
      </w:r>
      <w:r w:rsidR="00B522B0" w:rsidRPr="00310498">
        <w:t xml:space="preserve"> </w:t>
      </w:r>
      <w:r w:rsidR="00485DF5" w:rsidRPr="00310498">
        <w:t>mL,</w:t>
      </w:r>
      <w:r w:rsidR="00485DF5" w:rsidRPr="00310498">
        <w:br/>
        <w:t>Imfinzi®,</w:t>
      </w:r>
      <w:r w:rsidR="00485DF5" w:rsidRPr="00310498">
        <w:br/>
        <w:t>AstraZeneca Pty Ltd</w:t>
      </w:r>
      <w:bookmarkEnd w:id="0"/>
      <w:bookmarkEnd w:id="1"/>
    </w:p>
    <w:p w14:paraId="1729E794" w14:textId="2AC52D07" w:rsidR="00485DF5" w:rsidRPr="00310498" w:rsidRDefault="00485DF5" w:rsidP="00A96B1F">
      <w:pPr>
        <w:pStyle w:val="1-MainHeading"/>
        <w:ind w:firstLine="0"/>
      </w:pPr>
      <w:bookmarkStart w:id="2" w:name="_Toc174923373"/>
      <w:bookmarkStart w:id="3" w:name="_Toc176785096"/>
      <w:r w:rsidRPr="00310498">
        <w:t>OLAPARIB,</w:t>
      </w:r>
      <w:r w:rsidRPr="00310498">
        <w:br/>
        <w:t>Tablet 100</w:t>
      </w:r>
      <w:r w:rsidR="00B522B0" w:rsidRPr="00310498">
        <w:t xml:space="preserve"> </w:t>
      </w:r>
      <w:r w:rsidRPr="00310498">
        <w:t>mg,</w:t>
      </w:r>
      <w:r w:rsidRPr="00310498">
        <w:br/>
        <w:t>Tablet 150</w:t>
      </w:r>
      <w:r w:rsidR="00B522B0" w:rsidRPr="00310498">
        <w:t xml:space="preserve"> </w:t>
      </w:r>
      <w:r w:rsidRPr="00310498">
        <w:t>mg,</w:t>
      </w:r>
      <w:r w:rsidRPr="00310498">
        <w:br/>
        <w:t>Lynparza®,</w:t>
      </w:r>
      <w:r w:rsidRPr="00310498">
        <w:br/>
        <w:t>AstraZeneca Pty Ltd</w:t>
      </w:r>
      <w:bookmarkEnd w:id="2"/>
      <w:bookmarkEnd w:id="3"/>
    </w:p>
    <w:p w14:paraId="62F4F922" w14:textId="77777777" w:rsidR="00485DF5" w:rsidRPr="00310498" w:rsidRDefault="00485DF5" w:rsidP="00485DF5">
      <w:pPr>
        <w:pStyle w:val="2-SectionHeading"/>
      </w:pPr>
      <w:bookmarkStart w:id="4" w:name="_Toc174923375"/>
      <w:bookmarkStart w:id="5" w:name="_Toc176785098"/>
      <w:r w:rsidRPr="00310498">
        <w:t>Purpose of submission</w:t>
      </w:r>
      <w:bookmarkEnd w:id="4"/>
      <w:bookmarkEnd w:id="5"/>
    </w:p>
    <w:p w14:paraId="586122EB" w14:textId="440F0BF9" w:rsidR="008A3162" w:rsidRPr="00310498" w:rsidRDefault="008A3162" w:rsidP="008A3162">
      <w:pPr>
        <w:pStyle w:val="3-BodyText"/>
      </w:pPr>
      <w:bookmarkStart w:id="6" w:name="_Toc174923382"/>
      <w:r w:rsidRPr="00310498">
        <w:t xml:space="preserve">The Category </w:t>
      </w:r>
      <w:r w:rsidR="00FA4C33" w:rsidRPr="00310498">
        <w:t xml:space="preserve">2 </w:t>
      </w:r>
      <w:r w:rsidRPr="00310498">
        <w:t>submission requested Section 100</w:t>
      </w:r>
      <w:r w:rsidR="00F267A0" w:rsidRPr="00310498">
        <w:t xml:space="preserve"> (Efficient Funding of Chemotherapy)</w:t>
      </w:r>
      <w:r w:rsidRPr="00310498">
        <w:t xml:space="preserve">, Authority Required listing for durvalumab in combination with </w:t>
      </w:r>
      <w:r w:rsidR="00B43F05" w:rsidRPr="00310498">
        <w:t>platinum-based chemotherapy (</w:t>
      </w:r>
      <w:r w:rsidR="00EE02DA" w:rsidRPr="00310498">
        <w:t>paclitaxel + carboplatin</w:t>
      </w:r>
      <w:r w:rsidRPr="00310498">
        <w:t xml:space="preserve"> </w:t>
      </w:r>
      <w:r w:rsidR="00B43F05" w:rsidRPr="00310498">
        <w:t>[</w:t>
      </w:r>
      <w:r w:rsidRPr="00310498">
        <w:t>PC</w:t>
      </w:r>
      <w:r w:rsidR="00B43F05" w:rsidRPr="00310498">
        <w:t>])</w:t>
      </w:r>
      <w:r w:rsidRPr="00310498">
        <w:t>, followed by maintenance treatment with or without olaparib for the treatment of advanced, metastatic or recurrent (A/R) endometrial cancer (EC).</w:t>
      </w:r>
      <w:r w:rsidRPr="00310498">
        <w:rPr>
          <w:color w:val="0066FF"/>
        </w:rPr>
        <w:t xml:space="preserve"> </w:t>
      </w:r>
      <w:r w:rsidRPr="00310498">
        <w:t xml:space="preserve">A General Schedule listing for olaparib for the treatment of </w:t>
      </w:r>
      <w:r w:rsidRPr="00310498">
        <w:rPr>
          <w:color w:val="333333"/>
        </w:rPr>
        <w:t>proficient mismatch repair (pMMR)</w:t>
      </w:r>
      <w:r w:rsidRPr="00310498">
        <w:t xml:space="preserve"> advanced, metastatic or recurrent EC was also requested.</w:t>
      </w:r>
    </w:p>
    <w:p w14:paraId="21857554" w14:textId="44E7AFDA" w:rsidR="008A3162" w:rsidRPr="00310498" w:rsidRDefault="008A3162" w:rsidP="008A3162">
      <w:pPr>
        <w:pStyle w:val="3-BodyText"/>
      </w:pPr>
      <w:r w:rsidRPr="00310498">
        <w:t>Listing was sought for two populations:</w:t>
      </w:r>
    </w:p>
    <w:p w14:paraId="47486029" w14:textId="11804B1A" w:rsidR="00827CAD" w:rsidRPr="00310498" w:rsidRDefault="00227C5D" w:rsidP="00827CAD">
      <w:pPr>
        <w:pStyle w:val="ListParagraph"/>
        <w:ind w:left="1134"/>
        <w:jc w:val="both"/>
      </w:pPr>
      <w:r>
        <w:t>dMMR:</w:t>
      </w:r>
      <w:r w:rsidR="00827CAD">
        <w:t xml:space="preserve"> </w:t>
      </w:r>
      <w:r w:rsidR="00827CAD" w:rsidRPr="00310498">
        <w:t xml:space="preserve">Listing of durvalumab + PC (initiation) followed by maintenance durvalumab monotherapy (referred to henceforth as durvalumab + PC) was requested on the basis of a cost-minimisation approach versus dostarlimab + PC (initiation) followed by dostarlimab (maintenance) for patients with </w:t>
      </w:r>
      <w:r w:rsidR="00827CAD" w:rsidRPr="00310498">
        <w:rPr>
          <w:color w:val="333333"/>
        </w:rPr>
        <w:t>deficient mismatch repair (dMMR) EC</w:t>
      </w:r>
      <w:r w:rsidR="00827CAD" w:rsidRPr="00310498">
        <w:t xml:space="preserve">. </w:t>
      </w:r>
    </w:p>
    <w:p w14:paraId="37638645" w14:textId="686777A6" w:rsidR="00827CAD" w:rsidRDefault="00227C5D" w:rsidP="003E1068">
      <w:pPr>
        <w:pStyle w:val="ListParagraph"/>
        <w:numPr>
          <w:ilvl w:val="0"/>
          <w:numId w:val="18"/>
        </w:numPr>
        <w:ind w:left="1134" w:hanging="283"/>
        <w:jc w:val="both"/>
      </w:pPr>
      <w:r>
        <w:t xml:space="preserve">pMMR: </w:t>
      </w:r>
      <w:r w:rsidR="008A3162" w:rsidRPr="00310498">
        <w:t xml:space="preserve">Listing of durvalumab + PC (initiation) followed by durvalumab + olaparib (maintenance) (referred to henceforth as durvalumab + PC + olaparib) was requested on the basis of a cost-effectiveness analysis versus PC for patients with pMMR EC. </w:t>
      </w:r>
    </w:p>
    <w:p w14:paraId="5C4ACF07" w14:textId="500933B9" w:rsidR="008A3162" w:rsidRPr="00310498" w:rsidRDefault="008A3162" w:rsidP="008A3162">
      <w:pPr>
        <w:pStyle w:val="Caption"/>
        <w:jc w:val="left"/>
      </w:pPr>
      <w:bookmarkStart w:id="7" w:name="_Ref178776461"/>
      <w:r w:rsidRPr="00310498">
        <w:lastRenderedPageBreak/>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1</w:t>
      </w:r>
      <w:r w:rsidR="00F267A0" w:rsidRPr="00310498">
        <w:rPr>
          <w:noProof/>
        </w:rPr>
        <w:fldChar w:fldCharType="end"/>
      </w:r>
      <w:bookmarkEnd w:id="7"/>
      <w:r w:rsidRPr="00310498">
        <w:t>:</w:t>
      </w:r>
      <w:r w:rsidRPr="00310498">
        <w:rPr>
          <w:rStyle w:val="CommentReference"/>
          <w:b/>
          <w:szCs w:val="24"/>
        </w:rPr>
        <w:t xml:space="preserve"> Key components of the clinical issue addressed by the submission</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961"/>
        <w:gridCol w:w="3727"/>
      </w:tblGrid>
      <w:tr w:rsidR="00A0075B" w:rsidRPr="00310498" w14:paraId="7BF5B55E" w14:textId="43E6FD8D" w:rsidTr="00A0075B">
        <w:tc>
          <w:tcPr>
            <w:tcW w:w="1352" w:type="dxa"/>
            <w:vMerge w:val="restart"/>
            <w:tcMar>
              <w:left w:w="40" w:type="dxa"/>
              <w:right w:w="40" w:type="dxa"/>
            </w:tcMar>
            <w:vAlign w:val="center"/>
          </w:tcPr>
          <w:p w14:paraId="3CF52299" w14:textId="77777777" w:rsidR="00A0075B" w:rsidRPr="00310498" w:rsidRDefault="00A0075B">
            <w:pPr>
              <w:pStyle w:val="In-tableHeading"/>
              <w:rPr>
                <w:lang w:val="en-AU"/>
              </w:rPr>
            </w:pPr>
            <w:r w:rsidRPr="00310498">
              <w:rPr>
                <w:lang w:val="en-AU"/>
              </w:rPr>
              <w:t>Component</w:t>
            </w:r>
          </w:p>
        </w:tc>
        <w:tc>
          <w:tcPr>
            <w:tcW w:w="7688" w:type="dxa"/>
            <w:gridSpan w:val="2"/>
            <w:tcMar>
              <w:left w:w="40" w:type="dxa"/>
              <w:right w:w="40" w:type="dxa"/>
            </w:tcMar>
            <w:vAlign w:val="center"/>
          </w:tcPr>
          <w:p w14:paraId="0F99EFAE" w14:textId="66B8C756" w:rsidR="00A0075B" w:rsidRPr="00310498" w:rsidRDefault="00A0075B" w:rsidP="00E42A9D">
            <w:pPr>
              <w:pStyle w:val="In-tableHeading"/>
              <w:jc w:val="center"/>
              <w:rPr>
                <w:lang w:val="en-AU"/>
              </w:rPr>
            </w:pPr>
            <w:r w:rsidRPr="00310498">
              <w:rPr>
                <w:lang w:val="en-AU"/>
              </w:rPr>
              <w:t>Description</w:t>
            </w:r>
          </w:p>
        </w:tc>
      </w:tr>
      <w:tr w:rsidR="00A0075B" w:rsidRPr="00310498" w14:paraId="2121E52E" w14:textId="77777777" w:rsidTr="00A0075B">
        <w:tc>
          <w:tcPr>
            <w:tcW w:w="1352" w:type="dxa"/>
            <w:vMerge/>
            <w:tcMar>
              <w:left w:w="40" w:type="dxa"/>
              <w:right w:w="40" w:type="dxa"/>
            </w:tcMar>
            <w:vAlign w:val="center"/>
          </w:tcPr>
          <w:p w14:paraId="7F4792C2" w14:textId="77777777" w:rsidR="00A0075B" w:rsidRPr="00310498" w:rsidRDefault="00A0075B">
            <w:pPr>
              <w:pStyle w:val="In-tableHeading"/>
              <w:rPr>
                <w:lang w:val="en-AU"/>
              </w:rPr>
            </w:pPr>
          </w:p>
        </w:tc>
        <w:tc>
          <w:tcPr>
            <w:tcW w:w="3961" w:type="dxa"/>
            <w:tcMar>
              <w:left w:w="40" w:type="dxa"/>
              <w:right w:w="40" w:type="dxa"/>
            </w:tcMar>
            <w:vAlign w:val="center"/>
          </w:tcPr>
          <w:p w14:paraId="77D6084C" w14:textId="10F0299B" w:rsidR="00A0075B" w:rsidRPr="00310498" w:rsidRDefault="00A0075B" w:rsidP="00E42A9D">
            <w:pPr>
              <w:pStyle w:val="In-tableHeading"/>
              <w:ind w:left="1080"/>
              <w:rPr>
                <w:lang w:val="en-AU"/>
              </w:rPr>
            </w:pPr>
            <w:r>
              <w:rPr>
                <w:lang w:val="en-AU"/>
              </w:rPr>
              <w:t>dMMR</w:t>
            </w:r>
          </w:p>
        </w:tc>
        <w:tc>
          <w:tcPr>
            <w:tcW w:w="3727" w:type="dxa"/>
            <w:tcMar>
              <w:left w:w="40" w:type="dxa"/>
              <w:right w:w="40" w:type="dxa"/>
            </w:tcMar>
          </w:tcPr>
          <w:p w14:paraId="69093422" w14:textId="646601F4" w:rsidR="00A0075B" w:rsidRPr="00310498" w:rsidRDefault="00A0075B" w:rsidP="00E42A9D">
            <w:pPr>
              <w:pStyle w:val="In-tableHeading"/>
              <w:ind w:left="1080"/>
              <w:rPr>
                <w:lang w:val="en-AU"/>
              </w:rPr>
            </w:pPr>
            <w:r>
              <w:rPr>
                <w:lang w:val="en-AU"/>
              </w:rPr>
              <w:t>pMRR</w:t>
            </w:r>
          </w:p>
        </w:tc>
      </w:tr>
      <w:tr w:rsidR="00827CAD" w:rsidRPr="00310498" w14:paraId="36A97218" w14:textId="1F8C9771" w:rsidTr="00A0075B">
        <w:tc>
          <w:tcPr>
            <w:tcW w:w="1352" w:type="dxa"/>
            <w:tcMar>
              <w:left w:w="40" w:type="dxa"/>
              <w:right w:w="40" w:type="dxa"/>
            </w:tcMar>
            <w:vAlign w:val="center"/>
          </w:tcPr>
          <w:p w14:paraId="1C3BD375" w14:textId="77777777" w:rsidR="00827CAD" w:rsidRPr="00310498" w:rsidRDefault="00827CAD">
            <w:pPr>
              <w:pStyle w:val="Tabletext"/>
              <w:keepNext/>
              <w:keepLines/>
            </w:pPr>
            <w:r w:rsidRPr="00310498">
              <w:t>Population</w:t>
            </w:r>
          </w:p>
        </w:tc>
        <w:tc>
          <w:tcPr>
            <w:tcW w:w="7688" w:type="dxa"/>
            <w:gridSpan w:val="2"/>
            <w:tcMar>
              <w:left w:w="40" w:type="dxa"/>
              <w:right w:w="40" w:type="dxa"/>
            </w:tcMar>
          </w:tcPr>
          <w:p w14:paraId="6F9A8A7D" w14:textId="1C2AA344" w:rsidR="00827CAD" w:rsidRPr="00310498" w:rsidRDefault="00827CAD">
            <w:pPr>
              <w:pStyle w:val="Tabletext"/>
              <w:keepNext/>
              <w:keepLines/>
            </w:pPr>
            <w:r w:rsidRPr="00310498">
              <w:t>Patients with advanced, metastatic or recurrent endometrial cancer who have not received systemic therapy or whose disease has progressed following systemic therapy in the (neo) adjuvant setting.</w:t>
            </w:r>
          </w:p>
        </w:tc>
      </w:tr>
      <w:tr w:rsidR="00827CAD" w:rsidRPr="00310498" w14:paraId="75361DE2" w14:textId="16BFBF58" w:rsidTr="00A0075B">
        <w:trPr>
          <w:trHeight w:val="487"/>
        </w:trPr>
        <w:tc>
          <w:tcPr>
            <w:tcW w:w="1352" w:type="dxa"/>
            <w:vMerge w:val="restart"/>
            <w:tcMar>
              <w:left w:w="40" w:type="dxa"/>
              <w:right w:w="40" w:type="dxa"/>
            </w:tcMar>
            <w:vAlign w:val="center"/>
          </w:tcPr>
          <w:p w14:paraId="1D8ADFB5" w14:textId="77777777" w:rsidR="00827CAD" w:rsidRPr="00310498" w:rsidRDefault="00827CAD">
            <w:pPr>
              <w:pStyle w:val="Tabletext"/>
              <w:keepNext/>
              <w:keepLines/>
            </w:pPr>
            <w:r w:rsidRPr="00310498">
              <w:t>Intervention</w:t>
            </w:r>
          </w:p>
        </w:tc>
        <w:tc>
          <w:tcPr>
            <w:tcW w:w="7688" w:type="dxa"/>
            <w:gridSpan w:val="2"/>
            <w:tcMar>
              <w:left w:w="40" w:type="dxa"/>
              <w:right w:w="40" w:type="dxa"/>
            </w:tcMar>
          </w:tcPr>
          <w:p w14:paraId="551C5607" w14:textId="3882133B" w:rsidR="00827CAD" w:rsidRPr="00310498" w:rsidRDefault="00827CAD" w:rsidP="00227C5D">
            <w:pPr>
              <w:pStyle w:val="Tabletext"/>
              <w:keepNext/>
              <w:keepLines/>
            </w:pPr>
            <w:r w:rsidRPr="00310498">
              <w:t>Durvalumab by IV infusion in combination with platinum-based chemotherapy (paclitaxel + carboplatin) on Day 1 of 21 Day cycles for up to 6 cycles followed by:</w:t>
            </w:r>
          </w:p>
        </w:tc>
      </w:tr>
      <w:tr w:rsidR="00827CAD" w:rsidRPr="00310498" w14:paraId="1DEA21B3" w14:textId="77777777" w:rsidTr="00A0075B">
        <w:trPr>
          <w:trHeight w:val="748"/>
        </w:trPr>
        <w:tc>
          <w:tcPr>
            <w:tcW w:w="1352" w:type="dxa"/>
            <w:vMerge/>
            <w:tcMar>
              <w:left w:w="40" w:type="dxa"/>
              <w:right w:w="40" w:type="dxa"/>
            </w:tcMar>
            <w:vAlign w:val="center"/>
          </w:tcPr>
          <w:p w14:paraId="525F1336" w14:textId="77777777" w:rsidR="00827CAD" w:rsidRPr="00310498" w:rsidRDefault="00827CAD">
            <w:pPr>
              <w:pStyle w:val="Tabletext"/>
              <w:keepNext/>
              <w:keepLines/>
            </w:pPr>
          </w:p>
        </w:tc>
        <w:tc>
          <w:tcPr>
            <w:tcW w:w="3961" w:type="dxa"/>
            <w:tcMar>
              <w:left w:w="40" w:type="dxa"/>
              <w:right w:w="40" w:type="dxa"/>
            </w:tcMar>
          </w:tcPr>
          <w:p w14:paraId="2470E4D2" w14:textId="0C790A14" w:rsidR="00827CAD" w:rsidRPr="00310498" w:rsidRDefault="00227C5D" w:rsidP="00791368">
            <w:pPr>
              <w:pStyle w:val="Tabletext"/>
              <w:keepNext/>
              <w:keepLines/>
              <w:numPr>
                <w:ilvl w:val="0"/>
                <w:numId w:val="20"/>
              </w:numPr>
              <w:ind w:left="231" w:hanging="231"/>
            </w:pPr>
            <w:r w:rsidRPr="00310498">
              <w:t>maintenance durvalumab IV infusion until disease progression (i.e. durvalumab + PC)</w:t>
            </w:r>
            <w:r w:rsidR="00791368">
              <w:t>.</w:t>
            </w:r>
            <w:r w:rsidR="00827CAD" w:rsidRPr="00310498">
              <w:t xml:space="preserve"> </w:t>
            </w:r>
          </w:p>
        </w:tc>
        <w:tc>
          <w:tcPr>
            <w:tcW w:w="3727" w:type="dxa"/>
            <w:tcMar>
              <w:left w:w="40" w:type="dxa"/>
              <w:right w:w="40" w:type="dxa"/>
            </w:tcMar>
          </w:tcPr>
          <w:p w14:paraId="1A071CD7" w14:textId="1A844888" w:rsidR="00827CAD" w:rsidRPr="00310498" w:rsidRDefault="00227C5D" w:rsidP="00791368">
            <w:pPr>
              <w:pStyle w:val="Tabletext"/>
              <w:keepNext/>
              <w:keepLines/>
              <w:numPr>
                <w:ilvl w:val="0"/>
                <w:numId w:val="20"/>
              </w:numPr>
              <w:ind w:left="231" w:hanging="231"/>
            </w:pPr>
            <w:r w:rsidRPr="00310498">
              <w:t>maintenance durvalumab IV infusion in combination with oral olaparib until disease progression (i.e. durvalumab + PC + olaparib).</w:t>
            </w:r>
          </w:p>
        </w:tc>
      </w:tr>
      <w:tr w:rsidR="00827CAD" w:rsidRPr="00310498" w14:paraId="6B06AA3C" w14:textId="3B1D3A30" w:rsidTr="00A0075B">
        <w:trPr>
          <w:trHeight w:val="406"/>
        </w:trPr>
        <w:tc>
          <w:tcPr>
            <w:tcW w:w="1352" w:type="dxa"/>
            <w:vMerge w:val="restart"/>
            <w:tcMar>
              <w:left w:w="40" w:type="dxa"/>
              <w:right w:w="40" w:type="dxa"/>
            </w:tcMar>
            <w:vAlign w:val="center"/>
          </w:tcPr>
          <w:p w14:paraId="38256D4D" w14:textId="77777777" w:rsidR="00827CAD" w:rsidRPr="00310498" w:rsidRDefault="00827CAD">
            <w:pPr>
              <w:pStyle w:val="Tabletext"/>
              <w:keepNext/>
              <w:keepLines/>
            </w:pPr>
            <w:r w:rsidRPr="00310498">
              <w:t>Comparator</w:t>
            </w:r>
          </w:p>
        </w:tc>
        <w:tc>
          <w:tcPr>
            <w:tcW w:w="7688" w:type="dxa"/>
            <w:gridSpan w:val="2"/>
            <w:tcMar>
              <w:left w:w="40" w:type="dxa"/>
              <w:right w:w="40" w:type="dxa"/>
            </w:tcMar>
          </w:tcPr>
          <w:p w14:paraId="6B4E0FA3" w14:textId="5FDF43C6" w:rsidR="00827CAD" w:rsidRPr="00310498" w:rsidRDefault="00827CAD">
            <w:pPr>
              <w:pStyle w:val="Tabletext"/>
              <w:keepNext/>
              <w:keepLines/>
            </w:pPr>
            <w:r w:rsidRPr="00310498">
              <w:t>IV platinum-based chemotherapy (paclitaxel + carboplatin) on Day 1 of 21-day cycles for up to 6 cycles followed by maintenance placebo (i.e. PC)</w:t>
            </w:r>
          </w:p>
        </w:tc>
      </w:tr>
      <w:tr w:rsidR="00827CAD" w:rsidRPr="00310498" w14:paraId="3C9BFED5" w14:textId="77777777" w:rsidTr="00A0075B">
        <w:trPr>
          <w:trHeight w:val="952"/>
        </w:trPr>
        <w:tc>
          <w:tcPr>
            <w:tcW w:w="1352" w:type="dxa"/>
            <w:vMerge/>
            <w:tcMar>
              <w:left w:w="40" w:type="dxa"/>
              <w:right w:w="40" w:type="dxa"/>
            </w:tcMar>
            <w:vAlign w:val="center"/>
          </w:tcPr>
          <w:p w14:paraId="3A6C6E00" w14:textId="77777777" w:rsidR="00827CAD" w:rsidRPr="00310498" w:rsidRDefault="00827CAD">
            <w:pPr>
              <w:pStyle w:val="Tabletext"/>
              <w:keepNext/>
              <w:keepLines/>
            </w:pPr>
          </w:p>
        </w:tc>
        <w:tc>
          <w:tcPr>
            <w:tcW w:w="3961" w:type="dxa"/>
            <w:tcMar>
              <w:left w:w="40" w:type="dxa"/>
              <w:right w:w="40" w:type="dxa"/>
            </w:tcMar>
          </w:tcPr>
          <w:p w14:paraId="6CC4CB0B" w14:textId="12CCCEAC" w:rsidR="00827CAD" w:rsidRPr="00310498" w:rsidRDefault="00827CAD">
            <w:pPr>
              <w:pStyle w:val="Tabletext"/>
              <w:keepNext/>
              <w:keepLines/>
            </w:pPr>
            <w:r w:rsidRPr="00310498">
              <w:t>Dostarlimab by IV infusion in combination with platinum-based chemotherapy on Day 1 of 21 Day cycles for up to 6 cycles, followed by maintenance dostarlimab IV infusion. (i.e. dostarlimab + PC)</w:t>
            </w:r>
          </w:p>
        </w:tc>
        <w:tc>
          <w:tcPr>
            <w:tcW w:w="3727" w:type="dxa"/>
            <w:tcMar>
              <w:left w:w="40" w:type="dxa"/>
              <w:right w:w="40" w:type="dxa"/>
            </w:tcMar>
          </w:tcPr>
          <w:p w14:paraId="54AE450E" w14:textId="77777777" w:rsidR="00827CAD" w:rsidRPr="00310498" w:rsidRDefault="00827CAD">
            <w:pPr>
              <w:pStyle w:val="Tabletext"/>
              <w:keepNext/>
              <w:keepLines/>
            </w:pPr>
          </w:p>
        </w:tc>
      </w:tr>
      <w:tr w:rsidR="00227C5D" w:rsidRPr="00310498" w14:paraId="6B2E7871" w14:textId="2CBAD601" w:rsidTr="00A0075B">
        <w:trPr>
          <w:trHeight w:val="501"/>
        </w:trPr>
        <w:tc>
          <w:tcPr>
            <w:tcW w:w="1352" w:type="dxa"/>
            <w:tcMar>
              <w:left w:w="40" w:type="dxa"/>
              <w:right w:w="40" w:type="dxa"/>
            </w:tcMar>
            <w:vAlign w:val="center"/>
          </w:tcPr>
          <w:p w14:paraId="79BDA519" w14:textId="77777777" w:rsidR="00227C5D" w:rsidRPr="00310498" w:rsidRDefault="00227C5D">
            <w:pPr>
              <w:pStyle w:val="Tabletext"/>
              <w:keepNext/>
              <w:keepLines/>
            </w:pPr>
            <w:r w:rsidRPr="00310498">
              <w:t>Outcomes</w:t>
            </w:r>
          </w:p>
        </w:tc>
        <w:tc>
          <w:tcPr>
            <w:tcW w:w="7688" w:type="dxa"/>
            <w:gridSpan w:val="2"/>
            <w:tcMar>
              <w:left w:w="40" w:type="dxa"/>
              <w:right w:w="40" w:type="dxa"/>
            </w:tcMar>
          </w:tcPr>
          <w:p w14:paraId="01379290" w14:textId="5684F979" w:rsidR="00227C5D" w:rsidRPr="00310498" w:rsidRDefault="00227C5D" w:rsidP="00827CAD">
            <w:pPr>
              <w:pStyle w:val="Tabletext"/>
              <w:keepNext/>
              <w:keepLines/>
            </w:pPr>
            <w:r>
              <w:t>P</w:t>
            </w:r>
            <w:r w:rsidRPr="00310498">
              <w:t>rimary outcomes:</w:t>
            </w:r>
            <w:r>
              <w:t xml:space="preserve"> </w:t>
            </w:r>
            <w:r w:rsidRPr="00310498">
              <w:t xml:space="preserve">PFS by Investigator </w:t>
            </w:r>
          </w:p>
          <w:p w14:paraId="16B0AC86" w14:textId="4663821B" w:rsidR="00227C5D" w:rsidRPr="00310498" w:rsidRDefault="00227C5D" w:rsidP="00E42A9D">
            <w:pPr>
              <w:pStyle w:val="Tabletext"/>
              <w:keepNext/>
              <w:keepLines/>
            </w:pPr>
            <w:r w:rsidRPr="00310498">
              <w:t>Secondary outcomes: OS, PFS2, ORR, DoR, TFST, TSST, HRQoL and safety</w:t>
            </w:r>
          </w:p>
        </w:tc>
      </w:tr>
      <w:tr w:rsidR="00B20BCC" w:rsidRPr="00310498" w14:paraId="5BC2E65B" w14:textId="12D74116" w:rsidTr="00A0075B">
        <w:tc>
          <w:tcPr>
            <w:tcW w:w="1352" w:type="dxa"/>
            <w:tcMar>
              <w:left w:w="40" w:type="dxa"/>
              <w:right w:w="40" w:type="dxa"/>
            </w:tcMar>
            <w:vAlign w:val="center"/>
          </w:tcPr>
          <w:p w14:paraId="70CF6828" w14:textId="77777777" w:rsidR="00B20BCC" w:rsidRPr="00310498" w:rsidRDefault="00B20BCC">
            <w:pPr>
              <w:pStyle w:val="Tabletext"/>
              <w:keepNext/>
              <w:keepLines/>
            </w:pPr>
            <w:r w:rsidRPr="00310498">
              <w:t xml:space="preserve">Clinical claim </w:t>
            </w:r>
            <w:r w:rsidRPr="00310498">
              <w:rPr>
                <w:vertAlign w:val="superscript"/>
              </w:rPr>
              <w:t>a</w:t>
            </w:r>
          </w:p>
        </w:tc>
        <w:tc>
          <w:tcPr>
            <w:tcW w:w="3961" w:type="dxa"/>
            <w:tcMar>
              <w:left w:w="40" w:type="dxa"/>
              <w:right w:w="40" w:type="dxa"/>
            </w:tcMar>
          </w:tcPr>
          <w:p w14:paraId="582E75F2" w14:textId="592F9140" w:rsidR="00E42A9D" w:rsidRDefault="00E42A9D" w:rsidP="008422C5">
            <w:pPr>
              <w:pStyle w:val="Tabletext"/>
              <w:keepNext/>
              <w:keepLines/>
            </w:pPr>
            <w:r>
              <w:t>Compared with dostarlimab + PC, d</w:t>
            </w:r>
            <w:r w:rsidR="00B20BCC" w:rsidRPr="00310498">
              <w:t xml:space="preserve">urvalumab + PC </w:t>
            </w:r>
            <w:r>
              <w:t>ha</w:t>
            </w:r>
            <w:r w:rsidR="00B20BCC" w:rsidRPr="00310498">
              <w:t>s</w:t>
            </w:r>
            <w:r>
              <w:t>:</w:t>
            </w:r>
          </w:p>
          <w:p w14:paraId="6883C3EA" w14:textId="1D0C6B61" w:rsidR="00B20BCC" w:rsidRDefault="00B20BCC" w:rsidP="00791368">
            <w:pPr>
              <w:pStyle w:val="Tabletext"/>
              <w:keepNext/>
              <w:keepLines/>
              <w:numPr>
                <w:ilvl w:val="0"/>
                <w:numId w:val="20"/>
              </w:numPr>
              <w:ind w:left="231" w:hanging="231"/>
            </w:pPr>
            <w:r w:rsidRPr="00310498">
              <w:t xml:space="preserve">non-inferior </w:t>
            </w:r>
            <w:r w:rsidR="00E42A9D">
              <w:t>efficacy</w:t>
            </w:r>
            <w:r w:rsidRPr="00310498">
              <w:t>; and</w:t>
            </w:r>
          </w:p>
          <w:p w14:paraId="11A57A98" w14:textId="3B083422" w:rsidR="00E42A9D" w:rsidRDefault="00E42A9D" w:rsidP="00791368">
            <w:pPr>
              <w:pStyle w:val="Tabletext"/>
              <w:keepNext/>
              <w:keepLines/>
              <w:numPr>
                <w:ilvl w:val="0"/>
                <w:numId w:val="20"/>
              </w:numPr>
              <w:ind w:left="231" w:hanging="231"/>
            </w:pPr>
            <w:r w:rsidRPr="00310498">
              <w:t>non-inferior safety</w:t>
            </w:r>
            <w:r>
              <w:t>.</w:t>
            </w:r>
          </w:p>
          <w:p w14:paraId="0E1089B4" w14:textId="77777777" w:rsidR="00791368" w:rsidRDefault="00791368" w:rsidP="00791368">
            <w:pPr>
              <w:pStyle w:val="Tabletext"/>
              <w:keepNext/>
              <w:keepLines/>
              <w:ind w:left="231"/>
            </w:pPr>
          </w:p>
          <w:p w14:paraId="24735C6B" w14:textId="604BA8AF" w:rsidR="00E42A9D" w:rsidRDefault="00E42A9D" w:rsidP="00E42A9D">
            <w:pPr>
              <w:pStyle w:val="Tabletext"/>
              <w:keepNext/>
              <w:keepLines/>
            </w:pPr>
            <w:r>
              <w:t>Compared with PC alone, d</w:t>
            </w:r>
            <w:r w:rsidRPr="00310498">
              <w:t xml:space="preserve">urvalumab + PC </w:t>
            </w:r>
            <w:r>
              <w:t>ha</w:t>
            </w:r>
            <w:r w:rsidRPr="00310498">
              <w:t>s</w:t>
            </w:r>
            <w:r>
              <w:t>:</w:t>
            </w:r>
          </w:p>
          <w:p w14:paraId="09FA135D" w14:textId="4BF382EE" w:rsidR="00B20BCC" w:rsidRPr="00310498" w:rsidRDefault="00B20BCC" w:rsidP="00791368">
            <w:pPr>
              <w:pStyle w:val="Tabletext"/>
              <w:keepNext/>
              <w:keepLines/>
              <w:numPr>
                <w:ilvl w:val="0"/>
                <w:numId w:val="20"/>
              </w:numPr>
              <w:ind w:left="231" w:hanging="231"/>
            </w:pPr>
            <w:r w:rsidRPr="00310498">
              <w:t xml:space="preserve">superior </w:t>
            </w:r>
            <w:r w:rsidR="00E42A9D">
              <w:t>efficacy; and</w:t>
            </w:r>
          </w:p>
          <w:p w14:paraId="4930448E" w14:textId="23149E25" w:rsidR="00B20BCC" w:rsidRPr="00310498" w:rsidRDefault="00B20BCC" w:rsidP="00791368">
            <w:pPr>
              <w:pStyle w:val="Tabletext"/>
              <w:keepNext/>
              <w:keepLines/>
              <w:numPr>
                <w:ilvl w:val="0"/>
                <w:numId w:val="20"/>
              </w:numPr>
              <w:ind w:left="231" w:hanging="231"/>
            </w:pPr>
            <w:r w:rsidRPr="00310498">
              <w:t>non-inferior</w:t>
            </w:r>
            <w:r w:rsidR="00E42A9D">
              <w:t xml:space="preserve"> </w:t>
            </w:r>
            <w:r w:rsidRPr="00310498">
              <w:t>safety.</w:t>
            </w:r>
          </w:p>
        </w:tc>
        <w:tc>
          <w:tcPr>
            <w:tcW w:w="3727" w:type="dxa"/>
            <w:tcMar>
              <w:left w:w="40" w:type="dxa"/>
              <w:right w:w="40" w:type="dxa"/>
            </w:tcMar>
          </w:tcPr>
          <w:p w14:paraId="48251606" w14:textId="515DFD8B" w:rsidR="00E42A9D" w:rsidRDefault="00791368" w:rsidP="00827CAD">
            <w:pPr>
              <w:pStyle w:val="Tabletext"/>
              <w:keepNext/>
              <w:keepLines/>
            </w:pPr>
            <w:r>
              <w:t xml:space="preserve">Compared </w:t>
            </w:r>
            <w:r w:rsidRPr="00310498">
              <w:t>to PC</w:t>
            </w:r>
            <w:r>
              <w:t xml:space="preserve"> alone, d</w:t>
            </w:r>
            <w:r w:rsidR="00827CAD" w:rsidRPr="00310498">
              <w:t xml:space="preserve">urvalumab + PC + olaparib </w:t>
            </w:r>
            <w:r w:rsidR="00E42A9D">
              <w:t>ha</w:t>
            </w:r>
            <w:r w:rsidR="00827CAD" w:rsidRPr="00310498">
              <w:t>s</w:t>
            </w:r>
            <w:r w:rsidR="00E42A9D">
              <w:t>:</w:t>
            </w:r>
          </w:p>
          <w:p w14:paraId="079AFBD8" w14:textId="0125DFC1" w:rsidR="00827CAD" w:rsidRPr="00310498" w:rsidRDefault="00827CAD" w:rsidP="00791368">
            <w:pPr>
              <w:pStyle w:val="Tabletext"/>
              <w:keepNext/>
              <w:keepLines/>
              <w:numPr>
                <w:ilvl w:val="0"/>
                <w:numId w:val="20"/>
              </w:numPr>
              <w:ind w:left="231" w:hanging="231"/>
            </w:pPr>
            <w:r w:rsidRPr="00310498">
              <w:t xml:space="preserve">superior </w:t>
            </w:r>
            <w:r w:rsidR="00E42A9D">
              <w:t>efficacy</w:t>
            </w:r>
            <w:r w:rsidRPr="00310498">
              <w:t xml:space="preserve">; </w:t>
            </w:r>
            <w:r w:rsidR="00791368">
              <w:t>and</w:t>
            </w:r>
          </w:p>
          <w:p w14:paraId="24D50D76" w14:textId="6610AA88" w:rsidR="00827CAD" w:rsidRPr="00310498" w:rsidRDefault="00827CAD" w:rsidP="00791368">
            <w:pPr>
              <w:pStyle w:val="Tabletext"/>
              <w:keepNext/>
              <w:keepLines/>
              <w:numPr>
                <w:ilvl w:val="0"/>
                <w:numId w:val="20"/>
              </w:numPr>
              <w:ind w:left="231" w:hanging="231"/>
            </w:pPr>
            <w:r w:rsidRPr="00310498">
              <w:t>inferior safety.</w:t>
            </w:r>
          </w:p>
          <w:p w14:paraId="66E8A981" w14:textId="77777777" w:rsidR="00B20BCC" w:rsidRPr="00310498" w:rsidRDefault="00B20BCC" w:rsidP="008422C5">
            <w:pPr>
              <w:pStyle w:val="Tabletext"/>
              <w:keepNext/>
              <w:keepLines/>
            </w:pPr>
          </w:p>
        </w:tc>
      </w:tr>
    </w:tbl>
    <w:p w14:paraId="639CA763" w14:textId="77777777" w:rsidR="00E24B8A" w:rsidRPr="00310498" w:rsidRDefault="00E24B8A" w:rsidP="00D17A65">
      <w:pPr>
        <w:pStyle w:val="TableFigureFooter"/>
      </w:pPr>
      <w:r w:rsidRPr="00227C5D">
        <w:t>Source: Table 1.1, p23 and Section 2.2.5, p52 of the submission.</w:t>
      </w:r>
    </w:p>
    <w:p w14:paraId="5F0C2B0A" w14:textId="77777777" w:rsidR="008A3162" w:rsidRPr="00310498" w:rsidRDefault="008A3162" w:rsidP="00D17A65">
      <w:pPr>
        <w:pStyle w:val="TableFigureFooter"/>
      </w:pPr>
      <w:r w:rsidRPr="00310498">
        <w:t>DoR = duration of response; EC = endometrial cancer HRQoL = health-related quality of life; ORR = objective response rate; OS = overall survival; PFS = progression free survival; PFS2 = time to second PFS; TFST = time free from subsequent therapy; TTST = time to subsequent therapy</w:t>
      </w:r>
    </w:p>
    <w:p w14:paraId="6461893A" w14:textId="77777777" w:rsidR="008A3162" w:rsidRPr="00310498" w:rsidRDefault="008A3162" w:rsidP="008A3162">
      <w:pPr>
        <w:pStyle w:val="2-SectionHeading"/>
      </w:pPr>
      <w:bookmarkStart w:id="8" w:name="_Toc176785099"/>
      <w:r w:rsidRPr="00310498">
        <w:t>Background</w:t>
      </w:r>
      <w:bookmarkEnd w:id="8"/>
    </w:p>
    <w:p w14:paraId="0CDA6784" w14:textId="77777777" w:rsidR="008A3162" w:rsidRPr="00310498" w:rsidRDefault="008A3162" w:rsidP="008A3162">
      <w:pPr>
        <w:pStyle w:val="4-SubsectionHeading"/>
        <w:rPr>
          <w:i w:val="0"/>
        </w:rPr>
      </w:pPr>
      <w:bookmarkStart w:id="9" w:name="_Toc22897638"/>
      <w:bookmarkStart w:id="10" w:name="_Toc176785100"/>
      <w:r w:rsidRPr="00310498">
        <w:rPr>
          <w:i w:val="0"/>
        </w:rPr>
        <w:t>Registration status</w:t>
      </w:r>
      <w:bookmarkEnd w:id="9"/>
      <w:bookmarkEnd w:id="10"/>
    </w:p>
    <w:p w14:paraId="20466FBB" w14:textId="606C0553" w:rsidR="00384EEA" w:rsidRDefault="00A92C87" w:rsidP="00022017">
      <w:pPr>
        <w:pStyle w:val="3-BodyText"/>
      </w:pPr>
      <w:r w:rsidRPr="00384EEA">
        <w:rPr>
          <w:rFonts w:ascii="Calibri" w:hAnsi="Calibri" w:cs="Calibri"/>
          <w:szCs w:val="24"/>
        </w:rPr>
        <w:t>TGA status at</w:t>
      </w:r>
      <w:r w:rsidR="00791368">
        <w:rPr>
          <w:rFonts w:ascii="Calibri" w:hAnsi="Calibri" w:cs="Calibri"/>
          <w:szCs w:val="24"/>
        </w:rPr>
        <w:t xml:space="preserve"> the</w:t>
      </w:r>
      <w:r w:rsidRPr="00384EEA">
        <w:rPr>
          <w:rFonts w:ascii="Calibri" w:hAnsi="Calibri" w:cs="Calibri"/>
          <w:szCs w:val="24"/>
        </w:rPr>
        <w:t xml:space="preserve"> time of </w:t>
      </w:r>
      <w:r w:rsidR="00381A77" w:rsidRPr="00384EEA">
        <w:rPr>
          <w:rFonts w:ascii="Calibri" w:hAnsi="Calibri" w:cs="Calibri"/>
          <w:szCs w:val="24"/>
        </w:rPr>
        <w:t>PBAC consideration</w:t>
      </w:r>
      <w:r w:rsidR="004823EE" w:rsidRPr="00384EEA">
        <w:rPr>
          <w:rFonts w:ascii="Calibri" w:hAnsi="Calibri" w:cs="Calibri"/>
          <w:szCs w:val="24"/>
        </w:rPr>
        <w:t>:</w:t>
      </w:r>
      <w:r w:rsidRPr="00384EEA">
        <w:rPr>
          <w:rFonts w:ascii="Arial" w:hAnsi="Arial" w:cs="Arial"/>
          <w:sz w:val="22"/>
        </w:rPr>
        <w:t xml:space="preserve"> </w:t>
      </w:r>
      <w:r w:rsidR="00BB1AFD" w:rsidRPr="00310498">
        <w:t xml:space="preserve">The submission was made under the TGA/PBAC Parallel Process. At the time of the </w:t>
      </w:r>
      <w:r w:rsidR="000668C3">
        <w:t>PBAC consideration</w:t>
      </w:r>
      <w:r w:rsidR="00BB1AFD" w:rsidRPr="00310498">
        <w:t xml:space="preserve"> the TGA Clinical Evaluation Report (CER), round 2</w:t>
      </w:r>
      <w:r w:rsidR="000668C3">
        <w:t xml:space="preserve">, and the </w:t>
      </w:r>
      <w:r w:rsidR="00BB1AFD" w:rsidRPr="00310498">
        <w:t>TGA Delegate’s Overview</w:t>
      </w:r>
      <w:r w:rsidR="00132247">
        <w:t xml:space="preserve"> (DO) </w:t>
      </w:r>
      <w:r w:rsidR="004823EE">
        <w:t>were available. The TGA Delegate</w:t>
      </w:r>
      <w:r w:rsidR="00E9333E">
        <w:t>, in their preliminary view,</w:t>
      </w:r>
      <w:r w:rsidR="004823EE">
        <w:t xml:space="preserve"> was </w:t>
      </w:r>
      <w:r w:rsidR="00384EEA">
        <w:t xml:space="preserve">inclined to </w:t>
      </w:r>
      <w:r w:rsidR="004823EE">
        <w:t>approv</w:t>
      </w:r>
      <w:r w:rsidR="00384EEA">
        <w:t>e</w:t>
      </w:r>
      <w:r w:rsidR="004823EE">
        <w:t xml:space="preserve"> the registration of durvalumab for the dMMR EC population</w:t>
      </w:r>
      <w:r w:rsidR="00384EEA">
        <w:t xml:space="preserve">, that </w:t>
      </w:r>
      <w:r w:rsidR="00D1311D">
        <w:t>is for the following indication</w:t>
      </w:r>
      <w:r w:rsidR="00384EEA">
        <w:t xml:space="preserve">: durvalumab </w:t>
      </w:r>
      <w:r w:rsidR="00D1311D">
        <w:t>‘</w:t>
      </w:r>
      <w:r w:rsidR="00384EEA" w:rsidRPr="00384EEA">
        <w:t xml:space="preserve">in combination with </w:t>
      </w:r>
      <w:r w:rsidR="00384EEA">
        <w:t>PC</w:t>
      </w:r>
      <w:r w:rsidR="00384EEA" w:rsidRPr="00384EEA">
        <w:t xml:space="preserve"> is indicated</w:t>
      </w:r>
      <w:r w:rsidR="00384EEA">
        <w:t xml:space="preserve"> </w:t>
      </w:r>
      <w:r w:rsidR="00384EEA" w:rsidRPr="00384EEA">
        <w:t>for the first-line treatment of adult patients with advanced or recurrent</w:t>
      </w:r>
      <w:r w:rsidR="00384EEA">
        <w:t xml:space="preserve"> EC</w:t>
      </w:r>
      <w:r w:rsidR="00384EEA" w:rsidRPr="00384EEA">
        <w:t xml:space="preserve"> followed by maintenance treatment with </w:t>
      </w:r>
      <w:r w:rsidR="00384EEA">
        <w:t>durvalumab</w:t>
      </w:r>
      <w:r w:rsidR="00384EEA" w:rsidRPr="00384EEA">
        <w:t xml:space="preserve"> as</w:t>
      </w:r>
      <w:r w:rsidR="00384EEA">
        <w:t xml:space="preserve"> </w:t>
      </w:r>
      <w:r w:rsidR="00384EEA" w:rsidRPr="00384EEA">
        <w:t xml:space="preserve">monotherapy in </w:t>
      </w:r>
      <w:r w:rsidR="00384EEA">
        <w:t>EC</w:t>
      </w:r>
      <w:r w:rsidR="00384EEA" w:rsidRPr="00384EEA">
        <w:t xml:space="preserve"> that is dMMR</w:t>
      </w:r>
      <w:r w:rsidR="00D1311D">
        <w:t>’</w:t>
      </w:r>
      <w:r w:rsidR="00384EEA" w:rsidRPr="00384EEA">
        <w:t>.</w:t>
      </w:r>
    </w:p>
    <w:p w14:paraId="01F1270D" w14:textId="7BF09BF6" w:rsidR="00132247" w:rsidRDefault="004823EE" w:rsidP="00022017">
      <w:pPr>
        <w:pStyle w:val="3-BodyText"/>
      </w:pPr>
      <w:r>
        <w:t xml:space="preserve">The TGA Delegate </w:t>
      </w:r>
      <w:r w:rsidR="00384EEA">
        <w:t xml:space="preserve">(at the time the Delegate’s Overview was prepared) </w:t>
      </w:r>
      <w:r>
        <w:t xml:space="preserve">was not </w:t>
      </w:r>
      <w:r w:rsidR="00384EEA">
        <w:t xml:space="preserve">satisfied that the efficacy and safety of durvalumab and olaparib were established for the pMMR component of the requested indication. </w:t>
      </w:r>
      <w:r>
        <w:t xml:space="preserve">The </w:t>
      </w:r>
      <w:r w:rsidR="00132247">
        <w:t xml:space="preserve">TGA advised </w:t>
      </w:r>
      <w:r>
        <w:t xml:space="preserve">that durvalumab and olaparib for pMMR EC </w:t>
      </w:r>
      <w:r w:rsidR="00132247">
        <w:t xml:space="preserve">would be </w:t>
      </w:r>
      <w:r>
        <w:t>considered at a future Advisory Committee on Medicines meeting</w:t>
      </w:r>
      <w:r w:rsidR="000668C3">
        <w:t>.</w:t>
      </w:r>
      <w:r w:rsidR="00132247">
        <w:t xml:space="preserve"> </w:t>
      </w:r>
    </w:p>
    <w:p w14:paraId="01A31D5F" w14:textId="1109D84F" w:rsidR="00BB1AFD" w:rsidRPr="00310498" w:rsidRDefault="004823EE" w:rsidP="004823EE">
      <w:pPr>
        <w:pStyle w:val="3-BodyText"/>
      </w:pPr>
      <w:r>
        <w:lastRenderedPageBreak/>
        <w:t>T</w:t>
      </w:r>
      <w:r w:rsidR="00132247">
        <w:t xml:space="preserve">he </w:t>
      </w:r>
      <w:r>
        <w:t>p</w:t>
      </w:r>
      <w:r w:rsidR="00132247">
        <w:t xml:space="preserve">re-PBAC response requested that the PBAC provide separate recommendations for the dMMR and pMMR populations. </w:t>
      </w:r>
    </w:p>
    <w:p w14:paraId="7CD08305" w14:textId="524A868C" w:rsidR="008A3162" w:rsidRPr="00310498" w:rsidRDefault="008A3162" w:rsidP="008A3162">
      <w:pPr>
        <w:pStyle w:val="3-BodyText"/>
      </w:pPr>
      <w:r w:rsidRPr="00310498">
        <w:t xml:space="preserve">On </w:t>
      </w:r>
      <w:r w:rsidR="000B40B1" w:rsidRPr="00310498">
        <w:t xml:space="preserve">14 </w:t>
      </w:r>
      <w:r w:rsidRPr="00310498">
        <w:t xml:space="preserve">June 2024, the US Food and Drug Administration (FDA) approved durvalumab with carboplatin plus paclitaxel followed by single-agent durvalumab for adult patients with primary advanced or recurrent endometrial cancer that is dMMR. The FDA did not approve durvalumab for use in combination with olaparib in any patients with EC or use of durvalumab for any patients with pMMR EC. </w:t>
      </w:r>
    </w:p>
    <w:p w14:paraId="663F4C3A" w14:textId="1402222F" w:rsidR="008A3162" w:rsidRPr="00310498" w:rsidRDefault="008A3162" w:rsidP="008A3162">
      <w:pPr>
        <w:pStyle w:val="3-BodyText"/>
      </w:pPr>
      <w:r w:rsidRPr="00310498">
        <w:t xml:space="preserve">On 27 June 2024, the European Committee for Medicinal Products for Human Use (CHMP) recommended use of durvalumab in combination with carboplatin and paclitaxel for the 1L treatment of adults with primary A/R EC who are candidates for systemic therapy, followed by maintenance treatment with durvalumab in combination with olaparib (in pMMR EC) and durvalumab monotherapy (in dMMR EC). The indication recommended by the CHMP was consistent with the requested PBS listing for durvalumab </w:t>
      </w:r>
      <w:r w:rsidRPr="00310498">
        <w:rPr>
          <w:rFonts w:cs="Calibri"/>
        </w:rPr>
        <w:t xml:space="preserve">and </w:t>
      </w:r>
      <w:r w:rsidRPr="00310498">
        <w:t>olaparib for the treatment of EC.</w:t>
      </w:r>
    </w:p>
    <w:p w14:paraId="255C3F30" w14:textId="77777777" w:rsidR="008A3162" w:rsidRPr="00310498" w:rsidRDefault="008A3162" w:rsidP="008A3162">
      <w:pPr>
        <w:pStyle w:val="4-SubsectionHeading"/>
        <w:rPr>
          <w:i w:val="0"/>
        </w:rPr>
      </w:pPr>
      <w:bookmarkStart w:id="11" w:name="_Toc22897639"/>
      <w:bookmarkStart w:id="12" w:name="_Toc176785101"/>
      <w:r w:rsidRPr="00310498">
        <w:rPr>
          <w:i w:val="0"/>
        </w:rPr>
        <w:t>Previous PBAC consideration</w:t>
      </w:r>
      <w:bookmarkEnd w:id="11"/>
      <w:bookmarkEnd w:id="12"/>
    </w:p>
    <w:p w14:paraId="5EF0E06A" w14:textId="77777777" w:rsidR="008A3162" w:rsidRPr="00310498" w:rsidRDefault="008A3162" w:rsidP="008A3162">
      <w:pPr>
        <w:pStyle w:val="3-BodyText"/>
      </w:pPr>
      <w:r w:rsidRPr="00310498">
        <w:t>Durvalumab has not previously been considered by the PBAC for the requested restriction of use in A/R EC.</w:t>
      </w:r>
    </w:p>
    <w:p w14:paraId="59DE2364" w14:textId="77777777" w:rsidR="008A3162" w:rsidRPr="00310498" w:rsidRDefault="008A3162" w:rsidP="008A3162">
      <w:pPr>
        <w:pStyle w:val="3-BodyText"/>
      </w:pPr>
      <w:r w:rsidRPr="00310498">
        <w:t>Dostarlimab in combination with PC (referred to as dostarlimab + PC from herein) was recommended by the PBAC at the November 2023 meeting for the treatment of patients with primary advanced or first recurrent EC that is dMMR.</w:t>
      </w:r>
    </w:p>
    <w:p w14:paraId="3A0087D9" w14:textId="77777777" w:rsidR="008A3162" w:rsidRDefault="008A3162" w:rsidP="008A3162">
      <w:pPr>
        <w:pStyle w:val="3-BodyText"/>
      </w:pPr>
      <w:r w:rsidRPr="00310498">
        <w:t>Pembrolizumab + lenvatinib was recommended by the PBAC at the March 2022 meeting for the treatment of patients with advanced EC who have disease progression following prior systemic therapy regardless of biomarker status.</w:t>
      </w:r>
    </w:p>
    <w:p w14:paraId="150ED500" w14:textId="1A7EC9E5" w:rsidR="00A92C87" w:rsidRPr="00A92C87" w:rsidRDefault="00A92C87" w:rsidP="00A92C87">
      <w:pPr>
        <w:pStyle w:val="3-BodyText"/>
        <w:numPr>
          <w:ilvl w:val="0"/>
          <w:numId w:val="0"/>
        </w:numPr>
        <w:ind w:left="720"/>
        <w:rPr>
          <w:i/>
          <w:iCs/>
        </w:rPr>
      </w:pPr>
      <w:bookmarkStart w:id="13" w:name="_Hlk76375324"/>
      <w:r w:rsidRPr="00A92C87">
        <w:rPr>
          <w:i/>
          <w:iCs/>
        </w:rPr>
        <w:t>For more detail on PBAC’s view, see section 7 PBAC outcome.</w:t>
      </w:r>
      <w:bookmarkEnd w:id="13"/>
    </w:p>
    <w:p w14:paraId="4168657A" w14:textId="77777777" w:rsidR="008A3162" w:rsidRPr="00310498" w:rsidRDefault="008A3162" w:rsidP="00B00960">
      <w:pPr>
        <w:pStyle w:val="2-SectionHeading"/>
        <w:keepNext w:val="0"/>
      </w:pPr>
      <w:bookmarkStart w:id="14" w:name="_Toc107902078"/>
      <w:bookmarkStart w:id="15" w:name="_Toc176785102"/>
      <w:bookmarkEnd w:id="14"/>
      <w:r w:rsidRPr="00310498">
        <w:t>Requested listing</w:t>
      </w:r>
      <w:bookmarkEnd w:id="15"/>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921"/>
        <w:gridCol w:w="1065"/>
        <w:gridCol w:w="1052"/>
        <w:gridCol w:w="1916"/>
        <w:gridCol w:w="1805"/>
      </w:tblGrid>
      <w:tr w:rsidR="00F267A0" w:rsidRPr="00310498" w14:paraId="30C7CCDB" w14:textId="77777777" w:rsidTr="00E24B8A">
        <w:trPr>
          <w:cantSplit/>
          <w:trHeight w:val="20"/>
        </w:trPr>
        <w:tc>
          <w:tcPr>
            <w:tcW w:w="2260" w:type="dxa"/>
            <w:vAlign w:val="center"/>
          </w:tcPr>
          <w:p w14:paraId="363B0135" w14:textId="77777777" w:rsidR="00C50EC8" w:rsidRPr="00310498" w:rsidRDefault="00C50EC8" w:rsidP="00B00960">
            <w:pPr>
              <w:pStyle w:val="In-tableHeading"/>
              <w:keepNext w:val="0"/>
              <w:rPr>
                <w:lang w:val="en-AU"/>
              </w:rPr>
            </w:pPr>
            <w:r w:rsidRPr="00310498">
              <w:rPr>
                <w:lang w:val="en-AU"/>
              </w:rPr>
              <w:t>MEDICINAL PRODUCT</w:t>
            </w:r>
          </w:p>
          <w:p w14:paraId="10AA2134" w14:textId="77777777" w:rsidR="00C50EC8" w:rsidRPr="00310498" w:rsidRDefault="00C50EC8" w:rsidP="00B00960">
            <w:pPr>
              <w:pStyle w:val="In-tableHeading"/>
              <w:keepNext w:val="0"/>
              <w:rPr>
                <w:lang w:val="en-AU"/>
              </w:rPr>
            </w:pPr>
            <w:r w:rsidRPr="00310498">
              <w:rPr>
                <w:lang w:val="en-AU"/>
              </w:rPr>
              <w:t>medicinal product pack</w:t>
            </w:r>
          </w:p>
        </w:tc>
        <w:tc>
          <w:tcPr>
            <w:tcW w:w="919" w:type="dxa"/>
            <w:vAlign w:val="center"/>
          </w:tcPr>
          <w:p w14:paraId="69C87E49" w14:textId="77777777" w:rsidR="00C50EC8" w:rsidRPr="00310498" w:rsidRDefault="00C50EC8" w:rsidP="00B00960">
            <w:pPr>
              <w:pStyle w:val="In-tableHeading"/>
              <w:keepNext w:val="0"/>
              <w:jc w:val="center"/>
              <w:rPr>
                <w:szCs w:val="20"/>
                <w:lang w:val="en-AU"/>
              </w:rPr>
            </w:pPr>
            <w:r w:rsidRPr="00310498">
              <w:rPr>
                <w:szCs w:val="20"/>
                <w:lang w:val="en-AU"/>
              </w:rPr>
              <w:t>Max. qty packs</w:t>
            </w:r>
          </w:p>
        </w:tc>
        <w:tc>
          <w:tcPr>
            <w:tcW w:w="1062" w:type="dxa"/>
            <w:vAlign w:val="center"/>
          </w:tcPr>
          <w:p w14:paraId="4BA1B1C7" w14:textId="77777777" w:rsidR="00C50EC8" w:rsidRPr="00310498" w:rsidRDefault="00C50EC8" w:rsidP="00B00960">
            <w:pPr>
              <w:pStyle w:val="In-tableHeading"/>
              <w:keepNext w:val="0"/>
              <w:jc w:val="center"/>
              <w:rPr>
                <w:szCs w:val="20"/>
                <w:lang w:val="en-AU"/>
              </w:rPr>
            </w:pPr>
            <w:r w:rsidRPr="00310498">
              <w:rPr>
                <w:szCs w:val="20"/>
                <w:lang w:val="en-AU"/>
              </w:rPr>
              <w:t>Max. qty units</w:t>
            </w:r>
          </w:p>
        </w:tc>
        <w:tc>
          <w:tcPr>
            <w:tcW w:w="1049" w:type="dxa"/>
            <w:vAlign w:val="center"/>
          </w:tcPr>
          <w:p w14:paraId="152DF16B" w14:textId="4F2857DD" w:rsidR="00C50EC8" w:rsidRPr="00310498" w:rsidRDefault="00C50EC8" w:rsidP="00B00960">
            <w:pPr>
              <w:pStyle w:val="In-tableHeading"/>
              <w:keepNext w:val="0"/>
              <w:jc w:val="center"/>
              <w:rPr>
                <w:szCs w:val="20"/>
                <w:lang w:val="en-AU"/>
              </w:rPr>
            </w:pPr>
            <w:r w:rsidRPr="00310498">
              <w:rPr>
                <w:szCs w:val="20"/>
                <w:lang w:val="en-AU"/>
              </w:rPr>
              <w:t>№.</w:t>
            </w:r>
            <w:r w:rsidR="00A0075B">
              <w:rPr>
                <w:szCs w:val="20"/>
                <w:lang w:val="en-AU"/>
              </w:rPr>
              <w:t xml:space="preserve"> </w:t>
            </w:r>
            <w:r w:rsidRPr="00310498">
              <w:rPr>
                <w:szCs w:val="20"/>
                <w:lang w:val="en-AU"/>
              </w:rPr>
              <w:t>of</w:t>
            </w:r>
          </w:p>
          <w:p w14:paraId="1E934C59" w14:textId="77777777" w:rsidR="00C50EC8" w:rsidRPr="00310498" w:rsidRDefault="00C50EC8" w:rsidP="00B00960">
            <w:pPr>
              <w:pStyle w:val="In-tableHeading"/>
              <w:keepNext w:val="0"/>
              <w:jc w:val="center"/>
              <w:rPr>
                <w:szCs w:val="20"/>
                <w:lang w:val="en-AU"/>
              </w:rPr>
            </w:pPr>
            <w:r w:rsidRPr="00310498">
              <w:rPr>
                <w:szCs w:val="20"/>
                <w:lang w:val="en-AU"/>
              </w:rPr>
              <w:t>Rpts</w:t>
            </w:r>
          </w:p>
        </w:tc>
        <w:tc>
          <w:tcPr>
            <w:tcW w:w="1911" w:type="dxa"/>
            <w:vAlign w:val="center"/>
          </w:tcPr>
          <w:p w14:paraId="13E4A7D5" w14:textId="4D3A720E" w:rsidR="00C50EC8" w:rsidRPr="00310498" w:rsidRDefault="00C50EC8" w:rsidP="00B00960">
            <w:pPr>
              <w:pStyle w:val="In-tableHeading"/>
              <w:keepNext w:val="0"/>
              <w:jc w:val="center"/>
              <w:rPr>
                <w:szCs w:val="20"/>
                <w:lang w:val="en-AU"/>
              </w:rPr>
            </w:pPr>
            <w:r w:rsidRPr="00310498">
              <w:rPr>
                <w:szCs w:val="20"/>
                <w:lang w:val="en-AU"/>
              </w:rPr>
              <w:t>Dispensed Price for Max. Qty</w:t>
            </w:r>
            <w:r w:rsidR="006377D1" w:rsidRPr="00310498">
              <w:rPr>
                <w:szCs w:val="20"/>
                <w:lang w:val="en-AU"/>
              </w:rPr>
              <w:t xml:space="preserve"> </w:t>
            </w:r>
          </w:p>
        </w:tc>
        <w:tc>
          <w:tcPr>
            <w:tcW w:w="1800" w:type="dxa"/>
            <w:vAlign w:val="center"/>
          </w:tcPr>
          <w:p w14:paraId="46076461" w14:textId="77777777" w:rsidR="00C50EC8" w:rsidRPr="00310498" w:rsidRDefault="00C50EC8" w:rsidP="00B00960">
            <w:pPr>
              <w:pStyle w:val="In-tableHeading"/>
              <w:keepNext w:val="0"/>
              <w:jc w:val="center"/>
              <w:rPr>
                <w:szCs w:val="20"/>
                <w:lang w:val="en-AU"/>
              </w:rPr>
            </w:pPr>
            <w:r w:rsidRPr="00310498">
              <w:rPr>
                <w:szCs w:val="20"/>
                <w:lang w:val="en-AU"/>
              </w:rPr>
              <w:t>Available brands</w:t>
            </w:r>
          </w:p>
        </w:tc>
      </w:tr>
      <w:tr w:rsidR="001F59E8" w:rsidRPr="00310498" w14:paraId="212DE6D0" w14:textId="77777777" w:rsidTr="00E24B8A">
        <w:trPr>
          <w:cantSplit/>
          <w:trHeight w:val="20"/>
        </w:trPr>
        <w:tc>
          <w:tcPr>
            <w:tcW w:w="9001" w:type="dxa"/>
            <w:gridSpan w:val="6"/>
            <w:vAlign w:val="center"/>
          </w:tcPr>
          <w:p w14:paraId="11D7A61F" w14:textId="77777777" w:rsidR="00C50EC8" w:rsidRPr="00310498" w:rsidRDefault="00C50EC8" w:rsidP="00B00960">
            <w:pPr>
              <w:pStyle w:val="Tabletext"/>
              <w:keepLines/>
              <w:rPr>
                <w:rFonts w:cs="Arial"/>
                <w:szCs w:val="20"/>
              </w:rPr>
            </w:pPr>
            <w:r w:rsidRPr="00310498">
              <w:t>OLAPARIB</w:t>
            </w:r>
            <w:r w:rsidRPr="00310498">
              <w:rPr>
                <w:rFonts w:cs="Arial"/>
                <w:color w:val="0066FF"/>
                <w:szCs w:val="20"/>
              </w:rPr>
              <w:t xml:space="preserve"> </w:t>
            </w:r>
          </w:p>
        </w:tc>
      </w:tr>
      <w:tr w:rsidR="00F267A0" w:rsidRPr="00310498" w14:paraId="3442BB93" w14:textId="77777777" w:rsidTr="00E2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60" w:type="dxa"/>
            <w:tcBorders>
              <w:top w:val="single" w:sz="4" w:space="0" w:color="auto"/>
              <w:left w:val="single" w:sz="4" w:space="0" w:color="auto"/>
              <w:bottom w:val="single" w:sz="4" w:space="0" w:color="auto"/>
              <w:right w:val="single" w:sz="4" w:space="0" w:color="auto"/>
            </w:tcBorders>
            <w:vAlign w:val="center"/>
          </w:tcPr>
          <w:p w14:paraId="1648881E" w14:textId="77777777" w:rsidR="00C50EC8" w:rsidRPr="00310498" w:rsidRDefault="00C50EC8" w:rsidP="00B00960">
            <w:pPr>
              <w:pStyle w:val="Tabletext"/>
              <w:keepLines/>
              <w:rPr>
                <w:szCs w:val="20"/>
              </w:rPr>
            </w:pPr>
            <w:r w:rsidRPr="00310498">
              <w:rPr>
                <w:szCs w:val="20"/>
              </w:rPr>
              <w:t>olaparib 100mg tablet, 56</w:t>
            </w:r>
          </w:p>
        </w:tc>
        <w:tc>
          <w:tcPr>
            <w:tcW w:w="919" w:type="dxa"/>
            <w:tcBorders>
              <w:top w:val="single" w:sz="4" w:space="0" w:color="auto"/>
              <w:left w:val="single" w:sz="4" w:space="0" w:color="auto"/>
              <w:bottom w:val="single" w:sz="4" w:space="0" w:color="auto"/>
              <w:right w:val="single" w:sz="4" w:space="0" w:color="auto"/>
            </w:tcBorders>
            <w:vAlign w:val="center"/>
          </w:tcPr>
          <w:p w14:paraId="779AADA1" w14:textId="77777777" w:rsidR="00C50EC8" w:rsidRPr="00310498" w:rsidRDefault="00C50EC8" w:rsidP="00B00960">
            <w:pPr>
              <w:pStyle w:val="Tabletext"/>
              <w:keepLines/>
              <w:jc w:val="center"/>
              <w:rPr>
                <w:szCs w:val="20"/>
              </w:rPr>
            </w:pPr>
            <w:r w:rsidRPr="00310498">
              <w:rPr>
                <w:szCs w:val="20"/>
              </w:rPr>
              <w:t>2</w:t>
            </w:r>
          </w:p>
        </w:tc>
        <w:tc>
          <w:tcPr>
            <w:tcW w:w="1062" w:type="dxa"/>
            <w:tcBorders>
              <w:top w:val="single" w:sz="4" w:space="0" w:color="auto"/>
              <w:left w:val="single" w:sz="4" w:space="0" w:color="auto"/>
              <w:bottom w:val="single" w:sz="4" w:space="0" w:color="auto"/>
              <w:right w:val="single" w:sz="4" w:space="0" w:color="auto"/>
            </w:tcBorders>
            <w:vAlign w:val="center"/>
          </w:tcPr>
          <w:p w14:paraId="0403E550" w14:textId="77777777" w:rsidR="00C50EC8" w:rsidRPr="00310498" w:rsidRDefault="00C50EC8" w:rsidP="00B00960">
            <w:pPr>
              <w:pStyle w:val="Tabletext"/>
              <w:keepLines/>
              <w:jc w:val="center"/>
              <w:rPr>
                <w:szCs w:val="20"/>
              </w:rPr>
            </w:pPr>
            <w:r w:rsidRPr="00310498">
              <w:rPr>
                <w:szCs w:val="20"/>
              </w:rPr>
              <w:t>112</w:t>
            </w:r>
          </w:p>
        </w:tc>
        <w:tc>
          <w:tcPr>
            <w:tcW w:w="1049" w:type="dxa"/>
            <w:tcBorders>
              <w:top w:val="single" w:sz="4" w:space="0" w:color="auto"/>
              <w:left w:val="single" w:sz="4" w:space="0" w:color="auto"/>
              <w:bottom w:val="single" w:sz="4" w:space="0" w:color="auto"/>
              <w:right w:val="single" w:sz="4" w:space="0" w:color="auto"/>
            </w:tcBorders>
            <w:vAlign w:val="center"/>
          </w:tcPr>
          <w:p w14:paraId="2480F03A" w14:textId="77777777" w:rsidR="00C50EC8" w:rsidRPr="00310498" w:rsidRDefault="00C50EC8" w:rsidP="00B00960">
            <w:pPr>
              <w:pStyle w:val="Tabletext"/>
              <w:keepLines/>
              <w:jc w:val="center"/>
              <w:rPr>
                <w:szCs w:val="20"/>
              </w:rPr>
            </w:pPr>
            <w:r w:rsidRPr="00310498">
              <w:rPr>
                <w:szCs w:val="20"/>
              </w:rPr>
              <w:t>5</w:t>
            </w:r>
          </w:p>
        </w:tc>
        <w:tc>
          <w:tcPr>
            <w:tcW w:w="1911" w:type="dxa"/>
            <w:tcBorders>
              <w:top w:val="single" w:sz="4" w:space="0" w:color="auto"/>
              <w:left w:val="single" w:sz="4" w:space="0" w:color="auto"/>
              <w:bottom w:val="single" w:sz="4" w:space="0" w:color="auto"/>
              <w:right w:val="single" w:sz="4" w:space="0" w:color="auto"/>
            </w:tcBorders>
            <w:vAlign w:val="center"/>
          </w:tcPr>
          <w:p w14:paraId="018CA376" w14:textId="77777777" w:rsidR="00C50EC8" w:rsidRPr="00310498" w:rsidRDefault="00C50EC8" w:rsidP="00B00960">
            <w:pPr>
              <w:pStyle w:val="Tabletext"/>
              <w:keepLines/>
              <w:jc w:val="center"/>
            </w:pPr>
            <w:r w:rsidRPr="00310498">
              <w:t>Published $6,632.11</w:t>
            </w:r>
          </w:p>
          <w:p w14:paraId="0B6796CD" w14:textId="793AD906" w:rsidR="00C50EC8" w:rsidRPr="00310498" w:rsidRDefault="00C50EC8" w:rsidP="00B00960">
            <w:pPr>
              <w:pStyle w:val="Tabletext"/>
              <w:keepLines/>
              <w:jc w:val="center"/>
              <w:rPr>
                <w:szCs w:val="20"/>
              </w:rPr>
            </w:pPr>
            <w:r w:rsidRPr="00310498">
              <w:t>Effective: $</w:t>
            </w:r>
            <w:r w:rsidR="00864EAF" w:rsidRPr="00864EAF">
              <w:rPr>
                <w:rFonts w:hint="eastAsia"/>
                <w:color w:val="000000"/>
                <w:w w:val="27"/>
                <w:shd w:val="solid" w:color="000000" w:fill="000000"/>
                <w:fitText w:val="120" w:id="-761107712"/>
                <w14:textFill>
                  <w14:solidFill>
                    <w14:srgbClr w14:val="000000">
                      <w14:alpha w14:val="100000"/>
                    </w14:srgbClr>
                  </w14:solidFill>
                </w14:textFill>
              </w:rPr>
              <w:t xml:space="preserve">　</w:t>
            </w:r>
            <w:r w:rsidR="00864EAF" w:rsidRPr="00864EAF">
              <w:rPr>
                <w:color w:val="000000"/>
                <w:w w:val="27"/>
                <w:shd w:val="solid" w:color="000000" w:fill="000000"/>
                <w:fitText w:val="120" w:id="-761107712"/>
                <w14:textFill>
                  <w14:solidFill>
                    <w14:srgbClr w14:val="000000">
                      <w14:alpha w14:val="100000"/>
                    </w14:srgbClr>
                  </w14:solidFill>
                </w14:textFill>
              </w:rPr>
              <w:t>|</w:t>
            </w:r>
            <w:r w:rsidR="00864EAF" w:rsidRPr="00864EAF">
              <w:rPr>
                <w:rFonts w:hint="eastAsia"/>
                <w:color w:val="000000"/>
                <w:spacing w:val="2"/>
                <w:w w:val="27"/>
                <w:shd w:val="solid" w:color="000000" w:fill="000000"/>
                <w:fitText w:val="120" w:id="-761107712"/>
                <w14:textFill>
                  <w14:solidFill>
                    <w14:srgbClr w14:val="000000">
                      <w14:alpha w14:val="100000"/>
                    </w14:srgbClr>
                  </w14:solidFill>
                </w14:textFill>
              </w:rPr>
              <w:t xml:space="preserve">　</w:t>
            </w:r>
            <w:r w:rsidRPr="00310498">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2010DB0B" w14:textId="77777777" w:rsidR="00C50EC8" w:rsidRPr="00310498" w:rsidRDefault="00C50EC8" w:rsidP="00B00960">
            <w:pPr>
              <w:pStyle w:val="Tabletext"/>
              <w:keepLines/>
              <w:jc w:val="center"/>
              <w:rPr>
                <w:szCs w:val="20"/>
              </w:rPr>
            </w:pPr>
            <w:r w:rsidRPr="00310498">
              <w:rPr>
                <w:szCs w:val="20"/>
              </w:rPr>
              <w:t>Lynparza</w:t>
            </w:r>
          </w:p>
          <w:p w14:paraId="41AFE630" w14:textId="77777777" w:rsidR="00C50EC8" w:rsidRPr="00310498" w:rsidRDefault="00C50EC8" w:rsidP="00B00960">
            <w:pPr>
              <w:pStyle w:val="Tabletext"/>
              <w:keepLines/>
              <w:jc w:val="center"/>
              <w:rPr>
                <w:szCs w:val="20"/>
              </w:rPr>
            </w:pPr>
            <w:r w:rsidRPr="00310498">
              <w:rPr>
                <w:szCs w:val="20"/>
              </w:rPr>
              <w:t>AstraZeneca Pty Ltd</w:t>
            </w:r>
          </w:p>
        </w:tc>
      </w:tr>
      <w:tr w:rsidR="00F267A0" w:rsidRPr="00310498" w14:paraId="7CB9DFF5" w14:textId="77777777" w:rsidTr="00E2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60" w:type="dxa"/>
            <w:tcBorders>
              <w:top w:val="single" w:sz="4" w:space="0" w:color="auto"/>
              <w:left w:val="single" w:sz="4" w:space="0" w:color="auto"/>
              <w:bottom w:val="single" w:sz="4" w:space="0" w:color="auto"/>
              <w:right w:val="single" w:sz="4" w:space="0" w:color="auto"/>
            </w:tcBorders>
            <w:vAlign w:val="center"/>
          </w:tcPr>
          <w:p w14:paraId="7376CB2C" w14:textId="77777777" w:rsidR="00C50EC8" w:rsidRPr="00310498" w:rsidRDefault="00C50EC8" w:rsidP="00B00960">
            <w:pPr>
              <w:pStyle w:val="Tabletext"/>
              <w:keepLines/>
              <w:rPr>
                <w:szCs w:val="20"/>
              </w:rPr>
            </w:pPr>
            <w:r w:rsidRPr="00310498">
              <w:rPr>
                <w:szCs w:val="20"/>
              </w:rPr>
              <w:t>olaparib 150mg tablet, 56</w:t>
            </w:r>
          </w:p>
        </w:tc>
        <w:tc>
          <w:tcPr>
            <w:tcW w:w="919" w:type="dxa"/>
            <w:tcBorders>
              <w:top w:val="single" w:sz="4" w:space="0" w:color="auto"/>
              <w:left w:val="single" w:sz="4" w:space="0" w:color="auto"/>
              <w:bottom w:val="single" w:sz="4" w:space="0" w:color="auto"/>
              <w:right w:val="single" w:sz="4" w:space="0" w:color="auto"/>
            </w:tcBorders>
            <w:vAlign w:val="center"/>
          </w:tcPr>
          <w:p w14:paraId="2F5D4FD8" w14:textId="77777777" w:rsidR="00C50EC8" w:rsidRPr="00310498" w:rsidRDefault="00C50EC8" w:rsidP="00B00960">
            <w:pPr>
              <w:pStyle w:val="Tabletext"/>
              <w:keepLines/>
              <w:jc w:val="center"/>
              <w:rPr>
                <w:szCs w:val="20"/>
              </w:rPr>
            </w:pPr>
            <w:r w:rsidRPr="00310498">
              <w:rPr>
                <w:szCs w:val="20"/>
              </w:rPr>
              <w:t>2</w:t>
            </w:r>
          </w:p>
        </w:tc>
        <w:tc>
          <w:tcPr>
            <w:tcW w:w="1062" w:type="dxa"/>
            <w:tcBorders>
              <w:top w:val="single" w:sz="4" w:space="0" w:color="auto"/>
              <w:left w:val="single" w:sz="4" w:space="0" w:color="auto"/>
              <w:bottom w:val="single" w:sz="4" w:space="0" w:color="auto"/>
              <w:right w:val="single" w:sz="4" w:space="0" w:color="auto"/>
            </w:tcBorders>
            <w:vAlign w:val="center"/>
          </w:tcPr>
          <w:p w14:paraId="29CCEADC" w14:textId="77777777" w:rsidR="00C50EC8" w:rsidRPr="00310498" w:rsidRDefault="00C50EC8" w:rsidP="00B00960">
            <w:pPr>
              <w:pStyle w:val="Tabletext"/>
              <w:keepLines/>
              <w:jc w:val="center"/>
              <w:rPr>
                <w:szCs w:val="20"/>
              </w:rPr>
            </w:pPr>
            <w:r w:rsidRPr="00310498">
              <w:rPr>
                <w:szCs w:val="20"/>
              </w:rPr>
              <w:t>112</w:t>
            </w:r>
          </w:p>
        </w:tc>
        <w:tc>
          <w:tcPr>
            <w:tcW w:w="1049" w:type="dxa"/>
            <w:tcBorders>
              <w:top w:val="single" w:sz="4" w:space="0" w:color="auto"/>
              <w:left w:val="single" w:sz="4" w:space="0" w:color="auto"/>
              <w:bottom w:val="single" w:sz="4" w:space="0" w:color="auto"/>
              <w:right w:val="single" w:sz="4" w:space="0" w:color="auto"/>
            </w:tcBorders>
            <w:vAlign w:val="center"/>
          </w:tcPr>
          <w:p w14:paraId="355AC826" w14:textId="77777777" w:rsidR="00C50EC8" w:rsidRPr="00310498" w:rsidRDefault="00C50EC8" w:rsidP="00B00960">
            <w:pPr>
              <w:pStyle w:val="Tabletext"/>
              <w:keepLines/>
              <w:jc w:val="center"/>
              <w:rPr>
                <w:szCs w:val="20"/>
              </w:rPr>
            </w:pPr>
            <w:r w:rsidRPr="00310498">
              <w:rPr>
                <w:szCs w:val="20"/>
              </w:rPr>
              <w:t>5</w:t>
            </w:r>
          </w:p>
        </w:tc>
        <w:tc>
          <w:tcPr>
            <w:tcW w:w="1911" w:type="dxa"/>
            <w:tcBorders>
              <w:top w:val="single" w:sz="4" w:space="0" w:color="auto"/>
              <w:left w:val="single" w:sz="4" w:space="0" w:color="auto"/>
              <w:bottom w:val="single" w:sz="4" w:space="0" w:color="auto"/>
              <w:right w:val="single" w:sz="4" w:space="0" w:color="auto"/>
            </w:tcBorders>
            <w:vAlign w:val="center"/>
          </w:tcPr>
          <w:p w14:paraId="76BD258E" w14:textId="77777777" w:rsidR="00C50EC8" w:rsidRPr="00310498" w:rsidRDefault="00C50EC8" w:rsidP="00B00960">
            <w:pPr>
              <w:pStyle w:val="Tabletext"/>
              <w:keepLines/>
              <w:jc w:val="center"/>
            </w:pPr>
            <w:r w:rsidRPr="00310498">
              <w:t>Published $6,632.11</w:t>
            </w:r>
          </w:p>
          <w:p w14:paraId="5156AAED" w14:textId="342BAC10" w:rsidR="00C50EC8" w:rsidRPr="00310498" w:rsidRDefault="00C50EC8" w:rsidP="00B00960">
            <w:pPr>
              <w:pStyle w:val="Tabletext"/>
              <w:keepLines/>
              <w:jc w:val="center"/>
              <w:rPr>
                <w:szCs w:val="20"/>
              </w:rPr>
            </w:pPr>
            <w:r w:rsidRPr="00310498">
              <w:t>Effective: $</w:t>
            </w:r>
            <w:r w:rsidR="00864EAF" w:rsidRPr="00864EAF">
              <w:rPr>
                <w:rFonts w:hint="eastAsia"/>
                <w:color w:val="000000"/>
                <w:w w:val="27"/>
                <w:shd w:val="solid" w:color="000000" w:fill="000000"/>
                <w:fitText w:val="120" w:id="-761107711"/>
                <w14:textFill>
                  <w14:solidFill>
                    <w14:srgbClr w14:val="000000">
                      <w14:alpha w14:val="100000"/>
                    </w14:srgbClr>
                  </w14:solidFill>
                </w14:textFill>
              </w:rPr>
              <w:t xml:space="preserve">　</w:t>
            </w:r>
            <w:r w:rsidR="00864EAF" w:rsidRPr="00864EAF">
              <w:rPr>
                <w:color w:val="000000"/>
                <w:w w:val="27"/>
                <w:shd w:val="solid" w:color="000000" w:fill="000000"/>
                <w:fitText w:val="120" w:id="-761107711"/>
                <w14:textFill>
                  <w14:solidFill>
                    <w14:srgbClr w14:val="000000">
                      <w14:alpha w14:val="100000"/>
                    </w14:srgbClr>
                  </w14:solidFill>
                </w14:textFill>
              </w:rPr>
              <w:t>|</w:t>
            </w:r>
            <w:r w:rsidR="00864EAF" w:rsidRPr="00864EAF">
              <w:rPr>
                <w:rFonts w:hint="eastAsia"/>
                <w:color w:val="000000"/>
                <w:spacing w:val="2"/>
                <w:w w:val="27"/>
                <w:shd w:val="solid" w:color="000000" w:fill="000000"/>
                <w:fitText w:val="120" w:id="-761107711"/>
                <w14:textFill>
                  <w14:solidFill>
                    <w14:srgbClr w14:val="000000">
                      <w14:alpha w14:val="100000"/>
                    </w14:srgbClr>
                  </w14:solidFill>
                </w14:textFill>
              </w:rPr>
              <w:t xml:space="preserve">　</w:t>
            </w:r>
            <w:r w:rsidRPr="00310498">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04E82722" w14:textId="77777777" w:rsidR="00C50EC8" w:rsidRPr="00310498" w:rsidRDefault="00C50EC8" w:rsidP="00B00960">
            <w:pPr>
              <w:pStyle w:val="Tabletext"/>
              <w:keepLines/>
              <w:jc w:val="center"/>
              <w:rPr>
                <w:szCs w:val="20"/>
              </w:rPr>
            </w:pPr>
            <w:r w:rsidRPr="00310498">
              <w:rPr>
                <w:szCs w:val="20"/>
              </w:rPr>
              <w:t>Lynparza</w:t>
            </w:r>
          </w:p>
          <w:p w14:paraId="5931FF71" w14:textId="77777777" w:rsidR="00C50EC8" w:rsidRPr="00310498" w:rsidRDefault="00C50EC8" w:rsidP="00B00960">
            <w:pPr>
              <w:pStyle w:val="Tabletext"/>
              <w:keepLines/>
              <w:jc w:val="center"/>
              <w:rPr>
                <w:szCs w:val="20"/>
              </w:rPr>
            </w:pPr>
            <w:r w:rsidRPr="00310498">
              <w:rPr>
                <w:szCs w:val="20"/>
              </w:rPr>
              <w:t>AstraZeneca Pty Ltd</w:t>
            </w:r>
          </w:p>
        </w:tc>
      </w:tr>
      <w:tr w:rsidR="00A244BD" w:rsidRPr="00310498" w14:paraId="35C0D233" w14:textId="77777777" w:rsidTr="00827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01" w:type="dxa"/>
            <w:gridSpan w:val="6"/>
            <w:tcBorders>
              <w:top w:val="single" w:sz="4" w:space="0" w:color="auto"/>
              <w:left w:val="single" w:sz="4" w:space="0" w:color="auto"/>
              <w:bottom w:val="single" w:sz="4" w:space="0" w:color="auto"/>
              <w:right w:val="single" w:sz="4" w:space="0" w:color="auto"/>
            </w:tcBorders>
            <w:vAlign w:val="center"/>
          </w:tcPr>
          <w:p w14:paraId="1DBEA4B1" w14:textId="77777777" w:rsidR="00A244BD" w:rsidRPr="00310498" w:rsidRDefault="00A244BD" w:rsidP="00B00960">
            <w:pPr>
              <w:pStyle w:val="Tabletext"/>
              <w:keepLines/>
              <w:jc w:val="center"/>
              <w:rPr>
                <w:szCs w:val="20"/>
              </w:rPr>
            </w:pPr>
          </w:p>
        </w:tc>
      </w:tr>
      <w:tr w:rsidR="00F267A0" w:rsidRPr="00310498" w14:paraId="2D5CE220" w14:textId="77777777" w:rsidTr="00E24B8A">
        <w:trPr>
          <w:cantSplit/>
          <w:trHeight w:val="20"/>
        </w:trPr>
        <w:tc>
          <w:tcPr>
            <w:tcW w:w="2260" w:type="dxa"/>
            <w:vAlign w:val="center"/>
          </w:tcPr>
          <w:p w14:paraId="5D414290" w14:textId="77777777" w:rsidR="00F267A0" w:rsidRPr="00310498" w:rsidRDefault="00F267A0" w:rsidP="00B00960">
            <w:pPr>
              <w:pStyle w:val="In-tableHeading"/>
              <w:keepNext w:val="0"/>
              <w:rPr>
                <w:lang w:val="en-AU"/>
              </w:rPr>
            </w:pPr>
            <w:r w:rsidRPr="00310498">
              <w:rPr>
                <w:lang w:val="en-AU"/>
              </w:rPr>
              <w:t>MEDICINAL PRODUCT</w:t>
            </w:r>
          </w:p>
          <w:p w14:paraId="2BA37ABC" w14:textId="77777777" w:rsidR="00F267A0" w:rsidRPr="00310498" w:rsidRDefault="00F267A0" w:rsidP="00B00960">
            <w:pPr>
              <w:pStyle w:val="In-tableHeading"/>
              <w:keepNext w:val="0"/>
              <w:rPr>
                <w:lang w:val="en-AU"/>
              </w:rPr>
            </w:pPr>
            <w:r w:rsidRPr="00310498">
              <w:rPr>
                <w:lang w:val="en-AU"/>
              </w:rPr>
              <w:t>medicinal product pack</w:t>
            </w:r>
          </w:p>
        </w:tc>
        <w:tc>
          <w:tcPr>
            <w:tcW w:w="1981" w:type="dxa"/>
            <w:gridSpan w:val="2"/>
            <w:vAlign w:val="center"/>
          </w:tcPr>
          <w:p w14:paraId="0955B362" w14:textId="79E1E6AB" w:rsidR="00F267A0" w:rsidRPr="00310498" w:rsidRDefault="00F267A0" w:rsidP="00B00960">
            <w:pPr>
              <w:pStyle w:val="In-tableHeading"/>
              <w:keepNext w:val="0"/>
              <w:jc w:val="center"/>
              <w:rPr>
                <w:szCs w:val="20"/>
                <w:lang w:val="en-AU"/>
              </w:rPr>
            </w:pPr>
            <w:r w:rsidRPr="00310498">
              <w:rPr>
                <w:szCs w:val="20"/>
                <w:lang w:val="en-AU"/>
              </w:rPr>
              <w:t>Max Amount</w:t>
            </w:r>
          </w:p>
        </w:tc>
        <w:tc>
          <w:tcPr>
            <w:tcW w:w="1049" w:type="dxa"/>
            <w:vAlign w:val="center"/>
          </w:tcPr>
          <w:p w14:paraId="37CF6EA6" w14:textId="07207670" w:rsidR="00F267A0" w:rsidRPr="00310498" w:rsidRDefault="00F267A0" w:rsidP="00B00960">
            <w:pPr>
              <w:pStyle w:val="In-tableHeading"/>
              <w:keepNext w:val="0"/>
              <w:jc w:val="center"/>
              <w:rPr>
                <w:szCs w:val="20"/>
                <w:lang w:val="en-AU"/>
              </w:rPr>
            </w:pPr>
            <w:r w:rsidRPr="00310498">
              <w:rPr>
                <w:szCs w:val="20"/>
                <w:lang w:val="en-AU"/>
              </w:rPr>
              <w:t>№.</w:t>
            </w:r>
            <w:r w:rsidR="00A0075B">
              <w:rPr>
                <w:szCs w:val="20"/>
                <w:lang w:val="en-AU"/>
              </w:rPr>
              <w:t xml:space="preserve"> </w:t>
            </w:r>
            <w:r w:rsidRPr="00310498">
              <w:rPr>
                <w:szCs w:val="20"/>
                <w:lang w:val="en-AU"/>
              </w:rPr>
              <w:t>of</w:t>
            </w:r>
          </w:p>
          <w:p w14:paraId="2BD4AB0D" w14:textId="77777777" w:rsidR="00F267A0" w:rsidRPr="00310498" w:rsidRDefault="00F267A0" w:rsidP="00B00960">
            <w:pPr>
              <w:pStyle w:val="In-tableHeading"/>
              <w:keepNext w:val="0"/>
              <w:jc w:val="center"/>
              <w:rPr>
                <w:szCs w:val="20"/>
                <w:lang w:val="en-AU"/>
              </w:rPr>
            </w:pPr>
            <w:r w:rsidRPr="00310498">
              <w:rPr>
                <w:szCs w:val="20"/>
                <w:lang w:val="en-AU"/>
              </w:rPr>
              <w:t>Rpts</w:t>
            </w:r>
          </w:p>
        </w:tc>
        <w:tc>
          <w:tcPr>
            <w:tcW w:w="1911" w:type="dxa"/>
            <w:vAlign w:val="center"/>
          </w:tcPr>
          <w:p w14:paraId="18B2D5E9" w14:textId="3CA3AF70" w:rsidR="00F267A0" w:rsidRPr="00310498" w:rsidRDefault="00F267A0" w:rsidP="00B00960">
            <w:pPr>
              <w:pStyle w:val="In-tableHeading"/>
              <w:keepNext w:val="0"/>
              <w:jc w:val="center"/>
              <w:rPr>
                <w:szCs w:val="20"/>
                <w:lang w:val="en-AU"/>
              </w:rPr>
            </w:pPr>
            <w:r w:rsidRPr="00310498">
              <w:rPr>
                <w:szCs w:val="20"/>
                <w:lang w:val="en-AU"/>
              </w:rPr>
              <w:t>Dispensed Price for Max. Amount</w:t>
            </w:r>
          </w:p>
        </w:tc>
        <w:tc>
          <w:tcPr>
            <w:tcW w:w="1800" w:type="dxa"/>
            <w:vAlign w:val="center"/>
          </w:tcPr>
          <w:p w14:paraId="1FC50A5D" w14:textId="77777777" w:rsidR="00F267A0" w:rsidRPr="00310498" w:rsidRDefault="00F267A0" w:rsidP="00B00960">
            <w:pPr>
              <w:pStyle w:val="In-tableHeading"/>
              <w:keepNext w:val="0"/>
              <w:jc w:val="center"/>
              <w:rPr>
                <w:szCs w:val="20"/>
                <w:lang w:val="en-AU"/>
              </w:rPr>
            </w:pPr>
            <w:r w:rsidRPr="00310498">
              <w:rPr>
                <w:szCs w:val="20"/>
                <w:lang w:val="en-AU"/>
              </w:rPr>
              <w:t>Available brands</w:t>
            </w:r>
          </w:p>
        </w:tc>
      </w:tr>
      <w:tr w:rsidR="001F59E8" w:rsidRPr="00310498" w14:paraId="79AF2302" w14:textId="77777777" w:rsidTr="00E24B8A">
        <w:trPr>
          <w:cantSplit/>
          <w:trHeight w:val="20"/>
        </w:trPr>
        <w:tc>
          <w:tcPr>
            <w:tcW w:w="9001" w:type="dxa"/>
            <w:gridSpan w:val="6"/>
            <w:vAlign w:val="center"/>
          </w:tcPr>
          <w:p w14:paraId="17176EC2" w14:textId="77777777" w:rsidR="00C50EC8" w:rsidRPr="00310498" w:rsidRDefault="00C50EC8" w:rsidP="00B00960">
            <w:pPr>
              <w:pStyle w:val="In-tableHeading"/>
              <w:keepNext w:val="0"/>
              <w:rPr>
                <w:rFonts w:cs="Arial"/>
                <w:b w:val="0"/>
                <w:lang w:val="en-AU"/>
              </w:rPr>
            </w:pPr>
            <w:r w:rsidRPr="00310498">
              <w:rPr>
                <w:b w:val="0"/>
                <w:lang w:val="en-AU"/>
              </w:rPr>
              <w:t>DURVALUMAB</w:t>
            </w:r>
            <w:r w:rsidRPr="00310498">
              <w:rPr>
                <w:rFonts w:cs="Arial"/>
                <w:b w:val="0"/>
                <w:lang w:val="en-AU"/>
              </w:rPr>
              <w:t xml:space="preserve"> - initiation</w:t>
            </w:r>
            <w:r w:rsidRPr="00310498">
              <w:rPr>
                <w:b w:val="0"/>
                <w:vertAlign w:val="superscript"/>
              </w:rPr>
              <w:t xml:space="preserve"> a</w:t>
            </w:r>
          </w:p>
        </w:tc>
      </w:tr>
      <w:tr w:rsidR="00F267A0" w:rsidRPr="00310498" w14:paraId="0ED583C0" w14:textId="77777777" w:rsidTr="00E2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60" w:type="dxa"/>
            <w:tcBorders>
              <w:top w:val="single" w:sz="4" w:space="0" w:color="auto"/>
              <w:left w:val="single" w:sz="4" w:space="0" w:color="auto"/>
              <w:bottom w:val="single" w:sz="4" w:space="0" w:color="auto"/>
              <w:right w:val="single" w:sz="4" w:space="0" w:color="auto"/>
            </w:tcBorders>
            <w:vAlign w:val="center"/>
          </w:tcPr>
          <w:p w14:paraId="2B2EDD36" w14:textId="77777777" w:rsidR="00F267A0" w:rsidRPr="00310498" w:rsidRDefault="00F267A0" w:rsidP="00B00960">
            <w:pPr>
              <w:pStyle w:val="Tabletext"/>
              <w:keepLines/>
            </w:pPr>
            <w:r w:rsidRPr="00310498">
              <w:t>durvalumab 120mg, 1 vial for IV infusion</w:t>
            </w:r>
            <w:r w:rsidRPr="00310498">
              <w:rPr>
                <w:vertAlign w:val="superscript"/>
              </w:rPr>
              <w:t xml:space="preserve"> </w:t>
            </w:r>
          </w:p>
        </w:tc>
        <w:tc>
          <w:tcPr>
            <w:tcW w:w="1981" w:type="dxa"/>
            <w:gridSpan w:val="2"/>
            <w:vMerge w:val="restart"/>
            <w:tcBorders>
              <w:top w:val="single" w:sz="4" w:space="0" w:color="auto"/>
              <w:left w:val="single" w:sz="4" w:space="0" w:color="auto"/>
              <w:right w:val="single" w:sz="4" w:space="0" w:color="auto"/>
            </w:tcBorders>
            <w:vAlign w:val="center"/>
          </w:tcPr>
          <w:p w14:paraId="70BC7473" w14:textId="56A83257" w:rsidR="00F267A0" w:rsidRPr="00310498" w:rsidRDefault="00F267A0" w:rsidP="00B00960">
            <w:pPr>
              <w:pStyle w:val="Tabletext"/>
              <w:keepLines/>
              <w:jc w:val="center"/>
            </w:pPr>
            <w:r w:rsidRPr="00310498">
              <w:t>1200 mg</w:t>
            </w:r>
          </w:p>
        </w:tc>
        <w:tc>
          <w:tcPr>
            <w:tcW w:w="1049" w:type="dxa"/>
            <w:vMerge w:val="restart"/>
            <w:tcBorders>
              <w:top w:val="single" w:sz="4" w:space="0" w:color="auto"/>
              <w:left w:val="single" w:sz="4" w:space="0" w:color="auto"/>
              <w:right w:val="single" w:sz="4" w:space="0" w:color="auto"/>
            </w:tcBorders>
            <w:vAlign w:val="center"/>
          </w:tcPr>
          <w:p w14:paraId="08CC5ABD" w14:textId="77777777" w:rsidR="00F267A0" w:rsidRPr="00310498" w:rsidRDefault="00F267A0" w:rsidP="00B00960">
            <w:pPr>
              <w:pStyle w:val="Tabletext"/>
              <w:keepLines/>
              <w:jc w:val="center"/>
            </w:pPr>
            <w:r w:rsidRPr="00310498">
              <w:t>5</w:t>
            </w:r>
          </w:p>
        </w:tc>
        <w:tc>
          <w:tcPr>
            <w:tcW w:w="1911" w:type="dxa"/>
            <w:vMerge w:val="restart"/>
            <w:tcBorders>
              <w:top w:val="single" w:sz="4" w:space="0" w:color="auto"/>
              <w:left w:val="single" w:sz="4" w:space="0" w:color="auto"/>
              <w:right w:val="single" w:sz="4" w:space="0" w:color="auto"/>
            </w:tcBorders>
            <w:vAlign w:val="center"/>
          </w:tcPr>
          <w:p w14:paraId="22C1BAFC" w14:textId="2A1E671D" w:rsidR="00F267A0" w:rsidRPr="00310498" w:rsidRDefault="00F267A0" w:rsidP="00B00960">
            <w:pPr>
              <w:pStyle w:val="Tabletext"/>
              <w:keepLines/>
              <w:jc w:val="center"/>
            </w:pPr>
            <w:r w:rsidRPr="00310498">
              <w:t>Effective:</w:t>
            </w:r>
            <w:r w:rsidR="0032043A">
              <w:t xml:space="preserve"> TBD</w:t>
            </w:r>
          </w:p>
          <w:p w14:paraId="7D2F2378" w14:textId="77777777" w:rsidR="00F267A0" w:rsidRPr="00310498" w:rsidRDefault="00F267A0" w:rsidP="00B00960">
            <w:pPr>
              <w:pStyle w:val="Tabletext"/>
              <w:keepLines/>
              <w:jc w:val="center"/>
            </w:pPr>
            <w:r w:rsidRPr="00310498">
              <w:t>Public: $2,624.26</w:t>
            </w:r>
          </w:p>
          <w:p w14:paraId="1470AF34" w14:textId="7A6C239C" w:rsidR="00F267A0" w:rsidRPr="00310498" w:rsidRDefault="00F267A0" w:rsidP="00B00960">
            <w:pPr>
              <w:pStyle w:val="Tabletext"/>
              <w:keepLines/>
              <w:jc w:val="center"/>
            </w:pPr>
            <w:r w:rsidRPr="00310498">
              <w:t xml:space="preserve">Private: $2,704.41 </w:t>
            </w:r>
            <w:r w:rsidRPr="00310498">
              <w:rPr>
                <w:b/>
                <w:bCs/>
                <w:szCs w:val="20"/>
                <w:vertAlign w:val="superscript"/>
              </w:rPr>
              <w:t>c</w:t>
            </w:r>
          </w:p>
        </w:tc>
        <w:tc>
          <w:tcPr>
            <w:tcW w:w="1800" w:type="dxa"/>
            <w:vMerge w:val="restart"/>
            <w:tcBorders>
              <w:top w:val="single" w:sz="4" w:space="0" w:color="auto"/>
              <w:left w:val="single" w:sz="4" w:space="0" w:color="auto"/>
              <w:right w:val="single" w:sz="4" w:space="0" w:color="auto"/>
            </w:tcBorders>
            <w:vAlign w:val="center"/>
          </w:tcPr>
          <w:p w14:paraId="41FE1410" w14:textId="77777777" w:rsidR="00F267A0" w:rsidRPr="00310498" w:rsidRDefault="00F267A0" w:rsidP="00B00960">
            <w:pPr>
              <w:pStyle w:val="Tabletext"/>
              <w:keepLines/>
              <w:jc w:val="center"/>
            </w:pPr>
            <w:r w:rsidRPr="00310498">
              <w:t>Imfinzi</w:t>
            </w:r>
          </w:p>
          <w:p w14:paraId="4B54902A" w14:textId="77777777" w:rsidR="00F267A0" w:rsidRPr="00310498" w:rsidRDefault="00F267A0" w:rsidP="00B00960">
            <w:pPr>
              <w:pStyle w:val="Tabletext"/>
              <w:keepLines/>
              <w:jc w:val="center"/>
            </w:pPr>
            <w:r w:rsidRPr="00310498">
              <w:t>AstraZeneca Pty Ltd</w:t>
            </w:r>
          </w:p>
        </w:tc>
      </w:tr>
      <w:tr w:rsidR="00F267A0" w:rsidRPr="00310498" w14:paraId="5D113591" w14:textId="77777777" w:rsidTr="00E2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60" w:type="dxa"/>
            <w:tcBorders>
              <w:top w:val="single" w:sz="4" w:space="0" w:color="auto"/>
              <w:left w:val="single" w:sz="4" w:space="0" w:color="auto"/>
              <w:bottom w:val="single" w:sz="4" w:space="0" w:color="auto"/>
              <w:right w:val="single" w:sz="4" w:space="0" w:color="auto"/>
            </w:tcBorders>
            <w:vAlign w:val="center"/>
          </w:tcPr>
          <w:p w14:paraId="4CEA49BC" w14:textId="77777777" w:rsidR="00F267A0" w:rsidRPr="00310498" w:rsidRDefault="00F267A0" w:rsidP="00B00960">
            <w:pPr>
              <w:pStyle w:val="Tabletext"/>
              <w:keepLines/>
            </w:pPr>
            <w:r w:rsidRPr="00310498">
              <w:t>durvalumab 500mg, 1 vial for IV infusion 1</w:t>
            </w:r>
          </w:p>
        </w:tc>
        <w:tc>
          <w:tcPr>
            <w:tcW w:w="1981" w:type="dxa"/>
            <w:gridSpan w:val="2"/>
            <w:vMerge/>
            <w:tcBorders>
              <w:left w:val="single" w:sz="4" w:space="0" w:color="auto"/>
              <w:bottom w:val="single" w:sz="4" w:space="0" w:color="auto"/>
              <w:right w:val="single" w:sz="4" w:space="0" w:color="auto"/>
            </w:tcBorders>
            <w:vAlign w:val="center"/>
          </w:tcPr>
          <w:p w14:paraId="649879A8" w14:textId="2EF65D4A" w:rsidR="00F267A0" w:rsidRPr="00310498" w:rsidRDefault="00F267A0" w:rsidP="00B00960">
            <w:pPr>
              <w:pStyle w:val="Tabletext"/>
              <w:keepLines/>
              <w:jc w:val="center"/>
            </w:pPr>
          </w:p>
        </w:tc>
        <w:tc>
          <w:tcPr>
            <w:tcW w:w="1049" w:type="dxa"/>
            <w:vMerge/>
            <w:tcBorders>
              <w:left w:val="single" w:sz="4" w:space="0" w:color="auto"/>
              <w:bottom w:val="single" w:sz="4" w:space="0" w:color="auto"/>
              <w:right w:val="single" w:sz="4" w:space="0" w:color="auto"/>
            </w:tcBorders>
            <w:vAlign w:val="center"/>
          </w:tcPr>
          <w:p w14:paraId="48801FFC" w14:textId="77777777" w:rsidR="00F267A0" w:rsidRPr="00310498" w:rsidRDefault="00F267A0" w:rsidP="00B00960">
            <w:pPr>
              <w:pStyle w:val="Tabletext"/>
              <w:keepLines/>
              <w:jc w:val="center"/>
            </w:pPr>
          </w:p>
        </w:tc>
        <w:tc>
          <w:tcPr>
            <w:tcW w:w="1911" w:type="dxa"/>
            <w:vMerge/>
            <w:tcBorders>
              <w:left w:val="single" w:sz="4" w:space="0" w:color="auto"/>
              <w:bottom w:val="single" w:sz="4" w:space="0" w:color="auto"/>
              <w:right w:val="single" w:sz="4" w:space="0" w:color="auto"/>
            </w:tcBorders>
            <w:vAlign w:val="center"/>
          </w:tcPr>
          <w:p w14:paraId="7657ED58" w14:textId="77777777" w:rsidR="00F267A0" w:rsidRPr="00310498" w:rsidRDefault="00F267A0" w:rsidP="00B00960">
            <w:pPr>
              <w:pStyle w:val="Tabletext"/>
              <w:keepLines/>
              <w:jc w:val="center"/>
            </w:pPr>
          </w:p>
        </w:tc>
        <w:tc>
          <w:tcPr>
            <w:tcW w:w="1800" w:type="dxa"/>
            <w:vMerge/>
            <w:tcBorders>
              <w:left w:val="single" w:sz="4" w:space="0" w:color="auto"/>
              <w:bottom w:val="single" w:sz="4" w:space="0" w:color="auto"/>
              <w:right w:val="single" w:sz="4" w:space="0" w:color="auto"/>
            </w:tcBorders>
            <w:vAlign w:val="center"/>
          </w:tcPr>
          <w:p w14:paraId="26395144" w14:textId="77777777" w:rsidR="00F267A0" w:rsidRPr="00310498" w:rsidRDefault="00F267A0" w:rsidP="00B00960">
            <w:pPr>
              <w:pStyle w:val="Tabletext"/>
              <w:keepLines/>
              <w:jc w:val="center"/>
            </w:pPr>
          </w:p>
        </w:tc>
      </w:tr>
      <w:tr w:rsidR="001F59E8" w:rsidRPr="00310498" w14:paraId="41DCB036" w14:textId="77777777" w:rsidTr="00E2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9001" w:type="dxa"/>
            <w:gridSpan w:val="6"/>
            <w:tcBorders>
              <w:top w:val="single" w:sz="4" w:space="0" w:color="auto"/>
              <w:left w:val="single" w:sz="4" w:space="0" w:color="auto"/>
              <w:bottom w:val="single" w:sz="4" w:space="0" w:color="auto"/>
              <w:right w:val="single" w:sz="4" w:space="0" w:color="auto"/>
            </w:tcBorders>
            <w:vAlign w:val="center"/>
          </w:tcPr>
          <w:p w14:paraId="1D60087C" w14:textId="77777777" w:rsidR="00C50EC8" w:rsidRPr="00310498" w:rsidRDefault="00C50EC8" w:rsidP="00B00960">
            <w:pPr>
              <w:pStyle w:val="Tabletext"/>
              <w:keepLines/>
            </w:pPr>
            <w:r w:rsidRPr="00310498">
              <w:t>DURVALUMAB</w:t>
            </w:r>
            <w:r w:rsidRPr="00310498">
              <w:rPr>
                <w:rFonts w:cs="Arial"/>
              </w:rPr>
              <w:t xml:space="preserve"> - maintenance</w:t>
            </w:r>
            <w:r w:rsidRPr="00310498">
              <w:rPr>
                <w:vertAlign w:val="superscript"/>
              </w:rPr>
              <w:t xml:space="preserve"> b</w:t>
            </w:r>
          </w:p>
        </w:tc>
      </w:tr>
      <w:tr w:rsidR="00F267A0" w:rsidRPr="00310498" w14:paraId="69A4543C" w14:textId="77777777" w:rsidTr="00E2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60" w:type="dxa"/>
            <w:tcBorders>
              <w:top w:val="single" w:sz="4" w:space="0" w:color="auto"/>
              <w:left w:val="single" w:sz="4" w:space="0" w:color="auto"/>
              <w:bottom w:val="single" w:sz="4" w:space="0" w:color="auto"/>
              <w:right w:val="single" w:sz="4" w:space="0" w:color="auto"/>
            </w:tcBorders>
            <w:vAlign w:val="center"/>
          </w:tcPr>
          <w:p w14:paraId="0C36AB6B" w14:textId="77777777" w:rsidR="00F267A0" w:rsidRPr="00310498" w:rsidRDefault="00F267A0" w:rsidP="00B00960">
            <w:pPr>
              <w:pStyle w:val="Tabletext"/>
              <w:keepLines/>
            </w:pPr>
            <w:r w:rsidRPr="00310498">
              <w:lastRenderedPageBreak/>
              <w:t xml:space="preserve">durvalumab, 500mg,1 vial for IV infusion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427AE189" w14:textId="7487D965" w:rsidR="00F267A0" w:rsidRPr="00310498" w:rsidRDefault="00F267A0" w:rsidP="00B00960">
            <w:pPr>
              <w:pStyle w:val="Tabletext"/>
              <w:keepLines/>
              <w:jc w:val="center"/>
            </w:pPr>
            <w:r w:rsidRPr="00310498">
              <w:t>1500 mg</w:t>
            </w:r>
          </w:p>
        </w:tc>
        <w:tc>
          <w:tcPr>
            <w:tcW w:w="1049" w:type="dxa"/>
            <w:tcBorders>
              <w:top w:val="single" w:sz="4" w:space="0" w:color="auto"/>
              <w:left w:val="single" w:sz="4" w:space="0" w:color="auto"/>
              <w:bottom w:val="single" w:sz="4" w:space="0" w:color="auto"/>
              <w:right w:val="single" w:sz="4" w:space="0" w:color="auto"/>
            </w:tcBorders>
            <w:vAlign w:val="center"/>
          </w:tcPr>
          <w:p w14:paraId="7F2B2499" w14:textId="77777777" w:rsidR="00F267A0" w:rsidRPr="00310498" w:rsidRDefault="00F267A0" w:rsidP="00B00960">
            <w:pPr>
              <w:pStyle w:val="Tabletext"/>
              <w:keepLines/>
              <w:jc w:val="center"/>
            </w:pPr>
            <w:r w:rsidRPr="00310498">
              <w:t>5</w:t>
            </w:r>
          </w:p>
        </w:tc>
        <w:tc>
          <w:tcPr>
            <w:tcW w:w="1911" w:type="dxa"/>
            <w:tcBorders>
              <w:top w:val="single" w:sz="4" w:space="0" w:color="auto"/>
              <w:left w:val="single" w:sz="4" w:space="0" w:color="auto"/>
              <w:bottom w:val="single" w:sz="4" w:space="0" w:color="auto"/>
              <w:right w:val="single" w:sz="4" w:space="0" w:color="auto"/>
            </w:tcBorders>
            <w:vAlign w:val="center"/>
          </w:tcPr>
          <w:p w14:paraId="35280E00" w14:textId="6098F12F" w:rsidR="00F267A0" w:rsidRPr="00310498" w:rsidRDefault="00F267A0" w:rsidP="00B00960">
            <w:pPr>
              <w:pStyle w:val="Tabletext"/>
              <w:keepLines/>
              <w:jc w:val="center"/>
            </w:pPr>
            <w:r w:rsidRPr="00310498">
              <w:t>Effective:</w:t>
            </w:r>
            <w:r w:rsidR="0032043A">
              <w:t xml:space="preserve"> TBD</w:t>
            </w:r>
          </w:p>
          <w:p w14:paraId="5CADD8C2" w14:textId="77777777" w:rsidR="00F267A0" w:rsidRPr="00310498" w:rsidRDefault="00F267A0" w:rsidP="00B00960">
            <w:pPr>
              <w:pStyle w:val="Tabletext"/>
              <w:keepLines/>
              <w:jc w:val="center"/>
            </w:pPr>
            <w:r w:rsidRPr="00310498">
              <w:t>Public: $3,393.93</w:t>
            </w:r>
          </w:p>
          <w:p w14:paraId="1461849D" w14:textId="7CE71C01" w:rsidR="00F267A0" w:rsidRPr="00310498" w:rsidRDefault="00F267A0" w:rsidP="00B00960">
            <w:pPr>
              <w:pStyle w:val="Tabletext"/>
              <w:keepLines/>
              <w:jc w:val="center"/>
            </w:pPr>
            <w:r w:rsidRPr="00310498">
              <w:t xml:space="preserve">Private: $3,441.45 </w:t>
            </w:r>
            <w:r w:rsidRPr="00310498">
              <w:rPr>
                <w:b/>
                <w:bCs/>
                <w:szCs w:val="20"/>
                <w:vertAlign w:val="superscript"/>
              </w:rPr>
              <w:t>c</w:t>
            </w:r>
          </w:p>
        </w:tc>
        <w:tc>
          <w:tcPr>
            <w:tcW w:w="1800" w:type="dxa"/>
            <w:tcBorders>
              <w:top w:val="single" w:sz="4" w:space="0" w:color="auto"/>
              <w:left w:val="single" w:sz="4" w:space="0" w:color="auto"/>
              <w:bottom w:val="single" w:sz="4" w:space="0" w:color="auto"/>
              <w:right w:val="single" w:sz="4" w:space="0" w:color="auto"/>
            </w:tcBorders>
            <w:vAlign w:val="center"/>
          </w:tcPr>
          <w:p w14:paraId="7C29315B" w14:textId="77777777" w:rsidR="00F267A0" w:rsidRPr="00310498" w:rsidRDefault="00F267A0" w:rsidP="00B00960">
            <w:pPr>
              <w:pStyle w:val="Tabletext"/>
              <w:keepLines/>
              <w:jc w:val="center"/>
            </w:pPr>
            <w:r w:rsidRPr="00310498">
              <w:t>Imfinzi</w:t>
            </w:r>
          </w:p>
          <w:p w14:paraId="53576459" w14:textId="77777777" w:rsidR="00F267A0" w:rsidRPr="00310498" w:rsidRDefault="00F267A0" w:rsidP="00B00960">
            <w:pPr>
              <w:pStyle w:val="Tabletext"/>
              <w:keepLines/>
              <w:jc w:val="center"/>
            </w:pPr>
            <w:r w:rsidRPr="00310498">
              <w:t>AstraZeneca Pty Ltd</w:t>
            </w:r>
          </w:p>
        </w:tc>
      </w:tr>
    </w:tbl>
    <w:p w14:paraId="55BF7120" w14:textId="77777777" w:rsidR="00E24B8A" w:rsidRPr="00310498" w:rsidRDefault="00E24B8A" w:rsidP="00B00960">
      <w:pPr>
        <w:pStyle w:val="TableFooter"/>
        <w:keepLines/>
      </w:pPr>
      <w:r w:rsidRPr="00310498">
        <w:t>Source: Table 1.3 and 1.4, p33 of the submission and Attachment 3.1_Economic evaluation.xlsx.</w:t>
      </w:r>
    </w:p>
    <w:p w14:paraId="21492740" w14:textId="6A76E82D" w:rsidR="00345F75" w:rsidRPr="00310498" w:rsidRDefault="00345F75" w:rsidP="00B00960">
      <w:pPr>
        <w:pStyle w:val="TableFooter"/>
        <w:keepLines/>
      </w:pPr>
      <w:r w:rsidRPr="00310498">
        <w:t>a Durvalumab initiation dose is comprised of 1120 mg (1 x 120mg + 2 x 500 mg). The DPMQ shown is for th</w:t>
      </w:r>
      <w:r w:rsidR="0059632C" w:rsidRPr="00310498">
        <w:t>e</w:t>
      </w:r>
      <w:r w:rsidRPr="00310498">
        <w:t xml:space="preserve"> total dose.</w:t>
      </w:r>
    </w:p>
    <w:p w14:paraId="0E737AE6" w14:textId="11B69BDB" w:rsidR="00345F75" w:rsidRPr="00310498" w:rsidRDefault="00345F75" w:rsidP="00B00960">
      <w:pPr>
        <w:pStyle w:val="TableFooter"/>
        <w:keepLines/>
      </w:pPr>
      <w:r w:rsidRPr="00310498">
        <w:t>b Durvalumab maintenance treatment is comprised of 1500 mg (3 x 500 mg). The DPMQ shown is for th</w:t>
      </w:r>
      <w:r w:rsidR="0059632C" w:rsidRPr="00310498">
        <w:t>e</w:t>
      </w:r>
      <w:r w:rsidRPr="00310498">
        <w:t xml:space="preserve"> total dose.</w:t>
      </w:r>
    </w:p>
    <w:p w14:paraId="57121513" w14:textId="23750931" w:rsidR="008A3162" w:rsidRPr="00A0075B" w:rsidRDefault="00401859" w:rsidP="00B00960">
      <w:pPr>
        <w:pStyle w:val="TableFooter"/>
        <w:keepLines/>
        <w:spacing w:after="120"/>
      </w:pPr>
      <w:r w:rsidRPr="00310498">
        <w:t>c</w:t>
      </w:r>
      <w:r w:rsidR="006377D1" w:rsidRPr="00310498">
        <w:t xml:space="preserve"> The submission provided </w:t>
      </w:r>
      <w:r w:rsidR="00DA644A" w:rsidRPr="00310498">
        <w:t>published (</w:t>
      </w:r>
      <w:r w:rsidR="00ED7819" w:rsidRPr="00310498">
        <w:t xml:space="preserve">public) </w:t>
      </w:r>
      <w:r w:rsidR="006377D1" w:rsidRPr="00310498">
        <w:t>DPMQ f</w:t>
      </w:r>
      <w:r w:rsidR="00ED7819" w:rsidRPr="00310498">
        <w:t xml:space="preserve">or durvalumab </w:t>
      </w:r>
      <w:r w:rsidRPr="00310498">
        <w:t>for each</w:t>
      </w:r>
      <w:r w:rsidR="00ED7819" w:rsidRPr="00310498">
        <w:t xml:space="preserve"> individual vial</w:t>
      </w:r>
      <w:r w:rsidRPr="00310498">
        <w:t xml:space="preserve"> s</w:t>
      </w:r>
      <w:r w:rsidR="00B80D17" w:rsidRPr="00310498">
        <w:t>tr</w:t>
      </w:r>
      <w:r w:rsidRPr="00310498">
        <w:t>ength</w:t>
      </w:r>
      <w:r w:rsidR="00ED7819" w:rsidRPr="00310498">
        <w:t xml:space="preserve"> only (rather than by</w:t>
      </w:r>
      <w:r w:rsidR="00DD26C9" w:rsidRPr="00310498">
        <w:t xml:space="preserve"> total dose for</w:t>
      </w:r>
      <w:r w:rsidR="00ED7819" w:rsidRPr="00310498">
        <w:t xml:space="preserve"> initiation o</w:t>
      </w:r>
      <w:r w:rsidR="00DD26C9" w:rsidRPr="00310498">
        <w:t>r maintenance</w:t>
      </w:r>
      <w:r w:rsidRPr="00310498">
        <w:t>)</w:t>
      </w:r>
      <w:r w:rsidR="00DD26C9" w:rsidRPr="00310498">
        <w:t xml:space="preserve">. </w:t>
      </w:r>
      <w:r w:rsidR="000977E5" w:rsidRPr="00310498">
        <w:t>For the durvalumab 120 mg vial the published prices were $996.43 (public) and</w:t>
      </w:r>
      <w:r w:rsidR="00555C9F" w:rsidRPr="00310498">
        <w:t xml:space="preserve"> $1,053.79 (private). For the durvalumab 500 mg </w:t>
      </w:r>
      <w:r w:rsidRPr="00310498">
        <w:t>v</w:t>
      </w:r>
      <w:r w:rsidR="00555C9F" w:rsidRPr="00310498">
        <w:t xml:space="preserve">ial, the published prices </w:t>
      </w:r>
      <w:r w:rsidR="008572AD" w:rsidRPr="00310498">
        <w:t xml:space="preserve">for 2 x 500mg vials </w:t>
      </w:r>
      <w:r w:rsidR="00555C9F" w:rsidRPr="00310498">
        <w:t>were</w:t>
      </w:r>
      <w:r w:rsidR="008572AD" w:rsidRPr="00310498">
        <w:t xml:space="preserve"> </w:t>
      </w:r>
      <w:r w:rsidR="00EB1EB8" w:rsidRPr="00310498">
        <w:t>$7,642.63 (public) and $7,793.04 (private), and the published prices for 3 x 500 mg vials were $11,418.88 (public) and $11,622.15 (private).</w:t>
      </w:r>
    </w:p>
    <w:p w14:paraId="6BBF6F03" w14:textId="77777777" w:rsidR="008A3162" w:rsidRPr="00310498" w:rsidRDefault="008A3162" w:rsidP="00D17A65">
      <w:pPr>
        <w:pStyle w:val="TableFigureHeading"/>
        <w:keepLines/>
        <w:spacing w:before="0"/>
        <w:rPr>
          <w:rStyle w:val="CommentReference"/>
          <w:b/>
          <w:szCs w:val="24"/>
        </w:rPr>
      </w:pPr>
      <w:r w:rsidRPr="00310498">
        <w:rPr>
          <w:rStyle w:val="CommentReference"/>
          <w:b/>
          <w:szCs w:val="24"/>
        </w:rPr>
        <w:t>Requested restriction – durvalumab, initial and continuing treatment</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8"/>
      </w:tblGrid>
      <w:tr w:rsidR="008A3162" w:rsidRPr="00310498" w14:paraId="2CC12368" w14:textId="77777777" w:rsidTr="00DE1FEA">
        <w:trPr>
          <w:trHeight w:val="227"/>
        </w:trPr>
        <w:tc>
          <w:tcPr>
            <w:tcW w:w="5000" w:type="pct"/>
            <w:tcBorders>
              <w:top w:val="single" w:sz="4" w:space="0" w:color="auto"/>
              <w:left w:val="single" w:sz="4" w:space="0" w:color="auto"/>
              <w:bottom w:val="single" w:sz="4" w:space="0" w:color="auto"/>
              <w:right w:val="single" w:sz="4" w:space="0" w:color="auto"/>
            </w:tcBorders>
          </w:tcPr>
          <w:p w14:paraId="2A12C29F" w14:textId="79159052" w:rsidR="008A3162" w:rsidRPr="00310498" w:rsidRDefault="008A3162" w:rsidP="00007752">
            <w:pPr>
              <w:pStyle w:val="Tabletext"/>
            </w:pPr>
            <w:r w:rsidRPr="00310498">
              <w:rPr>
                <w:b/>
              </w:rPr>
              <w:t xml:space="preserve">Category / Program: </w:t>
            </w:r>
            <w:r w:rsidRPr="00310498">
              <w:t>Section 100</w:t>
            </w:r>
            <w:r w:rsidR="00F267A0" w:rsidRPr="00310498">
              <w:t xml:space="preserve"> (Efficient Funding of Chemotherapy)</w:t>
            </w:r>
          </w:p>
        </w:tc>
      </w:tr>
      <w:tr w:rsidR="008A3162" w:rsidRPr="00310498" w14:paraId="02382CEA" w14:textId="77777777" w:rsidTr="00DE1FEA">
        <w:trPr>
          <w:trHeight w:val="227"/>
        </w:trPr>
        <w:tc>
          <w:tcPr>
            <w:tcW w:w="5000" w:type="pct"/>
            <w:tcBorders>
              <w:top w:val="single" w:sz="4" w:space="0" w:color="auto"/>
              <w:left w:val="single" w:sz="4" w:space="0" w:color="auto"/>
              <w:bottom w:val="single" w:sz="4" w:space="0" w:color="auto"/>
              <w:right w:val="single" w:sz="4" w:space="0" w:color="auto"/>
            </w:tcBorders>
          </w:tcPr>
          <w:p w14:paraId="087817DD" w14:textId="77777777" w:rsidR="008A3162" w:rsidRPr="00310498" w:rsidRDefault="008A3162" w:rsidP="00007752">
            <w:pPr>
              <w:pStyle w:val="Tabletext"/>
              <w:rPr>
                <w:b/>
              </w:rPr>
            </w:pPr>
            <w:r w:rsidRPr="00310498">
              <w:rPr>
                <w:b/>
              </w:rPr>
              <w:t xml:space="preserve">Prescriber type: </w:t>
            </w:r>
            <w:r w:rsidRPr="00310498">
              <w:fldChar w:fldCharType="begin" w:fldLock="1">
                <w:ffData>
                  <w:name w:val=""/>
                  <w:enabled/>
                  <w:calcOnExit w:val="0"/>
                  <w:checkBox>
                    <w:sizeAuto/>
                    <w:default w:val="1"/>
                  </w:checkBox>
                </w:ffData>
              </w:fldChar>
            </w:r>
            <w:r w:rsidRPr="00310498">
              <w:instrText xml:space="preserve"> FORMCHECKBOX </w:instrText>
            </w:r>
            <w:r w:rsidRPr="00310498">
              <w:fldChar w:fldCharType="separate"/>
            </w:r>
            <w:r w:rsidRPr="00310498">
              <w:fldChar w:fldCharType="end"/>
            </w:r>
            <w:r w:rsidRPr="00310498">
              <w:t>Medical Practitioners</w:t>
            </w:r>
          </w:p>
        </w:tc>
      </w:tr>
      <w:tr w:rsidR="008A3162" w:rsidRPr="00310498" w14:paraId="1E057CC4" w14:textId="77777777" w:rsidTr="00DE1FEA">
        <w:trPr>
          <w:trHeight w:val="227"/>
        </w:trPr>
        <w:tc>
          <w:tcPr>
            <w:tcW w:w="5000" w:type="pct"/>
            <w:tcBorders>
              <w:top w:val="single" w:sz="4" w:space="0" w:color="auto"/>
              <w:left w:val="single" w:sz="4" w:space="0" w:color="auto"/>
              <w:bottom w:val="single" w:sz="4" w:space="0" w:color="auto"/>
              <w:right w:val="single" w:sz="4" w:space="0" w:color="auto"/>
            </w:tcBorders>
          </w:tcPr>
          <w:p w14:paraId="401FC641" w14:textId="77777777" w:rsidR="008A3162" w:rsidRPr="00310498" w:rsidRDefault="008A3162" w:rsidP="00007752">
            <w:pPr>
              <w:pStyle w:val="Tabletext"/>
            </w:pPr>
            <w:r w:rsidRPr="00310498">
              <w:rPr>
                <w:b/>
              </w:rPr>
              <w:t xml:space="preserve">Restriction Type: </w:t>
            </w:r>
            <w:r w:rsidRPr="00310498">
              <w:fldChar w:fldCharType="begin" w:fldLock="1">
                <w:ffData>
                  <w:name w:val=""/>
                  <w:enabled/>
                  <w:calcOnExit w:val="0"/>
                  <w:checkBox>
                    <w:sizeAuto/>
                    <w:default w:val="1"/>
                  </w:checkBox>
                </w:ffData>
              </w:fldChar>
            </w:r>
            <w:r w:rsidRPr="00310498">
              <w:instrText xml:space="preserve"> FORMCHECKBOX </w:instrText>
            </w:r>
            <w:r w:rsidRPr="00310498">
              <w:fldChar w:fldCharType="separate"/>
            </w:r>
            <w:r w:rsidRPr="00310498">
              <w:fldChar w:fldCharType="end"/>
            </w:r>
            <w:r w:rsidRPr="00310498">
              <w:t xml:space="preserve"> Authority Required STREAMLINED</w:t>
            </w:r>
          </w:p>
        </w:tc>
      </w:tr>
      <w:tr w:rsidR="008A3162" w:rsidRPr="00310498" w14:paraId="5CC775EE" w14:textId="77777777" w:rsidTr="00DE1FEA">
        <w:trPr>
          <w:trHeight w:val="227"/>
        </w:trPr>
        <w:tc>
          <w:tcPr>
            <w:tcW w:w="5000" w:type="pct"/>
            <w:vAlign w:val="center"/>
          </w:tcPr>
          <w:p w14:paraId="53902AD1" w14:textId="77777777" w:rsidR="008A3162" w:rsidRPr="00310498" w:rsidRDefault="008A3162" w:rsidP="00007752">
            <w:pPr>
              <w:pStyle w:val="Tabletext"/>
              <w:rPr>
                <w:b/>
                <w:bCs/>
                <w:color w:val="333333"/>
              </w:rPr>
            </w:pPr>
            <w:r w:rsidRPr="00310498">
              <w:rPr>
                <w:b/>
                <w:bCs/>
                <w:color w:val="333333"/>
              </w:rPr>
              <w:t>Severity:</w:t>
            </w:r>
            <w:r w:rsidRPr="00310498">
              <w:rPr>
                <w:color w:val="333333"/>
              </w:rPr>
              <w:t xml:space="preserve"> Advanced, m</w:t>
            </w:r>
            <w:r w:rsidRPr="00310498">
              <w:t>etastatic or recurrent</w:t>
            </w:r>
          </w:p>
        </w:tc>
      </w:tr>
      <w:tr w:rsidR="008A3162" w:rsidRPr="00310498" w14:paraId="17AA85D9" w14:textId="77777777" w:rsidTr="00DE1FEA">
        <w:trPr>
          <w:trHeight w:val="227"/>
        </w:trPr>
        <w:tc>
          <w:tcPr>
            <w:tcW w:w="5000" w:type="pct"/>
            <w:vAlign w:val="center"/>
          </w:tcPr>
          <w:p w14:paraId="6B041BC7" w14:textId="77777777" w:rsidR="008A3162" w:rsidRPr="00310498" w:rsidRDefault="008A3162" w:rsidP="00007752">
            <w:pPr>
              <w:pStyle w:val="Tabletext"/>
              <w:rPr>
                <w:b/>
                <w:bCs/>
                <w:color w:val="333333"/>
              </w:rPr>
            </w:pPr>
            <w:r w:rsidRPr="00310498">
              <w:rPr>
                <w:b/>
                <w:bCs/>
                <w:color w:val="333333"/>
              </w:rPr>
              <w:t xml:space="preserve">Condition: </w:t>
            </w:r>
            <w:r w:rsidRPr="00310498">
              <w:rPr>
                <w:color w:val="333333"/>
              </w:rPr>
              <w:t>E</w:t>
            </w:r>
            <w:r w:rsidRPr="00310498">
              <w:rPr>
                <w:bCs/>
                <w:color w:val="333333"/>
              </w:rPr>
              <w:t>ndometrial cancer</w:t>
            </w:r>
          </w:p>
        </w:tc>
      </w:tr>
      <w:tr w:rsidR="008A3162" w:rsidRPr="00310498" w14:paraId="69503AAC" w14:textId="77777777" w:rsidTr="00DE1FEA">
        <w:trPr>
          <w:trHeight w:val="227"/>
        </w:trPr>
        <w:tc>
          <w:tcPr>
            <w:tcW w:w="5000" w:type="pct"/>
            <w:tcBorders>
              <w:bottom w:val="double" w:sz="4" w:space="0" w:color="auto"/>
            </w:tcBorders>
            <w:vAlign w:val="center"/>
            <w:hideMark/>
          </w:tcPr>
          <w:p w14:paraId="03DDA6AF" w14:textId="77777777" w:rsidR="008A3162" w:rsidRPr="00310498" w:rsidRDefault="008A3162" w:rsidP="00007752">
            <w:pPr>
              <w:pStyle w:val="Tabletext"/>
              <w:rPr>
                <w:color w:val="333333"/>
              </w:rPr>
            </w:pPr>
            <w:r w:rsidRPr="00310498">
              <w:rPr>
                <w:b/>
                <w:bCs/>
                <w:color w:val="333333"/>
              </w:rPr>
              <w:t>Indication:</w:t>
            </w:r>
            <w:r w:rsidRPr="00310498">
              <w:rPr>
                <w:color w:val="333333"/>
              </w:rPr>
              <w:t xml:space="preserve"> Advanced, metastatic or recurrent endometrial cancer</w:t>
            </w:r>
          </w:p>
        </w:tc>
      </w:tr>
      <w:tr w:rsidR="008A3162" w:rsidRPr="00310498" w14:paraId="69BE71A0" w14:textId="77777777" w:rsidTr="00DE1FEA">
        <w:trPr>
          <w:trHeight w:val="227"/>
        </w:trPr>
        <w:tc>
          <w:tcPr>
            <w:tcW w:w="5000" w:type="pct"/>
            <w:tcBorders>
              <w:top w:val="double" w:sz="4" w:space="0" w:color="auto"/>
              <w:bottom w:val="single" w:sz="4" w:space="0" w:color="auto"/>
            </w:tcBorders>
            <w:vAlign w:val="center"/>
            <w:hideMark/>
          </w:tcPr>
          <w:p w14:paraId="45E7D40B" w14:textId="77777777" w:rsidR="008A3162" w:rsidRPr="00310498" w:rsidRDefault="008A3162" w:rsidP="00007752">
            <w:pPr>
              <w:pStyle w:val="Tabletext"/>
              <w:rPr>
                <w:color w:val="333333"/>
              </w:rPr>
            </w:pPr>
            <w:r w:rsidRPr="00310498">
              <w:rPr>
                <w:b/>
                <w:bCs/>
                <w:color w:val="333333"/>
              </w:rPr>
              <w:t>Treatment Phase:</w:t>
            </w:r>
            <w:r w:rsidRPr="00310498">
              <w:rPr>
                <w:color w:val="333333"/>
              </w:rPr>
              <w:t xml:space="preserve"> Initial treatment covering the first 6 treatment cycles</w:t>
            </w:r>
          </w:p>
        </w:tc>
      </w:tr>
      <w:tr w:rsidR="008A3162" w:rsidRPr="00310498" w14:paraId="61928A77" w14:textId="77777777" w:rsidTr="00DE1FEA">
        <w:trPr>
          <w:trHeight w:val="227"/>
        </w:trPr>
        <w:tc>
          <w:tcPr>
            <w:tcW w:w="5000" w:type="pct"/>
            <w:tcBorders>
              <w:bottom w:val="nil"/>
            </w:tcBorders>
            <w:vAlign w:val="center"/>
            <w:hideMark/>
          </w:tcPr>
          <w:p w14:paraId="4A19F9D7" w14:textId="77777777" w:rsidR="008A3162" w:rsidRPr="00310498" w:rsidRDefault="008A3162" w:rsidP="00007752">
            <w:pPr>
              <w:pStyle w:val="Tabletext"/>
              <w:rPr>
                <w:color w:val="333333"/>
              </w:rPr>
            </w:pPr>
            <w:r w:rsidRPr="00310498">
              <w:rPr>
                <w:b/>
                <w:bCs/>
                <w:color w:val="333333"/>
              </w:rPr>
              <w:t>Clinical criteria:</w:t>
            </w:r>
          </w:p>
        </w:tc>
      </w:tr>
      <w:tr w:rsidR="008A3162" w:rsidRPr="00310498" w14:paraId="46FC9BBE" w14:textId="77777777" w:rsidTr="00DE1FEA">
        <w:trPr>
          <w:trHeight w:val="227"/>
        </w:trPr>
        <w:tc>
          <w:tcPr>
            <w:tcW w:w="5000" w:type="pct"/>
            <w:tcBorders>
              <w:top w:val="nil"/>
              <w:bottom w:val="nil"/>
            </w:tcBorders>
            <w:vAlign w:val="center"/>
            <w:hideMark/>
          </w:tcPr>
          <w:p w14:paraId="4DD6DD82" w14:textId="77777777" w:rsidR="008A3162" w:rsidRPr="00310498" w:rsidRDefault="008A3162" w:rsidP="00007752">
            <w:pPr>
              <w:pStyle w:val="Tabletext"/>
              <w:rPr>
                <w:color w:val="333333"/>
              </w:rPr>
            </w:pPr>
            <w:r w:rsidRPr="00310498">
              <w:rPr>
                <w:color w:val="333333"/>
              </w:rPr>
              <w:t xml:space="preserve">Patient must have evidence of mismatch repair status: either deficient mismatch repair (dMMR) OR proficient mismatch repair (pMMR), as determined by immunohistochemistry test </w:t>
            </w:r>
          </w:p>
        </w:tc>
      </w:tr>
      <w:tr w:rsidR="008A3162" w:rsidRPr="00310498" w14:paraId="7C07629C" w14:textId="77777777" w:rsidTr="00DE1FEA">
        <w:trPr>
          <w:trHeight w:val="227"/>
        </w:trPr>
        <w:tc>
          <w:tcPr>
            <w:tcW w:w="5000" w:type="pct"/>
            <w:tcBorders>
              <w:top w:val="nil"/>
              <w:bottom w:val="nil"/>
            </w:tcBorders>
            <w:vAlign w:val="center"/>
            <w:hideMark/>
          </w:tcPr>
          <w:p w14:paraId="63EFA7DB" w14:textId="77777777" w:rsidR="008A3162" w:rsidRPr="00310498" w:rsidRDefault="008A3162" w:rsidP="00007752">
            <w:pPr>
              <w:pStyle w:val="Tabletext"/>
              <w:rPr>
                <w:color w:val="333333"/>
              </w:rPr>
            </w:pPr>
            <w:r w:rsidRPr="00310498">
              <w:rPr>
                <w:b/>
                <w:bCs/>
                <w:color w:val="333333"/>
              </w:rPr>
              <w:t>AND</w:t>
            </w:r>
          </w:p>
        </w:tc>
      </w:tr>
      <w:tr w:rsidR="008A3162" w:rsidRPr="00310498" w14:paraId="0C846D03" w14:textId="77777777" w:rsidTr="00DE1FEA">
        <w:trPr>
          <w:trHeight w:val="227"/>
        </w:trPr>
        <w:tc>
          <w:tcPr>
            <w:tcW w:w="5000" w:type="pct"/>
            <w:tcBorders>
              <w:top w:val="nil"/>
              <w:bottom w:val="nil"/>
            </w:tcBorders>
            <w:vAlign w:val="center"/>
            <w:hideMark/>
          </w:tcPr>
          <w:p w14:paraId="425EE3A6" w14:textId="77777777" w:rsidR="008A3162" w:rsidRPr="00310498" w:rsidRDefault="008A3162" w:rsidP="00007752">
            <w:pPr>
              <w:pStyle w:val="Tabletext"/>
              <w:rPr>
                <w:color w:val="333333"/>
              </w:rPr>
            </w:pPr>
            <w:r w:rsidRPr="00310498">
              <w:rPr>
                <w:color w:val="333333"/>
              </w:rPr>
              <w:t>The condition must be unsuitable for at least one of:</w:t>
            </w:r>
          </w:p>
          <w:p w14:paraId="4D501D36" w14:textId="77777777" w:rsidR="008A3162" w:rsidRPr="00310498" w:rsidRDefault="008A3162" w:rsidP="00007752">
            <w:pPr>
              <w:pStyle w:val="Tabletext"/>
              <w:rPr>
                <w:color w:val="333333"/>
              </w:rPr>
            </w:pPr>
            <w:r w:rsidRPr="00310498">
              <w:rPr>
                <w:color w:val="333333"/>
              </w:rPr>
              <w:t>1)</w:t>
            </w:r>
            <w:r w:rsidRPr="00310498">
              <w:rPr>
                <w:color w:val="333333"/>
              </w:rPr>
              <w:tab/>
              <w:t>Curative surgical resection AND/OR</w:t>
            </w:r>
          </w:p>
          <w:p w14:paraId="157D8C84" w14:textId="77777777" w:rsidR="008A3162" w:rsidRPr="00310498" w:rsidRDefault="008A3162" w:rsidP="00007752">
            <w:pPr>
              <w:pStyle w:val="Tabletext"/>
              <w:rPr>
                <w:color w:val="333333"/>
              </w:rPr>
            </w:pPr>
            <w:r w:rsidRPr="00310498">
              <w:rPr>
                <w:color w:val="333333"/>
              </w:rPr>
              <w:t>2)</w:t>
            </w:r>
            <w:r w:rsidRPr="00310498">
              <w:rPr>
                <w:color w:val="333333"/>
              </w:rPr>
              <w:tab/>
              <w:t>Curative radiotherapy</w:t>
            </w:r>
          </w:p>
        </w:tc>
      </w:tr>
      <w:tr w:rsidR="008A3162" w:rsidRPr="00310498" w14:paraId="4E9288C0" w14:textId="77777777" w:rsidTr="00DE1FEA">
        <w:trPr>
          <w:trHeight w:val="227"/>
        </w:trPr>
        <w:tc>
          <w:tcPr>
            <w:tcW w:w="5000" w:type="pct"/>
            <w:tcBorders>
              <w:top w:val="nil"/>
              <w:bottom w:val="nil"/>
            </w:tcBorders>
            <w:vAlign w:val="center"/>
          </w:tcPr>
          <w:p w14:paraId="4F56C363" w14:textId="77777777" w:rsidR="008A3162" w:rsidRPr="00310498" w:rsidRDefault="008A3162" w:rsidP="00007752">
            <w:pPr>
              <w:pStyle w:val="Tabletext"/>
              <w:rPr>
                <w:color w:val="333333"/>
              </w:rPr>
            </w:pPr>
            <w:r w:rsidRPr="00310498">
              <w:rPr>
                <w:b/>
                <w:bCs/>
                <w:color w:val="333333"/>
              </w:rPr>
              <w:t>AND</w:t>
            </w:r>
          </w:p>
        </w:tc>
      </w:tr>
      <w:tr w:rsidR="008A3162" w:rsidRPr="00310498" w14:paraId="013F3BC7" w14:textId="77777777" w:rsidTr="00DE1FEA">
        <w:trPr>
          <w:trHeight w:val="227"/>
        </w:trPr>
        <w:tc>
          <w:tcPr>
            <w:tcW w:w="5000" w:type="pct"/>
            <w:tcBorders>
              <w:top w:val="nil"/>
              <w:bottom w:val="nil"/>
            </w:tcBorders>
            <w:vAlign w:val="center"/>
          </w:tcPr>
          <w:p w14:paraId="66951B25" w14:textId="77777777" w:rsidR="008A3162" w:rsidRPr="00310498" w:rsidRDefault="008A3162" w:rsidP="00007752">
            <w:pPr>
              <w:pStyle w:val="Tabletext"/>
              <w:rPr>
                <w:color w:val="333333"/>
              </w:rPr>
            </w:pPr>
            <w:r w:rsidRPr="00310498">
              <w:rPr>
                <w:color w:val="333333"/>
              </w:rPr>
              <w:t>The treatment must be in combination with platinum-containing chemotherapy</w:t>
            </w:r>
          </w:p>
        </w:tc>
      </w:tr>
      <w:tr w:rsidR="008A3162" w:rsidRPr="00310498" w14:paraId="77471E78" w14:textId="77777777" w:rsidTr="00DE1FEA">
        <w:trPr>
          <w:trHeight w:val="227"/>
        </w:trPr>
        <w:tc>
          <w:tcPr>
            <w:tcW w:w="5000" w:type="pct"/>
            <w:tcBorders>
              <w:top w:val="nil"/>
              <w:bottom w:val="nil"/>
            </w:tcBorders>
            <w:vAlign w:val="center"/>
          </w:tcPr>
          <w:p w14:paraId="71E4F2E5" w14:textId="77777777" w:rsidR="008A3162" w:rsidRPr="00310498" w:rsidRDefault="008A3162" w:rsidP="00007752">
            <w:pPr>
              <w:pStyle w:val="Tabletext"/>
              <w:rPr>
                <w:b/>
                <w:bCs/>
                <w:color w:val="333333"/>
              </w:rPr>
            </w:pPr>
            <w:r w:rsidRPr="00310498">
              <w:rPr>
                <w:b/>
                <w:bCs/>
                <w:color w:val="333333"/>
              </w:rPr>
              <w:t>AND</w:t>
            </w:r>
          </w:p>
        </w:tc>
      </w:tr>
      <w:tr w:rsidR="008A3162" w:rsidRPr="00310498" w14:paraId="4CCB5B4E" w14:textId="77777777" w:rsidTr="00DE1FEA">
        <w:trPr>
          <w:trHeight w:val="227"/>
        </w:trPr>
        <w:tc>
          <w:tcPr>
            <w:tcW w:w="5000" w:type="pct"/>
            <w:tcBorders>
              <w:top w:val="nil"/>
              <w:bottom w:val="nil"/>
            </w:tcBorders>
            <w:shd w:val="clear" w:color="auto" w:fill="auto"/>
            <w:vAlign w:val="center"/>
            <w:hideMark/>
          </w:tcPr>
          <w:p w14:paraId="7E68E0E5" w14:textId="77777777" w:rsidR="008A3162" w:rsidRPr="00310498" w:rsidRDefault="008A3162" w:rsidP="00007752">
            <w:pPr>
              <w:pStyle w:val="Tabletext"/>
              <w:rPr>
                <w:color w:val="333333"/>
              </w:rPr>
            </w:pPr>
            <w:r w:rsidRPr="00310498">
              <w:rPr>
                <w:color w:val="333333"/>
              </w:rPr>
              <w:t>The condition must be, at treatment initiation with this drug, either:</w:t>
            </w:r>
          </w:p>
          <w:p w14:paraId="1888A269" w14:textId="77777777" w:rsidR="008A3162" w:rsidRPr="00310498" w:rsidRDefault="008A3162" w:rsidP="00007752">
            <w:pPr>
              <w:pStyle w:val="Tabletext"/>
              <w:rPr>
                <w:color w:val="333333"/>
              </w:rPr>
            </w:pPr>
            <w:r w:rsidRPr="00310498">
              <w:rPr>
                <w:color w:val="333333"/>
              </w:rPr>
              <w:t>Untreated with systemic therapy</w:t>
            </w:r>
          </w:p>
        </w:tc>
      </w:tr>
      <w:tr w:rsidR="008A3162" w:rsidRPr="00310498" w14:paraId="68565BE8" w14:textId="77777777" w:rsidTr="00DE1FEA">
        <w:trPr>
          <w:trHeight w:val="227"/>
        </w:trPr>
        <w:tc>
          <w:tcPr>
            <w:tcW w:w="5000" w:type="pct"/>
            <w:tcBorders>
              <w:top w:val="nil"/>
              <w:bottom w:val="nil"/>
            </w:tcBorders>
            <w:vAlign w:val="center"/>
          </w:tcPr>
          <w:p w14:paraId="307A8BEA" w14:textId="77777777" w:rsidR="008A3162" w:rsidRPr="00310498" w:rsidRDefault="008A3162" w:rsidP="00007752">
            <w:pPr>
              <w:pStyle w:val="Tabletext"/>
              <w:rPr>
                <w:b/>
                <w:bCs/>
                <w:color w:val="333333"/>
              </w:rPr>
            </w:pPr>
            <w:r w:rsidRPr="00310498">
              <w:rPr>
                <w:b/>
                <w:bCs/>
                <w:color w:val="333333"/>
              </w:rPr>
              <w:t>OR</w:t>
            </w:r>
          </w:p>
        </w:tc>
      </w:tr>
      <w:tr w:rsidR="008A3162" w:rsidRPr="00310498" w14:paraId="2490ED97" w14:textId="77777777" w:rsidTr="00DE1FEA">
        <w:trPr>
          <w:trHeight w:val="227"/>
        </w:trPr>
        <w:tc>
          <w:tcPr>
            <w:tcW w:w="5000" w:type="pct"/>
            <w:tcBorders>
              <w:top w:val="nil"/>
              <w:bottom w:val="nil"/>
            </w:tcBorders>
            <w:vAlign w:val="center"/>
          </w:tcPr>
          <w:p w14:paraId="5410D38F" w14:textId="77777777" w:rsidR="008A3162" w:rsidRPr="00310498" w:rsidRDefault="008A3162" w:rsidP="00007752">
            <w:pPr>
              <w:pStyle w:val="Tabletext"/>
              <w:rPr>
                <w:color w:val="333333"/>
              </w:rPr>
            </w:pPr>
            <w:r w:rsidRPr="00310498">
              <w:rPr>
                <w:color w:val="333333"/>
              </w:rPr>
              <w:t>Treated with adjuvant systemic therapy, but the cancer has recurred or progressed</w:t>
            </w:r>
          </w:p>
        </w:tc>
      </w:tr>
      <w:tr w:rsidR="008A3162" w:rsidRPr="00310498" w14:paraId="423A8D3A" w14:textId="77777777" w:rsidTr="00DE1FEA">
        <w:trPr>
          <w:trHeight w:val="227"/>
        </w:trPr>
        <w:tc>
          <w:tcPr>
            <w:tcW w:w="5000" w:type="pct"/>
            <w:tcBorders>
              <w:top w:val="nil"/>
              <w:bottom w:val="nil"/>
            </w:tcBorders>
            <w:vAlign w:val="center"/>
          </w:tcPr>
          <w:p w14:paraId="66F78F1F" w14:textId="77777777" w:rsidR="008A3162" w:rsidRPr="00310498" w:rsidRDefault="008A3162" w:rsidP="00007752">
            <w:pPr>
              <w:pStyle w:val="Tabletext"/>
              <w:rPr>
                <w:b/>
                <w:bCs/>
                <w:color w:val="333333"/>
              </w:rPr>
            </w:pPr>
            <w:r w:rsidRPr="00310498">
              <w:rPr>
                <w:b/>
                <w:bCs/>
                <w:color w:val="333333"/>
              </w:rPr>
              <w:t xml:space="preserve">AND </w:t>
            </w:r>
          </w:p>
        </w:tc>
      </w:tr>
      <w:tr w:rsidR="008A3162" w:rsidRPr="00310498" w14:paraId="0EED11B6" w14:textId="77777777" w:rsidTr="00DE1FEA">
        <w:trPr>
          <w:trHeight w:val="227"/>
        </w:trPr>
        <w:tc>
          <w:tcPr>
            <w:tcW w:w="5000" w:type="pct"/>
            <w:tcBorders>
              <w:top w:val="nil"/>
              <w:bottom w:val="nil"/>
            </w:tcBorders>
            <w:vAlign w:val="center"/>
          </w:tcPr>
          <w:p w14:paraId="5B48B24D" w14:textId="77777777" w:rsidR="008A3162" w:rsidRPr="00310498" w:rsidRDefault="008A3162" w:rsidP="00007752">
            <w:pPr>
              <w:pStyle w:val="Tabletext"/>
              <w:rPr>
                <w:color w:val="333333"/>
              </w:rPr>
            </w:pPr>
            <w:r w:rsidRPr="00310498">
              <w:rPr>
                <w:color w:val="333333"/>
              </w:rPr>
              <w:t>Patient must not have received prior treatment with a programmed cell death-1 (PD-1) or a programmed cell death ligand-1 (PD-L1) inhibitor for this condition</w:t>
            </w:r>
          </w:p>
        </w:tc>
      </w:tr>
      <w:tr w:rsidR="008A3162" w:rsidRPr="00310498" w14:paraId="55A47780" w14:textId="77777777" w:rsidTr="00DE1FEA">
        <w:trPr>
          <w:trHeight w:val="227"/>
        </w:trPr>
        <w:tc>
          <w:tcPr>
            <w:tcW w:w="5000" w:type="pct"/>
            <w:tcBorders>
              <w:top w:val="nil"/>
              <w:bottom w:val="nil"/>
            </w:tcBorders>
            <w:vAlign w:val="center"/>
          </w:tcPr>
          <w:p w14:paraId="37CD2F83" w14:textId="77777777" w:rsidR="008A3162" w:rsidRPr="00310498" w:rsidRDefault="008A3162" w:rsidP="00007752">
            <w:pPr>
              <w:pStyle w:val="Tabletext"/>
              <w:rPr>
                <w:b/>
                <w:bCs/>
                <w:color w:val="333333"/>
              </w:rPr>
            </w:pPr>
            <w:r w:rsidRPr="00310498">
              <w:rPr>
                <w:b/>
                <w:bCs/>
                <w:color w:val="333333"/>
              </w:rPr>
              <w:t>AND</w:t>
            </w:r>
          </w:p>
        </w:tc>
      </w:tr>
      <w:tr w:rsidR="008A3162" w:rsidRPr="00310498" w14:paraId="2B1704B3" w14:textId="77777777" w:rsidTr="00DE1FEA">
        <w:trPr>
          <w:trHeight w:val="227"/>
        </w:trPr>
        <w:tc>
          <w:tcPr>
            <w:tcW w:w="5000" w:type="pct"/>
            <w:tcBorders>
              <w:top w:val="nil"/>
              <w:bottom w:val="double" w:sz="4" w:space="0" w:color="auto"/>
            </w:tcBorders>
            <w:vAlign w:val="center"/>
          </w:tcPr>
          <w:p w14:paraId="21894B35" w14:textId="77777777" w:rsidR="008A3162" w:rsidRPr="00310498" w:rsidRDefault="008A3162" w:rsidP="00007752">
            <w:pPr>
              <w:pStyle w:val="Tabletext"/>
              <w:rPr>
                <w:color w:val="333333"/>
              </w:rPr>
            </w:pPr>
            <w:r w:rsidRPr="00310498">
              <w:rPr>
                <w:color w:val="333333"/>
              </w:rPr>
              <w:t>Patient must have, at the time of initiating with this drug, a World Health Organisation (WHO) Eastern Cooperative Oncology Group (ECOG) performance status no higher than 1</w:t>
            </w:r>
          </w:p>
        </w:tc>
      </w:tr>
      <w:tr w:rsidR="008A3162" w:rsidRPr="00310498" w14:paraId="29796997" w14:textId="77777777" w:rsidTr="00DE1FEA">
        <w:trPr>
          <w:trHeight w:val="227"/>
        </w:trPr>
        <w:tc>
          <w:tcPr>
            <w:tcW w:w="5000" w:type="pct"/>
            <w:tcBorders>
              <w:top w:val="double" w:sz="4" w:space="0" w:color="auto"/>
            </w:tcBorders>
            <w:vAlign w:val="center"/>
          </w:tcPr>
          <w:p w14:paraId="2D1C15B4" w14:textId="77777777" w:rsidR="008A3162" w:rsidRPr="00310498" w:rsidRDefault="008A3162" w:rsidP="00007752">
            <w:pPr>
              <w:pStyle w:val="Tabletext"/>
              <w:rPr>
                <w:color w:val="333333"/>
              </w:rPr>
            </w:pPr>
            <w:r w:rsidRPr="00310498">
              <w:rPr>
                <w:b/>
                <w:bCs/>
                <w:color w:val="333333"/>
              </w:rPr>
              <w:t>Treatment Phase:</w:t>
            </w:r>
            <w:r w:rsidRPr="00310498">
              <w:rPr>
                <w:color w:val="333333"/>
              </w:rPr>
              <w:t xml:space="preserve"> Continuing treatment</w:t>
            </w:r>
          </w:p>
        </w:tc>
      </w:tr>
      <w:tr w:rsidR="008A3162" w:rsidRPr="00310498" w:rsidDel="001366E4" w14:paraId="44F6A1B9" w14:textId="77777777" w:rsidTr="00DE1FEA">
        <w:trPr>
          <w:trHeight w:val="227"/>
        </w:trPr>
        <w:tc>
          <w:tcPr>
            <w:tcW w:w="5000" w:type="pct"/>
            <w:tcBorders>
              <w:bottom w:val="nil"/>
            </w:tcBorders>
            <w:vAlign w:val="center"/>
          </w:tcPr>
          <w:p w14:paraId="31D49F79" w14:textId="07C61F6A" w:rsidR="008A3162" w:rsidRPr="00310498" w:rsidRDefault="008A3162" w:rsidP="00007752">
            <w:pPr>
              <w:pStyle w:val="Tabletext"/>
              <w:rPr>
                <w:b/>
                <w:bCs/>
                <w:color w:val="333333"/>
              </w:rPr>
            </w:pPr>
            <w:r w:rsidRPr="00310498">
              <w:rPr>
                <w:b/>
                <w:bCs/>
                <w:color w:val="333333"/>
              </w:rPr>
              <w:t>Clinical criteria:</w:t>
            </w:r>
            <w:r w:rsidR="004A1728" w:rsidRPr="00310498">
              <w:rPr>
                <w:b/>
                <w:bCs/>
                <w:color w:val="333333"/>
              </w:rPr>
              <w:t xml:space="preserve"> </w:t>
            </w:r>
            <w:r w:rsidRPr="00310498">
              <w:rPr>
                <w:color w:val="333333"/>
              </w:rPr>
              <w:t>Patient must have received previous PBS-subsidised treatment with this drug for this condition</w:t>
            </w:r>
          </w:p>
        </w:tc>
      </w:tr>
      <w:tr w:rsidR="008A3162" w:rsidRPr="00310498" w:rsidDel="001366E4" w14:paraId="59E87978" w14:textId="77777777" w:rsidTr="00DE1FEA">
        <w:trPr>
          <w:trHeight w:val="227"/>
        </w:trPr>
        <w:tc>
          <w:tcPr>
            <w:tcW w:w="5000" w:type="pct"/>
            <w:tcBorders>
              <w:top w:val="nil"/>
              <w:bottom w:val="nil"/>
            </w:tcBorders>
            <w:vAlign w:val="center"/>
          </w:tcPr>
          <w:p w14:paraId="44A71BF6" w14:textId="77777777" w:rsidR="008A3162" w:rsidRPr="00310498" w:rsidRDefault="008A3162" w:rsidP="00007752">
            <w:pPr>
              <w:pStyle w:val="Tabletext"/>
              <w:rPr>
                <w:color w:val="333333"/>
              </w:rPr>
            </w:pPr>
            <w:r w:rsidRPr="00310498">
              <w:rPr>
                <w:b/>
                <w:bCs/>
                <w:color w:val="333333"/>
              </w:rPr>
              <w:t xml:space="preserve">AND </w:t>
            </w:r>
          </w:p>
        </w:tc>
      </w:tr>
      <w:tr w:rsidR="008A3162" w:rsidRPr="00310498" w:rsidDel="001366E4" w14:paraId="0843BC14" w14:textId="77777777" w:rsidTr="00DE1FEA">
        <w:trPr>
          <w:trHeight w:val="227"/>
        </w:trPr>
        <w:tc>
          <w:tcPr>
            <w:tcW w:w="5000" w:type="pct"/>
            <w:tcBorders>
              <w:top w:val="nil"/>
              <w:bottom w:val="nil"/>
            </w:tcBorders>
            <w:vAlign w:val="center"/>
          </w:tcPr>
          <w:p w14:paraId="4688C6E9" w14:textId="77777777" w:rsidR="008A3162" w:rsidRPr="00310498" w:rsidRDefault="008A3162" w:rsidP="00007752">
            <w:pPr>
              <w:pStyle w:val="Tabletext"/>
              <w:rPr>
                <w:b/>
                <w:bCs/>
                <w:color w:val="333333"/>
              </w:rPr>
            </w:pPr>
            <w:r w:rsidRPr="00310498">
              <w:rPr>
                <w:b/>
                <w:bCs/>
                <w:color w:val="333333"/>
              </w:rPr>
              <w:t>Clinical criteria:</w:t>
            </w:r>
          </w:p>
        </w:tc>
      </w:tr>
      <w:tr w:rsidR="008A3162" w:rsidRPr="00310498" w:rsidDel="001366E4" w14:paraId="077A2E3E" w14:textId="77777777" w:rsidTr="00DE1FEA">
        <w:trPr>
          <w:trHeight w:val="227"/>
        </w:trPr>
        <w:tc>
          <w:tcPr>
            <w:tcW w:w="5000" w:type="pct"/>
            <w:tcBorders>
              <w:top w:val="nil"/>
              <w:bottom w:val="nil"/>
            </w:tcBorders>
            <w:vAlign w:val="center"/>
          </w:tcPr>
          <w:p w14:paraId="2993002B" w14:textId="77777777" w:rsidR="008A3162" w:rsidRPr="00310498" w:rsidRDefault="008A3162" w:rsidP="00007752">
            <w:pPr>
              <w:pStyle w:val="Tabletext"/>
              <w:rPr>
                <w:b/>
                <w:bCs/>
                <w:color w:val="333333"/>
              </w:rPr>
            </w:pPr>
            <w:r w:rsidRPr="00310498">
              <w:rPr>
                <w:color w:val="333333"/>
              </w:rPr>
              <w:t>Patient must not have developed disease progression while receiving treatment with this drug for this condition</w:t>
            </w:r>
          </w:p>
        </w:tc>
      </w:tr>
      <w:tr w:rsidR="008A3162" w:rsidRPr="00310498" w:rsidDel="001366E4" w14:paraId="1A54992B" w14:textId="77777777" w:rsidTr="00DE1FEA">
        <w:trPr>
          <w:trHeight w:val="227"/>
        </w:trPr>
        <w:tc>
          <w:tcPr>
            <w:tcW w:w="5000" w:type="pct"/>
            <w:tcBorders>
              <w:top w:val="nil"/>
              <w:bottom w:val="nil"/>
            </w:tcBorders>
            <w:vAlign w:val="center"/>
          </w:tcPr>
          <w:p w14:paraId="754CB1F9" w14:textId="77777777" w:rsidR="008A3162" w:rsidRPr="00310498" w:rsidRDefault="008A3162" w:rsidP="00007752">
            <w:pPr>
              <w:pStyle w:val="Tabletext"/>
              <w:rPr>
                <w:color w:val="333333"/>
              </w:rPr>
            </w:pPr>
            <w:r w:rsidRPr="00310498">
              <w:rPr>
                <w:b/>
                <w:bCs/>
                <w:color w:val="333333"/>
              </w:rPr>
              <w:t>AND</w:t>
            </w:r>
          </w:p>
        </w:tc>
      </w:tr>
      <w:tr w:rsidR="008A3162" w:rsidRPr="00310498" w:rsidDel="001366E4" w14:paraId="10432A00" w14:textId="77777777" w:rsidTr="00DE1FEA">
        <w:trPr>
          <w:trHeight w:val="227"/>
        </w:trPr>
        <w:tc>
          <w:tcPr>
            <w:tcW w:w="5000" w:type="pct"/>
            <w:tcBorders>
              <w:top w:val="nil"/>
              <w:bottom w:val="nil"/>
            </w:tcBorders>
            <w:vAlign w:val="center"/>
          </w:tcPr>
          <w:p w14:paraId="3A84B5E7" w14:textId="77777777" w:rsidR="008A3162" w:rsidRPr="00310498" w:rsidRDefault="008A3162" w:rsidP="00007752">
            <w:pPr>
              <w:pStyle w:val="Tabletext"/>
              <w:rPr>
                <w:b/>
                <w:bCs/>
                <w:color w:val="333333"/>
              </w:rPr>
            </w:pPr>
            <w:r w:rsidRPr="00310498">
              <w:rPr>
                <w:color w:val="333333"/>
              </w:rPr>
              <w:t>The treatment must be as monotherapy if patient has dMMR EC</w:t>
            </w:r>
          </w:p>
        </w:tc>
      </w:tr>
      <w:tr w:rsidR="008A3162" w:rsidRPr="00310498" w:rsidDel="001366E4" w14:paraId="0211DABD" w14:textId="77777777" w:rsidTr="00DE1FEA">
        <w:trPr>
          <w:trHeight w:val="227"/>
        </w:trPr>
        <w:tc>
          <w:tcPr>
            <w:tcW w:w="5000" w:type="pct"/>
            <w:tcBorders>
              <w:top w:val="nil"/>
              <w:bottom w:val="nil"/>
            </w:tcBorders>
            <w:vAlign w:val="center"/>
          </w:tcPr>
          <w:p w14:paraId="7BAEF59F" w14:textId="77777777" w:rsidR="008A3162" w:rsidRPr="00310498" w:rsidRDefault="008A3162" w:rsidP="00007752">
            <w:pPr>
              <w:pStyle w:val="Tabletext"/>
              <w:rPr>
                <w:color w:val="333333"/>
              </w:rPr>
            </w:pPr>
            <w:r w:rsidRPr="00310498">
              <w:rPr>
                <w:b/>
                <w:bCs/>
                <w:color w:val="333333"/>
              </w:rPr>
              <w:t>OR</w:t>
            </w:r>
          </w:p>
        </w:tc>
      </w:tr>
      <w:tr w:rsidR="008A3162" w:rsidRPr="00310498" w:rsidDel="001366E4" w14:paraId="0285F765" w14:textId="77777777" w:rsidTr="00DE1FEA">
        <w:trPr>
          <w:trHeight w:val="227"/>
        </w:trPr>
        <w:tc>
          <w:tcPr>
            <w:tcW w:w="5000" w:type="pct"/>
            <w:tcBorders>
              <w:top w:val="nil"/>
            </w:tcBorders>
            <w:vAlign w:val="center"/>
          </w:tcPr>
          <w:p w14:paraId="02012F73" w14:textId="46F4CDF2" w:rsidR="008A3162" w:rsidRPr="00310498" w:rsidRDefault="008A3162" w:rsidP="00007752">
            <w:pPr>
              <w:pStyle w:val="Tabletext"/>
              <w:rPr>
                <w:b/>
                <w:bCs/>
                <w:color w:val="333333"/>
              </w:rPr>
            </w:pPr>
            <w:r w:rsidRPr="00310498">
              <w:rPr>
                <w:color w:val="333333"/>
              </w:rPr>
              <w:t>The treatment must be in combination with olaparib if patient has pMMR EC</w:t>
            </w:r>
            <w:r w:rsidR="00670886" w:rsidRPr="00310498">
              <w:rPr>
                <w:color w:val="333333"/>
              </w:rPr>
              <w:t xml:space="preserve"> unless the patient has a contraindication to olaparib or develops an intolerance to olaparib and requires a temporary or permanent discontinuation of olaparib.</w:t>
            </w:r>
          </w:p>
        </w:tc>
      </w:tr>
    </w:tbl>
    <w:p w14:paraId="68709309" w14:textId="77777777" w:rsidR="008A3162" w:rsidRPr="00310498" w:rsidRDefault="008A3162" w:rsidP="00D17A65">
      <w:pPr>
        <w:pStyle w:val="TableFigureFooter"/>
      </w:pPr>
      <w:r w:rsidRPr="00310498">
        <w:t>Source: Table 1.5, p 36, Table 1.6, p 37 of the submission.</w:t>
      </w:r>
    </w:p>
    <w:p w14:paraId="55744E41" w14:textId="77777777" w:rsidR="008A3162" w:rsidRPr="00310498" w:rsidRDefault="008A3162" w:rsidP="00501C31">
      <w:pPr>
        <w:pStyle w:val="TableFigureHeading"/>
        <w:rPr>
          <w:rStyle w:val="CommentReference"/>
          <w:b/>
          <w:szCs w:val="24"/>
        </w:rPr>
      </w:pPr>
      <w:r w:rsidRPr="00310498">
        <w:rPr>
          <w:rStyle w:val="CommentReference"/>
          <w:b/>
          <w:szCs w:val="24"/>
        </w:rPr>
        <w:lastRenderedPageBreak/>
        <w:t>Requested restriction – olaparib, initial and continuing treatment</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8"/>
      </w:tblGrid>
      <w:tr w:rsidR="008A3162" w:rsidRPr="00310498" w14:paraId="750048AC" w14:textId="77777777" w:rsidTr="00DE1FEA">
        <w:tc>
          <w:tcPr>
            <w:tcW w:w="5000" w:type="pct"/>
            <w:tcBorders>
              <w:top w:val="single" w:sz="4" w:space="0" w:color="auto"/>
              <w:left w:val="single" w:sz="4" w:space="0" w:color="auto"/>
              <w:bottom w:val="single" w:sz="4" w:space="0" w:color="auto"/>
              <w:right w:val="single" w:sz="4" w:space="0" w:color="auto"/>
            </w:tcBorders>
          </w:tcPr>
          <w:p w14:paraId="69EAEFD9" w14:textId="77777777" w:rsidR="008A3162" w:rsidRPr="00310498" w:rsidRDefault="008A3162" w:rsidP="00501C31">
            <w:pPr>
              <w:pStyle w:val="Tabletext"/>
              <w:keepNext/>
            </w:pPr>
            <w:r w:rsidRPr="00310498">
              <w:rPr>
                <w:b/>
              </w:rPr>
              <w:t xml:space="preserve">Category / Program: </w:t>
            </w:r>
            <w:r w:rsidRPr="00310498">
              <w:t>GENERAL – General Schedule</w:t>
            </w:r>
          </w:p>
        </w:tc>
      </w:tr>
      <w:tr w:rsidR="008A3162" w:rsidRPr="00310498" w14:paraId="016C856F" w14:textId="77777777" w:rsidTr="00DE1FEA">
        <w:tc>
          <w:tcPr>
            <w:tcW w:w="5000" w:type="pct"/>
            <w:tcBorders>
              <w:top w:val="single" w:sz="4" w:space="0" w:color="auto"/>
              <w:left w:val="single" w:sz="4" w:space="0" w:color="auto"/>
              <w:bottom w:val="single" w:sz="4" w:space="0" w:color="auto"/>
              <w:right w:val="single" w:sz="4" w:space="0" w:color="auto"/>
            </w:tcBorders>
          </w:tcPr>
          <w:p w14:paraId="26F0DD74" w14:textId="77777777" w:rsidR="008A3162" w:rsidRPr="00310498" w:rsidRDefault="008A3162" w:rsidP="00501C31">
            <w:pPr>
              <w:pStyle w:val="Tabletext"/>
              <w:keepNext/>
              <w:rPr>
                <w:b/>
              </w:rPr>
            </w:pPr>
            <w:r w:rsidRPr="00310498">
              <w:rPr>
                <w:b/>
              </w:rPr>
              <w:t xml:space="preserve">Prescriber type: </w:t>
            </w:r>
            <w:r w:rsidRPr="00310498">
              <w:fldChar w:fldCharType="begin" w:fldLock="1">
                <w:ffData>
                  <w:name w:val=""/>
                  <w:enabled/>
                  <w:calcOnExit w:val="0"/>
                  <w:checkBox>
                    <w:sizeAuto/>
                    <w:default w:val="1"/>
                  </w:checkBox>
                </w:ffData>
              </w:fldChar>
            </w:r>
            <w:r w:rsidRPr="00310498">
              <w:instrText xml:space="preserve"> FORMCHECKBOX </w:instrText>
            </w:r>
            <w:r w:rsidRPr="00310498">
              <w:fldChar w:fldCharType="separate"/>
            </w:r>
            <w:r w:rsidRPr="00310498">
              <w:fldChar w:fldCharType="end"/>
            </w:r>
            <w:r w:rsidRPr="00310498">
              <w:t>Medical Practitioners</w:t>
            </w:r>
          </w:p>
        </w:tc>
      </w:tr>
      <w:tr w:rsidR="008A3162" w:rsidRPr="00310498" w14:paraId="4621C04B" w14:textId="77777777" w:rsidTr="00DE1FEA">
        <w:tc>
          <w:tcPr>
            <w:tcW w:w="5000" w:type="pct"/>
            <w:tcBorders>
              <w:top w:val="single" w:sz="4" w:space="0" w:color="auto"/>
              <w:left w:val="single" w:sz="4" w:space="0" w:color="auto"/>
              <w:bottom w:val="single" w:sz="4" w:space="0" w:color="auto"/>
              <w:right w:val="single" w:sz="4" w:space="0" w:color="auto"/>
            </w:tcBorders>
          </w:tcPr>
          <w:p w14:paraId="3B47A215" w14:textId="77777777" w:rsidR="008A3162" w:rsidRPr="00310498" w:rsidRDefault="008A3162" w:rsidP="00501C31">
            <w:pPr>
              <w:pStyle w:val="Tabletext"/>
              <w:keepNext/>
            </w:pPr>
            <w:r w:rsidRPr="00310498">
              <w:rPr>
                <w:b/>
              </w:rPr>
              <w:t xml:space="preserve">Restriction Type: </w:t>
            </w:r>
            <w:r w:rsidRPr="00310498">
              <w:fldChar w:fldCharType="begin" w:fldLock="1">
                <w:ffData>
                  <w:name w:val=""/>
                  <w:enabled/>
                  <w:calcOnExit w:val="0"/>
                  <w:checkBox>
                    <w:sizeAuto/>
                    <w:default w:val="1"/>
                  </w:checkBox>
                </w:ffData>
              </w:fldChar>
            </w:r>
            <w:r w:rsidRPr="00310498">
              <w:instrText xml:space="preserve"> FORMCHECKBOX </w:instrText>
            </w:r>
            <w:r w:rsidRPr="00310498">
              <w:fldChar w:fldCharType="separate"/>
            </w:r>
            <w:r w:rsidRPr="00310498">
              <w:fldChar w:fldCharType="end"/>
            </w:r>
            <w:r w:rsidRPr="00310498">
              <w:t xml:space="preserve"> Authority Required STREAMLINED</w:t>
            </w:r>
          </w:p>
        </w:tc>
      </w:tr>
      <w:tr w:rsidR="008A3162" w:rsidRPr="00310498" w14:paraId="41CAB50B" w14:textId="77777777" w:rsidTr="00DE1FEA">
        <w:tc>
          <w:tcPr>
            <w:tcW w:w="5000" w:type="pct"/>
            <w:vAlign w:val="center"/>
          </w:tcPr>
          <w:p w14:paraId="17DAD930" w14:textId="77777777" w:rsidR="008A3162" w:rsidRPr="00310498" w:rsidRDefault="008A3162" w:rsidP="00501C31">
            <w:pPr>
              <w:pStyle w:val="Tabletext"/>
              <w:keepNext/>
              <w:rPr>
                <w:b/>
                <w:bCs/>
                <w:color w:val="333333"/>
              </w:rPr>
            </w:pPr>
            <w:r w:rsidRPr="00310498">
              <w:rPr>
                <w:b/>
                <w:bCs/>
                <w:color w:val="333333"/>
              </w:rPr>
              <w:t>Severity:</w:t>
            </w:r>
            <w:r w:rsidRPr="00310498">
              <w:rPr>
                <w:color w:val="333333"/>
              </w:rPr>
              <w:t xml:space="preserve"> Advanced, m</w:t>
            </w:r>
            <w:r w:rsidRPr="00310498">
              <w:t>etastatic or recurrent</w:t>
            </w:r>
          </w:p>
        </w:tc>
      </w:tr>
      <w:tr w:rsidR="008A3162" w:rsidRPr="00310498" w14:paraId="70F764B4" w14:textId="77777777" w:rsidTr="00DE1FEA">
        <w:tc>
          <w:tcPr>
            <w:tcW w:w="5000" w:type="pct"/>
            <w:vAlign w:val="center"/>
          </w:tcPr>
          <w:p w14:paraId="18904017" w14:textId="77777777" w:rsidR="008A3162" w:rsidRPr="00310498" w:rsidRDefault="008A3162" w:rsidP="00501C31">
            <w:pPr>
              <w:pStyle w:val="Tabletext"/>
              <w:keepNext/>
              <w:rPr>
                <w:b/>
                <w:bCs/>
                <w:color w:val="333333"/>
              </w:rPr>
            </w:pPr>
            <w:r w:rsidRPr="00310498">
              <w:rPr>
                <w:b/>
                <w:bCs/>
                <w:color w:val="333333"/>
              </w:rPr>
              <w:t xml:space="preserve">Condition: </w:t>
            </w:r>
            <w:r w:rsidRPr="00310498">
              <w:rPr>
                <w:color w:val="333333"/>
              </w:rPr>
              <w:t>E</w:t>
            </w:r>
            <w:r w:rsidRPr="00310498">
              <w:rPr>
                <w:bCs/>
                <w:color w:val="333333"/>
              </w:rPr>
              <w:t>ndometrial cancer</w:t>
            </w:r>
          </w:p>
        </w:tc>
      </w:tr>
      <w:tr w:rsidR="008A3162" w:rsidRPr="00310498" w14:paraId="5B0C8DD3" w14:textId="77777777" w:rsidTr="00DE1FEA">
        <w:tc>
          <w:tcPr>
            <w:tcW w:w="5000" w:type="pct"/>
            <w:vAlign w:val="center"/>
            <w:hideMark/>
          </w:tcPr>
          <w:p w14:paraId="5DDF4FFD" w14:textId="77777777" w:rsidR="008A3162" w:rsidRPr="00310498" w:rsidRDefault="008A3162" w:rsidP="00501C31">
            <w:pPr>
              <w:pStyle w:val="Tabletext"/>
              <w:keepNext/>
              <w:rPr>
                <w:color w:val="333333"/>
              </w:rPr>
            </w:pPr>
            <w:r w:rsidRPr="00310498">
              <w:rPr>
                <w:b/>
                <w:bCs/>
                <w:color w:val="333333"/>
              </w:rPr>
              <w:t>Indication:</w:t>
            </w:r>
            <w:r w:rsidRPr="00310498">
              <w:rPr>
                <w:color w:val="333333"/>
              </w:rPr>
              <w:t xml:space="preserve"> Advanced, metastatic or recurrent endometrial cancer</w:t>
            </w:r>
          </w:p>
        </w:tc>
      </w:tr>
      <w:tr w:rsidR="008A3162" w:rsidRPr="00310498" w14:paraId="0C40EFF4" w14:textId="77777777" w:rsidTr="00DE1FEA">
        <w:tc>
          <w:tcPr>
            <w:tcW w:w="5000" w:type="pct"/>
            <w:tcBorders>
              <w:bottom w:val="single" w:sz="4" w:space="0" w:color="auto"/>
            </w:tcBorders>
            <w:vAlign w:val="center"/>
            <w:hideMark/>
          </w:tcPr>
          <w:p w14:paraId="0BA9CD98" w14:textId="77777777" w:rsidR="008A3162" w:rsidRPr="00310498" w:rsidRDefault="008A3162" w:rsidP="00501C31">
            <w:pPr>
              <w:pStyle w:val="Tabletext"/>
              <w:keepNext/>
              <w:rPr>
                <w:color w:val="333333"/>
              </w:rPr>
            </w:pPr>
            <w:r w:rsidRPr="00310498">
              <w:rPr>
                <w:b/>
                <w:bCs/>
                <w:color w:val="333333"/>
              </w:rPr>
              <w:t>Treatment Phase:</w:t>
            </w:r>
            <w:r w:rsidRPr="00310498">
              <w:rPr>
                <w:color w:val="333333"/>
              </w:rPr>
              <w:t xml:space="preserve"> Initial and continuing </w:t>
            </w:r>
          </w:p>
        </w:tc>
      </w:tr>
      <w:tr w:rsidR="008A3162" w:rsidRPr="00310498" w14:paraId="2ACB9F1A" w14:textId="77777777" w:rsidTr="00DE1FEA">
        <w:tc>
          <w:tcPr>
            <w:tcW w:w="5000" w:type="pct"/>
            <w:tcBorders>
              <w:bottom w:val="nil"/>
            </w:tcBorders>
            <w:vAlign w:val="center"/>
            <w:hideMark/>
          </w:tcPr>
          <w:p w14:paraId="32420BCE" w14:textId="77777777" w:rsidR="008A3162" w:rsidRPr="00310498" w:rsidRDefault="008A3162" w:rsidP="00501C31">
            <w:pPr>
              <w:pStyle w:val="Tabletext"/>
              <w:keepNext/>
              <w:rPr>
                <w:color w:val="333333"/>
              </w:rPr>
            </w:pPr>
            <w:r w:rsidRPr="00310498">
              <w:rPr>
                <w:b/>
                <w:bCs/>
                <w:color w:val="333333"/>
              </w:rPr>
              <w:t>Clinical criteria:</w:t>
            </w:r>
          </w:p>
        </w:tc>
      </w:tr>
      <w:tr w:rsidR="008A3162" w:rsidRPr="00310498" w14:paraId="773DD091" w14:textId="77777777" w:rsidTr="00DE1FEA">
        <w:tc>
          <w:tcPr>
            <w:tcW w:w="5000" w:type="pct"/>
            <w:tcBorders>
              <w:top w:val="nil"/>
              <w:bottom w:val="nil"/>
            </w:tcBorders>
            <w:vAlign w:val="center"/>
            <w:hideMark/>
          </w:tcPr>
          <w:p w14:paraId="60A363F0" w14:textId="77777777" w:rsidR="008A3162" w:rsidRPr="00310498" w:rsidRDefault="008A3162" w:rsidP="00501C31">
            <w:pPr>
              <w:pStyle w:val="Tabletext"/>
              <w:keepNext/>
              <w:rPr>
                <w:color w:val="333333"/>
              </w:rPr>
            </w:pPr>
            <w:r w:rsidRPr="00310498">
              <w:rPr>
                <w:color w:val="333333"/>
              </w:rPr>
              <w:t xml:space="preserve">Patient must have proficient mismatch repair (pMMR) endometrial cancer, as determined by immunohistochemistry test </w:t>
            </w:r>
          </w:p>
        </w:tc>
      </w:tr>
      <w:tr w:rsidR="008A3162" w:rsidRPr="00310498" w14:paraId="0D97ECE9" w14:textId="77777777" w:rsidTr="00DE1FEA">
        <w:tc>
          <w:tcPr>
            <w:tcW w:w="5000" w:type="pct"/>
            <w:tcBorders>
              <w:top w:val="nil"/>
              <w:bottom w:val="nil"/>
            </w:tcBorders>
            <w:vAlign w:val="center"/>
            <w:hideMark/>
          </w:tcPr>
          <w:p w14:paraId="19773779" w14:textId="77777777" w:rsidR="008A3162" w:rsidRPr="00310498" w:rsidRDefault="008A3162" w:rsidP="00501C31">
            <w:pPr>
              <w:pStyle w:val="Tabletext"/>
              <w:keepNext/>
              <w:rPr>
                <w:color w:val="333333"/>
              </w:rPr>
            </w:pPr>
            <w:r w:rsidRPr="00310498">
              <w:rPr>
                <w:b/>
                <w:bCs/>
                <w:color w:val="333333"/>
              </w:rPr>
              <w:t>AND</w:t>
            </w:r>
          </w:p>
        </w:tc>
      </w:tr>
      <w:tr w:rsidR="008A3162" w:rsidRPr="00310498" w14:paraId="753F557A" w14:textId="77777777" w:rsidTr="00DE1FEA">
        <w:tc>
          <w:tcPr>
            <w:tcW w:w="5000" w:type="pct"/>
            <w:tcBorders>
              <w:top w:val="nil"/>
              <w:bottom w:val="nil"/>
            </w:tcBorders>
            <w:vAlign w:val="center"/>
            <w:hideMark/>
          </w:tcPr>
          <w:p w14:paraId="186852DB" w14:textId="77777777" w:rsidR="008A3162" w:rsidRPr="00310498" w:rsidRDefault="008A3162" w:rsidP="00501C31">
            <w:pPr>
              <w:pStyle w:val="Tabletext"/>
              <w:keepNext/>
              <w:rPr>
                <w:color w:val="333333"/>
              </w:rPr>
            </w:pPr>
            <w:r w:rsidRPr="00310498">
              <w:rPr>
                <w:color w:val="333333"/>
              </w:rPr>
              <w:t xml:space="preserve">The treatment must be in combination with durvalumab </w:t>
            </w:r>
          </w:p>
        </w:tc>
      </w:tr>
      <w:tr w:rsidR="008A3162" w:rsidRPr="00310498" w14:paraId="5241D289" w14:textId="77777777" w:rsidTr="00DE1FEA">
        <w:tc>
          <w:tcPr>
            <w:tcW w:w="5000" w:type="pct"/>
            <w:tcBorders>
              <w:top w:val="nil"/>
              <w:bottom w:val="nil"/>
            </w:tcBorders>
            <w:vAlign w:val="center"/>
          </w:tcPr>
          <w:p w14:paraId="19BF12D2" w14:textId="77777777" w:rsidR="008A3162" w:rsidRPr="00310498" w:rsidRDefault="008A3162" w:rsidP="00501C31">
            <w:pPr>
              <w:pStyle w:val="Tabletext"/>
              <w:keepNext/>
              <w:rPr>
                <w:color w:val="333333"/>
              </w:rPr>
            </w:pPr>
            <w:r w:rsidRPr="00310498">
              <w:rPr>
                <w:b/>
                <w:bCs/>
                <w:color w:val="333333"/>
              </w:rPr>
              <w:t>AND</w:t>
            </w:r>
          </w:p>
        </w:tc>
      </w:tr>
      <w:tr w:rsidR="008A3162" w:rsidRPr="00310498" w14:paraId="4978CDC7" w14:textId="77777777" w:rsidTr="00DE1FEA">
        <w:tc>
          <w:tcPr>
            <w:tcW w:w="5000" w:type="pct"/>
            <w:tcBorders>
              <w:top w:val="nil"/>
              <w:bottom w:val="nil"/>
            </w:tcBorders>
            <w:vAlign w:val="center"/>
          </w:tcPr>
          <w:p w14:paraId="4236C037" w14:textId="77777777" w:rsidR="008A3162" w:rsidRPr="00310498" w:rsidRDefault="008A3162" w:rsidP="00501C31">
            <w:pPr>
              <w:pStyle w:val="Tabletext"/>
              <w:keepNext/>
              <w:rPr>
                <w:color w:val="333333"/>
              </w:rPr>
            </w:pPr>
            <w:r w:rsidRPr="00310498">
              <w:rPr>
                <w:color w:val="333333"/>
              </w:rPr>
              <w:t>For initial treatment with this drug, patient must be in partial or complete response to the immediately preceding platinum-based chemotherapy and durvalumab regimen</w:t>
            </w:r>
          </w:p>
        </w:tc>
      </w:tr>
      <w:tr w:rsidR="008A3162" w:rsidRPr="00310498" w14:paraId="23DE9D69" w14:textId="77777777" w:rsidTr="00DE1FEA">
        <w:tc>
          <w:tcPr>
            <w:tcW w:w="5000" w:type="pct"/>
            <w:tcBorders>
              <w:top w:val="nil"/>
              <w:bottom w:val="nil"/>
            </w:tcBorders>
            <w:vAlign w:val="center"/>
          </w:tcPr>
          <w:p w14:paraId="3A7B364B" w14:textId="77777777" w:rsidR="008A3162" w:rsidRPr="00310498" w:rsidRDefault="008A3162" w:rsidP="00501C31">
            <w:pPr>
              <w:pStyle w:val="Tabletext"/>
              <w:keepNext/>
              <w:rPr>
                <w:b/>
                <w:bCs/>
                <w:color w:val="333333"/>
              </w:rPr>
            </w:pPr>
            <w:r w:rsidRPr="00310498">
              <w:rPr>
                <w:b/>
                <w:bCs/>
                <w:color w:val="333333"/>
              </w:rPr>
              <w:t>OR</w:t>
            </w:r>
          </w:p>
        </w:tc>
      </w:tr>
      <w:tr w:rsidR="008A3162" w:rsidRPr="00310498" w14:paraId="55E143B2" w14:textId="77777777" w:rsidTr="00DE1FEA">
        <w:tc>
          <w:tcPr>
            <w:tcW w:w="5000" w:type="pct"/>
            <w:tcBorders>
              <w:top w:val="nil"/>
            </w:tcBorders>
            <w:shd w:val="clear" w:color="auto" w:fill="auto"/>
            <w:vAlign w:val="center"/>
            <w:hideMark/>
          </w:tcPr>
          <w:p w14:paraId="2E498788" w14:textId="77777777" w:rsidR="008A3162" w:rsidRPr="00310498" w:rsidRDefault="008A3162" w:rsidP="00501C31">
            <w:pPr>
              <w:pStyle w:val="Tabletext"/>
              <w:keepNext/>
              <w:rPr>
                <w:color w:val="333333"/>
              </w:rPr>
            </w:pPr>
            <w:r w:rsidRPr="00310498">
              <w:rPr>
                <w:color w:val="333333"/>
              </w:rPr>
              <w:t>For continuing treatment with this drug, patient must not have developed disease progression while receiving PBS-subsidised treatment with this drug for this condition</w:t>
            </w:r>
          </w:p>
        </w:tc>
      </w:tr>
    </w:tbl>
    <w:p w14:paraId="1A407AE4" w14:textId="24E6F193" w:rsidR="009B3748" w:rsidRPr="00310498" w:rsidRDefault="008A3162" w:rsidP="00D17A65">
      <w:pPr>
        <w:pStyle w:val="TableFigureFooter"/>
      </w:pPr>
      <w:r w:rsidRPr="00310498">
        <w:t>Source: Table 1.7, p 38 of the submission.</w:t>
      </w:r>
    </w:p>
    <w:p w14:paraId="6C3F2BEF" w14:textId="77777777" w:rsidR="008A3162" w:rsidRPr="00310498" w:rsidRDefault="008A3162" w:rsidP="000213AC">
      <w:pPr>
        <w:pStyle w:val="TableFigureHeading"/>
        <w:keepNext w:val="0"/>
        <w:keepLines/>
        <w:rPr>
          <w:rStyle w:val="CommentReference"/>
          <w:b/>
          <w:szCs w:val="24"/>
        </w:rPr>
      </w:pPr>
      <w:r w:rsidRPr="00310498">
        <w:rPr>
          <w:rStyle w:val="CommentReference"/>
          <w:b/>
          <w:szCs w:val="24"/>
        </w:rPr>
        <w:t>Requested restriction – durvalumab, grandfathering</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8"/>
      </w:tblGrid>
      <w:tr w:rsidR="008A3162" w:rsidRPr="00310498" w14:paraId="6EBD5E95" w14:textId="77777777" w:rsidTr="00DE1FEA">
        <w:tc>
          <w:tcPr>
            <w:tcW w:w="5000" w:type="pct"/>
            <w:tcBorders>
              <w:top w:val="single" w:sz="4" w:space="0" w:color="auto"/>
              <w:left w:val="single" w:sz="4" w:space="0" w:color="auto"/>
              <w:bottom w:val="single" w:sz="4" w:space="0" w:color="auto"/>
              <w:right w:val="single" w:sz="4" w:space="0" w:color="auto"/>
            </w:tcBorders>
          </w:tcPr>
          <w:p w14:paraId="4E856696" w14:textId="27601344" w:rsidR="008A3162" w:rsidRPr="00310498" w:rsidRDefault="008A3162" w:rsidP="000213AC">
            <w:pPr>
              <w:pStyle w:val="Tabletext"/>
              <w:keepLines/>
            </w:pPr>
            <w:r w:rsidRPr="00310498">
              <w:rPr>
                <w:b/>
              </w:rPr>
              <w:t xml:space="preserve">Category / Program: </w:t>
            </w:r>
            <w:r w:rsidRPr="00310498">
              <w:t>Section 100</w:t>
            </w:r>
            <w:r w:rsidR="00F267A0" w:rsidRPr="00310498">
              <w:t xml:space="preserve"> (Efficient Funding of Chemotherapy)</w:t>
            </w:r>
          </w:p>
        </w:tc>
      </w:tr>
      <w:tr w:rsidR="008A3162" w:rsidRPr="00310498" w14:paraId="16C9D415" w14:textId="77777777" w:rsidTr="00DE1FEA">
        <w:tc>
          <w:tcPr>
            <w:tcW w:w="5000" w:type="pct"/>
            <w:tcBorders>
              <w:top w:val="single" w:sz="4" w:space="0" w:color="auto"/>
              <w:left w:val="single" w:sz="4" w:space="0" w:color="auto"/>
              <w:bottom w:val="single" w:sz="4" w:space="0" w:color="auto"/>
              <w:right w:val="single" w:sz="4" w:space="0" w:color="auto"/>
            </w:tcBorders>
          </w:tcPr>
          <w:p w14:paraId="71E26F04" w14:textId="77777777" w:rsidR="008A3162" w:rsidRPr="00310498" w:rsidRDefault="008A3162" w:rsidP="000213AC">
            <w:pPr>
              <w:pStyle w:val="Tabletext"/>
              <w:keepLines/>
              <w:rPr>
                <w:b/>
              </w:rPr>
            </w:pPr>
            <w:r w:rsidRPr="00310498">
              <w:rPr>
                <w:b/>
              </w:rPr>
              <w:t xml:space="preserve">Prescriber type: </w:t>
            </w:r>
            <w:r w:rsidRPr="00310498">
              <w:fldChar w:fldCharType="begin" w:fldLock="1">
                <w:ffData>
                  <w:name w:val=""/>
                  <w:enabled/>
                  <w:calcOnExit w:val="0"/>
                  <w:checkBox>
                    <w:sizeAuto/>
                    <w:default w:val="1"/>
                  </w:checkBox>
                </w:ffData>
              </w:fldChar>
            </w:r>
            <w:r w:rsidRPr="00310498">
              <w:instrText xml:space="preserve"> FORMCHECKBOX </w:instrText>
            </w:r>
            <w:r w:rsidRPr="00310498">
              <w:fldChar w:fldCharType="separate"/>
            </w:r>
            <w:r w:rsidRPr="00310498">
              <w:fldChar w:fldCharType="end"/>
            </w:r>
            <w:r w:rsidRPr="00310498">
              <w:t>Medical Practitioners</w:t>
            </w:r>
          </w:p>
        </w:tc>
      </w:tr>
      <w:tr w:rsidR="008A3162" w:rsidRPr="00310498" w14:paraId="5D3A9883" w14:textId="77777777" w:rsidTr="00DE1FEA">
        <w:tc>
          <w:tcPr>
            <w:tcW w:w="5000" w:type="pct"/>
            <w:tcBorders>
              <w:top w:val="single" w:sz="4" w:space="0" w:color="auto"/>
              <w:left w:val="single" w:sz="4" w:space="0" w:color="auto"/>
              <w:bottom w:val="single" w:sz="4" w:space="0" w:color="auto"/>
              <w:right w:val="single" w:sz="4" w:space="0" w:color="auto"/>
            </w:tcBorders>
          </w:tcPr>
          <w:p w14:paraId="57D9E532" w14:textId="77777777" w:rsidR="008A3162" w:rsidRPr="00310498" w:rsidRDefault="008A3162" w:rsidP="000213AC">
            <w:pPr>
              <w:pStyle w:val="Tabletext"/>
              <w:keepLines/>
            </w:pPr>
            <w:r w:rsidRPr="00310498">
              <w:rPr>
                <w:b/>
              </w:rPr>
              <w:t xml:space="preserve">Restriction Type: </w:t>
            </w:r>
            <w:r w:rsidRPr="00310498">
              <w:fldChar w:fldCharType="begin" w:fldLock="1">
                <w:ffData>
                  <w:name w:val=""/>
                  <w:enabled/>
                  <w:calcOnExit w:val="0"/>
                  <w:checkBox>
                    <w:sizeAuto/>
                    <w:default w:val="1"/>
                  </w:checkBox>
                </w:ffData>
              </w:fldChar>
            </w:r>
            <w:r w:rsidRPr="00310498">
              <w:instrText xml:space="preserve"> FORMCHECKBOX </w:instrText>
            </w:r>
            <w:r w:rsidRPr="00310498">
              <w:fldChar w:fldCharType="separate"/>
            </w:r>
            <w:r w:rsidRPr="00310498">
              <w:fldChar w:fldCharType="end"/>
            </w:r>
            <w:r w:rsidRPr="00310498">
              <w:t xml:space="preserve"> Authority Required STREAMLINED</w:t>
            </w:r>
          </w:p>
        </w:tc>
      </w:tr>
      <w:tr w:rsidR="008A3162" w:rsidRPr="00310498" w14:paraId="279E7B07" w14:textId="77777777" w:rsidTr="00DE1FEA">
        <w:tc>
          <w:tcPr>
            <w:tcW w:w="5000" w:type="pct"/>
            <w:vAlign w:val="center"/>
          </w:tcPr>
          <w:p w14:paraId="2BF9C244" w14:textId="77777777" w:rsidR="008A3162" w:rsidRPr="00310498" w:rsidRDefault="008A3162" w:rsidP="000213AC">
            <w:pPr>
              <w:pStyle w:val="Tabletext"/>
              <w:keepLines/>
              <w:rPr>
                <w:b/>
                <w:bCs/>
                <w:color w:val="333333"/>
              </w:rPr>
            </w:pPr>
            <w:r w:rsidRPr="00310498">
              <w:rPr>
                <w:b/>
                <w:bCs/>
                <w:color w:val="333333"/>
              </w:rPr>
              <w:t>Severity:</w:t>
            </w:r>
            <w:r w:rsidRPr="00310498">
              <w:rPr>
                <w:color w:val="333333"/>
              </w:rPr>
              <w:t xml:space="preserve"> Advanced, m</w:t>
            </w:r>
            <w:r w:rsidRPr="00310498">
              <w:t>etastatic or recurrent</w:t>
            </w:r>
          </w:p>
        </w:tc>
      </w:tr>
      <w:tr w:rsidR="008A3162" w:rsidRPr="00310498" w14:paraId="5EEBB4E5" w14:textId="77777777" w:rsidTr="00DE1FEA">
        <w:tc>
          <w:tcPr>
            <w:tcW w:w="5000" w:type="pct"/>
            <w:vAlign w:val="center"/>
          </w:tcPr>
          <w:p w14:paraId="05E28A99" w14:textId="77777777" w:rsidR="008A3162" w:rsidRPr="00310498" w:rsidRDefault="008A3162" w:rsidP="000213AC">
            <w:pPr>
              <w:pStyle w:val="Tabletext"/>
              <w:keepLines/>
              <w:rPr>
                <w:b/>
                <w:bCs/>
                <w:color w:val="333333"/>
              </w:rPr>
            </w:pPr>
            <w:r w:rsidRPr="00310498">
              <w:rPr>
                <w:b/>
                <w:bCs/>
                <w:color w:val="333333"/>
              </w:rPr>
              <w:t xml:space="preserve">Condition: </w:t>
            </w:r>
            <w:r w:rsidRPr="00310498">
              <w:rPr>
                <w:color w:val="333333"/>
              </w:rPr>
              <w:t>E</w:t>
            </w:r>
            <w:r w:rsidRPr="00310498">
              <w:rPr>
                <w:bCs/>
                <w:color w:val="333333"/>
              </w:rPr>
              <w:t>ndometrial cancer</w:t>
            </w:r>
          </w:p>
        </w:tc>
      </w:tr>
      <w:tr w:rsidR="008A3162" w:rsidRPr="00310498" w14:paraId="55279951" w14:textId="77777777" w:rsidTr="00DE1FEA">
        <w:tc>
          <w:tcPr>
            <w:tcW w:w="5000" w:type="pct"/>
            <w:vAlign w:val="center"/>
            <w:hideMark/>
          </w:tcPr>
          <w:p w14:paraId="1387A091" w14:textId="77777777" w:rsidR="008A3162" w:rsidRPr="00310498" w:rsidRDefault="008A3162" w:rsidP="000213AC">
            <w:pPr>
              <w:pStyle w:val="Tabletext"/>
              <w:keepLines/>
              <w:rPr>
                <w:color w:val="333333"/>
              </w:rPr>
            </w:pPr>
            <w:r w:rsidRPr="00310498">
              <w:rPr>
                <w:b/>
                <w:bCs/>
                <w:color w:val="333333"/>
              </w:rPr>
              <w:t>Indication:</w:t>
            </w:r>
            <w:r w:rsidRPr="00310498">
              <w:rPr>
                <w:color w:val="333333"/>
              </w:rPr>
              <w:t xml:space="preserve"> Advanced, metastatic or recurrent endometrial cancer</w:t>
            </w:r>
          </w:p>
        </w:tc>
      </w:tr>
      <w:tr w:rsidR="008A3162" w:rsidRPr="00310498" w14:paraId="66EA9634" w14:textId="77777777" w:rsidTr="00DE1FEA">
        <w:tc>
          <w:tcPr>
            <w:tcW w:w="5000" w:type="pct"/>
            <w:tcBorders>
              <w:bottom w:val="single" w:sz="4" w:space="0" w:color="auto"/>
            </w:tcBorders>
            <w:vAlign w:val="center"/>
            <w:hideMark/>
          </w:tcPr>
          <w:p w14:paraId="6B318C91" w14:textId="77777777" w:rsidR="008A3162" w:rsidRPr="00310498" w:rsidRDefault="008A3162" w:rsidP="000213AC">
            <w:pPr>
              <w:pStyle w:val="Tabletext"/>
              <w:keepLines/>
              <w:rPr>
                <w:color w:val="333333"/>
              </w:rPr>
            </w:pPr>
            <w:r w:rsidRPr="00310498">
              <w:rPr>
                <w:b/>
                <w:bCs/>
                <w:color w:val="333333"/>
              </w:rPr>
              <w:t>Treatment Phase:</w:t>
            </w:r>
            <w:r w:rsidRPr="00310498">
              <w:rPr>
                <w:color w:val="333333"/>
              </w:rPr>
              <w:t xml:space="preserve"> Transitioning from non-PBS to PBS subsidised treatment – Grandfather treatment</w:t>
            </w:r>
          </w:p>
        </w:tc>
      </w:tr>
      <w:tr w:rsidR="008A3162" w:rsidRPr="00310498" w14:paraId="6BD42742" w14:textId="77777777" w:rsidTr="00DE1FEA">
        <w:tc>
          <w:tcPr>
            <w:tcW w:w="5000" w:type="pct"/>
            <w:tcBorders>
              <w:bottom w:val="nil"/>
            </w:tcBorders>
            <w:vAlign w:val="center"/>
            <w:hideMark/>
          </w:tcPr>
          <w:p w14:paraId="509128B9" w14:textId="77777777" w:rsidR="008A3162" w:rsidRPr="00310498" w:rsidRDefault="008A3162" w:rsidP="000213AC">
            <w:pPr>
              <w:pStyle w:val="Tabletext"/>
              <w:keepLines/>
              <w:rPr>
                <w:color w:val="333333"/>
              </w:rPr>
            </w:pPr>
            <w:r w:rsidRPr="00310498">
              <w:rPr>
                <w:b/>
                <w:bCs/>
                <w:color w:val="333333"/>
              </w:rPr>
              <w:t>Clinical criteria:</w:t>
            </w:r>
          </w:p>
        </w:tc>
      </w:tr>
      <w:tr w:rsidR="008A3162" w:rsidRPr="00310498" w14:paraId="381F118D" w14:textId="77777777" w:rsidTr="00DE1FEA">
        <w:tc>
          <w:tcPr>
            <w:tcW w:w="5000" w:type="pct"/>
            <w:tcBorders>
              <w:top w:val="nil"/>
              <w:bottom w:val="nil"/>
            </w:tcBorders>
            <w:vAlign w:val="center"/>
            <w:hideMark/>
          </w:tcPr>
          <w:p w14:paraId="44F2F7F3" w14:textId="77777777" w:rsidR="008A3162" w:rsidRPr="00310498" w:rsidRDefault="008A3162" w:rsidP="000213AC">
            <w:pPr>
              <w:pStyle w:val="Tabletext"/>
              <w:keepLines/>
              <w:rPr>
                <w:color w:val="333333"/>
              </w:rPr>
            </w:pPr>
            <w:r w:rsidRPr="00310498">
              <w:rPr>
                <w:color w:val="333333"/>
              </w:rPr>
              <w:t xml:space="preserve">Patient must have evidence of mismatch repair status: either deficient mismatch repair (dMMR) OR proficient mismatch repair (pMMR), as determined by immunohistochemistry test </w:t>
            </w:r>
          </w:p>
        </w:tc>
      </w:tr>
      <w:tr w:rsidR="008A3162" w:rsidRPr="00310498" w14:paraId="2D8FC288" w14:textId="77777777" w:rsidTr="00DE1FEA">
        <w:tc>
          <w:tcPr>
            <w:tcW w:w="5000" w:type="pct"/>
            <w:tcBorders>
              <w:top w:val="nil"/>
              <w:bottom w:val="nil"/>
            </w:tcBorders>
            <w:vAlign w:val="center"/>
            <w:hideMark/>
          </w:tcPr>
          <w:p w14:paraId="1AF113C2" w14:textId="77777777" w:rsidR="008A3162" w:rsidRPr="00310498" w:rsidRDefault="008A3162" w:rsidP="000213AC">
            <w:pPr>
              <w:pStyle w:val="Tabletext"/>
              <w:keepLines/>
              <w:rPr>
                <w:color w:val="333333"/>
              </w:rPr>
            </w:pPr>
            <w:r w:rsidRPr="00310498">
              <w:rPr>
                <w:b/>
                <w:bCs/>
                <w:color w:val="333333"/>
              </w:rPr>
              <w:t>AND</w:t>
            </w:r>
          </w:p>
        </w:tc>
      </w:tr>
      <w:tr w:rsidR="008A3162" w:rsidRPr="00310498" w14:paraId="0B969CF7" w14:textId="77777777" w:rsidTr="00DE1FEA">
        <w:tc>
          <w:tcPr>
            <w:tcW w:w="5000" w:type="pct"/>
            <w:tcBorders>
              <w:top w:val="nil"/>
              <w:bottom w:val="nil"/>
            </w:tcBorders>
            <w:vAlign w:val="center"/>
            <w:hideMark/>
          </w:tcPr>
          <w:p w14:paraId="7F26B910" w14:textId="77777777" w:rsidR="008A3162" w:rsidRPr="00310498" w:rsidRDefault="008A3162" w:rsidP="000213AC">
            <w:pPr>
              <w:pStyle w:val="Tabletext"/>
              <w:keepLines/>
              <w:rPr>
                <w:color w:val="333333"/>
              </w:rPr>
            </w:pPr>
            <w:r w:rsidRPr="00310498">
              <w:rPr>
                <w:color w:val="333333"/>
              </w:rPr>
              <w:t>The patient must have received non-PBS subsidised treatment with this drug for this condition prior to (PBS list date)</w:t>
            </w:r>
          </w:p>
        </w:tc>
      </w:tr>
      <w:tr w:rsidR="008A3162" w:rsidRPr="00310498" w14:paraId="0EABD80C" w14:textId="77777777" w:rsidTr="00DE1FEA">
        <w:tc>
          <w:tcPr>
            <w:tcW w:w="5000" w:type="pct"/>
            <w:tcBorders>
              <w:top w:val="nil"/>
              <w:bottom w:val="nil"/>
            </w:tcBorders>
            <w:vAlign w:val="center"/>
          </w:tcPr>
          <w:p w14:paraId="2C1076D7" w14:textId="77777777" w:rsidR="008A3162" w:rsidRPr="00310498" w:rsidRDefault="008A3162" w:rsidP="000213AC">
            <w:pPr>
              <w:pStyle w:val="Tabletext"/>
              <w:keepLines/>
              <w:rPr>
                <w:color w:val="333333"/>
              </w:rPr>
            </w:pPr>
            <w:r w:rsidRPr="00310498">
              <w:rPr>
                <w:b/>
                <w:bCs/>
                <w:color w:val="333333"/>
              </w:rPr>
              <w:t>AND</w:t>
            </w:r>
          </w:p>
        </w:tc>
      </w:tr>
      <w:tr w:rsidR="008A3162" w:rsidRPr="00310498" w14:paraId="2D16F24D" w14:textId="77777777" w:rsidTr="00DE1FEA">
        <w:tc>
          <w:tcPr>
            <w:tcW w:w="5000" w:type="pct"/>
            <w:tcBorders>
              <w:top w:val="nil"/>
              <w:bottom w:val="nil"/>
            </w:tcBorders>
            <w:vAlign w:val="center"/>
          </w:tcPr>
          <w:p w14:paraId="718BF1D7" w14:textId="77777777" w:rsidR="008A3162" w:rsidRPr="00310498" w:rsidRDefault="008A3162" w:rsidP="000213AC">
            <w:pPr>
              <w:pStyle w:val="Tabletext"/>
              <w:keepLines/>
              <w:rPr>
                <w:color w:val="333333"/>
              </w:rPr>
            </w:pPr>
            <w:r w:rsidRPr="00310498">
              <w:rPr>
                <w:color w:val="333333"/>
              </w:rPr>
              <w:t>The condition must be, prior to initiation of non-PBS subsidised treatment with this drug, unsuitable for at least one of:</w:t>
            </w:r>
          </w:p>
          <w:p w14:paraId="20C9A8C3" w14:textId="77777777" w:rsidR="008A3162" w:rsidRPr="00310498" w:rsidRDefault="008A3162" w:rsidP="000213AC">
            <w:pPr>
              <w:pStyle w:val="Tabletext"/>
              <w:keepLines/>
              <w:rPr>
                <w:color w:val="333333"/>
              </w:rPr>
            </w:pPr>
            <w:r w:rsidRPr="00310498">
              <w:rPr>
                <w:color w:val="333333"/>
              </w:rPr>
              <w:t>1)</w:t>
            </w:r>
            <w:r w:rsidRPr="00310498">
              <w:rPr>
                <w:color w:val="333333"/>
              </w:rPr>
              <w:tab/>
              <w:t>Curative surgical resection AND/OR</w:t>
            </w:r>
          </w:p>
          <w:p w14:paraId="735C0ACB" w14:textId="77777777" w:rsidR="008A3162" w:rsidRPr="00310498" w:rsidRDefault="008A3162" w:rsidP="000213AC">
            <w:pPr>
              <w:pStyle w:val="Tabletext"/>
              <w:keepLines/>
              <w:rPr>
                <w:b/>
                <w:bCs/>
                <w:color w:val="333333"/>
              </w:rPr>
            </w:pPr>
            <w:r w:rsidRPr="00310498">
              <w:rPr>
                <w:color w:val="333333"/>
              </w:rPr>
              <w:t>2)</w:t>
            </w:r>
            <w:r w:rsidRPr="00310498">
              <w:rPr>
                <w:color w:val="333333"/>
              </w:rPr>
              <w:tab/>
              <w:t>Curative radiotherapy</w:t>
            </w:r>
          </w:p>
        </w:tc>
      </w:tr>
      <w:tr w:rsidR="008A3162" w:rsidRPr="00310498" w14:paraId="760F05C0" w14:textId="77777777" w:rsidTr="00DE1FEA">
        <w:tc>
          <w:tcPr>
            <w:tcW w:w="5000" w:type="pct"/>
            <w:tcBorders>
              <w:top w:val="nil"/>
              <w:bottom w:val="nil"/>
            </w:tcBorders>
            <w:vAlign w:val="center"/>
          </w:tcPr>
          <w:p w14:paraId="645A44D2" w14:textId="77777777" w:rsidR="008A3162" w:rsidRPr="00310498" w:rsidRDefault="008A3162" w:rsidP="000213AC">
            <w:pPr>
              <w:pStyle w:val="Tabletext"/>
              <w:keepLines/>
              <w:rPr>
                <w:b/>
                <w:bCs/>
                <w:color w:val="333333"/>
              </w:rPr>
            </w:pPr>
            <w:r w:rsidRPr="00310498">
              <w:rPr>
                <w:b/>
                <w:bCs/>
                <w:color w:val="333333"/>
              </w:rPr>
              <w:t>AND</w:t>
            </w:r>
          </w:p>
        </w:tc>
      </w:tr>
      <w:tr w:rsidR="008A3162" w:rsidRPr="00310498" w14:paraId="2F65A868" w14:textId="77777777" w:rsidTr="00DE1FEA">
        <w:tc>
          <w:tcPr>
            <w:tcW w:w="5000" w:type="pct"/>
            <w:tcBorders>
              <w:top w:val="nil"/>
              <w:bottom w:val="nil"/>
            </w:tcBorders>
            <w:vAlign w:val="center"/>
          </w:tcPr>
          <w:p w14:paraId="395C924F" w14:textId="77777777" w:rsidR="008A3162" w:rsidRPr="00310498" w:rsidRDefault="008A3162" w:rsidP="000213AC">
            <w:pPr>
              <w:pStyle w:val="Tabletext"/>
              <w:keepLines/>
              <w:rPr>
                <w:color w:val="333333"/>
              </w:rPr>
            </w:pPr>
            <w:r w:rsidRPr="00310498">
              <w:rPr>
                <w:color w:val="333333"/>
              </w:rPr>
              <w:t>The treatment must be, at initiation of non-PBS-subsidised treatment with this drug, used in combination with platinum-containing chemotherapy</w:t>
            </w:r>
          </w:p>
        </w:tc>
      </w:tr>
      <w:tr w:rsidR="008A3162" w:rsidRPr="00310498" w14:paraId="47D1CBAF" w14:textId="77777777" w:rsidTr="00DE1FEA">
        <w:tc>
          <w:tcPr>
            <w:tcW w:w="5000" w:type="pct"/>
            <w:tcBorders>
              <w:top w:val="nil"/>
              <w:bottom w:val="nil"/>
            </w:tcBorders>
            <w:vAlign w:val="center"/>
          </w:tcPr>
          <w:p w14:paraId="69FA7119" w14:textId="77777777" w:rsidR="008A3162" w:rsidRPr="00310498" w:rsidRDefault="008A3162" w:rsidP="000213AC">
            <w:pPr>
              <w:pStyle w:val="Tabletext"/>
              <w:keepLines/>
              <w:rPr>
                <w:b/>
                <w:bCs/>
                <w:color w:val="333333"/>
              </w:rPr>
            </w:pPr>
            <w:r w:rsidRPr="00310498">
              <w:rPr>
                <w:b/>
                <w:bCs/>
                <w:color w:val="333333"/>
              </w:rPr>
              <w:t>AND</w:t>
            </w:r>
          </w:p>
        </w:tc>
      </w:tr>
      <w:tr w:rsidR="008A3162" w:rsidRPr="00310498" w14:paraId="56A7BF67" w14:textId="77777777" w:rsidTr="00DE1FEA">
        <w:tc>
          <w:tcPr>
            <w:tcW w:w="5000" w:type="pct"/>
            <w:tcBorders>
              <w:top w:val="nil"/>
              <w:bottom w:val="nil"/>
            </w:tcBorders>
            <w:shd w:val="clear" w:color="auto" w:fill="auto"/>
            <w:vAlign w:val="center"/>
            <w:hideMark/>
          </w:tcPr>
          <w:p w14:paraId="567FDF3A" w14:textId="77777777" w:rsidR="008A3162" w:rsidRPr="00310498" w:rsidRDefault="008A3162" w:rsidP="000213AC">
            <w:pPr>
              <w:pStyle w:val="Tabletext"/>
              <w:keepLines/>
              <w:rPr>
                <w:color w:val="333333"/>
              </w:rPr>
            </w:pPr>
            <w:r w:rsidRPr="00310498">
              <w:rPr>
                <w:color w:val="333333"/>
              </w:rPr>
              <w:t>The condition must be, prior to initiation of non-PBS-subsidised treatment with this drug, either:</w:t>
            </w:r>
          </w:p>
          <w:p w14:paraId="02A38812" w14:textId="77777777" w:rsidR="008A3162" w:rsidRPr="00310498" w:rsidRDefault="008A3162" w:rsidP="000213AC">
            <w:pPr>
              <w:pStyle w:val="Tabletext"/>
              <w:keepLines/>
              <w:rPr>
                <w:color w:val="333333"/>
              </w:rPr>
            </w:pPr>
            <w:r w:rsidRPr="00310498">
              <w:rPr>
                <w:color w:val="333333"/>
              </w:rPr>
              <w:t>Untreated with systemic therapy</w:t>
            </w:r>
          </w:p>
        </w:tc>
      </w:tr>
      <w:tr w:rsidR="008A3162" w:rsidRPr="00310498" w14:paraId="0C07B057" w14:textId="77777777" w:rsidTr="00DE1FEA">
        <w:tc>
          <w:tcPr>
            <w:tcW w:w="5000" w:type="pct"/>
            <w:tcBorders>
              <w:top w:val="nil"/>
              <w:bottom w:val="nil"/>
            </w:tcBorders>
            <w:vAlign w:val="center"/>
          </w:tcPr>
          <w:p w14:paraId="7C66BA58" w14:textId="77777777" w:rsidR="008A3162" w:rsidRPr="00310498" w:rsidRDefault="008A3162" w:rsidP="000213AC">
            <w:pPr>
              <w:pStyle w:val="Tabletext"/>
              <w:keepLines/>
              <w:rPr>
                <w:b/>
                <w:bCs/>
                <w:color w:val="333333"/>
              </w:rPr>
            </w:pPr>
            <w:r w:rsidRPr="00310498">
              <w:rPr>
                <w:b/>
                <w:bCs/>
                <w:color w:val="333333"/>
              </w:rPr>
              <w:t>OR</w:t>
            </w:r>
          </w:p>
        </w:tc>
      </w:tr>
      <w:tr w:rsidR="008A3162" w:rsidRPr="00310498" w14:paraId="37A6EB50" w14:textId="77777777" w:rsidTr="00DE1FEA">
        <w:tc>
          <w:tcPr>
            <w:tcW w:w="5000" w:type="pct"/>
            <w:tcBorders>
              <w:top w:val="nil"/>
              <w:bottom w:val="nil"/>
            </w:tcBorders>
            <w:vAlign w:val="center"/>
          </w:tcPr>
          <w:p w14:paraId="1E04C283" w14:textId="77777777" w:rsidR="008A3162" w:rsidRPr="00310498" w:rsidRDefault="008A3162" w:rsidP="000213AC">
            <w:pPr>
              <w:pStyle w:val="Tabletext"/>
              <w:keepLines/>
              <w:rPr>
                <w:color w:val="333333"/>
              </w:rPr>
            </w:pPr>
            <w:r w:rsidRPr="00310498">
              <w:rPr>
                <w:color w:val="333333"/>
              </w:rPr>
              <w:t>Treated with adjuvant systemic therapy, but the cancer has recurred or progressed</w:t>
            </w:r>
          </w:p>
        </w:tc>
      </w:tr>
      <w:tr w:rsidR="008A3162" w:rsidRPr="00310498" w14:paraId="670D9F00" w14:textId="77777777" w:rsidTr="00DE1FEA">
        <w:tc>
          <w:tcPr>
            <w:tcW w:w="5000" w:type="pct"/>
            <w:tcBorders>
              <w:top w:val="nil"/>
              <w:bottom w:val="nil"/>
            </w:tcBorders>
            <w:vAlign w:val="center"/>
          </w:tcPr>
          <w:p w14:paraId="199E4018" w14:textId="77777777" w:rsidR="008A3162" w:rsidRPr="00310498" w:rsidRDefault="008A3162" w:rsidP="000213AC">
            <w:pPr>
              <w:pStyle w:val="Tabletext"/>
              <w:keepLines/>
              <w:rPr>
                <w:b/>
                <w:bCs/>
                <w:color w:val="333333"/>
              </w:rPr>
            </w:pPr>
            <w:r w:rsidRPr="00310498">
              <w:rPr>
                <w:b/>
                <w:bCs/>
                <w:color w:val="333333"/>
              </w:rPr>
              <w:t xml:space="preserve">AND </w:t>
            </w:r>
          </w:p>
        </w:tc>
      </w:tr>
      <w:tr w:rsidR="008A3162" w:rsidRPr="00310498" w14:paraId="72505CAF" w14:textId="77777777" w:rsidTr="00DE1FEA">
        <w:tc>
          <w:tcPr>
            <w:tcW w:w="5000" w:type="pct"/>
            <w:tcBorders>
              <w:top w:val="nil"/>
              <w:bottom w:val="nil"/>
            </w:tcBorders>
            <w:vAlign w:val="center"/>
          </w:tcPr>
          <w:p w14:paraId="1099AB61" w14:textId="77777777" w:rsidR="008A3162" w:rsidRPr="00310498" w:rsidRDefault="008A3162" w:rsidP="000213AC">
            <w:pPr>
              <w:pStyle w:val="Tabletext"/>
              <w:keepLines/>
              <w:rPr>
                <w:color w:val="333333"/>
              </w:rPr>
            </w:pPr>
            <w:r w:rsidRPr="00310498">
              <w:rPr>
                <w:color w:val="333333"/>
              </w:rPr>
              <w:t>Patient must not have developed disease progression while receiving non-PBS subsidised treatment with this drug for this condition</w:t>
            </w:r>
          </w:p>
        </w:tc>
      </w:tr>
      <w:tr w:rsidR="008A3162" w:rsidRPr="00310498" w14:paraId="04BF0B37" w14:textId="77777777" w:rsidTr="00DE1FEA">
        <w:tc>
          <w:tcPr>
            <w:tcW w:w="5000" w:type="pct"/>
            <w:tcBorders>
              <w:top w:val="nil"/>
              <w:bottom w:val="nil"/>
            </w:tcBorders>
            <w:vAlign w:val="center"/>
          </w:tcPr>
          <w:p w14:paraId="1000AB79" w14:textId="77777777" w:rsidR="008A3162" w:rsidRPr="00310498" w:rsidRDefault="008A3162" w:rsidP="000213AC">
            <w:pPr>
              <w:pStyle w:val="Tabletext"/>
              <w:keepLines/>
              <w:rPr>
                <w:b/>
                <w:bCs/>
                <w:color w:val="333333"/>
              </w:rPr>
            </w:pPr>
            <w:r w:rsidRPr="00310498">
              <w:rPr>
                <w:b/>
                <w:bCs/>
                <w:color w:val="333333"/>
              </w:rPr>
              <w:t>AND</w:t>
            </w:r>
          </w:p>
        </w:tc>
      </w:tr>
      <w:tr w:rsidR="008A3162" w:rsidRPr="00310498" w14:paraId="07A729CB" w14:textId="77777777" w:rsidTr="00DE1FEA">
        <w:tc>
          <w:tcPr>
            <w:tcW w:w="5000" w:type="pct"/>
            <w:tcBorders>
              <w:top w:val="nil"/>
            </w:tcBorders>
            <w:vAlign w:val="center"/>
          </w:tcPr>
          <w:p w14:paraId="301DF0AF" w14:textId="77777777" w:rsidR="008A3162" w:rsidRPr="00310498" w:rsidRDefault="008A3162" w:rsidP="000213AC">
            <w:pPr>
              <w:pStyle w:val="Tabletext"/>
              <w:keepLines/>
              <w:rPr>
                <w:color w:val="333333"/>
              </w:rPr>
            </w:pPr>
            <w:r w:rsidRPr="00310498">
              <w:rPr>
                <w:color w:val="333333"/>
              </w:rPr>
              <w:lastRenderedPageBreak/>
              <w:t>Patient must have had, at the time of initiating with this drug, a World Health Organisation (WHO) Eastern Cooperative Oncology Group (ECOG) performance status no higher than 1</w:t>
            </w:r>
          </w:p>
        </w:tc>
      </w:tr>
      <w:tr w:rsidR="008A3162" w:rsidRPr="00310498" w14:paraId="60F2467E" w14:textId="77777777" w:rsidTr="00DE1FEA">
        <w:tc>
          <w:tcPr>
            <w:tcW w:w="5000" w:type="pct"/>
            <w:vAlign w:val="center"/>
          </w:tcPr>
          <w:p w14:paraId="32FAF769" w14:textId="77777777" w:rsidR="008A3162" w:rsidRPr="00310498" w:rsidRDefault="008A3162" w:rsidP="000213AC">
            <w:pPr>
              <w:pStyle w:val="Tabletext"/>
              <w:keepLines/>
              <w:rPr>
                <w:color w:val="333333"/>
              </w:rPr>
            </w:pPr>
            <w:r w:rsidRPr="00310498">
              <w:rPr>
                <w:b/>
                <w:bCs/>
                <w:color w:val="333333"/>
              </w:rPr>
              <w:t>Note:</w:t>
            </w:r>
            <w:r w:rsidRPr="00310498">
              <w:rPr>
                <w:color w:val="333333"/>
              </w:rPr>
              <w:t xml:space="preserve"> Patients may qualify for PBS-subsidised treatment under this restriction once only. For continuing PBS-subsidised treatment, a 'Grandfathered' patient must qualify under the 'Continuing treatment' criteria</w:t>
            </w:r>
          </w:p>
        </w:tc>
      </w:tr>
      <w:tr w:rsidR="008A3162" w:rsidRPr="00310498" w14:paraId="6362460A" w14:textId="77777777" w:rsidTr="00DE1FEA">
        <w:tc>
          <w:tcPr>
            <w:tcW w:w="5000" w:type="pct"/>
            <w:vAlign w:val="center"/>
          </w:tcPr>
          <w:p w14:paraId="49873753" w14:textId="77777777" w:rsidR="008A3162" w:rsidRPr="00310498" w:rsidRDefault="008A3162" w:rsidP="000213AC">
            <w:pPr>
              <w:pStyle w:val="Tabletext"/>
              <w:keepLines/>
              <w:rPr>
                <w:color w:val="333333"/>
              </w:rPr>
            </w:pPr>
            <w:r w:rsidRPr="00310498">
              <w:rPr>
                <w:b/>
                <w:bCs/>
                <w:color w:val="333333"/>
              </w:rPr>
              <w:t>Note:</w:t>
            </w:r>
            <w:r w:rsidRPr="00310498">
              <w:rPr>
                <w:color w:val="333333"/>
              </w:rPr>
              <w:t xml:space="preserve"> This grandfather restriction will cease to operate from 12 months after the date specified in the clinical criteria.</w:t>
            </w:r>
          </w:p>
        </w:tc>
      </w:tr>
    </w:tbl>
    <w:p w14:paraId="47C57B51" w14:textId="7E355E2C" w:rsidR="009B3748" w:rsidRPr="00310498" w:rsidRDefault="008A3162" w:rsidP="000213AC">
      <w:pPr>
        <w:pStyle w:val="TableFigureFooter"/>
      </w:pPr>
      <w:r w:rsidRPr="00310498">
        <w:t>Source: Table 1.8, p 39 of the submission.</w:t>
      </w:r>
    </w:p>
    <w:p w14:paraId="00856767" w14:textId="77777777" w:rsidR="008A3162" w:rsidRPr="00310498" w:rsidRDefault="008A3162" w:rsidP="000213AC">
      <w:pPr>
        <w:pStyle w:val="TableFigureHeading"/>
        <w:spacing w:before="0"/>
        <w:rPr>
          <w:rStyle w:val="CommentReference"/>
          <w:b/>
          <w:szCs w:val="24"/>
        </w:rPr>
      </w:pPr>
      <w:r w:rsidRPr="00310498">
        <w:rPr>
          <w:rStyle w:val="CommentReference"/>
          <w:b/>
          <w:szCs w:val="24"/>
        </w:rPr>
        <w:t>Requested restriction – olaparib, grandfathering</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8"/>
      </w:tblGrid>
      <w:tr w:rsidR="008A3162" w:rsidRPr="00310498" w14:paraId="623C04D8" w14:textId="77777777" w:rsidTr="00DE1FEA">
        <w:tc>
          <w:tcPr>
            <w:tcW w:w="5000" w:type="pct"/>
            <w:tcBorders>
              <w:top w:val="single" w:sz="4" w:space="0" w:color="auto"/>
              <w:left w:val="single" w:sz="4" w:space="0" w:color="auto"/>
              <w:bottom w:val="single" w:sz="4" w:space="0" w:color="auto"/>
              <w:right w:val="single" w:sz="4" w:space="0" w:color="auto"/>
            </w:tcBorders>
          </w:tcPr>
          <w:p w14:paraId="18DC9B3C" w14:textId="77777777" w:rsidR="008A3162" w:rsidRPr="00310498" w:rsidRDefault="008A3162" w:rsidP="00501C31">
            <w:pPr>
              <w:pStyle w:val="Tabletext"/>
              <w:keepNext/>
            </w:pPr>
            <w:r w:rsidRPr="00310498">
              <w:rPr>
                <w:b/>
              </w:rPr>
              <w:t xml:space="preserve">Category / Program: </w:t>
            </w:r>
            <w:r w:rsidRPr="00310498">
              <w:rPr>
                <w:bCs/>
              </w:rPr>
              <w:t>GENERAL – General Schedule</w:t>
            </w:r>
          </w:p>
        </w:tc>
      </w:tr>
      <w:tr w:rsidR="008A3162" w:rsidRPr="00310498" w14:paraId="1DDEE95B" w14:textId="77777777" w:rsidTr="00DE1FEA">
        <w:tc>
          <w:tcPr>
            <w:tcW w:w="5000" w:type="pct"/>
            <w:tcBorders>
              <w:top w:val="single" w:sz="4" w:space="0" w:color="auto"/>
              <w:left w:val="single" w:sz="4" w:space="0" w:color="auto"/>
              <w:bottom w:val="single" w:sz="4" w:space="0" w:color="auto"/>
              <w:right w:val="single" w:sz="4" w:space="0" w:color="auto"/>
            </w:tcBorders>
          </w:tcPr>
          <w:p w14:paraId="3392B2B7" w14:textId="77777777" w:rsidR="008A3162" w:rsidRPr="00310498" w:rsidRDefault="008A3162" w:rsidP="00501C31">
            <w:pPr>
              <w:pStyle w:val="Tabletext"/>
              <w:keepNext/>
              <w:rPr>
                <w:b/>
              </w:rPr>
            </w:pPr>
            <w:r w:rsidRPr="00310498">
              <w:rPr>
                <w:b/>
              </w:rPr>
              <w:t xml:space="preserve">Prescriber type: </w:t>
            </w:r>
            <w:r w:rsidRPr="00310498">
              <w:fldChar w:fldCharType="begin" w:fldLock="1">
                <w:ffData>
                  <w:name w:val=""/>
                  <w:enabled/>
                  <w:calcOnExit w:val="0"/>
                  <w:checkBox>
                    <w:sizeAuto/>
                    <w:default w:val="1"/>
                  </w:checkBox>
                </w:ffData>
              </w:fldChar>
            </w:r>
            <w:r w:rsidRPr="00310498">
              <w:instrText xml:space="preserve"> FORMCHECKBOX </w:instrText>
            </w:r>
            <w:r w:rsidRPr="00310498">
              <w:fldChar w:fldCharType="separate"/>
            </w:r>
            <w:r w:rsidRPr="00310498">
              <w:fldChar w:fldCharType="end"/>
            </w:r>
            <w:r w:rsidRPr="00310498">
              <w:t>Medical Practitioners</w:t>
            </w:r>
          </w:p>
        </w:tc>
      </w:tr>
      <w:tr w:rsidR="008A3162" w:rsidRPr="00310498" w14:paraId="38E54F6D" w14:textId="77777777" w:rsidTr="00DE1FEA">
        <w:tc>
          <w:tcPr>
            <w:tcW w:w="5000" w:type="pct"/>
            <w:tcBorders>
              <w:top w:val="single" w:sz="4" w:space="0" w:color="auto"/>
              <w:left w:val="single" w:sz="4" w:space="0" w:color="auto"/>
              <w:bottom w:val="single" w:sz="4" w:space="0" w:color="auto"/>
              <w:right w:val="single" w:sz="4" w:space="0" w:color="auto"/>
            </w:tcBorders>
          </w:tcPr>
          <w:p w14:paraId="0BAAF77E" w14:textId="77777777" w:rsidR="008A3162" w:rsidRPr="00310498" w:rsidRDefault="008A3162" w:rsidP="00501C31">
            <w:pPr>
              <w:pStyle w:val="Tabletext"/>
              <w:keepNext/>
            </w:pPr>
            <w:r w:rsidRPr="00310498">
              <w:rPr>
                <w:b/>
              </w:rPr>
              <w:t xml:space="preserve">Restriction Type: </w:t>
            </w:r>
            <w:r w:rsidRPr="00310498">
              <w:fldChar w:fldCharType="begin" w:fldLock="1">
                <w:ffData>
                  <w:name w:val=""/>
                  <w:enabled/>
                  <w:calcOnExit w:val="0"/>
                  <w:checkBox>
                    <w:sizeAuto/>
                    <w:default w:val="1"/>
                  </w:checkBox>
                </w:ffData>
              </w:fldChar>
            </w:r>
            <w:r w:rsidRPr="00310498">
              <w:instrText xml:space="preserve"> FORMCHECKBOX </w:instrText>
            </w:r>
            <w:r w:rsidRPr="00310498">
              <w:fldChar w:fldCharType="separate"/>
            </w:r>
            <w:r w:rsidRPr="00310498">
              <w:fldChar w:fldCharType="end"/>
            </w:r>
            <w:r w:rsidRPr="00310498">
              <w:t xml:space="preserve"> Authority Required STREAMLINED</w:t>
            </w:r>
          </w:p>
        </w:tc>
      </w:tr>
      <w:tr w:rsidR="008A3162" w:rsidRPr="00310498" w14:paraId="30D94254" w14:textId="77777777" w:rsidTr="00DE1FEA">
        <w:tc>
          <w:tcPr>
            <w:tcW w:w="5000" w:type="pct"/>
            <w:vAlign w:val="center"/>
          </w:tcPr>
          <w:p w14:paraId="5024DA58" w14:textId="77777777" w:rsidR="008A3162" w:rsidRPr="00310498" w:rsidRDefault="008A3162" w:rsidP="00501C31">
            <w:pPr>
              <w:pStyle w:val="Tabletext"/>
              <w:keepNext/>
              <w:rPr>
                <w:b/>
                <w:bCs/>
                <w:color w:val="333333"/>
              </w:rPr>
            </w:pPr>
            <w:r w:rsidRPr="00310498">
              <w:rPr>
                <w:b/>
                <w:bCs/>
                <w:color w:val="333333"/>
              </w:rPr>
              <w:t>Severity:</w:t>
            </w:r>
            <w:r w:rsidRPr="00310498">
              <w:rPr>
                <w:color w:val="333333"/>
              </w:rPr>
              <w:t xml:space="preserve"> Advanced, m</w:t>
            </w:r>
            <w:r w:rsidRPr="00310498">
              <w:t>etastatic or recurrent</w:t>
            </w:r>
          </w:p>
        </w:tc>
      </w:tr>
      <w:tr w:rsidR="008A3162" w:rsidRPr="00310498" w14:paraId="35EB51E4" w14:textId="77777777" w:rsidTr="00DE1FEA">
        <w:tc>
          <w:tcPr>
            <w:tcW w:w="5000" w:type="pct"/>
            <w:vAlign w:val="center"/>
          </w:tcPr>
          <w:p w14:paraId="19D25A9F" w14:textId="77777777" w:rsidR="008A3162" w:rsidRPr="00310498" w:rsidRDefault="008A3162" w:rsidP="00501C31">
            <w:pPr>
              <w:pStyle w:val="Tabletext"/>
              <w:keepNext/>
              <w:rPr>
                <w:b/>
                <w:bCs/>
                <w:color w:val="333333"/>
              </w:rPr>
            </w:pPr>
            <w:r w:rsidRPr="00310498">
              <w:rPr>
                <w:b/>
                <w:bCs/>
                <w:color w:val="333333"/>
              </w:rPr>
              <w:t xml:space="preserve">Condition: </w:t>
            </w:r>
            <w:r w:rsidRPr="00310498">
              <w:rPr>
                <w:color w:val="333333"/>
              </w:rPr>
              <w:t>E</w:t>
            </w:r>
            <w:r w:rsidRPr="00310498">
              <w:rPr>
                <w:bCs/>
                <w:color w:val="333333"/>
              </w:rPr>
              <w:t>ndometrial cancer</w:t>
            </w:r>
          </w:p>
        </w:tc>
      </w:tr>
      <w:tr w:rsidR="008A3162" w:rsidRPr="00310498" w14:paraId="72C79CCB" w14:textId="77777777" w:rsidTr="00DE1FEA">
        <w:tc>
          <w:tcPr>
            <w:tcW w:w="5000" w:type="pct"/>
            <w:vAlign w:val="center"/>
            <w:hideMark/>
          </w:tcPr>
          <w:p w14:paraId="1FB16049" w14:textId="77777777" w:rsidR="008A3162" w:rsidRPr="00310498" w:rsidRDefault="008A3162" w:rsidP="00501C31">
            <w:pPr>
              <w:pStyle w:val="Tabletext"/>
              <w:keepNext/>
              <w:rPr>
                <w:color w:val="333333"/>
              </w:rPr>
            </w:pPr>
            <w:r w:rsidRPr="00310498">
              <w:rPr>
                <w:b/>
                <w:bCs/>
                <w:color w:val="333333"/>
              </w:rPr>
              <w:t>Indication:</w:t>
            </w:r>
            <w:r w:rsidRPr="00310498">
              <w:rPr>
                <w:color w:val="333333"/>
              </w:rPr>
              <w:t xml:space="preserve"> Advanced, metastatic or recurrent endometrial cancer</w:t>
            </w:r>
          </w:p>
        </w:tc>
      </w:tr>
      <w:tr w:rsidR="008A3162" w:rsidRPr="00310498" w14:paraId="4C3A5CF9" w14:textId="77777777" w:rsidTr="00DE1FEA">
        <w:tc>
          <w:tcPr>
            <w:tcW w:w="5000" w:type="pct"/>
            <w:tcBorders>
              <w:bottom w:val="single" w:sz="4" w:space="0" w:color="auto"/>
            </w:tcBorders>
            <w:vAlign w:val="center"/>
            <w:hideMark/>
          </w:tcPr>
          <w:p w14:paraId="6ED71480" w14:textId="77777777" w:rsidR="008A3162" w:rsidRPr="00310498" w:rsidRDefault="008A3162" w:rsidP="00501C31">
            <w:pPr>
              <w:pStyle w:val="Tabletext"/>
              <w:keepNext/>
              <w:rPr>
                <w:color w:val="333333"/>
              </w:rPr>
            </w:pPr>
            <w:r w:rsidRPr="00310498">
              <w:rPr>
                <w:b/>
                <w:bCs/>
                <w:color w:val="333333"/>
              </w:rPr>
              <w:t>Treatment Phase:</w:t>
            </w:r>
            <w:r w:rsidRPr="00310498">
              <w:rPr>
                <w:color w:val="333333"/>
              </w:rPr>
              <w:t xml:space="preserve"> Transitioning from non-PBS to PBS subsidised treatment – Grandfather treatment</w:t>
            </w:r>
          </w:p>
        </w:tc>
      </w:tr>
      <w:tr w:rsidR="008A3162" w:rsidRPr="00310498" w14:paraId="02F26BC9" w14:textId="77777777" w:rsidTr="00DE1FEA">
        <w:tc>
          <w:tcPr>
            <w:tcW w:w="5000" w:type="pct"/>
            <w:tcBorders>
              <w:bottom w:val="nil"/>
            </w:tcBorders>
            <w:vAlign w:val="center"/>
            <w:hideMark/>
          </w:tcPr>
          <w:p w14:paraId="760D9AA4" w14:textId="77777777" w:rsidR="008A3162" w:rsidRPr="00310498" w:rsidRDefault="008A3162" w:rsidP="00501C31">
            <w:pPr>
              <w:pStyle w:val="Tabletext"/>
              <w:keepNext/>
              <w:rPr>
                <w:color w:val="333333"/>
              </w:rPr>
            </w:pPr>
            <w:r w:rsidRPr="00310498">
              <w:rPr>
                <w:b/>
                <w:bCs/>
                <w:color w:val="333333"/>
              </w:rPr>
              <w:t>Clinical criteria:</w:t>
            </w:r>
          </w:p>
        </w:tc>
      </w:tr>
      <w:tr w:rsidR="008A3162" w:rsidRPr="00310498" w14:paraId="71CAB6D8" w14:textId="77777777" w:rsidTr="00DE1FEA">
        <w:tc>
          <w:tcPr>
            <w:tcW w:w="5000" w:type="pct"/>
            <w:tcBorders>
              <w:top w:val="nil"/>
              <w:bottom w:val="nil"/>
            </w:tcBorders>
            <w:vAlign w:val="center"/>
            <w:hideMark/>
          </w:tcPr>
          <w:p w14:paraId="291DA835" w14:textId="77777777" w:rsidR="008A3162" w:rsidRPr="00310498" w:rsidRDefault="008A3162" w:rsidP="00501C31">
            <w:pPr>
              <w:pStyle w:val="Tabletext"/>
              <w:keepNext/>
              <w:rPr>
                <w:color w:val="333333"/>
              </w:rPr>
            </w:pPr>
            <w:r w:rsidRPr="00310498">
              <w:rPr>
                <w:color w:val="333333"/>
              </w:rPr>
              <w:t xml:space="preserve">Patient must have evidence of proficient mismatch repair (pMMR) endometrial cancer, as determined by immunohistochemistry test </w:t>
            </w:r>
          </w:p>
        </w:tc>
      </w:tr>
      <w:tr w:rsidR="008A3162" w:rsidRPr="00310498" w14:paraId="00958A3D" w14:textId="77777777" w:rsidTr="00DE1FEA">
        <w:tc>
          <w:tcPr>
            <w:tcW w:w="5000" w:type="pct"/>
            <w:tcBorders>
              <w:top w:val="nil"/>
              <w:bottom w:val="nil"/>
            </w:tcBorders>
            <w:vAlign w:val="center"/>
            <w:hideMark/>
          </w:tcPr>
          <w:p w14:paraId="08D57927" w14:textId="77777777" w:rsidR="008A3162" w:rsidRPr="00310498" w:rsidRDefault="008A3162" w:rsidP="00501C31">
            <w:pPr>
              <w:pStyle w:val="Tabletext"/>
              <w:keepNext/>
              <w:rPr>
                <w:color w:val="333333"/>
              </w:rPr>
            </w:pPr>
            <w:r w:rsidRPr="00310498">
              <w:rPr>
                <w:b/>
                <w:bCs/>
                <w:color w:val="333333"/>
              </w:rPr>
              <w:t>AND</w:t>
            </w:r>
          </w:p>
        </w:tc>
      </w:tr>
      <w:tr w:rsidR="008A3162" w:rsidRPr="00310498" w14:paraId="0280516F" w14:textId="77777777" w:rsidTr="00DE1FEA">
        <w:tc>
          <w:tcPr>
            <w:tcW w:w="5000" w:type="pct"/>
            <w:tcBorders>
              <w:top w:val="nil"/>
              <w:bottom w:val="nil"/>
            </w:tcBorders>
            <w:vAlign w:val="center"/>
            <w:hideMark/>
          </w:tcPr>
          <w:p w14:paraId="03E4FB10" w14:textId="77777777" w:rsidR="008A3162" w:rsidRPr="00310498" w:rsidRDefault="008A3162" w:rsidP="00501C31">
            <w:pPr>
              <w:pStyle w:val="Tabletext"/>
              <w:keepNext/>
              <w:rPr>
                <w:color w:val="333333"/>
              </w:rPr>
            </w:pPr>
            <w:r w:rsidRPr="00310498">
              <w:rPr>
                <w:color w:val="333333"/>
              </w:rPr>
              <w:t>The patient must have received non-PBS subsidised treatment with this drug for this condition prior to (PBS list date)</w:t>
            </w:r>
          </w:p>
        </w:tc>
      </w:tr>
      <w:tr w:rsidR="008A3162" w:rsidRPr="00310498" w14:paraId="726975CB" w14:textId="77777777" w:rsidTr="00DE1FEA">
        <w:tc>
          <w:tcPr>
            <w:tcW w:w="5000" w:type="pct"/>
            <w:tcBorders>
              <w:top w:val="nil"/>
              <w:bottom w:val="nil"/>
            </w:tcBorders>
            <w:vAlign w:val="center"/>
          </w:tcPr>
          <w:p w14:paraId="0FC0CC47" w14:textId="77777777" w:rsidR="008A3162" w:rsidRPr="00310498" w:rsidRDefault="008A3162" w:rsidP="00501C31">
            <w:pPr>
              <w:pStyle w:val="Tabletext"/>
              <w:keepNext/>
              <w:rPr>
                <w:b/>
                <w:bCs/>
                <w:color w:val="333333"/>
              </w:rPr>
            </w:pPr>
            <w:r w:rsidRPr="00310498">
              <w:rPr>
                <w:b/>
                <w:bCs/>
                <w:color w:val="333333"/>
              </w:rPr>
              <w:t>AND</w:t>
            </w:r>
          </w:p>
        </w:tc>
      </w:tr>
      <w:tr w:rsidR="008A3162" w:rsidRPr="00310498" w14:paraId="648AFCA7" w14:textId="77777777" w:rsidTr="00DE1FEA">
        <w:tc>
          <w:tcPr>
            <w:tcW w:w="5000" w:type="pct"/>
            <w:tcBorders>
              <w:top w:val="nil"/>
              <w:bottom w:val="nil"/>
            </w:tcBorders>
            <w:vAlign w:val="center"/>
          </w:tcPr>
          <w:p w14:paraId="52D8DC5F" w14:textId="77777777" w:rsidR="008A3162" w:rsidRPr="00310498" w:rsidRDefault="008A3162" w:rsidP="00501C31">
            <w:pPr>
              <w:pStyle w:val="Tabletext"/>
              <w:keepNext/>
              <w:rPr>
                <w:color w:val="333333"/>
              </w:rPr>
            </w:pPr>
            <w:r w:rsidRPr="00310498">
              <w:rPr>
                <w:color w:val="333333"/>
              </w:rPr>
              <w:t>The treatment must be in combination with durvalumab</w:t>
            </w:r>
          </w:p>
        </w:tc>
      </w:tr>
      <w:tr w:rsidR="008A3162" w:rsidRPr="00310498" w14:paraId="2DF467D9" w14:textId="77777777" w:rsidTr="00DE1FEA">
        <w:tc>
          <w:tcPr>
            <w:tcW w:w="5000" w:type="pct"/>
            <w:tcBorders>
              <w:top w:val="nil"/>
              <w:bottom w:val="nil"/>
            </w:tcBorders>
            <w:vAlign w:val="center"/>
          </w:tcPr>
          <w:p w14:paraId="430B9232" w14:textId="77777777" w:rsidR="008A3162" w:rsidRPr="00310498" w:rsidRDefault="008A3162" w:rsidP="00501C31">
            <w:pPr>
              <w:pStyle w:val="Tabletext"/>
              <w:keepNext/>
              <w:rPr>
                <w:color w:val="333333"/>
              </w:rPr>
            </w:pPr>
            <w:r w:rsidRPr="00310498">
              <w:rPr>
                <w:b/>
                <w:bCs/>
                <w:color w:val="333333"/>
              </w:rPr>
              <w:t>AND</w:t>
            </w:r>
          </w:p>
        </w:tc>
      </w:tr>
      <w:tr w:rsidR="008A3162" w:rsidRPr="00310498" w14:paraId="14438022" w14:textId="77777777" w:rsidTr="00DE1FEA">
        <w:tc>
          <w:tcPr>
            <w:tcW w:w="5000" w:type="pct"/>
            <w:tcBorders>
              <w:top w:val="nil"/>
              <w:bottom w:val="nil"/>
            </w:tcBorders>
            <w:vAlign w:val="center"/>
          </w:tcPr>
          <w:p w14:paraId="1440C7F3" w14:textId="77777777" w:rsidR="008A3162" w:rsidRPr="00310498" w:rsidRDefault="008A3162" w:rsidP="00501C31">
            <w:pPr>
              <w:pStyle w:val="Tabletext"/>
              <w:keepNext/>
              <w:rPr>
                <w:color w:val="333333"/>
              </w:rPr>
            </w:pPr>
            <w:r w:rsidRPr="00310498">
              <w:rPr>
                <w:color w:val="333333"/>
              </w:rPr>
              <w:t>For initial treatment with this drug, patient must be in partial or complete response to the immediately preceding platinum-based chemotherapy and durvalumab regimen</w:t>
            </w:r>
          </w:p>
        </w:tc>
      </w:tr>
      <w:tr w:rsidR="008A3162" w:rsidRPr="00310498" w14:paraId="55E8574B" w14:textId="77777777" w:rsidTr="00DE1FEA">
        <w:tc>
          <w:tcPr>
            <w:tcW w:w="5000" w:type="pct"/>
            <w:tcBorders>
              <w:top w:val="nil"/>
              <w:bottom w:val="nil"/>
            </w:tcBorders>
            <w:vAlign w:val="center"/>
          </w:tcPr>
          <w:p w14:paraId="7C975D6F" w14:textId="77777777" w:rsidR="008A3162" w:rsidRPr="00310498" w:rsidRDefault="008A3162" w:rsidP="00501C31">
            <w:pPr>
              <w:pStyle w:val="Tabletext"/>
              <w:keepNext/>
              <w:rPr>
                <w:color w:val="333333"/>
              </w:rPr>
            </w:pPr>
            <w:r w:rsidRPr="00310498">
              <w:rPr>
                <w:b/>
                <w:bCs/>
                <w:color w:val="333333"/>
              </w:rPr>
              <w:t>OR</w:t>
            </w:r>
          </w:p>
        </w:tc>
      </w:tr>
      <w:tr w:rsidR="008A3162" w:rsidRPr="00310498" w14:paraId="6F2BD642" w14:textId="77777777" w:rsidTr="00DE1FEA">
        <w:tc>
          <w:tcPr>
            <w:tcW w:w="5000" w:type="pct"/>
            <w:tcBorders>
              <w:top w:val="nil"/>
            </w:tcBorders>
            <w:shd w:val="clear" w:color="auto" w:fill="auto"/>
            <w:vAlign w:val="center"/>
          </w:tcPr>
          <w:p w14:paraId="4D69CEB5" w14:textId="77777777" w:rsidR="008A3162" w:rsidRPr="00310498" w:rsidRDefault="008A3162" w:rsidP="00501C31">
            <w:pPr>
              <w:pStyle w:val="Tabletext"/>
              <w:keepNext/>
              <w:rPr>
                <w:color w:val="333333"/>
              </w:rPr>
            </w:pPr>
            <w:r w:rsidRPr="00310498">
              <w:rPr>
                <w:color w:val="333333"/>
              </w:rPr>
              <w:t>For continuing treatment with this drug, patient must not have developed disease progression while receiving treatment with this drug for this condition</w:t>
            </w:r>
          </w:p>
        </w:tc>
      </w:tr>
      <w:tr w:rsidR="008A3162" w:rsidRPr="00310498" w14:paraId="28609390" w14:textId="77777777" w:rsidTr="00DE1FEA">
        <w:tc>
          <w:tcPr>
            <w:tcW w:w="5000" w:type="pct"/>
            <w:vAlign w:val="center"/>
          </w:tcPr>
          <w:p w14:paraId="7FC7A061" w14:textId="77777777" w:rsidR="008A3162" w:rsidRPr="00310498" w:rsidRDefault="008A3162" w:rsidP="00501C31">
            <w:pPr>
              <w:pStyle w:val="Tabletext"/>
              <w:keepNext/>
              <w:rPr>
                <w:color w:val="333333"/>
              </w:rPr>
            </w:pPr>
            <w:r w:rsidRPr="00310498">
              <w:rPr>
                <w:b/>
                <w:bCs/>
                <w:color w:val="333333"/>
              </w:rPr>
              <w:t>Note:</w:t>
            </w:r>
            <w:r w:rsidRPr="00310498">
              <w:rPr>
                <w:color w:val="333333"/>
              </w:rPr>
              <w:t xml:space="preserve"> Patients may qualify for PBS-subsidised treatment under this restriction once only. For continuing PBS-subsidised treatment, a 'Grandfathered' patient must qualify under the 'Continuing treatment' criteria</w:t>
            </w:r>
          </w:p>
        </w:tc>
      </w:tr>
      <w:tr w:rsidR="008A3162" w:rsidRPr="00310498" w14:paraId="3ED31B65" w14:textId="77777777" w:rsidTr="00DE1FEA">
        <w:tc>
          <w:tcPr>
            <w:tcW w:w="5000" w:type="pct"/>
            <w:vAlign w:val="center"/>
          </w:tcPr>
          <w:p w14:paraId="1C09CB90" w14:textId="77777777" w:rsidR="008A3162" w:rsidRPr="00310498" w:rsidRDefault="008A3162" w:rsidP="00501C31">
            <w:pPr>
              <w:pStyle w:val="Tabletext"/>
              <w:keepNext/>
              <w:rPr>
                <w:color w:val="333333"/>
              </w:rPr>
            </w:pPr>
            <w:r w:rsidRPr="00310498">
              <w:rPr>
                <w:b/>
                <w:bCs/>
                <w:color w:val="333333"/>
              </w:rPr>
              <w:t>Note:</w:t>
            </w:r>
            <w:r w:rsidRPr="00310498">
              <w:rPr>
                <w:color w:val="333333"/>
              </w:rPr>
              <w:t xml:space="preserve"> This grandfather restriction will cease to operate from 12 months after the date specified in the clinical criteria.</w:t>
            </w:r>
          </w:p>
        </w:tc>
      </w:tr>
    </w:tbl>
    <w:p w14:paraId="43CEC17D" w14:textId="77777777" w:rsidR="008A3162" w:rsidRPr="00310498" w:rsidRDefault="008A3162" w:rsidP="00D17A65">
      <w:pPr>
        <w:pStyle w:val="TableFigureFooter"/>
      </w:pPr>
      <w:r w:rsidRPr="00310498">
        <w:t>Source: Table 1.9, p 40 of the submission.</w:t>
      </w:r>
    </w:p>
    <w:p w14:paraId="0D3D6400" w14:textId="77777777" w:rsidR="009B3748" w:rsidRPr="00310498" w:rsidRDefault="009B3748" w:rsidP="009B3748">
      <w:pPr>
        <w:pStyle w:val="3-BodyText"/>
      </w:pPr>
      <w:r w:rsidRPr="00310498">
        <w:t xml:space="preserve">The proposed durvalumab initiation criteria requires that treatment must be in combination with PC, which excludes patients who are unable to receive chemotherapy from receiving durvalumab for EC. </w:t>
      </w:r>
    </w:p>
    <w:p w14:paraId="21EFFFE8" w14:textId="220CC306" w:rsidR="009B3748" w:rsidRPr="00310498" w:rsidRDefault="009B3748" w:rsidP="009B3748">
      <w:pPr>
        <w:pStyle w:val="3-BodyText"/>
      </w:pPr>
      <w:r w:rsidRPr="00310498">
        <w:t xml:space="preserve">The requested patient population was narrower than the proposed TGA indication as there is no World Health Organisation (WHO) Eastern Cooperative Oncology Group (ECOG) performance status restrictions in the proposed TGA indication. The requested PBS restrictions were also not consistent with the pivotal DUO-E trial which did not stratify the durvalumab + PC and durvalumab + PC + olaparib arms by MMR status. </w:t>
      </w:r>
    </w:p>
    <w:p w14:paraId="4EDD79BA" w14:textId="4E847264" w:rsidR="003C0F39" w:rsidRPr="00310498" w:rsidRDefault="008A3162" w:rsidP="00827CAD">
      <w:pPr>
        <w:pStyle w:val="3-BodyText"/>
      </w:pPr>
      <w:r w:rsidRPr="00310498">
        <w:t xml:space="preserve">While the dostarlimab PBS restriction required that the “(p)atient must not be undergoing continuing PBS-subsidised treatment where this benefit is extending treatment beyond 36 cumulative months from the first administered dose, once in a lifetime”, the </w:t>
      </w:r>
      <w:r w:rsidR="00D1311D">
        <w:t xml:space="preserve">submission’s </w:t>
      </w:r>
      <w:r w:rsidR="006464E4" w:rsidRPr="00310498">
        <w:t xml:space="preserve">proposed restriction </w:t>
      </w:r>
      <w:r w:rsidRPr="00310498">
        <w:t xml:space="preserve">did not </w:t>
      </w:r>
      <w:r w:rsidR="000A5B35" w:rsidRPr="00310498">
        <w:t>in</w:t>
      </w:r>
      <w:r w:rsidR="0063454B" w:rsidRPr="00310498">
        <w:t>clude</w:t>
      </w:r>
      <w:r w:rsidR="000A5B35" w:rsidRPr="00310498">
        <w:t xml:space="preserve"> </w:t>
      </w:r>
      <w:r w:rsidRPr="00310498">
        <w:t>a maximum duration of durvalumab</w:t>
      </w:r>
      <w:r w:rsidR="006464E4" w:rsidRPr="00310498">
        <w:t xml:space="preserve"> therapy</w:t>
      </w:r>
      <w:r w:rsidR="00F267A0" w:rsidRPr="00310498">
        <w:t>. Further,</w:t>
      </w:r>
      <w:r w:rsidR="00EB3465" w:rsidRPr="00310498">
        <w:t xml:space="preserve"> a</w:t>
      </w:r>
      <w:r w:rsidR="00EB7288" w:rsidRPr="00310498">
        <w:t xml:space="preserve"> </w:t>
      </w:r>
      <w:r w:rsidR="00F267A0" w:rsidRPr="00310498">
        <w:t>36-month</w:t>
      </w:r>
      <w:r w:rsidR="00EB7288" w:rsidRPr="00310498">
        <w:t xml:space="preserve"> maximum duration of durvalumab treatment was not included in the </w:t>
      </w:r>
      <w:r w:rsidR="00D87319" w:rsidRPr="00310498">
        <w:t xml:space="preserve">economic model </w:t>
      </w:r>
      <w:r w:rsidR="00791368">
        <w:t xml:space="preserve">base case </w:t>
      </w:r>
      <w:r w:rsidR="00D87319" w:rsidRPr="00310498">
        <w:t>or the financ</w:t>
      </w:r>
      <w:r w:rsidR="006B6B6B" w:rsidRPr="00310498">
        <w:t>ia</w:t>
      </w:r>
      <w:r w:rsidR="00D87319" w:rsidRPr="00310498">
        <w:t>l estimates</w:t>
      </w:r>
      <w:r w:rsidR="004C0738" w:rsidRPr="00310498">
        <w:t xml:space="preserve"> but was included in the cost-minimisation approach (CMA)</w:t>
      </w:r>
      <w:r w:rsidRPr="00310498">
        <w:t xml:space="preserve">. </w:t>
      </w:r>
      <w:bookmarkStart w:id="16" w:name="_Ref178769065"/>
      <w:r w:rsidR="003C0F39" w:rsidRPr="00310498">
        <w:t xml:space="preserve">The ESC </w:t>
      </w:r>
      <w:r w:rsidR="003C0F39" w:rsidRPr="00310498">
        <w:lastRenderedPageBreak/>
        <w:t>considered that the proposed restriction for durvalumab should mirror that of dostarlimab and include a 36</w:t>
      </w:r>
      <w:r w:rsidR="006B3947" w:rsidRPr="00310498">
        <w:t>-</w:t>
      </w:r>
      <w:r w:rsidR="003C0F39" w:rsidRPr="00310498">
        <w:t>month stopping rule.</w:t>
      </w:r>
      <w:r w:rsidR="0032043A">
        <w:t xml:space="preserve"> The pre-PBAC response agreed that a 36-month stopping rule should be included in the restriction.</w:t>
      </w:r>
    </w:p>
    <w:bookmarkEnd w:id="16"/>
    <w:p w14:paraId="233A1082" w14:textId="4C869D1A" w:rsidR="00827CAD" w:rsidRPr="00310498" w:rsidRDefault="00827CAD" w:rsidP="00827CAD">
      <w:pPr>
        <w:pStyle w:val="3-BodyText"/>
      </w:pPr>
      <w:r w:rsidRPr="00310498">
        <w:t xml:space="preserve">The restriction proposed in the </w:t>
      </w:r>
      <w:bookmarkStart w:id="17" w:name="_Hlk185256476"/>
      <w:r w:rsidR="001F32E9" w:rsidRPr="00E837B6">
        <w:rPr>
          <w:iCs/>
        </w:rPr>
        <w:t>Pre-Sub-Committee Response</w:t>
      </w:r>
      <w:bookmarkEnd w:id="17"/>
      <w:r w:rsidR="001F32E9" w:rsidRPr="00E837B6">
        <w:rPr>
          <w:iCs/>
        </w:rPr>
        <w:t xml:space="preserve"> </w:t>
      </w:r>
      <w:r w:rsidR="001F32E9">
        <w:rPr>
          <w:iCs/>
        </w:rPr>
        <w:t>(</w:t>
      </w:r>
      <w:r w:rsidRPr="00310498">
        <w:t>PSCR</w:t>
      </w:r>
      <w:r w:rsidR="001F32E9">
        <w:t>)</w:t>
      </w:r>
      <w:r w:rsidRPr="00310498">
        <w:t xml:space="preserve"> requires that olaparib must be used (in combination with durvalumab) in pMMR EC patients unless the patient has a contraindication to olaparib or develops an intolerance requiring discontinuation of olaparib. This is narrower than the TGA indication proposed by the sponsor in the second round CER, which would allow durvalumab maintenance as monotherapy in all patients regardless of MMR status and contraindication/intolerance to olaparib. </w:t>
      </w:r>
    </w:p>
    <w:p w14:paraId="03222B3D" w14:textId="606AC4EE" w:rsidR="008A3162" w:rsidRDefault="008A3162" w:rsidP="008A3162">
      <w:pPr>
        <w:pStyle w:val="3-BodyText"/>
      </w:pPr>
      <w:r w:rsidRPr="00310498">
        <w:t xml:space="preserve">The submission requested a grandfathering listing and anticipated there will be approximately </w:t>
      </w:r>
      <w:r w:rsidR="00944311">
        <w:t>&lt;</w:t>
      </w:r>
      <w:r w:rsidR="00324F37">
        <w:t>500</w:t>
      </w:r>
      <w:r w:rsidR="00944311" w:rsidRPr="00310498">
        <w:t xml:space="preserve"> </w:t>
      </w:r>
      <w:r w:rsidRPr="00310498">
        <w:t xml:space="preserve">patients with pMMR EC who will be grandfathered to PBS supply after receiving durvalumab (with or without) olaparib in a sponsor patient access program. </w:t>
      </w:r>
      <w:r w:rsidR="00A244BD" w:rsidRPr="00310498">
        <w:t xml:space="preserve"> </w:t>
      </w:r>
    </w:p>
    <w:p w14:paraId="6EA0CF42" w14:textId="4A32BE96" w:rsidR="00A92C87" w:rsidRPr="00A92C87" w:rsidRDefault="00A92C87" w:rsidP="00A92C87">
      <w:pPr>
        <w:pStyle w:val="3-BodyText"/>
        <w:numPr>
          <w:ilvl w:val="0"/>
          <w:numId w:val="0"/>
        </w:numPr>
        <w:ind w:left="720"/>
        <w:rPr>
          <w:i/>
          <w:iCs/>
        </w:rPr>
      </w:pPr>
      <w:r w:rsidRPr="00A92C87">
        <w:rPr>
          <w:i/>
          <w:iCs/>
        </w:rPr>
        <w:t>For more detail on PBAC’s view, see section 7 PBAC outcome.</w:t>
      </w:r>
    </w:p>
    <w:p w14:paraId="50E17EF4" w14:textId="77777777" w:rsidR="008A3162" w:rsidRPr="00310498" w:rsidDel="00195452" w:rsidRDefault="008A3162" w:rsidP="008A3162">
      <w:pPr>
        <w:pStyle w:val="2-SectionHeading"/>
      </w:pPr>
      <w:bookmarkStart w:id="18" w:name="_Toc176785103"/>
      <w:r w:rsidRPr="00310498" w:rsidDel="00195452">
        <w:t>Population and disease</w:t>
      </w:r>
      <w:bookmarkEnd w:id="18"/>
    </w:p>
    <w:p w14:paraId="75D02E88" w14:textId="77777777" w:rsidR="008A3162" w:rsidRPr="00310498" w:rsidRDefault="008A3162" w:rsidP="008A3162">
      <w:pPr>
        <w:pStyle w:val="3-BodyText"/>
      </w:pPr>
      <w:r w:rsidRPr="00310498">
        <w:t>EC is a malignancy of the endometrium, the inner lining of the uterus (uterine corpus). EC accounts for about 95% of all cases of uterine cancer, the most common gynaecological cancer diagnosed in Australian women (AIHW 2022a; Cancer Council 2021). The outcomes for advanced or recurrent disease remain poor, with 5-year overall survival (OS) rates of 20-25% (Oaknin 2022).</w:t>
      </w:r>
    </w:p>
    <w:p w14:paraId="4E960AB8" w14:textId="46D14876" w:rsidR="008A3162" w:rsidRPr="00310498" w:rsidRDefault="008A3162" w:rsidP="008A3162">
      <w:pPr>
        <w:pStyle w:val="3-BodyText"/>
      </w:pPr>
      <w:r w:rsidRPr="00310498">
        <w:t xml:space="preserve">ECs may be classified based on the MMR status, as pMMR or dMMR tumours. The PBAC and DUSC have previously considered </w:t>
      </w:r>
      <w:r w:rsidR="001C670C" w:rsidRPr="00310498">
        <w:t xml:space="preserve">that around </w:t>
      </w:r>
      <w:r w:rsidRPr="00310498">
        <w:t xml:space="preserve">27% </w:t>
      </w:r>
      <w:r w:rsidR="001C670C" w:rsidRPr="00310498">
        <w:t xml:space="preserve">of patients with </w:t>
      </w:r>
      <w:r w:rsidR="00684371" w:rsidRPr="0032043A">
        <w:t>EC</w:t>
      </w:r>
      <w:r w:rsidR="001C670C" w:rsidRPr="0032043A">
        <w:t xml:space="preserve"> have</w:t>
      </w:r>
      <w:r w:rsidR="001C670C" w:rsidRPr="00310498">
        <w:t xml:space="preserve"> </w:t>
      </w:r>
      <w:r w:rsidR="006234A8" w:rsidRPr="00310498">
        <w:t xml:space="preserve">the </w:t>
      </w:r>
      <w:r w:rsidRPr="00310498">
        <w:t xml:space="preserve">dMMR </w:t>
      </w:r>
      <w:r w:rsidR="001C670C" w:rsidRPr="00310498">
        <w:t>s</w:t>
      </w:r>
      <w:r w:rsidR="006234A8" w:rsidRPr="00310498">
        <w:t>ub-type</w:t>
      </w:r>
      <w:r w:rsidR="001C670C" w:rsidRPr="00310498">
        <w:t xml:space="preserve"> </w:t>
      </w:r>
      <w:r w:rsidRPr="00310498">
        <w:t xml:space="preserve">(paragraph 7.11, dostarlimab </w:t>
      </w:r>
      <w:r w:rsidR="001F32E9" w:rsidRPr="00CC162A">
        <w:rPr>
          <w:rFonts w:eastAsiaTheme="minorEastAsia" w:cstheme="minorHAnsi"/>
        </w:rPr>
        <w:t xml:space="preserve">Public Summary Document </w:t>
      </w:r>
      <w:r w:rsidR="001F32E9">
        <w:rPr>
          <w:rFonts w:eastAsiaTheme="minorEastAsia" w:cstheme="minorHAnsi"/>
          <w:color w:val="808080"/>
        </w:rPr>
        <w:t>(</w:t>
      </w:r>
      <w:r w:rsidRPr="00310498">
        <w:t>PSD</w:t>
      </w:r>
      <w:r w:rsidR="001F32E9">
        <w:t>)</w:t>
      </w:r>
      <w:r w:rsidRPr="00310498">
        <w:t>, March 2022 PBAC meeting). dMMR tumours can develop microsatellite instability (MSI), which is a change in the length of repetitive sequences in tumour DNA compared with normal DNA. Therefore, MSI high (MSI-H) is the observable characteristic (phenotype) displayed when errors occur in the DNA MMR system (Luchini, 2019).</w:t>
      </w:r>
    </w:p>
    <w:p w14:paraId="6D2623A9" w14:textId="77777777" w:rsidR="008A3162" w:rsidRPr="00310498" w:rsidRDefault="008A3162" w:rsidP="008A3162">
      <w:pPr>
        <w:pStyle w:val="3-BodyText"/>
      </w:pPr>
      <w:r w:rsidRPr="00310498">
        <w:t>The submission stated that MMR testing via immunohistochemistry (IHC) is considered routine clinical practice when patients are diagnosed with EC (accessed via MBS code 73354) as previously acknowledged by the PBAC (paragraph 4.3, dostarlimab PSD, November 2023 PBAC meeting).</w:t>
      </w:r>
    </w:p>
    <w:p w14:paraId="6B32FD08" w14:textId="7B11BD8B" w:rsidR="008A3162" w:rsidRPr="00310498" w:rsidRDefault="00650C1B" w:rsidP="008A3162">
      <w:pPr>
        <w:pStyle w:val="3-BodyText"/>
      </w:pPr>
      <w:r w:rsidRPr="00310498">
        <w:fldChar w:fldCharType="begin" w:fldLock="1"/>
      </w:r>
      <w:r w:rsidRPr="00310498">
        <w:instrText xml:space="preserve"> REF _Ref176180769 \h </w:instrText>
      </w:r>
      <w:r w:rsidR="00310498" w:rsidRPr="00310498">
        <w:instrText xml:space="preserve"> \* MERGEFORMAT </w:instrText>
      </w:r>
      <w:r w:rsidRPr="00310498">
        <w:fldChar w:fldCharType="separate"/>
      </w:r>
      <w:r w:rsidR="002C52D8" w:rsidRPr="00310498">
        <w:t xml:space="preserve">Figure </w:t>
      </w:r>
      <w:r w:rsidR="002C52D8">
        <w:rPr>
          <w:noProof/>
        </w:rPr>
        <w:t>1</w:t>
      </w:r>
      <w:r w:rsidRPr="00310498">
        <w:fldChar w:fldCharType="end"/>
      </w:r>
      <w:r w:rsidRPr="00310498">
        <w:t xml:space="preserve"> shows the current and proposed treatment algorithms presented in the submission. </w:t>
      </w:r>
      <w:r w:rsidR="008A3162" w:rsidRPr="00310498">
        <w:t>Since the PBS listing of dostarlimab for patients with dMMR EC in May</w:t>
      </w:r>
      <w:r w:rsidR="00CC162A">
        <w:t> </w:t>
      </w:r>
      <w:r w:rsidR="008A3162" w:rsidRPr="00310498">
        <w:t xml:space="preserve">2024, the A/R EC treatment algorithm has been differentiated by MMR status. Patients with dMMR EC </w:t>
      </w:r>
      <w:r w:rsidR="003E40A2">
        <w:t xml:space="preserve">can </w:t>
      </w:r>
      <w:r w:rsidR="008A3162" w:rsidRPr="00310498">
        <w:t xml:space="preserve">receive dostarlimab + PC with maintenance dostarlimab used until disease progression for a maximum duration of three years. Given there is a once in a lifetime PBS access rule for programmed cell death ligand 1 (PD-L1) or </w:t>
      </w:r>
      <w:r w:rsidR="008A3162" w:rsidRPr="00310498">
        <w:lastRenderedPageBreak/>
        <w:t xml:space="preserve">programmed cell death protein 1 (PD-1) inhibitors in EC, </w:t>
      </w:r>
      <w:r w:rsidR="00382F64" w:rsidRPr="00310498">
        <w:t xml:space="preserve">these </w:t>
      </w:r>
      <w:r w:rsidR="008A3162" w:rsidRPr="00310498">
        <w:t>patients could receive chemotherapy (taxane based) in second</w:t>
      </w:r>
      <w:r w:rsidR="00684371" w:rsidRPr="00310498">
        <w:t>-</w:t>
      </w:r>
      <w:r w:rsidR="008A3162" w:rsidRPr="00310498">
        <w:t xml:space="preserve">line (2L) but not pembrolizumab + lenvatinib. </w:t>
      </w:r>
      <w:r w:rsidR="007B2F5B" w:rsidRPr="00310498">
        <w:t>Under the proposed treatment algorithm</w:t>
      </w:r>
      <w:r w:rsidR="006430B9" w:rsidRPr="00310498">
        <w:t>,</w:t>
      </w:r>
      <w:r w:rsidR="007B2F5B" w:rsidRPr="00310498">
        <w:t xml:space="preserve"> </w:t>
      </w:r>
      <w:r w:rsidR="006430B9" w:rsidRPr="00310498">
        <w:t>durvalumab</w:t>
      </w:r>
      <w:r w:rsidR="00CA2A77" w:rsidRPr="00310498">
        <w:t xml:space="preserve"> would provide an additional treatment option for </w:t>
      </w:r>
      <w:r w:rsidR="007B2F5B" w:rsidRPr="00310498">
        <w:t>patients</w:t>
      </w:r>
      <w:r w:rsidR="006430B9" w:rsidRPr="00310498">
        <w:t xml:space="preserve"> with dMMR EC</w:t>
      </w:r>
      <w:r w:rsidR="003E71D2" w:rsidRPr="00310498">
        <w:t xml:space="preserve"> and would replace the current standard of care </w:t>
      </w:r>
      <w:r w:rsidR="009F66DF" w:rsidRPr="00310498">
        <w:t xml:space="preserve">of </w:t>
      </w:r>
      <w:r w:rsidR="003E71D2" w:rsidRPr="00310498">
        <w:t>PC</w:t>
      </w:r>
      <w:r w:rsidR="00BF42A8" w:rsidRPr="00310498">
        <w:t xml:space="preserve"> followed by 2L pembrolizumab + lenvatinib</w:t>
      </w:r>
      <w:r w:rsidR="003E71D2" w:rsidRPr="00310498">
        <w:t xml:space="preserve"> </w:t>
      </w:r>
      <w:r w:rsidR="000408B9" w:rsidRPr="00310498">
        <w:t xml:space="preserve">for </w:t>
      </w:r>
      <w:r w:rsidR="003E71D2" w:rsidRPr="00310498">
        <w:t>patients with pMMR EC.</w:t>
      </w:r>
    </w:p>
    <w:p w14:paraId="56B2E885" w14:textId="41E63560" w:rsidR="00F27F42" w:rsidRPr="00310498" w:rsidRDefault="00BD2929" w:rsidP="00BD2929">
      <w:pPr>
        <w:pStyle w:val="Caption"/>
      </w:pPr>
      <w:bookmarkStart w:id="19" w:name="_Ref176180769"/>
      <w:r w:rsidRPr="00310498">
        <w:t xml:space="preserve">Figure </w:t>
      </w:r>
      <w:r w:rsidRPr="00310498">
        <w:fldChar w:fldCharType="begin" w:fldLock="1"/>
      </w:r>
      <w:r w:rsidRPr="00310498">
        <w:instrText xml:space="preserve"> SEQ Figure \* ARABIC </w:instrText>
      </w:r>
      <w:r w:rsidRPr="00310498">
        <w:fldChar w:fldCharType="separate"/>
      </w:r>
      <w:r w:rsidR="002C52D8">
        <w:rPr>
          <w:noProof/>
        </w:rPr>
        <w:t>1</w:t>
      </w:r>
      <w:r w:rsidRPr="00310498">
        <w:fldChar w:fldCharType="end"/>
      </w:r>
      <w:bookmarkEnd w:id="19"/>
      <w:r w:rsidRPr="00310498">
        <w:t xml:space="preserve">: </w:t>
      </w:r>
      <w:r w:rsidR="00F27F42" w:rsidRPr="00310498">
        <w:t>Proposed treatment algorithm for advanced/recurrent endometrial cancer</w:t>
      </w:r>
    </w:p>
    <w:p w14:paraId="288F1374" w14:textId="77777777" w:rsidR="00F27F42" w:rsidRPr="00310498" w:rsidRDefault="00F27F42" w:rsidP="00F27F42">
      <w:pPr>
        <w:pStyle w:val="TableFooter"/>
      </w:pPr>
      <w:r w:rsidRPr="00310498">
        <w:rPr>
          <w:noProof/>
        </w:rPr>
        <w:drawing>
          <wp:inline distT="0" distB="0" distL="0" distR="0" wp14:anchorId="27AD954E" wp14:editId="27B14A3B">
            <wp:extent cx="5432359" cy="2725947"/>
            <wp:effectExtent l="0" t="0" r="0" b="0"/>
            <wp:docPr id="1220487318" name="Picture 1220487318" descr="A diagram of a patient's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patient's flowchart&#10;&#10;Description automatically generated"/>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445757" cy="2732670"/>
                    </a:xfrm>
                    <a:prstGeom prst="rect">
                      <a:avLst/>
                    </a:prstGeom>
                    <a:ln>
                      <a:noFill/>
                    </a:ln>
                    <a:extLst>
                      <a:ext uri="{53640926-AAD7-44D8-BBD7-CCE9431645EC}">
                        <a14:shadowObscured xmlns:a14="http://schemas.microsoft.com/office/drawing/2010/main"/>
                      </a:ext>
                    </a:extLst>
                  </pic:spPr>
                </pic:pic>
              </a:graphicData>
            </a:graphic>
          </wp:inline>
        </w:drawing>
      </w:r>
    </w:p>
    <w:p w14:paraId="451364AD" w14:textId="6638685B" w:rsidR="003C0F39" w:rsidRPr="00310498" w:rsidRDefault="003C0F39" w:rsidP="003C0F39">
      <w:pPr>
        <w:pStyle w:val="TableFooter"/>
      </w:pPr>
      <w:r w:rsidRPr="00310498">
        <w:t>Source: Figure 1.7, p28 of the submission.</w:t>
      </w:r>
    </w:p>
    <w:p w14:paraId="13EA1A84" w14:textId="6C2199FC" w:rsidR="00F27F42" w:rsidRPr="00310498" w:rsidRDefault="00F27F42" w:rsidP="00F27F42">
      <w:pPr>
        <w:pStyle w:val="TableFooter"/>
      </w:pPr>
      <w:r w:rsidRPr="00310498">
        <w:t>dMMR = deficient mismatch repair; EC = endometrial cancer; IHC = immunohistochemistry; MMR = mismatch repair; PC = platinum-based chemotherapy; pMMR = proficient mismatch repair</w:t>
      </w:r>
    </w:p>
    <w:p w14:paraId="3D553EB0" w14:textId="119AA8B6" w:rsidR="00576CF7" w:rsidRPr="00310498" w:rsidRDefault="000331FF" w:rsidP="00F27F42">
      <w:pPr>
        <w:pStyle w:val="TableFooter"/>
      </w:pPr>
      <w:r w:rsidRPr="00310498">
        <w:t>Note</w:t>
      </w:r>
      <w:r w:rsidR="00712EBF" w:rsidRPr="00310498">
        <w:t>s</w:t>
      </w:r>
      <w:r w:rsidRPr="00310498">
        <w:t xml:space="preserve">: </w:t>
      </w:r>
      <w:r w:rsidR="00576CF7" w:rsidRPr="00310498">
        <w:t>(1)</w:t>
      </w:r>
      <w:r w:rsidR="005E1129" w:rsidRPr="00310498">
        <w:t xml:space="preserve"> </w:t>
      </w:r>
      <w:r w:rsidR="00712EBF" w:rsidRPr="00310498">
        <w:t>The c</w:t>
      </w:r>
      <w:r w:rsidR="005E1129" w:rsidRPr="00310498">
        <w:t xml:space="preserve">urrent treatment </w:t>
      </w:r>
      <w:r w:rsidR="00712EBF" w:rsidRPr="00310498">
        <w:t>algorithm is</w:t>
      </w:r>
      <w:r w:rsidR="00531A0C" w:rsidRPr="00310498">
        <w:t xml:space="preserve"> shown in dark blue and </w:t>
      </w:r>
      <w:r w:rsidR="00712EBF" w:rsidRPr="00310498">
        <w:t xml:space="preserve">the </w:t>
      </w:r>
      <w:r w:rsidR="00531A0C" w:rsidRPr="00310498">
        <w:t xml:space="preserve">proposed </w:t>
      </w:r>
      <w:r w:rsidR="005D7F57" w:rsidRPr="00310498">
        <w:t xml:space="preserve">additional </w:t>
      </w:r>
      <w:r w:rsidR="00531A0C" w:rsidRPr="00310498">
        <w:t>treatment algorithm</w:t>
      </w:r>
      <w:r w:rsidR="007A49FB" w:rsidRPr="00310498">
        <w:t xml:space="preserve"> </w:t>
      </w:r>
      <w:r w:rsidR="00847176" w:rsidRPr="00310498">
        <w:t xml:space="preserve">is </w:t>
      </w:r>
      <w:r w:rsidR="007A49FB" w:rsidRPr="00310498">
        <w:t>shown in purple.</w:t>
      </w:r>
    </w:p>
    <w:p w14:paraId="12A5B4E3" w14:textId="275236BC" w:rsidR="000331FF" w:rsidRPr="00310498" w:rsidRDefault="00576CF7" w:rsidP="00F27F42">
      <w:pPr>
        <w:pStyle w:val="TableFooter"/>
      </w:pPr>
      <w:r w:rsidRPr="00310498">
        <w:t xml:space="preserve">(2) </w:t>
      </w:r>
      <w:r w:rsidR="00411223" w:rsidRPr="00310498">
        <w:t xml:space="preserve">The </w:t>
      </w:r>
      <w:r w:rsidR="000331FF" w:rsidRPr="00310498">
        <w:t>dostarlimab</w:t>
      </w:r>
      <w:r w:rsidR="00411223" w:rsidRPr="00310498">
        <w:t xml:space="preserve"> PBS </w:t>
      </w:r>
      <w:r w:rsidR="00CA61C3" w:rsidRPr="00310498">
        <w:t>restriction criteria</w:t>
      </w:r>
      <w:r w:rsidR="00411223" w:rsidRPr="00310498">
        <w:t xml:space="preserve"> allows its use for 36 months, d</w:t>
      </w:r>
      <w:r w:rsidR="000331FF" w:rsidRPr="00310498">
        <w:t>efined as “36 cumulative months from the first administered dose”</w:t>
      </w:r>
      <w:r w:rsidR="00CA61C3" w:rsidRPr="00310498">
        <w:t>.</w:t>
      </w:r>
    </w:p>
    <w:p w14:paraId="39DB165A" w14:textId="5BAED5C8" w:rsidR="00862FCB" w:rsidRPr="00310498" w:rsidRDefault="00940DFC" w:rsidP="008F589E">
      <w:pPr>
        <w:pStyle w:val="TableFooter"/>
      </w:pPr>
      <w:r w:rsidRPr="00310498">
        <w:t xml:space="preserve">(3) Patients who receive </w:t>
      </w:r>
      <w:r w:rsidR="00E6432A" w:rsidRPr="00310498">
        <w:t xml:space="preserve">first-line durvalumab would not be eligible to receive 2L pembrolizumab + </w:t>
      </w:r>
      <w:r w:rsidR="00915CD9" w:rsidRPr="00310498">
        <w:t>l</w:t>
      </w:r>
      <w:r w:rsidR="00E6432A" w:rsidRPr="00310498">
        <w:t>envatinib</w:t>
      </w:r>
      <w:r w:rsidR="00915CD9" w:rsidRPr="00310498">
        <w:t xml:space="preserve"> u</w:t>
      </w:r>
      <w:r w:rsidR="00BC073A" w:rsidRPr="00310498">
        <w:t>nder its PBS restriction</w:t>
      </w:r>
      <w:r w:rsidR="00E6432A" w:rsidRPr="00310498">
        <w:t>.</w:t>
      </w:r>
    </w:p>
    <w:p w14:paraId="1D1EB59D" w14:textId="77777777" w:rsidR="008A3162" w:rsidRDefault="008A3162" w:rsidP="008A3162">
      <w:pPr>
        <w:pStyle w:val="3-BodyText"/>
      </w:pPr>
      <w:r w:rsidRPr="00310498">
        <w:t>Durvalumab is a human immunoglobulin G1 kappa (IgG1κ) monoclonal antibody that blocks the interaction of PD-L1 with PD-1 and CD80 (B7.1). Olaparib is an orally active inhibitor of human poly ADP-ribose polymerase (PARP) enzymes, including PARP-1, PARP-2 and PARP-3. PARP enzymes are involved in normal cellular functions, such as DNA transcription and repair of DNA single strand breaks. Olaparib is currently PBS-listed for the treatment of patients with confirmed BRCA mutation (high grade ovarian, fallopian tube or peritoneal cancer, early breast cancer and castration resistant metastatic prostate cancer) or homologous recombination deficiency (high grade ovarian, fallopian tube or peritoneal cancer).</w:t>
      </w:r>
    </w:p>
    <w:p w14:paraId="384A6DBF" w14:textId="4A1CD4D7" w:rsidR="00A92C87" w:rsidRPr="00A92C87" w:rsidRDefault="00A92C87" w:rsidP="00A92C87">
      <w:pPr>
        <w:pStyle w:val="3-BodyText"/>
        <w:numPr>
          <w:ilvl w:val="0"/>
          <w:numId w:val="0"/>
        </w:numPr>
        <w:ind w:left="720"/>
        <w:rPr>
          <w:i/>
          <w:iCs/>
        </w:rPr>
      </w:pPr>
      <w:r w:rsidRPr="00A92C87">
        <w:rPr>
          <w:i/>
          <w:iCs/>
        </w:rPr>
        <w:t>For more detail on PBAC’s view, see section 7 PBAC outcome.</w:t>
      </w:r>
    </w:p>
    <w:p w14:paraId="3E29F78A" w14:textId="77777777" w:rsidR="008A3162" w:rsidRPr="00310498" w:rsidRDefault="008A3162" w:rsidP="008A3162">
      <w:pPr>
        <w:pStyle w:val="2-SectionHeading"/>
      </w:pPr>
      <w:bookmarkStart w:id="20" w:name="_Toc176785104"/>
      <w:r w:rsidRPr="00310498">
        <w:t>Comparator</w:t>
      </w:r>
      <w:bookmarkEnd w:id="20"/>
    </w:p>
    <w:p w14:paraId="6B0A491D" w14:textId="77777777" w:rsidR="008A3162" w:rsidRPr="00310498" w:rsidRDefault="008A3162" w:rsidP="00A244BD">
      <w:pPr>
        <w:pStyle w:val="3-BodyText"/>
      </w:pPr>
      <w:r w:rsidRPr="00310498">
        <w:t>The submission nominated the following comparators:</w:t>
      </w:r>
    </w:p>
    <w:p w14:paraId="05223559" w14:textId="5DE0E504" w:rsidR="005D02AD" w:rsidRDefault="008A3162" w:rsidP="00022017">
      <w:pPr>
        <w:pStyle w:val="ListParagraph"/>
        <w:ind w:left="1134"/>
        <w:jc w:val="both"/>
      </w:pPr>
      <w:r w:rsidRPr="00310498">
        <w:t>dMMR A/R EC population: The comparator</w:t>
      </w:r>
      <w:r w:rsidR="003C0F39" w:rsidRPr="00310498">
        <w:t>s</w:t>
      </w:r>
      <w:r w:rsidRPr="00310498">
        <w:t xml:space="preserve"> for durvalumab + PC w</w:t>
      </w:r>
      <w:r w:rsidR="003C0F39" w:rsidRPr="00310498">
        <w:t>ere</w:t>
      </w:r>
      <w:r w:rsidR="005D02AD">
        <w:t>:</w:t>
      </w:r>
      <w:r w:rsidRPr="00310498">
        <w:t xml:space="preserve"> </w:t>
      </w:r>
      <w:r w:rsidR="005D02AD" w:rsidRPr="00310498">
        <w:t>(i) dostarlimab + PC</w:t>
      </w:r>
      <w:r w:rsidR="005D02AD">
        <w:t>; and</w:t>
      </w:r>
      <w:r w:rsidR="005D02AD" w:rsidRPr="00310498">
        <w:t xml:space="preserve"> </w:t>
      </w:r>
      <w:r w:rsidR="003C0F39" w:rsidRPr="00310498">
        <w:t>(i</w:t>
      </w:r>
      <w:r w:rsidR="005D02AD">
        <w:t>i</w:t>
      </w:r>
      <w:r w:rsidR="003C0F39" w:rsidRPr="00310498">
        <w:t xml:space="preserve">) </w:t>
      </w:r>
      <w:r w:rsidRPr="00310498">
        <w:t>PC</w:t>
      </w:r>
      <w:r w:rsidR="00827CAD">
        <w:t>;</w:t>
      </w:r>
    </w:p>
    <w:p w14:paraId="4A08BC95" w14:textId="77105927" w:rsidR="00827CAD" w:rsidRPr="00310498" w:rsidRDefault="00827CAD" w:rsidP="005D02AD">
      <w:pPr>
        <w:pStyle w:val="ListParagraph"/>
        <w:ind w:left="1134" w:hanging="283"/>
      </w:pPr>
      <w:r w:rsidRPr="00310498">
        <w:lastRenderedPageBreak/>
        <w:t>pMMR A/R EC population: The comparator for durvalumab + PC + olaparib was PC</w:t>
      </w:r>
      <w:r w:rsidR="00524DD4">
        <w:t xml:space="preserve"> alone</w:t>
      </w:r>
      <w:r>
        <w:t>.</w:t>
      </w:r>
    </w:p>
    <w:p w14:paraId="794B6B59" w14:textId="77777777" w:rsidR="005D02AD" w:rsidRPr="00A0075B" w:rsidRDefault="005D02AD" w:rsidP="00D73772">
      <w:pPr>
        <w:pStyle w:val="2-SectionHeading"/>
        <w:numPr>
          <w:ilvl w:val="0"/>
          <w:numId w:val="0"/>
        </w:numPr>
        <w:spacing w:before="120"/>
        <w:ind w:left="720" w:hanging="720"/>
        <w:outlineLvl w:val="2"/>
        <w:rPr>
          <w:rFonts w:eastAsiaTheme="minorHAnsi" w:cstheme="minorBidi"/>
          <w:b w:val="0"/>
          <w:snapToGrid/>
          <w:sz w:val="24"/>
          <w:szCs w:val="22"/>
          <w:u w:val="single"/>
        </w:rPr>
      </w:pPr>
      <w:r w:rsidRPr="00A0075B">
        <w:rPr>
          <w:rFonts w:eastAsiaTheme="minorHAnsi" w:cstheme="minorBidi"/>
          <w:b w:val="0"/>
          <w:snapToGrid/>
          <w:sz w:val="24"/>
          <w:szCs w:val="22"/>
          <w:u w:val="single"/>
        </w:rPr>
        <w:t>dMMR population</w:t>
      </w:r>
    </w:p>
    <w:p w14:paraId="6E0A3FDA" w14:textId="23547CCD" w:rsidR="008A3162" w:rsidRPr="00310498" w:rsidRDefault="003C0F39" w:rsidP="008A3162">
      <w:pPr>
        <w:pStyle w:val="3-BodyText"/>
      </w:pPr>
      <w:r w:rsidRPr="00310498">
        <w:t>The ESC considered that</w:t>
      </w:r>
      <w:r w:rsidR="00A244BD" w:rsidRPr="00310498">
        <w:t>,</w:t>
      </w:r>
      <w:r w:rsidRPr="00310498">
        <w:t xml:space="preserve"> in</w:t>
      </w:r>
      <w:r w:rsidR="008A3162" w:rsidRPr="00310498">
        <w:t xml:space="preserve"> the dMMR population, dostarlimab + PC </w:t>
      </w:r>
      <w:r w:rsidRPr="00310498">
        <w:t>was the appropriate comparator as</w:t>
      </w:r>
      <w:r w:rsidR="008A3162" w:rsidRPr="00310498">
        <w:t>:</w:t>
      </w:r>
    </w:p>
    <w:p w14:paraId="1A406F3B" w14:textId="09DC7E52" w:rsidR="008A3162" w:rsidRPr="00310498" w:rsidRDefault="008A3162" w:rsidP="00EC6292">
      <w:pPr>
        <w:pStyle w:val="ListParagraph"/>
        <w:ind w:left="1134"/>
        <w:jc w:val="both"/>
        <w:rPr>
          <w:snapToGrid/>
        </w:rPr>
      </w:pPr>
      <w:r w:rsidRPr="00310498">
        <w:rPr>
          <w:snapToGrid/>
        </w:rPr>
        <w:t xml:space="preserve">Dostarlimab was </w:t>
      </w:r>
      <w:r w:rsidR="00382F64" w:rsidRPr="00310498">
        <w:rPr>
          <w:snapToGrid/>
        </w:rPr>
        <w:t xml:space="preserve">listed on the </w:t>
      </w:r>
      <w:r w:rsidRPr="00310498">
        <w:rPr>
          <w:snapToGrid/>
        </w:rPr>
        <w:t xml:space="preserve">PBS for primary </w:t>
      </w:r>
      <w:r w:rsidR="00EC6292" w:rsidRPr="00310498">
        <w:rPr>
          <w:snapToGrid/>
        </w:rPr>
        <w:t xml:space="preserve">A/R </w:t>
      </w:r>
      <w:r w:rsidRPr="00310498">
        <w:rPr>
          <w:snapToGrid/>
        </w:rPr>
        <w:t>EC that is dMMR</w:t>
      </w:r>
      <w:r w:rsidR="00382F64" w:rsidRPr="00310498">
        <w:rPr>
          <w:snapToGrid/>
        </w:rPr>
        <w:t xml:space="preserve"> on 1 May 2024</w:t>
      </w:r>
      <w:r w:rsidRPr="00310498">
        <w:rPr>
          <w:snapToGrid/>
        </w:rPr>
        <w:t>. The PBAC has accepted that dostarlimab provides, for some patients, a significant improvement in efficacy over platinum-containing chemotherapy alone (paragraph 7.1, dostarlimab PSD, November 2023 PBAC meeting);</w:t>
      </w:r>
    </w:p>
    <w:p w14:paraId="34F7E69A" w14:textId="6D5D2DEE" w:rsidR="008A3162" w:rsidRPr="00310498" w:rsidRDefault="008A3162" w:rsidP="00EC6292">
      <w:pPr>
        <w:pStyle w:val="ListParagraph"/>
        <w:ind w:left="1134"/>
        <w:jc w:val="both"/>
        <w:rPr>
          <w:snapToGrid/>
        </w:rPr>
      </w:pPr>
      <w:r w:rsidRPr="00310498">
        <w:rPr>
          <w:snapToGrid/>
        </w:rPr>
        <w:t xml:space="preserve">Dostarlimab and durvalumab are both immune checkpoint inhibitors acting on the PD-1/PD-L1 pathway. As such, dostarlimab would be the therapy most likely replaced in practice if durvalumab was to become available; </w:t>
      </w:r>
      <w:r w:rsidR="00DC0FEC">
        <w:rPr>
          <w:snapToGrid/>
        </w:rPr>
        <w:t>and</w:t>
      </w:r>
    </w:p>
    <w:p w14:paraId="25567651" w14:textId="4B3E9592" w:rsidR="008A3162" w:rsidRPr="00310498" w:rsidRDefault="008A3162" w:rsidP="00EC6292">
      <w:pPr>
        <w:pStyle w:val="ListParagraph"/>
        <w:ind w:left="1134"/>
        <w:jc w:val="both"/>
        <w:rPr>
          <w:snapToGrid/>
        </w:rPr>
      </w:pPr>
      <w:r w:rsidRPr="00310498">
        <w:rPr>
          <w:snapToGrid/>
        </w:rPr>
        <w:t xml:space="preserve">The submission noted that dostarlimab + PC is the current preferred </w:t>
      </w:r>
      <w:r w:rsidR="00800F60" w:rsidRPr="00310498">
        <w:rPr>
          <w:snapToGrid/>
        </w:rPr>
        <w:t>1L</w:t>
      </w:r>
      <w:r w:rsidRPr="00310498">
        <w:rPr>
          <w:snapToGrid/>
        </w:rPr>
        <w:t xml:space="preserve"> treatment for dMMR EC and chemotherapy is only a </w:t>
      </w:r>
      <w:r w:rsidR="00EC6292" w:rsidRPr="00310498">
        <w:rPr>
          <w:snapToGrid/>
        </w:rPr>
        <w:t xml:space="preserve">2L </w:t>
      </w:r>
      <w:r w:rsidRPr="00310498">
        <w:rPr>
          <w:snapToGrid/>
        </w:rPr>
        <w:t xml:space="preserve">treatment. The requested listing for durvalumab + PC is also in the </w:t>
      </w:r>
      <w:r w:rsidR="00EC6292" w:rsidRPr="00310498">
        <w:rPr>
          <w:snapToGrid/>
        </w:rPr>
        <w:t xml:space="preserve">1L </w:t>
      </w:r>
      <w:r w:rsidRPr="00310498">
        <w:rPr>
          <w:snapToGrid/>
        </w:rPr>
        <w:t>setting</w:t>
      </w:r>
      <w:r w:rsidR="00DC0FEC">
        <w:rPr>
          <w:snapToGrid/>
        </w:rPr>
        <w:t>.</w:t>
      </w:r>
    </w:p>
    <w:p w14:paraId="7CFEE4EF" w14:textId="75DF4E7B" w:rsidR="00827CAD" w:rsidRPr="00A0075B" w:rsidRDefault="00827CAD" w:rsidP="00D73772">
      <w:pPr>
        <w:pStyle w:val="2-SectionHeading"/>
        <w:numPr>
          <w:ilvl w:val="0"/>
          <w:numId w:val="0"/>
        </w:numPr>
        <w:spacing w:before="120"/>
        <w:ind w:left="720" w:hanging="720"/>
        <w:outlineLvl w:val="2"/>
        <w:rPr>
          <w:rFonts w:eastAsiaTheme="minorHAnsi" w:cstheme="minorBidi"/>
          <w:b w:val="0"/>
          <w:snapToGrid/>
          <w:sz w:val="24"/>
          <w:szCs w:val="22"/>
          <w:u w:val="single"/>
        </w:rPr>
      </w:pPr>
      <w:r w:rsidRPr="00A0075B">
        <w:rPr>
          <w:rFonts w:eastAsiaTheme="minorHAnsi" w:cstheme="minorBidi"/>
          <w:b w:val="0"/>
          <w:snapToGrid/>
          <w:sz w:val="24"/>
          <w:szCs w:val="22"/>
          <w:u w:val="single"/>
        </w:rPr>
        <w:t>pMMR population</w:t>
      </w:r>
    </w:p>
    <w:p w14:paraId="69929CC1" w14:textId="12D2C33E" w:rsidR="00827CAD" w:rsidRPr="00310498" w:rsidRDefault="00827CAD" w:rsidP="00827CAD">
      <w:pPr>
        <w:pStyle w:val="3-BodyText"/>
      </w:pPr>
      <w:r w:rsidRPr="00310498">
        <w:t xml:space="preserve">The ESC considered that PC, the nominated comparator for the pMMR A/R EC population, was reasonable and was consistent with the PBAC’s consideration of dostarlimab in the all-comers A/R EC population at the November 2023 PBAC meeting (paragraph 7.19, dostarlimab PSD, November 2023). However, the ESC also noted that for a subgroup of patients, following progression on chemotherapy, 2L pembrolizumab + lenvatinib may be used. Under the current PD-1/PD-L1 listings, patients who are treated with durvalumab + olaparib + PC in the 1L setting would not be eligible to receive pembrolizumab + lenvatinib in the 2L setting, and as such, durvalumab + olaparib + PC will replace 1L chemotherapy plus 2L pembrolizumab + lenvatinib in some patients, making 1L chemotherapy plus 2L pembrolizumab + lenvatinib a comparator for a proportion of patients with pMMR EC. The relative efficacy of this comparison was not discussed in the submission, and the ESC noted that comparative efficacy for this treatment algorithm was </w:t>
      </w:r>
      <w:r w:rsidR="003E40A2">
        <w:t>unknown</w:t>
      </w:r>
      <w:r w:rsidRPr="00310498">
        <w:t xml:space="preserve">. </w:t>
      </w:r>
    </w:p>
    <w:p w14:paraId="4EA488F3" w14:textId="1F8F9B26" w:rsidR="00A92C87" w:rsidRPr="00A92C87" w:rsidRDefault="00A92C87" w:rsidP="00D73772">
      <w:pPr>
        <w:spacing w:before="120"/>
        <w:ind w:firstLine="720"/>
        <w:rPr>
          <w:i/>
          <w:iCs/>
        </w:rPr>
      </w:pPr>
      <w:r w:rsidRPr="00A92C87">
        <w:rPr>
          <w:i/>
          <w:iCs/>
        </w:rPr>
        <w:t>For more detail on PBAC’s view, see section 7 PBAC outcome.</w:t>
      </w:r>
    </w:p>
    <w:p w14:paraId="63E38ADF" w14:textId="77777777" w:rsidR="00485DF5" w:rsidRPr="008361AB" w:rsidRDefault="00485DF5" w:rsidP="00485DF5">
      <w:pPr>
        <w:pStyle w:val="2-SectionHeading"/>
        <w:numPr>
          <w:ilvl w:val="0"/>
          <w:numId w:val="1"/>
        </w:numPr>
      </w:pPr>
      <w:bookmarkStart w:id="21" w:name="_Toc176785105"/>
      <w:r w:rsidRPr="008361AB">
        <w:t>Consideration of the evidence</w:t>
      </w:r>
      <w:bookmarkEnd w:id="6"/>
      <w:bookmarkEnd w:id="21"/>
    </w:p>
    <w:p w14:paraId="2B0B1004" w14:textId="77777777" w:rsidR="00A92C87" w:rsidRPr="008361AB" w:rsidRDefault="00A92C87" w:rsidP="00A92C87">
      <w:pPr>
        <w:pStyle w:val="4-SubsectionHeading"/>
        <w:rPr>
          <w:iCs/>
        </w:rPr>
      </w:pPr>
      <w:bookmarkStart w:id="22" w:name="_Hlk76375935"/>
      <w:bookmarkStart w:id="23" w:name="_Toc174923383"/>
      <w:bookmarkStart w:id="24" w:name="_Toc176785106"/>
      <w:r w:rsidRPr="008361AB">
        <w:rPr>
          <w:iCs/>
        </w:rPr>
        <w:t>Sponsor hearing</w:t>
      </w:r>
    </w:p>
    <w:p w14:paraId="095DF5EB" w14:textId="3D8A6879" w:rsidR="00637620" w:rsidRPr="00623ED9" w:rsidRDefault="00DC0FEC" w:rsidP="008361AB">
      <w:pPr>
        <w:pStyle w:val="3-BodyText"/>
      </w:pPr>
      <w:bookmarkStart w:id="25" w:name="_Hlk76382586"/>
      <w:r w:rsidRPr="00DC0FEC">
        <w:rPr>
          <w:bCs/>
          <w:snapToGrid w:val="0"/>
        </w:rPr>
        <w:t xml:space="preserve">A written clinician statement was provided for this item. </w:t>
      </w:r>
      <w:r w:rsidR="00A92C87" w:rsidRPr="008361AB">
        <w:rPr>
          <w:snapToGrid w:val="0"/>
        </w:rPr>
        <w:t xml:space="preserve">The clinician </w:t>
      </w:r>
      <w:r w:rsidR="00637620" w:rsidRPr="008361AB">
        <w:rPr>
          <w:snapToGrid w:val="0"/>
        </w:rPr>
        <w:t>support</w:t>
      </w:r>
      <w:r>
        <w:rPr>
          <w:snapToGrid w:val="0"/>
        </w:rPr>
        <w:t>ed</w:t>
      </w:r>
      <w:r w:rsidR="00637620" w:rsidRPr="008361AB">
        <w:rPr>
          <w:snapToGrid w:val="0"/>
        </w:rPr>
        <w:t xml:space="preserve"> the proposed listings, describing the</w:t>
      </w:r>
      <w:r w:rsidR="00722E4F" w:rsidRPr="008361AB">
        <w:rPr>
          <w:snapToGrid w:val="0"/>
        </w:rPr>
        <w:t xml:space="preserve"> natural history of the </w:t>
      </w:r>
      <w:r w:rsidR="00637620" w:rsidRPr="008361AB">
        <w:rPr>
          <w:snapToGrid w:val="0"/>
        </w:rPr>
        <w:t xml:space="preserve">disease and </w:t>
      </w:r>
      <w:r w:rsidR="00722E4F" w:rsidRPr="008361AB">
        <w:rPr>
          <w:snapToGrid w:val="0"/>
        </w:rPr>
        <w:t xml:space="preserve">MMR </w:t>
      </w:r>
      <w:r w:rsidR="00637620" w:rsidRPr="008361AB">
        <w:rPr>
          <w:snapToGrid w:val="0"/>
        </w:rPr>
        <w:t>sub-populations, relevant clinical trial evidence</w:t>
      </w:r>
      <w:r w:rsidR="00827CAD">
        <w:rPr>
          <w:snapToGrid w:val="0"/>
        </w:rPr>
        <w:t>,</w:t>
      </w:r>
      <w:r w:rsidR="00637620" w:rsidRPr="008361AB">
        <w:rPr>
          <w:snapToGrid w:val="0"/>
        </w:rPr>
        <w:t xml:space="preserve"> and contextualisation of the results in the Australian setting. </w:t>
      </w:r>
      <w:r w:rsidR="00722E4F" w:rsidRPr="008361AB">
        <w:rPr>
          <w:snapToGrid w:val="0"/>
        </w:rPr>
        <w:t xml:space="preserve">The clinician </w:t>
      </w:r>
      <w:r w:rsidR="00623ED9">
        <w:rPr>
          <w:snapToGrid w:val="0"/>
        </w:rPr>
        <w:t>stated that the results of dMMR patients in DUO-E were comparable to dostarlimab patients in RUBY. The clinician also discussed the results of DUO-E in the pMMR population, stating that the results were a</w:t>
      </w:r>
      <w:r w:rsidR="00BA0F9A">
        <w:rPr>
          <w:snapToGrid w:val="0"/>
        </w:rPr>
        <w:t xml:space="preserve"> substantial</w:t>
      </w:r>
      <w:r w:rsidR="00623ED9">
        <w:rPr>
          <w:snapToGrid w:val="0"/>
        </w:rPr>
        <w:t xml:space="preserve"> </w:t>
      </w:r>
      <w:r w:rsidR="00623ED9">
        <w:rPr>
          <w:snapToGrid w:val="0"/>
        </w:rPr>
        <w:lastRenderedPageBreak/>
        <w:t>improvement over current standards of care</w:t>
      </w:r>
      <w:r w:rsidR="003E40A2">
        <w:rPr>
          <w:snapToGrid w:val="0"/>
        </w:rPr>
        <w:t>. The clinician also</w:t>
      </w:r>
      <w:r w:rsidR="00623ED9">
        <w:rPr>
          <w:snapToGrid w:val="0"/>
        </w:rPr>
        <w:t xml:space="preserve"> </w:t>
      </w:r>
      <w:bookmarkEnd w:id="25"/>
      <w:r w:rsidR="00BA0F9A">
        <w:rPr>
          <w:snapToGrid w:val="0"/>
        </w:rPr>
        <w:t>outlin</w:t>
      </w:r>
      <w:r w:rsidR="003E40A2">
        <w:rPr>
          <w:snapToGrid w:val="0"/>
        </w:rPr>
        <w:t>ed</w:t>
      </w:r>
      <w:r w:rsidR="00BA0F9A">
        <w:rPr>
          <w:snapToGrid w:val="0"/>
        </w:rPr>
        <w:t xml:space="preserve"> the rationale for the combination of durvalumab and olaparib in </w:t>
      </w:r>
      <w:r w:rsidR="003E40A2">
        <w:rPr>
          <w:snapToGrid w:val="0"/>
        </w:rPr>
        <w:t>the pMMR</w:t>
      </w:r>
      <w:r w:rsidR="00BA0F9A">
        <w:rPr>
          <w:snapToGrid w:val="0"/>
        </w:rPr>
        <w:t xml:space="preserve"> population. </w:t>
      </w:r>
    </w:p>
    <w:p w14:paraId="12A02669" w14:textId="00745142" w:rsidR="00A92C87" w:rsidRPr="00A0075B" w:rsidRDefault="00A92C87" w:rsidP="00A92C87">
      <w:pPr>
        <w:pStyle w:val="4-SubsectionHeading"/>
        <w:rPr>
          <w:iCs/>
        </w:rPr>
      </w:pPr>
      <w:r w:rsidRPr="00A0075B">
        <w:rPr>
          <w:iCs/>
        </w:rPr>
        <w:t>Consumer comments</w:t>
      </w:r>
    </w:p>
    <w:p w14:paraId="0F69ED05" w14:textId="0DD66B74" w:rsidR="00623ED9" w:rsidRPr="00007752" w:rsidRDefault="00A92C87" w:rsidP="00623ED9">
      <w:pPr>
        <w:widowControl w:val="0"/>
        <w:numPr>
          <w:ilvl w:val="1"/>
          <w:numId w:val="1"/>
        </w:numPr>
        <w:spacing w:after="120"/>
        <w:rPr>
          <w:rFonts w:asciiTheme="minorHAnsi" w:hAnsiTheme="minorHAnsi" w:cstheme="minorHAnsi"/>
          <w:bCs/>
          <w:i/>
          <w:iCs/>
        </w:rPr>
      </w:pPr>
      <w:bookmarkStart w:id="26" w:name="_Hlk76382618"/>
      <w:r w:rsidRPr="00623ED9">
        <w:rPr>
          <w:rFonts w:asciiTheme="minorHAnsi" w:hAnsiTheme="minorHAnsi"/>
          <w:bCs/>
          <w:snapToGrid w:val="0"/>
        </w:rPr>
        <w:t xml:space="preserve">The PBAC noted and welcomed the input from </w:t>
      </w:r>
      <w:r w:rsidR="00623ED9" w:rsidRPr="00623ED9">
        <w:rPr>
          <w:rFonts w:asciiTheme="minorHAnsi" w:hAnsiTheme="minorHAnsi"/>
          <w:bCs/>
          <w:snapToGrid w:val="0"/>
        </w:rPr>
        <w:t>3</w:t>
      </w:r>
      <w:r w:rsidRPr="00623ED9">
        <w:rPr>
          <w:rFonts w:asciiTheme="minorHAnsi" w:hAnsiTheme="minorHAnsi"/>
          <w:bCs/>
          <w:snapToGrid w:val="0"/>
        </w:rPr>
        <w:t xml:space="preserve"> organisations via the Consumer Comments facility on the PBS website. The PBAC noted the </w:t>
      </w:r>
      <w:r w:rsidR="00623ED9" w:rsidRPr="00623ED9">
        <w:rPr>
          <w:rFonts w:asciiTheme="minorHAnsi" w:hAnsiTheme="minorHAnsi"/>
          <w:bCs/>
          <w:snapToGrid w:val="0"/>
        </w:rPr>
        <w:t xml:space="preserve">comment </w:t>
      </w:r>
      <w:r w:rsidRPr="00623ED9">
        <w:rPr>
          <w:rFonts w:asciiTheme="minorHAnsi" w:hAnsiTheme="minorHAnsi"/>
          <w:bCs/>
          <w:snapToGrid w:val="0"/>
        </w:rPr>
        <w:t xml:space="preserve">received from </w:t>
      </w:r>
      <w:r w:rsidR="00623ED9" w:rsidRPr="00623ED9">
        <w:rPr>
          <w:rFonts w:asciiTheme="minorHAnsi" w:hAnsiTheme="minorHAnsi"/>
          <w:bCs/>
          <w:snapToGrid w:val="0"/>
        </w:rPr>
        <w:t xml:space="preserve">Royal Australian and New Zealand College of Obstetricians and Gynaecologists </w:t>
      </w:r>
      <w:r w:rsidR="00051B57">
        <w:rPr>
          <w:rFonts w:asciiTheme="minorHAnsi" w:hAnsiTheme="minorHAnsi"/>
          <w:bCs/>
          <w:snapToGrid w:val="0"/>
        </w:rPr>
        <w:t>expressing support for listings that would help improve</w:t>
      </w:r>
      <w:r w:rsidR="00051B57" w:rsidRPr="00623ED9">
        <w:rPr>
          <w:rFonts w:asciiTheme="minorHAnsi" w:hAnsiTheme="minorHAnsi"/>
          <w:bCs/>
          <w:snapToGrid w:val="0"/>
        </w:rPr>
        <w:t xml:space="preserve"> </w:t>
      </w:r>
      <w:r w:rsidR="00623ED9" w:rsidRPr="00623ED9">
        <w:rPr>
          <w:rFonts w:asciiTheme="minorHAnsi" w:hAnsiTheme="minorHAnsi"/>
          <w:bCs/>
          <w:snapToGrid w:val="0"/>
        </w:rPr>
        <w:t xml:space="preserve">the affordability of medications available to women in Australia. Rare Cancers Australia supported the </w:t>
      </w:r>
      <w:r w:rsidR="00623ED9" w:rsidRPr="00007752">
        <w:rPr>
          <w:rFonts w:asciiTheme="minorHAnsi" w:hAnsiTheme="minorHAnsi"/>
          <w:bCs/>
          <w:snapToGrid w:val="0"/>
        </w:rPr>
        <w:t>submission, stating that durvalumab is a targeted therapy with demonstrated clinical benefits. Rare Cancers Australia described that patients living with endometrial cancer currently undergo a range of surgeries, chemotherapy</w:t>
      </w:r>
      <w:r w:rsidR="00827CAD" w:rsidRPr="00007752">
        <w:rPr>
          <w:rFonts w:asciiTheme="minorHAnsi" w:hAnsiTheme="minorHAnsi"/>
          <w:bCs/>
          <w:snapToGrid w:val="0"/>
        </w:rPr>
        <w:t>,</w:t>
      </w:r>
      <w:r w:rsidR="00623ED9" w:rsidRPr="00007752">
        <w:rPr>
          <w:rFonts w:asciiTheme="minorHAnsi" w:hAnsiTheme="minorHAnsi"/>
          <w:bCs/>
          <w:snapToGrid w:val="0"/>
        </w:rPr>
        <w:t xml:space="preserve"> and radiation therapy. Additionally, patients who self-fund treatment experience an added financial burden. The comments noted the high unmet need for effective and tolerable treatment options in th</w:t>
      </w:r>
      <w:r w:rsidR="003E40A2">
        <w:rPr>
          <w:rFonts w:asciiTheme="minorHAnsi" w:hAnsiTheme="minorHAnsi"/>
          <w:bCs/>
          <w:snapToGrid w:val="0"/>
        </w:rPr>
        <w:t>e pMMR</w:t>
      </w:r>
      <w:r w:rsidR="00623ED9" w:rsidRPr="00007752">
        <w:rPr>
          <w:rFonts w:asciiTheme="minorHAnsi" w:hAnsiTheme="minorHAnsi"/>
          <w:bCs/>
          <w:snapToGrid w:val="0"/>
        </w:rPr>
        <w:t xml:space="preserve"> setting to provide a clinically relevant improvement in efficacy and a reduction </w:t>
      </w:r>
      <w:r w:rsidR="003E40A2">
        <w:rPr>
          <w:rFonts w:asciiTheme="minorHAnsi" w:hAnsiTheme="minorHAnsi"/>
          <w:bCs/>
          <w:snapToGrid w:val="0"/>
        </w:rPr>
        <w:t>in</w:t>
      </w:r>
      <w:r w:rsidR="003E40A2" w:rsidRPr="00007752">
        <w:rPr>
          <w:rFonts w:asciiTheme="minorHAnsi" w:hAnsiTheme="minorHAnsi"/>
          <w:bCs/>
          <w:snapToGrid w:val="0"/>
        </w:rPr>
        <w:t xml:space="preserve"> </w:t>
      </w:r>
      <w:r w:rsidR="00623ED9" w:rsidRPr="00007752">
        <w:rPr>
          <w:rFonts w:asciiTheme="minorHAnsi" w:hAnsiTheme="minorHAnsi"/>
          <w:bCs/>
          <w:snapToGrid w:val="0"/>
        </w:rPr>
        <w:t xml:space="preserve">toxicity over chemotherapy and other treatment options. </w:t>
      </w:r>
      <w:bookmarkEnd w:id="22"/>
      <w:bookmarkEnd w:id="26"/>
    </w:p>
    <w:p w14:paraId="230158AE" w14:textId="26F46490" w:rsidR="00A92C87" w:rsidRPr="00007752" w:rsidRDefault="00A92C87" w:rsidP="00623ED9">
      <w:pPr>
        <w:widowControl w:val="0"/>
        <w:numPr>
          <w:ilvl w:val="1"/>
          <w:numId w:val="1"/>
        </w:numPr>
        <w:spacing w:after="120"/>
        <w:rPr>
          <w:rFonts w:asciiTheme="minorHAnsi" w:hAnsiTheme="minorHAnsi" w:cstheme="minorHAnsi"/>
          <w:bCs/>
          <w:i/>
          <w:iCs/>
        </w:rPr>
      </w:pPr>
      <w:r w:rsidRPr="00007752">
        <w:rPr>
          <w:rFonts w:asciiTheme="minorHAnsi" w:hAnsiTheme="minorHAnsi"/>
          <w:bCs/>
          <w:snapToGrid w:val="0"/>
        </w:rPr>
        <w:t xml:space="preserve">The Medical Oncology Group of Australia (MOGA) also expressed its strong support for the </w:t>
      </w:r>
      <w:r w:rsidR="00623ED9" w:rsidRPr="00007752">
        <w:rPr>
          <w:rFonts w:asciiTheme="minorHAnsi" w:hAnsiTheme="minorHAnsi"/>
          <w:bCs/>
          <w:snapToGrid w:val="0"/>
        </w:rPr>
        <w:t xml:space="preserve">durvalumab </w:t>
      </w:r>
      <w:r w:rsidRPr="00007752">
        <w:rPr>
          <w:rFonts w:asciiTheme="minorHAnsi" w:hAnsiTheme="minorHAnsi"/>
          <w:bCs/>
          <w:snapToGrid w:val="0"/>
        </w:rPr>
        <w:t xml:space="preserve">submission, categorising it as one of the therapies of “highest priority for PBS listing” on the basis of the </w:t>
      </w:r>
      <w:r w:rsidR="00623ED9" w:rsidRPr="00007752">
        <w:rPr>
          <w:rFonts w:asciiTheme="minorHAnsi" w:hAnsiTheme="minorHAnsi"/>
          <w:bCs/>
          <w:snapToGrid w:val="0"/>
        </w:rPr>
        <w:t xml:space="preserve">DUO-E </w:t>
      </w:r>
      <w:r w:rsidRPr="00007752">
        <w:rPr>
          <w:rFonts w:asciiTheme="minorHAnsi" w:hAnsiTheme="minorHAnsi"/>
          <w:bCs/>
          <w:snapToGrid w:val="0"/>
        </w:rPr>
        <w:t xml:space="preserve">trial. The PBAC noted that the MOGA presented a European Society for Medical Oncology Magnitude of Clinical Benefit Scale (ESMO-MCBS) for </w:t>
      </w:r>
      <w:r w:rsidR="00623ED9" w:rsidRPr="00007752">
        <w:rPr>
          <w:rFonts w:asciiTheme="minorHAnsi" w:hAnsiTheme="minorHAnsi"/>
          <w:bCs/>
          <w:snapToGrid w:val="0"/>
        </w:rPr>
        <w:t>durvalumab</w:t>
      </w:r>
      <w:r w:rsidRPr="00007752">
        <w:rPr>
          <w:rFonts w:asciiTheme="minorHAnsi" w:hAnsiTheme="minorHAnsi"/>
          <w:bCs/>
          <w:snapToGrid w:val="0"/>
        </w:rPr>
        <w:t xml:space="preserve">, which was limited to </w:t>
      </w:r>
      <w:r w:rsidR="00623ED9" w:rsidRPr="00007752">
        <w:rPr>
          <w:rFonts w:asciiTheme="minorHAnsi" w:hAnsiTheme="minorHAnsi"/>
          <w:bCs/>
          <w:snapToGrid w:val="0"/>
        </w:rPr>
        <w:t xml:space="preserve">4 </w:t>
      </w:r>
      <w:r w:rsidRPr="00007752">
        <w:rPr>
          <w:rFonts w:asciiTheme="minorHAnsi" w:hAnsiTheme="minorHAnsi"/>
          <w:bCs/>
          <w:snapToGrid w:val="0"/>
        </w:rPr>
        <w:t>(out of a maximum of 5, where 5 and 4 represent the grades with substantial improvement)</w:t>
      </w:r>
      <w:r w:rsidR="00623ED9" w:rsidRPr="00007752">
        <w:rPr>
          <w:rStyle w:val="FootnoteReference"/>
          <w:rFonts w:asciiTheme="minorHAnsi" w:hAnsiTheme="minorHAnsi"/>
          <w:bCs/>
          <w:snapToGrid w:val="0"/>
        </w:rPr>
        <w:footnoteReference w:id="2"/>
      </w:r>
      <w:r w:rsidRPr="00007752">
        <w:rPr>
          <w:rFonts w:asciiTheme="minorHAnsi" w:hAnsiTheme="minorHAnsi"/>
          <w:bCs/>
          <w:snapToGrid w:val="0"/>
        </w:rPr>
        <w:t xml:space="preserve">, based on a comparison with </w:t>
      </w:r>
      <w:r w:rsidR="00623ED9" w:rsidRPr="00007752">
        <w:rPr>
          <w:rFonts w:asciiTheme="minorHAnsi" w:hAnsiTheme="minorHAnsi"/>
          <w:bCs/>
          <w:snapToGrid w:val="0"/>
        </w:rPr>
        <w:t>platinum-based chemotherapy. The MOGA also noted that the highest benefit was seen in the dMMR population.</w:t>
      </w:r>
    </w:p>
    <w:p w14:paraId="2B537371" w14:textId="797D3DC6" w:rsidR="00485DF5" w:rsidRPr="00A0075B" w:rsidRDefault="00485DF5" w:rsidP="00485DF5">
      <w:pPr>
        <w:pStyle w:val="4-SubsectionHeading"/>
        <w:rPr>
          <w:iCs/>
        </w:rPr>
      </w:pPr>
      <w:r w:rsidRPr="00A0075B">
        <w:rPr>
          <w:iCs/>
        </w:rPr>
        <w:t>Clinical trials</w:t>
      </w:r>
      <w:bookmarkEnd w:id="23"/>
      <w:bookmarkEnd w:id="24"/>
    </w:p>
    <w:p w14:paraId="6DCC3B77" w14:textId="77777777" w:rsidR="00392764" w:rsidRPr="00310498" w:rsidRDefault="00485DF5" w:rsidP="00485DF5">
      <w:pPr>
        <w:pStyle w:val="3-BodyText"/>
      </w:pPr>
      <w:r w:rsidRPr="00007752">
        <w:t xml:space="preserve">The submission was </w:t>
      </w:r>
      <w:r w:rsidR="00943A91" w:rsidRPr="00007752">
        <w:t xml:space="preserve">primarily </w:t>
      </w:r>
      <w:r w:rsidRPr="00007752">
        <w:t>based on one head-to-head randomised trial (DUO-E) comparing (i) durvalumab + PC; (ii) durvalumab</w:t>
      </w:r>
      <w:r w:rsidRPr="00310498">
        <w:t xml:space="preserve"> + PC </w:t>
      </w:r>
      <w:r w:rsidR="00943A91" w:rsidRPr="00310498">
        <w:t xml:space="preserve">+ </w:t>
      </w:r>
      <w:r w:rsidRPr="00310498">
        <w:t xml:space="preserve">olaparib; and (iii) PC. </w:t>
      </w:r>
      <w:r w:rsidR="009D2FCE" w:rsidRPr="00310498">
        <w:t xml:space="preserve">The primary outcome was the dual primary </w:t>
      </w:r>
      <w:r w:rsidR="00806067" w:rsidRPr="00310498">
        <w:t>progression free survival (</w:t>
      </w:r>
      <w:r w:rsidR="009D2FCE" w:rsidRPr="00310498">
        <w:t>PFS</w:t>
      </w:r>
      <w:r w:rsidR="00806067" w:rsidRPr="00310498">
        <w:t>)</w:t>
      </w:r>
      <w:r w:rsidR="009D2FCE" w:rsidRPr="00310498">
        <w:t xml:space="preserve"> endpoint comparisons (per RECIST 1.1 as assessed by Investigator) of the</w:t>
      </w:r>
      <w:r w:rsidR="009742C9" w:rsidRPr="00310498">
        <w:t>:</w:t>
      </w:r>
      <w:r w:rsidR="009D2FCE" w:rsidRPr="00310498">
        <w:t xml:space="preserve"> </w:t>
      </w:r>
    </w:p>
    <w:p w14:paraId="2B975BC4" w14:textId="77777777" w:rsidR="00392764" w:rsidRPr="00310498" w:rsidRDefault="009D2FCE" w:rsidP="003E1068">
      <w:pPr>
        <w:pStyle w:val="3-BodyText"/>
        <w:numPr>
          <w:ilvl w:val="0"/>
          <w:numId w:val="13"/>
        </w:numPr>
      </w:pPr>
      <w:r w:rsidRPr="00310498">
        <w:t>durvalumab + PC arm compared with the PC arm</w:t>
      </w:r>
      <w:r w:rsidR="00392764" w:rsidRPr="00310498">
        <w:t>;</w:t>
      </w:r>
      <w:r w:rsidRPr="00310498">
        <w:t xml:space="preserve"> and </w:t>
      </w:r>
    </w:p>
    <w:p w14:paraId="56BCC1F2" w14:textId="2CE1B6ED" w:rsidR="00392764" w:rsidRPr="00310498" w:rsidRDefault="009D2FCE" w:rsidP="003E1068">
      <w:pPr>
        <w:pStyle w:val="3-BodyText"/>
        <w:numPr>
          <w:ilvl w:val="0"/>
          <w:numId w:val="13"/>
        </w:numPr>
      </w:pPr>
      <w:r w:rsidRPr="00310498">
        <w:t xml:space="preserve">durvalumab + PC + olaparib arm compared with the PC arm. </w:t>
      </w:r>
    </w:p>
    <w:p w14:paraId="6A51223F" w14:textId="7CE5FF75" w:rsidR="00EB6EB7" w:rsidRPr="00310498" w:rsidRDefault="00445265" w:rsidP="00392764">
      <w:pPr>
        <w:pStyle w:val="3-BodyText"/>
        <w:numPr>
          <w:ilvl w:val="0"/>
          <w:numId w:val="0"/>
        </w:numPr>
        <w:ind w:left="720"/>
      </w:pPr>
      <w:r w:rsidRPr="00310498">
        <w:t xml:space="preserve">Comparisons between durvalumab + PC and durvalumab + PC + olaparib were exploratory only. See </w:t>
      </w:r>
      <w:r w:rsidR="00B16891" w:rsidRPr="00310498">
        <w:t xml:space="preserve">paragraph </w:t>
      </w:r>
      <w:r w:rsidR="00B16891" w:rsidRPr="00310498">
        <w:fldChar w:fldCharType="begin" w:fldLock="1"/>
      </w:r>
      <w:r w:rsidR="00B16891" w:rsidRPr="00310498">
        <w:instrText xml:space="preserve"> REF _Ref174973996 \r \h  \* MERGEFORMAT </w:instrText>
      </w:r>
      <w:r w:rsidR="00B16891" w:rsidRPr="00310498">
        <w:fldChar w:fldCharType="separate"/>
      </w:r>
      <w:r w:rsidR="00A0075B">
        <w:t>6.13</w:t>
      </w:r>
      <w:r w:rsidR="00B16891" w:rsidRPr="00310498">
        <w:fldChar w:fldCharType="end"/>
      </w:r>
      <w:r w:rsidR="00B16891" w:rsidRPr="00310498">
        <w:t>.</w:t>
      </w:r>
    </w:p>
    <w:p w14:paraId="3B807524" w14:textId="4D90AD1F" w:rsidR="00485DF5" w:rsidRPr="00310498" w:rsidRDefault="00EB6EB7" w:rsidP="00485DF5">
      <w:pPr>
        <w:pStyle w:val="3-BodyText"/>
      </w:pPr>
      <w:r w:rsidRPr="00310498">
        <w:t xml:space="preserve">Subgroup data from the pMMR subgroup of patients in </w:t>
      </w:r>
      <w:r w:rsidR="00943A91" w:rsidRPr="00310498">
        <w:t xml:space="preserve">DUO-E was used to inform the comparison between durvalumab + PC </w:t>
      </w:r>
      <w:r w:rsidR="00E7649C" w:rsidRPr="00310498">
        <w:t xml:space="preserve">+ olaparib with PC, while indirect treatment </w:t>
      </w:r>
      <w:r w:rsidR="00E7649C" w:rsidRPr="00310498">
        <w:lastRenderedPageBreak/>
        <w:t>comparison</w:t>
      </w:r>
      <w:r w:rsidR="00295695" w:rsidRPr="00310498">
        <w:t>s</w:t>
      </w:r>
      <w:r w:rsidR="00E7649C" w:rsidRPr="00310498">
        <w:t xml:space="preserve"> (ITC</w:t>
      </w:r>
      <w:r w:rsidR="00295695" w:rsidRPr="00310498">
        <w:t>s</w:t>
      </w:r>
      <w:r w:rsidR="00E7649C" w:rsidRPr="00310498">
        <w:t xml:space="preserve">) </w:t>
      </w:r>
      <w:r w:rsidR="00295695" w:rsidRPr="00310498">
        <w:t>were</w:t>
      </w:r>
      <w:r w:rsidR="00E7649C" w:rsidRPr="00310498">
        <w:t xml:space="preserve"> used to inform the comparison between durvalumab + PC with dostarlimab + PC</w:t>
      </w:r>
      <w:r w:rsidR="009E0BED" w:rsidRPr="00310498">
        <w:t xml:space="preserve"> in patients with dMMR AR/EC</w:t>
      </w:r>
      <w:r w:rsidR="00E7649C" w:rsidRPr="00310498">
        <w:t>.</w:t>
      </w:r>
    </w:p>
    <w:p w14:paraId="41FBB2EC" w14:textId="69B90333" w:rsidR="00E7649C" w:rsidRPr="00310498" w:rsidRDefault="00E7649C" w:rsidP="00E7649C">
      <w:pPr>
        <w:pStyle w:val="3-BodyText"/>
      </w:pPr>
      <w:bookmarkStart w:id="27" w:name="_Ref174978801"/>
      <w:r w:rsidRPr="00310498">
        <w:t>The ITC</w:t>
      </w:r>
      <w:r w:rsidR="00295695" w:rsidRPr="00310498">
        <w:t>s</w:t>
      </w:r>
      <w:r w:rsidRPr="00310498">
        <w:t xml:space="preserve"> between durvalumab </w:t>
      </w:r>
      <w:r w:rsidR="00EB6EB7" w:rsidRPr="00310498">
        <w:t xml:space="preserve">+ PC </w:t>
      </w:r>
      <w:r w:rsidRPr="00310498">
        <w:t xml:space="preserve">and dostarlimab </w:t>
      </w:r>
      <w:r w:rsidR="00EB6EB7" w:rsidRPr="00310498">
        <w:t xml:space="preserve">+ PC </w:t>
      </w:r>
      <w:r w:rsidRPr="00310498">
        <w:t xml:space="preserve">for the treatment of </w:t>
      </w:r>
      <w:r w:rsidR="00EB6EB7" w:rsidRPr="00310498">
        <w:t xml:space="preserve">patients with dMMR A/R </w:t>
      </w:r>
      <w:r w:rsidRPr="00310498">
        <w:t>EC w</w:t>
      </w:r>
      <w:r w:rsidR="007C3DD4" w:rsidRPr="00310498">
        <w:t>ere</w:t>
      </w:r>
      <w:r w:rsidRPr="00310498">
        <w:t xml:space="preserve"> based on </w:t>
      </w:r>
      <w:r w:rsidR="00EB6EB7" w:rsidRPr="00310498">
        <w:t xml:space="preserve">the dMMR subgroup of </w:t>
      </w:r>
      <w:r w:rsidRPr="00310498">
        <w:t>DUO-E plus one head-to-head randomised trial (RUBY) comparing (i) dostarlimab + PC and (ii) PC. (The RUBY trial also had two other treatment arms investigating the addition of niraparib compared to placebo during maintenance, which were not included by the submission.) PC was the common comparator.</w:t>
      </w:r>
      <w:bookmarkEnd w:id="27"/>
    </w:p>
    <w:p w14:paraId="4A1ABDAB" w14:textId="4D200474" w:rsidR="00485DF5" w:rsidRPr="00310498" w:rsidRDefault="00485DF5" w:rsidP="00485DF5">
      <w:pPr>
        <w:pStyle w:val="3-BodyText"/>
      </w:pPr>
      <w:r w:rsidRPr="00310498">
        <w:t xml:space="preserve">Details of the DUO-E trial presented in the submission are provided in </w:t>
      </w:r>
      <w:r w:rsidR="003907A3" w:rsidRPr="00310498">
        <w:fldChar w:fldCharType="begin" w:fldLock="1"/>
      </w:r>
      <w:r w:rsidR="003907A3" w:rsidRPr="00310498">
        <w:instrText xml:space="preserve"> REF _Ref174979044 \h </w:instrText>
      </w:r>
      <w:r w:rsidR="00310498" w:rsidRPr="00310498">
        <w:instrText xml:space="preserve"> \* MERGEFORMAT </w:instrText>
      </w:r>
      <w:r w:rsidR="003907A3" w:rsidRPr="00310498">
        <w:fldChar w:fldCharType="separate"/>
      </w:r>
      <w:r w:rsidR="002C52D8" w:rsidRPr="00623ED9">
        <w:t xml:space="preserve">Table </w:t>
      </w:r>
      <w:r w:rsidR="002C52D8">
        <w:rPr>
          <w:noProof/>
        </w:rPr>
        <w:t>2</w:t>
      </w:r>
      <w:r w:rsidR="003907A3" w:rsidRPr="00310498">
        <w:fldChar w:fldCharType="end"/>
      </w:r>
      <w:r w:rsidR="004618C9" w:rsidRPr="00310498">
        <w:t>.</w:t>
      </w:r>
      <w:r w:rsidRPr="00310498">
        <w:t xml:space="preserve"> </w:t>
      </w:r>
    </w:p>
    <w:p w14:paraId="7EEB2FEB" w14:textId="086D3B9C" w:rsidR="00485DF5" w:rsidRPr="00310498" w:rsidRDefault="00485DF5" w:rsidP="00D15320">
      <w:pPr>
        <w:pStyle w:val="TableFigureHeading"/>
        <w:keepLines/>
        <w:rPr>
          <w:rStyle w:val="CommentReference"/>
          <w:b/>
          <w:szCs w:val="24"/>
        </w:rPr>
      </w:pPr>
      <w:bookmarkStart w:id="28" w:name="_Ref174979044"/>
      <w:r w:rsidRPr="00623ED9">
        <w:t xml:space="preserve">Table </w:t>
      </w:r>
      <w:r w:rsidR="00F267A0" w:rsidRPr="00623ED9">
        <w:fldChar w:fldCharType="begin" w:fldLock="1"/>
      </w:r>
      <w:r w:rsidR="00F267A0" w:rsidRPr="00623ED9">
        <w:instrText xml:space="preserve"> SEQ Table \* ARABIC </w:instrText>
      </w:r>
      <w:r w:rsidR="00F267A0" w:rsidRPr="00623ED9">
        <w:fldChar w:fldCharType="separate"/>
      </w:r>
      <w:r w:rsidR="002C52D8">
        <w:rPr>
          <w:noProof/>
        </w:rPr>
        <w:t>2</w:t>
      </w:r>
      <w:r w:rsidR="00F267A0" w:rsidRPr="00623ED9">
        <w:rPr>
          <w:noProof/>
        </w:rPr>
        <w:fldChar w:fldCharType="end"/>
      </w:r>
      <w:bookmarkEnd w:id="28"/>
      <w:r w:rsidRPr="00623ED9">
        <w:t>:</w:t>
      </w:r>
      <w:r w:rsidRPr="00623ED9">
        <w:rPr>
          <w:rStyle w:val="CommentReference"/>
          <w:b/>
          <w:szCs w:val="24"/>
        </w:rPr>
        <w:t xml:space="preserve"> Trials and associated reports presented in the submission (durvalumab)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9"/>
        <w:gridCol w:w="5473"/>
        <w:gridCol w:w="2128"/>
      </w:tblGrid>
      <w:tr w:rsidR="00485DF5" w:rsidRPr="00310498" w14:paraId="2C14C869" w14:textId="77777777" w:rsidTr="00F267A0">
        <w:trPr>
          <w:tblHeader/>
        </w:trPr>
        <w:tc>
          <w:tcPr>
            <w:tcW w:w="796" w:type="pct"/>
            <w:vAlign w:val="center"/>
          </w:tcPr>
          <w:p w14:paraId="1F9A52AB" w14:textId="77777777" w:rsidR="00485DF5" w:rsidRPr="00310498" w:rsidRDefault="00485DF5" w:rsidP="00D15320">
            <w:pPr>
              <w:pStyle w:val="In-tableHeading"/>
              <w:rPr>
                <w:lang w:val="en-AU"/>
              </w:rPr>
            </w:pPr>
            <w:r w:rsidRPr="00310498">
              <w:rPr>
                <w:lang w:val="en-AU"/>
              </w:rPr>
              <w:t>Trial ID</w:t>
            </w:r>
          </w:p>
        </w:tc>
        <w:tc>
          <w:tcPr>
            <w:tcW w:w="3027" w:type="pct"/>
            <w:tcBorders>
              <w:bottom w:val="single" w:sz="4" w:space="0" w:color="auto"/>
            </w:tcBorders>
            <w:vAlign w:val="center"/>
          </w:tcPr>
          <w:p w14:paraId="7E622D2E" w14:textId="77777777" w:rsidR="00485DF5" w:rsidRPr="00310498" w:rsidRDefault="00485DF5" w:rsidP="00D15320">
            <w:pPr>
              <w:pStyle w:val="In-tableHeading"/>
              <w:rPr>
                <w:lang w:val="en-AU"/>
              </w:rPr>
            </w:pPr>
            <w:r w:rsidRPr="00310498">
              <w:rPr>
                <w:lang w:val="en-AU"/>
              </w:rPr>
              <w:t>Protocol title/ Publication title</w:t>
            </w:r>
          </w:p>
        </w:tc>
        <w:tc>
          <w:tcPr>
            <w:tcW w:w="1177" w:type="pct"/>
            <w:tcBorders>
              <w:bottom w:val="single" w:sz="4" w:space="0" w:color="auto"/>
            </w:tcBorders>
            <w:vAlign w:val="center"/>
          </w:tcPr>
          <w:p w14:paraId="176C2D5B" w14:textId="77777777" w:rsidR="00485DF5" w:rsidRPr="00310498" w:rsidRDefault="00485DF5" w:rsidP="00D15320">
            <w:pPr>
              <w:pStyle w:val="In-tableHeading"/>
              <w:rPr>
                <w:lang w:val="en-AU"/>
              </w:rPr>
            </w:pPr>
            <w:r w:rsidRPr="00310498">
              <w:rPr>
                <w:lang w:val="en-AU"/>
              </w:rPr>
              <w:t>Publication citation</w:t>
            </w:r>
          </w:p>
        </w:tc>
      </w:tr>
      <w:tr w:rsidR="00485DF5" w:rsidRPr="00310498" w14:paraId="5A27D7C6" w14:textId="77777777" w:rsidTr="00F267A0">
        <w:tc>
          <w:tcPr>
            <w:tcW w:w="796" w:type="pct"/>
            <w:vMerge w:val="restart"/>
            <w:vAlign w:val="center"/>
          </w:tcPr>
          <w:p w14:paraId="34594182" w14:textId="77777777" w:rsidR="00485DF5" w:rsidRPr="00310498" w:rsidRDefault="00485DF5" w:rsidP="00D15320">
            <w:pPr>
              <w:pStyle w:val="Tabletext"/>
              <w:keepNext/>
              <w:keepLines/>
            </w:pPr>
            <w:r w:rsidRPr="00310498">
              <w:t>DUO-E/GOG-3041/ENGOT-EN10 trial</w:t>
            </w:r>
          </w:p>
          <w:p w14:paraId="5F32D824" w14:textId="77777777" w:rsidR="00485DF5" w:rsidRPr="00310498" w:rsidRDefault="00485DF5" w:rsidP="00D15320">
            <w:pPr>
              <w:pStyle w:val="Tabletext"/>
              <w:keepNext/>
              <w:keepLines/>
            </w:pPr>
            <w:r w:rsidRPr="00310498">
              <w:t>NCT04269200</w:t>
            </w:r>
          </w:p>
        </w:tc>
        <w:tc>
          <w:tcPr>
            <w:tcW w:w="3027" w:type="pct"/>
            <w:tcBorders>
              <w:bottom w:val="single" w:sz="4" w:space="0" w:color="auto"/>
            </w:tcBorders>
            <w:vAlign w:val="center"/>
          </w:tcPr>
          <w:p w14:paraId="3C9AB498" w14:textId="77777777" w:rsidR="00485DF5" w:rsidRPr="00310498" w:rsidRDefault="00485DF5" w:rsidP="00D15320">
            <w:pPr>
              <w:pStyle w:val="Tabletext"/>
              <w:keepNext/>
              <w:keepLines/>
            </w:pPr>
            <w:r w:rsidRPr="00310498">
              <w:t>A Randomised, Multicentre, Double-blind, Placebo-controlled, Phase III Study of First-line Carboplatin and Paclitaxel in Combination with Durvalumab, Followed by Maintenance Durvalumab with or without Olaparib in Patients with Newly Diagnosed Advanced or Recurrent Endometrial Cancer (DUO-E)</w:t>
            </w:r>
          </w:p>
        </w:tc>
        <w:tc>
          <w:tcPr>
            <w:tcW w:w="1177" w:type="pct"/>
            <w:tcBorders>
              <w:bottom w:val="single" w:sz="4" w:space="0" w:color="auto"/>
            </w:tcBorders>
            <w:vAlign w:val="center"/>
          </w:tcPr>
          <w:p w14:paraId="160F0B0E" w14:textId="77777777" w:rsidR="00485DF5" w:rsidRPr="00310498" w:rsidRDefault="00485DF5" w:rsidP="00D15320">
            <w:pPr>
              <w:pStyle w:val="Tabletext"/>
              <w:keepNext/>
              <w:keepLines/>
            </w:pPr>
            <w:r w:rsidRPr="00310498">
              <w:t>Clinical Study Report, Version 1, 21 September 2023</w:t>
            </w:r>
          </w:p>
        </w:tc>
      </w:tr>
      <w:tr w:rsidR="00485DF5" w:rsidRPr="00310498" w14:paraId="30219068" w14:textId="77777777" w:rsidTr="00F267A0">
        <w:tc>
          <w:tcPr>
            <w:tcW w:w="796" w:type="pct"/>
            <w:vMerge/>
            <w:vAlign w:val="center"/>
          </w:tcPr>
          <w:p w14:paraId="458DAFE7" w14:textId="77777777" w:rsidR="00485DF5" w:rsidRPr="00310498" w:rsidRDefault="00485DF5" w:rsidP="00D15320">
            <w:pPr>
              <w:pStyle w:val="Tabletext"/>
              <w:keepNext/>
              <w:keepLines/>
            </w:pPr>
          </w:p>
        </w:tc>
        <w:tc>
          <w:tcPr>
            <w:tcW w:w="3027" w:type="pct"/>
            <w:tcBorders>
              <w:top w:val="single" w:sz="4" w:space="0" w:color="auto"/>
              <w:bottom w:val="single" w:sz="4" w:space="0" w:color="auto"/>
            </w:tcBorders>
            <w:vAlign w:val="center"/>
          </w:tcPr>
          <w:p w14:paraId="67A21D1D" w14:textId="77777777" w:rsidR="00485DF5" w:rsidRPr="00310498" w:rsidRDefault="00485DF5" w:rsidP="00D15320">
            <w:pPr>
              <w:pStyle w:val="Tabletext"/>
              <w:keepNext/>
              <w:keepLines/>
            </w:pPr>
            <w:r w:rsidRPr="00310498">
              <w:t>Westin S et al. Durvalumab Plus Carboplatin/Paclitaxel Followed by Maintenance Durvalumab With or Without Olaparib as First-Line Treatment for Advanced Endometrial Cancer: The Phase III DUO-E Trial.</w:t>
            </w:r>
          </w:p>
        </w:tc>
        <w:tc>
          <w:tcPr>
            <w:tcW w:w="1177" w:type="pct"/>
            <w:tcBorders>
              <w:top w:val="single" w:sz="4" w:space="0" w:color="auto"/>
              <w:bottom w:val="single" w:sz="4" w:space="0" w:color="auto"/>
            </w:tcBorders>
            <w:vAlign w:val="center"/>
          </w:tcPr>
          <w:p w14:paraId="5143C676" w14:textId="77777777" w:rsidR="00485DF5" w:rsidRPr="00310498" w:rsidRDefault="00485DF5" w:rsidP="00D15320">
            <w:pPr>
              <w:pStyle w:val="Tabletext"/>
              <w:keepNext/>
              <w:keepLines/>
            </w:pPr>
            <w:r w:rsidRPr="00310498">
              <w:t>Journal of Clinical Oncology 2023; 42: 283-299</w:t>
            </w:r>
          </w:p>
        </w:tc>
      </w:tr>
      <w:tr w:rsidR="00485DF5" w:rsidRPr="00310498" w14:paraId="248D6B7B" w14:textId="77777777" w:rsidTr="00F267A0">
        <w:tc>
          <w:tcPr>
            <w:tcW w:w="796" w:type="pct"/>
            <w:vMerge/>
            <w:vAlign w:val="center"/>
          </w:tcPr>
          <w:p w14:paraId="12ADC312" w14:textId="77777777" w:rsidR="00485DF5" w:rsidRPr="00310498" w:rsidRDefault="00485DF5" w:rsidP="00D15320">
            <w:pPr>
              <w:pStyle w:val="Tabletext"/>
              <w:keepNext/>
              <w:keepLines/>
            </w:pPr>
          </w:p>
        </w:tc>
        <w:tc>
          <w:tcPr>
            <w:tcW w:w="3027" w:type="pct"/>
            <w:tcBorders>
              <w:top w:val="single" w:sz="4" w:space="0" w:color="auto"/>
              <w:bottom w:val="single" w:sz="4" w:space="0" w:color="auto"/>
            </w:tcBorders>
            <w:vAlign w:val="center"/>
          </w:tcPr>
          <w:p w14:paraId="2F21427C" w14:textId="77777777" w:rsidR="00485DF5" w:rsidRPr="00310498" w:rsidRDefault="00485DF5" w:rsidP="00D15320">
            <w:pPr>
              <w:pStyle w:val="Tabletext"/>
              <w:keepNext/>
              <w:keepLines/>
            </w:pPr>
            <w:r w:rsidRPr="00310498">
              <w:t xml:space="preserve">Westin S et al. LBA41 Durvalumab (durva) plus carboplatin/paclitaxel (CP) followed by maintenance (mtx) durva ± olaparib (ola) as a first-line (1L) treatment for newly diagnosed advanced or recurrent endometrial cancer (EC): Results from the phase III DUO-E/GOG-3041/ENGOT-EN10 trial. </w:t>
            </w:r>
          </w:p>
        </w:tc>
        <w:tc>
          <w:tcPr>
            <w:tcW w:w="1177" w:type="pct"/>
            <w:tcBorders>
              <w:top w:val="single" w:sz="4" w:space="0" w:color="auto"/>
              <w:bottom w:val="single" w:sz="4" w:space="0" w:color="auto"/>
            </w:tcBorders>
            <w:vAlign w:val="center"/>
          </w:tcPr>
          <w:p w14:paraId="2A006AB0" w14:textId="77777777" w:rsidR="00485DF5" w:rsidRPr="00310498" w:rsidRDefault="00485DF5" w:rsidP="00D15320">
            <w:pPr>
              <w:pStyle w:val="Tabletext"/>
              <w:keepNext/>
              <w:keepLines/>
              <w:rPr>
                <w:szCs w:val="20"/>
              </w:rPr>
            </w:pPr>
            <w:r w:rsidRPr="00310498">
              <w:rPr>
                <w:szCs w:val="20"/>
              </w:rPr>
              <w:t>Conference abstract</w:t>
            </w:r>
          </w:p>
          <w:p w14:paraId="6D099B08" w14:textId="77777777" w:rsidR="00485DF5" w:rsidRPr="00310498" w:rsidRDefault="00485DF5" w:rsidP="00D15320">
            <w:pPr>
              <w:pStyle w:val="Tabletext"/>
              <w:keepNext/>
              <w:keepLines/>
            </w:pPr>
            <w:r w:rsidRPr="00310498">
              <w:t>Annals of Oncology (2023) 34 Supplement 2 (S1282-S1283)</w:t>
            </w:r>
          </w:p>
        </w:tc>
      </w:tr>
      <w:tr w:rsidR="00485DF5" w:rsidRPr="00310498" w14:paraId="48EFE28D" w14:textId="77777777" w:rsidTr="00F267A0">
        <w:tc>
          <w:tcPr>
            <w:tcW w:w="796" w:type="pct"/>
            <w:vMerge/>
            <w:tcBorders>
              <w:bottom w:val="single" w:sz="4" w:space="0" w:color="auto"/>
            </w:tcBorders>
            <w:vAlign w:val="center"/>
          </w:tcPr>
          <w:p w14:paraId="606124F9" w14:textId="77777777" w:rsidR="00485DF5" w:rsidRPr="00310498" w:rsidRDefault="00485DF5" w:rsidP="00D15320">
            <w:pPr>
              <w:pStyle w:val="Tabletext"/>
              <w:keepNext/>
              <w:keepLines/>
            </w:pPr>
          </w:p>
        </w:tc>
        <w:tc>
          <w:tcPr>
            <w:tcW w:w="3027" w:type="pct"/>
            <w:tcBorders>
              <w:top w:val="single" w:sz="4" w:space="0" w:color="auto"/>
              <w:bottom w:val="single" w:sz="4" w:space="0" w:color="auto"/>
            </w:tcBorders>
            <w:vAlign w:val="center"/>
          </w:tcPr>
          <w:p w14:paraId="09D455C1" w14:textId="77777777" w:rsidR="00485DF5" w:rsidRPr="00310498" w:rsidRDefault="00485DF5" w:rsidP="00D15320">
            <w:pPr>
              <w:pStyle w:val="Tabletext"/>
              <w:keepNext/>
              <w:keepLines/>
            </w:pPr>
            <w:r w:rsidRPr="00310498">
              <w:t xml:space="preserve">Westin S et al. DUO-E/GOG-3041/ENGOT-EN10: A randomized phase III trial of first line carboplatin (carb) and paclitaxel (pac) in combination with durvalumab (durva), followed by maintenance durva with or without olaparib (ola), in patients (pts) with newly diagnosed (nd) advanced or recurrent endometrial cancer (EC). </w:t>
            </w:r>
          </w:p>
        </w:tc>
        <w:tc>
          <w:tcPr>
            <w:tcW w:w="1177" w:type="pct"/>
            <w:tcBorders>
              <w:top w:val="single" w:sz="4" w:space="0" w:color="auto"/>
              <w:bottom w:val="single" w:sz="4" w:space="0" w:color="auto"/>
            </w:tcBorders>
            <w:vAlign w:val="center"/>
          </w:tcPr>
          <w:p w14:paraId="31EA72CE" w14:textId="77777777" w:rsidR="00485DF5" w:rsidRPr="00310498" w:rsidRDefault="00485DF5" w:rsidP="00D15320">
            <w:pPr>
              <w:pStyle w:val="Tabletext"/>
              <w:keepNext/>
              <w:keepLines/>
              <w:rPr>
                <w:szCs w:val="20"/>
              </w:rPr>
            </w:pPr>
            <w:r w:rsidRPr="00310498">
              <w:rPr>
                <w:szCs w:val="20"/>
              </w:rPr>
              <w:t>Conference abstract</w:t>
            </w:r>
          </w:p>
          <w:p w14:paraId="0A430A54" w14:textId="77777777" w:rsidR="00485DF5" w:rsidRPr="00310498" w:rsidRDefault="00485DF5" w:rsidP="00D15320">
            <w:pPr>
              <w:pStyle w:val="Tabletext"/>
              <w:keepNext/>
              <w:keepLines/>
            </w:pPr>
            <w:r w:rsidRPr="00310498">
              <w:t>Journal of Clinical Oncology 2020; 38:15</w:t>
            </w:r>
          </w:p>
        </w:tc>
      </w:tr>
    </w:tbl>
    <w:p w14:paraId="26202B75" w14:textId="41F6CDB6" w:rsidR="0074542F" w:rsidRPr="00310498" w:rsidRDefault="0074542F" w:rsidP="00D15320">
      <w:pPr>
        <w:pStyle w:val="Tabletext"/>
        <w:keepNext/>
        <w:keepLines/>
      </w:pPr>
      <w:r w:rsidRPr="00310498">
        <w:t>Source: Table 2.3, p 46 of the submission.</w:t>
      </w:r>
    </w:p>
    <w:p w14:paraId="7D493F14" w14:textId="5A2A6B0A" w:rsidR="00485DF5" w:rsidRPr="00310498" w:rsidRDefault="00485DF5" w:rsidP="00485DF5">
      <w:pPr>
        <w:pStyle w:val="3-BodyText"/>
      </w:pPr>
      <w:r w:rsidRPr="00310498">
        <w:t xml:space="preserve">Details of the </w:t>
      </w:r>
      <w:r w:rsidR="0074542F" w:rsidRPr="00310498">
        <w:t xml:space="preserve">RUBY </w:t>
      </w:r>
      <w:r w:rsidRPr="00310498">
        <w:t xml:space="preserve">trial presented in the submission </w:t>
      </w:r>
      <w:r w:rsidR="0074542F" w:rsidRPr="00310498">
        <w:t xml:space="preserve">used to inform </w:t>
      </w:r>
      <w:r w:rsidRPr="00310498">
        <w:t xml:space="preserve">the </w:t>
      </w:r>
      <w:r w:rsidR="009E0BED" w:rsidRPr="00310498">
        <w:t xml:space="preserve">ITC </w:t>
      </w:r>
      <w:r w:rsidRPr="00310498">
        <w:t>are provided in</w:t>
      </w:r>
      <w:r w:rsidR="00B60281" w:rsidRPr="00310498">
        <w:t xml:space="preserve"> </w:t>
      </w:r>
      <w:r w:rsidR="00B60281" w:rsidRPr="00310498">
        <w:fldChar w:fldCharType="begin" w:fldLock="1"/>
      </w:r>
      <w:r w:rsidR="00B60281" w:rsidRPr="00310498">
        <w:instrText xml:space="preserve"> REF _Ref174965922 \h  \* MERGEFORMAT </w:instrText>
      </w:r>
      <w:r w:rsidR="00B60281" w:rsidRPr="00310498">
        <w:fldChar w:fldCharType="separate"/>
      </w:r>
      <w:r w:rsidR="002C52D8" w:rsidRPr="002C52D8">
        <w:t>Table 3</w:t>
      </w:r>
      <w:r w:rsidR="00B60281" w:rsidRPr="00310498">
        <w:fldChar w:fldCharType="end"/>
      </w:r>
      <w:r w:rsidRPr="00310498">
        <w:t xml:space="preserve">. </w:t>
      </w:r>
    </w:p>
    <w:p w14:paraId="7E05CE02" w14:textId="22EA5C32" w:rsidR="00485DF5" w:rsidRPr="00310498" w:rsidRDefault="00485DF5" w:rsidP="0074542F">
      <w:pPr>
        <w:pStyle w:val="TableFigureHeading"/>
        <w:keepLines/>
        <w:widowControl w:val="0"/>
        <w:rPr>
          <w:rStyle w:val="CommentReference"/>
          <w:b/>
          <w:szCs w:val="24"/>
        </w:rPr>
      </w:pPr>
      <w:bookmarkStart w:id="29" w:name="_Ref174965922"/>
      <w:r w:rsidRPr="00310498">
        <w:rPr>
          <w:rStyle w:val="CommentReference"/>
          <w:b/>
          <w:szCs w:val="24"/>
        </w:rPr>
        <w:lastRenderedPageBreak/>
        <w:t xml:space="preserve">Table </w:t>
      </w:r>
      <w:r w:rsidRPr="00310498">
        <w:rPr>
          <w:rStyle w:val="CommentReference"/>
          <w:b/>
          <w:szCs w:val="24"/>
        </w:rPr>
        <w:fldChar w:fldCharType="begin" w:fldLock="1"/>
      </w:r>
      <w:r w:rsidRPr="00310498">
        <w:rPr>
          <w:rStyle w:val="CommentReference"/>
          <w:b/>
          <w:szCs w:val="24"/>
        </w:rPr>
        <w:instrText xml:space="preserve"> SEQ Table \* ARABIC </w:instrText>
      </w:r>
      <w:r w:rsidRPr="00310498">
        <w:rPr>
          <w:rStyle w:val="CommentReference"/>
          <w:b/>
          <w:szCs w:val="24"/>
        </w:rPr>
        <w:fldChar w:fldCharType="separate"/>
      </w:r>
      <w:r w:rsidR="002C52D8">
        <w:rPr>
          <w:rStyle w:val="CommentReference"/>
          <w:b/>
          <w:noProof/>
          <w:szCs w:val="24"/>
        </w:rPr>
        <w:t>3</w:t>
      </w:r>
      <w:r w:rsidRPr="00310498">
        <w:rPr>
          <w:rStyle w:val="CommentReference"/>
          <w:b/>
          <w:szCs w:val="24"/>
        </w:rPr>
        <w:fldChar w:fldCharType="end"/>
      </w:r>
      <w:bookmarkEnd w:id="29"/>
      <w:r w:rsidRPr="00310498">
        <w:rPr>
          <w:rStyle w:val="CommentReference"/>
          <w:b/>
          <w:szCs w:val="24"/>
        </w:rPr>
        <w:t>: Trials and associated reports presented in the submission (</w:t>
      </w:r>
      <w:r w:rsidR="00E1317A" w:rsidRPr="00310498">
        <w:rPr>
          <w:rStyle w:val="CommentReference"/>
          <w:b/>
          <w:szCs w:val="24"/>
        </w:rPr>
        <w:t xml:space="preserve">additional trial for </w:t>
      </w:r>
      <w:r w:rsidRPr="00310498">
        <w:rPr>
          <w:rStyle w:val="CommentReference"/>
          <w:b/>
          <w:szCs w:val="24"/>
        </w:rPr>
        <w:t>comparison</w:t>
      </w:r>
      <w:r w:rsidR="00E42A9D">
        <w:rPr>
          <w:rStyle w:val="CommentReference"/>
          <w:b/>
          <w:szCs w:val="24"/>
        </w:rPr>
        <w:t xml:space="preserve"> vs dostarlimab</w:t>
      </w:r>
      <w:r w:rsidRPr="00310498">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7"/>
        <w:gridCol w:w="5068"/>
        <w:gridCol w:w="2535"/>
      </w:tblGrid>
      <w:tr w:rsidR="0074542F" w:rsidRPr="00310498" w14:paraId="5197140B" w14:textId="77777777" w:rsidTr="00F267A0">
        <w:trPr>
          <w:cantSplit/>
          <w:tblHeader/>
        </w:trPr>
        <w:tc>
          <w:tcPr>
            <w:tcW w:w="795" w:type="pct"/>
            <w:tcBorders>
              <w:top w:val="single" w:sz="4" w:space="0" w:color="auto"/>
              <w:left w:val="single" w:sz="4" w:space="0" w:color="auto"/>
              <w:bottom w:val="single" w:sz="4" w:space="0" w:color="auto"/>
              <w:right w:val="single" w:sz="4" w:space="0" w:color="auto"/>
            </w:tcBorders>
            <w:vAlign w:val="center"/>
          </w:tcPr>
          <w:p w14:paraId="236C1543" w14:textId="77777777" w:rsidR="0074542F" w:rsidRPr="00310498" w:rsidRDefault="0074542F" w:rsidP="0074542F">
            <w:pPr>
              <w:keepNext/>
              <w:keepLines/>
              <w:rPr>
                <w:rFonts w:ascii="Arial Narrow" w:hAnsi="Arial Narrow"/>
                <w:b/>
                <w:bCs/>
                <w:sz w:val="20"/>
                <w:szCs w:val="20"/>
              </w:rPr>
            </w:pPr>
            <w:r w:rsidRPr="00310498">
              <w:rPr>
                <w:rFonts w:ascii="Arial Narrow" w:hAnsi="Arial Narrow"/>
                <w:b/>
                <w:bCs/>
                <w:sz w:val="20"/>
                <w:szCs w:val="20"/>
              </w:rPr>
              <w:t>Trial ID</w:t>
            </w:r>
          </w:p>
        </w:tc>
        <w:tc>
          <w:tcPr>
            <w:tcW w:w="2803" w:type="pct"/>
            <w:tcBorders>
              <w:top w:val="single" w:sz="4" w:space="0" w:color="auto"/>
              <w:left w:val="single" w:sz="4" w:space="0" w:color="auto"/>
              <w:bottom w:val="single" w:sz="4" w:space="0" w:color="auto"/>
              <w:right w:val="single" w:sz="4" w:space="0" w:color="auto"/>
            </w:tcBorders>
            <w:vAlign w:val="center"/>
          </w:tcPr>
          <w:p w14:paraId="047874B3" w14:textId="77777777" w:rsidR="0074542F" w:rsidRPr="00310498" w:rsidRDefault="0074542F" w:rsidP="0074542F">
            <w:pPr>
              <w:keepNext/>
              <w:keepLines/>
              <w:rPr>
                <w:rFonts w:ascii="Arial Narrow" w:hAnsi="Arial Narrow"/>
                <w:b/>
                <w:bCs/>
                <w:sz w:val="20"/>
                <w:szCs w:val="20"/>
              </w:rPr>
            </w:pPr>
            <w:r w:rsidRPr="00310498">
              <w:rPr>
                <w:rFonts w:ascii="Arial Narrow" w:hAnsi="Arial Narrow"/>
                <w:b/>
                <w:bCs/>
                <w:sz w:val="20"/>
                <w:szCs w:val="20"/>
              </w:rPr>
              <w:t>Protocol title/ Publication title</w:t>
            </w:r>
          </w:p>
        </w:tc>
        <w:tc>
          <w:tcPr>
            <w:tcW w:w="1402" w:type="pct"/>
            <w:tcBorders>
              <w:top w:val="single" w:sz="4" w:space="0" w:color="auto"/>
              <w:left w:val="single" w:sz="4" w:space="0" w:color="auto"/>
              <w:bottom w:val="single" w:sz="4" w:space="0" w:color="auto"/>
              <w:right w:val="single" w:sz="4" w:space="0" w:color="auto"/>
            </w:tcBorders>
            <w:vAlign w:val="center"/>
          </w:tcPr>
          <w:p w14:paraId="1C21A3D6" w14:textId="77777777" w:rsidR="0074542F" w:rsidRPr="00310498" w:rsidRDefault="0074542F" w:rsidP="0074542F">
            <w:pPr>
              <w:keepNext/>
              <w:keepLines/>
              <w:rPr>
                <w:rFonts w:ascii="Arial Narrow" w:hAnsi="Arial Narrow"/>
                <w:b/>
                <w:bCs/>
                <w:sz w:val="20"/>
                <w:szCs w:val="20"/>
              </w:rPr>
            </w:pPr>
            <w:r w:rsidRPr="00310498">
              <w:rPr>
                <w:rFonts w:ascii="Arial Narrow" w:hAnsi="Arial Narrow"/>
                <w:b/>
                <w:bCs/>
                <w:sz w:val="20"/>
                <w:szCs w:val="20"/>
              </w:rPr>
              <w:t>Publication citation</w:t>
            </w:r>
          </w:p>
        </w:tc>
      </w:tr>
      <w:tr w:rsidR="0074542F" w:rsidRPr="00310498" w14:paraId="1ADE47C3" w14:textId="77777777" w:rsidTr="00F267A0">
        <w:trPr>
          <w:cantSplit/>
          <w:tblHeader/>
        </w:trPr>
        <w:tc>
          <w:tcPr>
            <w:tcW w:w="795" w:type="pct"/>
            <w:tcBorders>
              <w:top w:val="single" w:sz="4" w:space="0" w:color="auto"/>
              <w:left w:val="single" w:sz="4" w:space="0" w:color="auto"/>
              <w:bottom w:val="nil"/>
              <w:right w:val="single" w:sz="4" w:space="0" w:color="auto"/>
            </w:tcBorders>
            <w:vAlign w:val="center"/>
          </w:tcPr>
          <w:p w14:paraId="2BE8D8E4" w14:textId="77777777" w:rsidR="0074542F" w:rsidRPr="00310498" w:rsidRDefault="0074542F" w:rsidP="0074542F">
            <w:pPr>
              <w:keepNext/>
              <w:keepLines/>
              <w:rPr>
                <w:rFonts w:ascii="Arial Narrow" w:hAnsi="Arial Narrow"/>
                <w:sz w:val="20"/>
                <w:szCs w:val="20"/>
              </w:rPr>
            </w:pPr>
          </w:p>
        </w:tc>
        <w:tc>
          <w:tcPr>
            <w:tcW w:w="2803" w:type="pct"/>
            <w:tcBorders>
              <w:top w:val="single" w:sz="4" w:space="0" w:color="auto"/>
              <w:left w:val="single" w:sz="4" w:space="0" w:color="auto"/>
              <w:bottom w:val="single" w:sz="4" w:space="0" w:color="auto"/>
              <w:right w:val="single" w:sz="4" w:space="0" w:color="auto"/>
            </w:tcBorders>
            <w:vAlign w:val="center"/>
          </w:tcPr>
          <w:p w14:paraId="1ED57613"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 xml:space="preserve">Mirza M et al. Dostarlimab for Primary Advanced or Recurrent Endometrial Cancer. </w:t>
            </w:r>
          </w:p>
        </w:tc>
        <w:tc>
          <w:tcPr>
            <w:tcW w:w="1402" w:type="pct"/>
            <w:tcBorders>
              <w:top w:val="single" w:sz="4" w:space="0" w:color="auto"/>
              <w:left w:val="single" w:sz="4" w:space="0" w:color="auto"/>
              <w:bottom w:val="single" w:sz="4" w:space="0" w:color="auto"/>
              <w:right w:val="single" w:sz="4" w:space="0" w:color="auto"/>
            </w:tcBorders>
            <w:vAlign w:val="center"/>
          </w:tcPr>
          <w:p w14:paraId="7E1F892C"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N Engl J Med 2023; 388:2145-2158</w:t>
            </w:r>
          </w:p>
        </w:tc>
      </w:tr>
      <w:tr w:rsidR="0074542F" w:rsidRPr="00310498" w14:paraId="60F8678E" w14:textId="77777777" w:rsidTr="00F267A0">
        <w:trPr>
          <w:cantSplit/>
          <w:tblHeader/>
        </w:trPr>
        <w:tc>
          <w:tcPr>
            <w:tcW w:w="795" w:type="pct"/>
            <w:tcBorders>
              <w:top w:val="nil"/>
              <w:left w:val="single" w:sz="4" w:space="0" w:color="auto"/>
              <w:bottom w:val="nil"/>
              <w:right w:val="single" w:sz="4" w:space="0" w:color="auto"/>
            </w:tcBorders>
            <w:vAlign w:val="center"/>
          </w:tcPr>
          <w:p w14:paraId="5C73B12C" w14:textId="77777777" w:rsidR="0074542F" w:rsidRPr="00310498" w:rsidRDefault="0074542F" w:rsidP="0074542F">
            <w:pPr>
              <w:keepNext/>
              <w:keepLines/>
              <w:rPr>
                <w:rFonts w:ascii="Arial Narrow" w:hAnsi="Arial Narrow"/>
                <w:sz w:val="20"/>
                <w:szCs w:val="20"/>
              </w:rPr>
            </w:pPr>
          </w:p>
        </w:tc>
        <w:tc>
          <w:tcPr>
            <w:tcW w:w="2803" w:type="pct"/>
            <w:tcBorders>
              <w:top w:val="single" w:sz="4" w:space="0" w:color="auto"/>
              <w:left w:val="single" w:sz="4" w:space="0" w:color="auto"/>
              <w:bottom w:val="single" w:sz="4" w:space="0" w:color="auto"/>
              <w:right w:val="single" w:sz="4" w:space="0" w:color="auto"/>
            </w:tcBorders>
            <w:vAlign w:val="center"/>
          </w:tcPr>
          <w:p w14:paraId="5D60BAB3"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Powell M et al. Overall survival in patients with primary advanced or recurrent endometrial cancer treated with dostarlimab plus chemotherapy in Part 1 of the ENGOT-EN6-NSGO/GOG-3031/RUBY trial</w:t>
            </w:r>
          </w:p>
        </w:tc>
        <w:tc>
          <w:tcPr>
            <w:tcW w:w="1402" w:type="pct"/>
            <w:tcBorders>
              <w:top w:val="single" w:sz="4" w:space="0" w:color="auto"/>
              <w:left w:val="single" w:sz="4" w:space="0" w:color="auto"/>
              <w:bottom w:val="single" w:sz="4" w:space="0" w:color="auto"/>
              <w:right w:val="single" w:sz="4" w:space="0" w:color="auto"/>
            </w:tcBorders>
            <w:vAlign w:val="center"/>
          </w:tcPr>
          <w:p w14:paraId="62E75D6F"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Annals of Oncology. 2024 Jun 10:S0923-7534(24)00721-X.</w:t>
            </w:r>
          </w:p>
        </w:tc>
      </w:tr>
      <w:tr w:rsidR="0074542F" w:rsidRPr="00310498" w14:paraId="71E4CAF1" w14:textId="77777777" w:rsidTr="00F267A0">
        <w:trPr>
          <w:cantSplit/>
          <w:tblHeader/>
        </w:trPr>
        <w:tc>
          <w:tcPr>
            <w:tcW w:w="795" w:type="pct"/>
            <w:tcBorders>
              <w:top w:val="nil"/>
              <w:left w:val="single" w:sz="4" w:space="0" w:color="auto"/>
              <w:bottom w:val="nil"/>
              <w:right w:val="single" w:sz="4" w:space="0" w:color="auto"/>
            </w:tcBorders>
            <w:vAlign w:val="center"/>
          </w:tcPr>
          <w:p w14:paraId="34A99292"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ENGOT-EN-6-NSGO/GOG-3031/RUBY</w:t>
            </w:r>
          </w:p>
        </w:tc>
        <w:tc>
          <w:tcPr>
            <w:tcW w:w="2803" w:type="pct"/>
            <w:tcBorders>
              <w:top w:val="single" w:sz="4" w:space="0" w:color="auto"/>
              <w:left w:val="single" w:sz="4" w:space="0" w:color="auto"/>
              <w:bottom w:val="single" w:sz="4" w:space="0" w:color="auto"/>
              <w:right w:val="single" w:sz="4" w:space="0" w:color="auto"/>
            </w:tcBorders>
            <w:vAlign w:val="center"/>
          </w:tcPr>
          <w:p w14:paraId="6868B8AA"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 xml:space="preserve">Mirza M et al. Dostarlimab in combination with chemotherapy for the treatment of primary advanced or recurrent endometrial cancer: a placebo-controlled randomized phase 3 trial (ENGOT-EN6-NSGO/GOG-3031/RUBY) (LBA 11). </w:t>
            </w:r>
          </w:p>
        </w:tc>
        <w:tc>
          <w:tcPr>
            <w:tcW w:w="1402" w:type="pct"/>
            <w:tcBorders>
              <w:top w:val="single" w:sz="4" w:space="0" w:color="auto"/>
              <w:left w:val="single" w:sz="4" w:space="0" w:color="auto"/>
              <w:bottom w:val="single" w:sz="4" w:space="0" w:color="auto"/>
              <w:right w:val="single" w:sz="4" w:space="0" w:color="auto"/>
            </w:tcBorders>
            <w:vAlign w:val="center"/>
          </w:tcPr>
          <w:p w14:paraId="1481327E"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Abstract</w:t>
            </w:r>
          </w:p>
          <w:p w14:paraId="3B7AD25B"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Gynecologic oncology, 2023, 176, S43</w:t>
            </w:r>
            <w:r w:rsidRPr="00310498">
              <w:rPr>
                <w:rFonts w:ascii="Cambria Math" w:hAnsi="Cambria Math" w:cs="Cambria Math"/>
                <w:sz w:val="20"/>
                <w:szCs w:val="20"/>
              </w:rPr>
              <w:t>‐</w:t>
            </w:r>
            <w:r w:rsidRPr="00310498">
              <w:rPr>
                <w:rFonts w:ascii="Arial Narrow" w:hAnsi="Arial Narrow"/>
                <w:sz w:val="20"/>
                <w:szCs w:val="20"/>
              </w:rPr>
              <w:t>S44</w:t>
            </w:r>
          </w:p>
        </w:tc>
      </w:tr>
      <w:tr w:rsidR="0074542F" w:rsidRPr="00310498" w14:paraId="6DD18844" w14:textId="77777777" w:rsidTr="00F267A0">
        <w:trPr>
          <w:cantSplit/>
          <w:tblHeader/>
        </w:trPr>
        <w:tc>
          <w:tcPr>
            <w:tcW w:w="795" w:type="pct"/>
            <w:tcBorders>
              <w:top w:val="nil"/>
              <w:left w:val="single" w:sz="4" w:space="0" w:color="auto"/>
              <w:bottom w:val="nil"/>
              <w:right w:val="single" w:sz="4" w:space="0" w:color="auto"/>
            </w:tcBorders>
            <w:vAlign w:val="center"/>
          </w:tcPr>
          <w:p w14:paraId="714A703E" w14:textId="77777777" w:rsidR="0074542F" w:rsidRPr="00310498" w:rsidRDefault="0074542F" w:rsidP="0074542F">
            <w:pPr>
              <w:keepNext/>
              <w:keepLines/>
              <w:rPr>
                <w:rFonts w:ascii="Arial Narrow" w:hAnsi="Arial Narrow"/>
                <w:sz w:val="20"/>
                <w:szCs w:val="20"/>
              </w:rPr>
            </w:pPr>
          </w:p>
        </w:tc>
        <w:tc>
          <w:tcPr>
            <w:tcW w:w="2803" w:type="pct"/>
            <w:tcBorders>
              <w:top w:val="single" w:sz="4" w:space="0" w:color="auto"/>
              <w:left w:val="single" w:sz="4" w:space="0" w:color="auto"/>
              <w:bottom w:val="single" w:sz="4" w:space="0" w:color="auto"/>
              <w:right w:val="single" w:sz="4" w:space="0" w:color="auto"/>
            </w:tcBorders>
            <w:vAlign w:val="center"/>
          </w:tcPr>
          <w:p w14:paraId="4FC0DB8E"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Mirza M et al. VP2-2023: Dostarlimab+chemotherapy for the treatment of primary advanced or recurrent (A/R) endometrial cancer (EC): A placebo (PBO)-controlled randomised phase III trial (ENGOT-EN6-NSGO/GOG-3031/RUBY).</w:t>
            </w:r>
          </w:p>
        </w:tc>
        <w:tc>
          <w:tcPr>
            <w:tcW w:w="1402" w:type="pct"/>
            <w:tcBorders>
              <w:top w:val="single" w:sz="4" w:space="0" w:color="auto"/>
              <w:left w:val="single" w:sz="4" w:space="0" w:color="auto"/>
              <w:bottom w:val="single" w:sz="4" w:space="0" w:color="auto"/>
              <w:right w:val="single" w:sz="4" w:space="0" w:color="auto"/>
            </w:tcBorders>
            <w:vAlign w:val="center"/>
          </w:tcPr>
          <w:p w14:paraId="34B3B91E"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ESMO virtual plenary abstract 34 (5), P500-501, May 2023.</w:t>
            </w:r>
          </w:p>
        </w:tc>
      </w:tr>
      <w:tr w:rsidR="0074542F" w:rsidRPr="00310498" w14:paraId="70F910F3" w14:textId="77777777" w:rsidTr="00F267A0">
        <w:trPr>
          <w:cantSplit/>
          <w:tblHeader/>
        </w:trPr>
        <w:tc>
          <w:tcPr>
            <w:tcW w:w="795" w:type="pct"/>
            <w:tcBorders>
              <w:top w:val="nil"/>
              <w:left w:val="single" w:sz="4" w:space="0" w:color="auto"/>
              <w:bottom w:val="single" w:sz="4" w:space="0" w:color="auto"/>
              <w:right w:val="single" w:sz="4" w:space="0" w:color="auto"/>
            </w:tcBorders>
            <w:vAlign w:val="center"/>
          </w:tcPr>
          <w:p w14:paraId="1A6586C7" w14:textId="77777777" w:rsidR="0074542F" w:rsidRPr="00310498" w:rsidRDefault="0074542F" w:rsidP="0074542F">
            <w:pPr>
              <w:keepNext/>
              <w:keepLines/>
              <w:rPr>
                <w:rFonts w:ascii="Arial Narrow" w:hAnsi="Arial Narrow"/>
                <w:sz w:val="20"/>
                <w:szCs w:val="20"/>
              </w:rPr>
            </w:pPr>
          </w:p>
        </w:tc>
        <w:tc>
          <w:tcPr>
            <w:tcW w:w="2803" w:type="pct"/>
            <w:tcBorders>
              <w:top w:val="single" w:sz="4" w:space="0" w:color="auto"/>
              <w:left w:val="single" w:sz="4" w:space="0" w:color="auto"/>
              <w:bottom w:val="single" w:sz="4" w:space="0" w:color="auto"/>
              <w:right w:val="single" w:sz="4" w:space="0" w:color="auto"/>
            </w:tcBorders>
            <w:vAlign w:val="center"/>
          </w:tcPr>
          <w:p w14:paraId="43F02D53"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 xml:space="preserve">Mirza M et al. 740MO Dostarlimab + chemotherapy for the treatment of primary advanced or recurrent endometrial cancer (pA/rEC): Analysis of progression free survival (PFS) and overall survival (OS) outcomes by molecular classification in the ENGOT-EN6-NSGO/GOG-3031/RUBY trial. </w:t>
            </w:r>
          </w:p>
        </w:tc>
        <w:tc>
          <w:tcPr>
            <w:tcW w:w="1402" w:type="pct"/>
            <w:tcBorders>
              <w:top w:val="single" w:sz="4" w:space="0" w:color="auto"/>
              <w:left w:val="single" w:sz="4" w:space="0" w:color="auto"/>
              <w:bottom w:val="single" w:sz="4" w:space="0" w:color="auto"/>
              <w:right w:val="single" w:sz="4" w:space="0" w:color="auto"/>
            </w:tcBorders>
            <w:vAlign w:val="center"/>
          </w:tcPr>
          <w:p w14:paraId="7007A95C" w14:textId="77777777" w:rsidR="0074542F" w:rsidRPr="00310498" w:rsidRDefault="0074542F" w:rsidP="00AF29DC">
            <w:pPr>
              <w:keepNext/>
              <w:keepLines/>
              <w:jc w:val="left"/>
              <w:rPr>
                <w:rFonts w:ascii="Arial Narrow" w:hAnsi="Arial Narrow"/>
                <w:sz w:val="20"/>
                <w:szCs w:val="20"/>
              </w:rPr>
            </w:pPr>
            <w:r w:rsidRPr="00310498">
              <w:rPr>
                <w:rFonts w:ascii="Arial Narrow" w:hAnsi="Arial Narrow"/>
                <w:sz w:val="20"/>
                <w:szCs w:val="20"/>
              </w:rPr>
              <w:t>ESMO abstract 34(2), S507, October 2023</w:t>
            </w:r>
          </w:p>
        </w:tc>
      </w:tr>
    </w:tbl>
    <w:p w14:paraId="425834A1" w14:textId="77777777" w:rsidR="00485DF5" w:rsidRPr="00310498" w:rsidRDefault="00485DF5" w:rsidP="00D17A65">
      <w:pPr>
        <w:pStyle w:val="TableFigureFooter"/>
        <w:rPr>
          <w:sz w:val="20"/>
        </w:rPr>
      </w:pPr>
      <w:r w:rsidRPr="00310498">
        <w:t>Source: Table 2.6, p50-51 of the submission.</w:t>
      </w:r>
    </w:p>
    <w:p w14:paraId="4CE7E73E" w14:textId="76A3BFE8" w:rsidR="00485DF5" w:rsidRPr="00310498" w:rsidRDefault="00485DF5" w:rsidP="00485DF5">
      <w:pPr>
        <w:pStyle w:val="3-BodyText"/>
      </w:pPr>
      <w:r w:rsidRPr="00310498">
        <w:t xml:space="preserve">The key features of the </w:t>
      </w:r>
      <w:r w:rsidR="008B7277" w:rsidRPr="00310498">
        <w:t xml:space="preserve">included </w:t>
      </w:r>
      <w:r w:rsidRPr="00310498">
        <w:t>randomised trials are summarised in</w:t>
      </w:r>
      <w:r w:rsidR="00B60281" w:rsidRPr="00310498">
        <w:t xml:space="preserve"> </w:t>
      </w:r>
      <w:r w:rsidR="00B60281" w:rsidRPr="00310498">
        <w:fldChar w:fldCharType="begin" w:fldLock="1"/>
      </w:r>
      <w:r w:rsidR="00B60281" w:rsidRPr="00310498">
        <w:instrText xml:space="preserve"> REF _Ref174965962 \h  \* MERGEFORMAT </w:instrText>
      </w:r>
      <w:r w:rsidR="00B60281" w:rsidRPr="00310498">
        <w:fldChar w:fldCharType="separate"/>
      </w:r>
      <w:r w:rsidR="002C52D8" w:rsidRPr="002C52D8">
        <w:t>Table 4</w:t>
      </w:r>
      <w:r w:rsidR="00B60281" w:rsidRPr="00310498">
        <w:fldChar w:fldCharType="end"/>
      </w:r>
      <w:r w:rsidRPr="00310498">
        <w:t>.</w:t>
      </w:r>
    </w:p>
    <w:p w14:paraId="779F1ECB" w14:textId="42D2F40C" w:rsidR="00485DF5" w:rsidRPr="00310498" w:rsidRDefault="00485DF5" w:rsidP="00B40C67">
      <w:pPr>
        <w:pStyle w:val="Caption"/>
        <w:rPr>
          <w:rStyle w:val="CommentReference"/>
          <w:rFonts w:eastAsiaTheme="majorEastAsia" w:cstheme="majorBidi"/>
          <w:b/>
          <w:szCs w:val="24"/>
        </w:rPr>
      </w:pPr>
      <w:bookmarkStart w:id="30" w:name="_Ref174965962"/>
      <w:r w:rsidRPr="00310498">
        <w:rPr>
          <w:rStyle w:val="CommentReference"/>
          <w:rFonts w:eastAsiaTheme="majorEastAsia" w:cstheme="majorBidi"/>
          <w:b/>
          <w:szCs w:val="24"/>
        </w:rPr>
        <w:t xml:space="preserve">Table </w:t>
      </w:r>
      <w:r w:rsidRPr="00310498">
        <w:rPr>
          <w:rStyle w:val="CommentReference"/>
          <w:rFonts w:eastAsiaTheme="majorEastAsia" w:cstheme="majorBidi"/>
          <w:b/>
          <w:szCs w:val="24"/>
        </w:rPr>
        <w:fldChar w:fldCharType="begin" w:fldLock="1"/>
      </w:r>
      <w:r w:rsidRPr="00310498">
        <w:rPr>
          <w:rStyle w:val="CommentReference"/>
          <w:rFonts w:eastAsiaTheme="majorEastAsia" w:cstheme="majorBidi"/>
          <w:b/>
          <w:szCs w:val="24"/>
        </w:rPr>
        <w:instrText xml:space="preserve"> SEQ Table \* ARABIC </w:instrText>
      </w:r>
      <w:r w:rsidRPr="00310498">
        <w:rPr>
          <w:rStyle w:val="CommentReference"/>
          <w:rFonts w:eastAsiaTheme="majorEastAsia" w:cstheme="majorBidi"/>
          <w:b/>
          <w:szCs w:val="24"/>
        </w:rPr>
        <w:fldChar w:fldCharType="separate"/>
      </w:r>
      <w:r w:rsidR="002C52D8">
        <w:rPr>
          <w:rStyle w:val="CommentReference"/>
          <w:rFonts w:eastAsiaTheme="majorEastAsia" w:cstheme="majorBidi"/>
          <w:b/>
          <w:noProof/>
          <w:szCs w:val="24"/>
        </w:rPr>
        <w:t>4</w:t>
      </w:r>
      <w:r w:rsidRPr="00310498">
        <w:rPr>
          <w:rStyle w:val="CommentReference"/>
          <w:rFonts w:eastAsiaTheme="majorEastAsia" w:cstheme="majorBidi"/>
          <w:b/>
          <w:szCs w:val="24"/>
        </w:rPr>
        <w:fldChar w:fldCharType="end"/>
      </w:r>
      <w:bookmarkEnd w:id="30"/>
      <w:r w:rsidRPr="00310498">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1"/>
        <w:gridCol w:w="983"/>
        <w:gridCol w:w="2148"/>
        <w:gridCol w:w="991"/>
        <w:gridCol w:w="1557"/>
        <w:gridCol w:w="993"/>
        <w:gridCol w:w="1537"/>
      </w:tblGrid>
      <w:tr w:rsidR="00485DF5" w:rsidRPr="00310498" w14:paraId="131FD045" w14:textId="77777777" w:rsidTr="00E24B8A">
        <w:trPr>
          <w:cantSplit/>
          <w:tblHeader/>
        </w:trPr>
        <w:tc>
          <w:tcPr>
            <w:tcW w:w="460" w:type="pct"/>
            <w:shd w:val="clear" w:color="auto" w:fill="auto"/>
            <w:vAlign w:val="center"/>
          </w:tcPr>
          <w:p w14:paraId="2E6D59D1" w14:textId="77777777" w:rsidR="00485DF5" w:rsidRPr="00310498" w:rsidRDefault="00485DF5" w:rsidP="00B40C67">
            <w:pPr>
              <w:pStyle w:val="In-tableHeading"/>
              <w:jc w:val="center"/>
              <w:rPr>
                <w:lang w:val="en-AU"/>
              </w:rPr>
            </w:pPr>
            <w:r w:rsidRPr="00310498">
              <w:rPr>
                <w:lang w:val="en-AU"/>
              </w:rPr>
              <w:t>Trial</w:t>
            </w:r>
          </w:p>
        </w:tc>
        <w:tc>
          <w:tcPr>
            <w:tcW w:w="544" w:type="pct"/>
            <w:shd w:val="clear" w:color="auto" w:fill="auto"/>
            <w:vAlign w:val="center"/>
          </w:tcPr>
          <w:p w14:paraId="341B7B5F" w14:textId="77777777" w:rsidR="00485DF5" w:rsidRPr="00310498" w:rsidRDefault="00485DF5" w:rsidP="00B40C67">
            <w:pPr>
              <w:pStyle w:val="In-tableHeading"/>
              <w:jc w:val="center"/>
              <w:rPr>
                <w:lang w:val="en-AU"/>
              </w:rPr>
            </w:pPr>
            <w:r w:rsidRPr="00310498">
              <w:rPr>
                <w:lang w:val="en-AU"/>
              </w:rPr>
              <w:t>N</w:t>
            </w:r>
          </w:p>
        </w:tc>
        <w:tc>
          <w:tcPr>
            <w:tcW w:w="1188" w:type="pct"/>
            <w:shd w:val="clear" w:color="auto" w:fill="auto"/>
            <w:vAlign w:val="center"/>
          </w:tcPr>
          <w:p w14:paraId="1D58BA30" w14:textId="77777777" w:rsidR="00485DF5" w:rsidRPr="00310498" w:rsidRDefault="00485DF5" w:rsidP="00B40C67">
            <w:pPr>
              <w:pStyle w:val="In-tableHeading"/>
              <w:jc w:val="center"/>
              <w:rPr>
                <w:lang w:val="en-AU"/>
              </w:rPr>
            </w:pPr>
            <w:r w:rsidRPr="00310498">
              <w:rPr>
                <w:lang w:val="en-AU"/>
              </w:rPr>
              <w:t>Design/ median follow-up</w:t>
            </w:r>
          </w:p>
        </w:tc>
        <w:tc>
          <w:tcPr>
            <w:tcW w:w="548" w:type="pct"/>
            <w:shd w:val="clear" w:color="auto" w:fill="auto"/>
            <w:vAlign w:val="center"/>
          </w:tcPr>
          <w:p w14:paraId="6FEB92A2" w14:textId="77777777" w:rsidR="00485DF5" w:rsidRPr="00310498" w:rsidRDefault="00485DF5" w:rsidP="00B40C67">
            <w:pPr>
              <w:pStyle w:val="In-tableHeading"/>
              <w:jc w:val="center"/>
              <w:rPr>
                <w:lang w:val="en-AU"/>
              </w:rPr>
            </w:pPr>
            <w:r w:rsidRPr="00310498">
              <w:rPr>
                <w:lang w:val="en-AU"/>
              </w:rPr>
              <w:t>Risk of bias</w:t>
            </w:r>
          </w:p>
        </w:tc>
        <w:tc>
          <w:tcPr>
            <w:tcW w:w="861" w:type="pct"/>
            <w:shd w:val="clear" w:color="auto" w:fill="auto"/>
            <w:vAlign w:val="center"/>
          </w:tcPr>
          <w:p w14:paraId="3B6550D4" w14:textId="77777777" w:rsidR="00485DF5" w:rsidRPr="00310498" w:rsidRDefault="00485DF5" w:rsidP="00B40C67">
            <w:pPr>
              <w:pStyle w:val="In-tableHeading"/>
              <w:jc w:val="center"/>
              <w:rPr>
                <w:lang w:val="en-AU"/>
              </w:rPr>
            </w:pPr>
            <w:r w:rsidRPr="00310498">
              <w:rPr>
                <w:lang w:val="en-AU"/>
              </w:rPr>
              <w:t>Patient population</w:t>
            </w:r>
          </w:p>
        </w:tc>
        <w:tc>
          <w:tcPr>
            <w:tcW w:w="549" w:type="pct"/>
            <w:shd w:val="clear" w:color="auto" w:fill="auto"/>
            <w:vAlign w:val="center"/>
          </w:tcPr>
          <w:p w14:paraId="38DAB826" w14:textId="77777777" w:rsidR="00485DF5" w:rsidRPr="00310498" w:rsidRDefault="00485DF5" w:rsidP="00B40C67">
            <w:pPr>
              <w:pStyle w:val="In-tableHeading"/>
              <w:jc w:val="center"/>
              <w:rPr>
                <w:lang w:val="en-AU"/>
              </w:rPr>
            </w:pPr>
            <w:r w:rsidRPr="00310498">
              <w:rPr>
                <w:lang w:val="en-AU"/>
              </w:rPr>
              <w:t>Outcomes</w:t>
            </w:r>
          </w:p>
        </w:tc>
        <w:tc>
          <w:tcPr>
            <w:tcW w:w="850" w:type="pct"/>
            <w:shd w:val="clear" w:color="auto" w:fill="auto"/>
            <w:vAlign w:val="center"/>
          </w:tcPr>
          <w:p w14:paraId="39D74932" w14:textId="77777777" w:rsidR="00485DF5" w:rsidRPr="00310498" w:rsidRDefault="00485DF5" w:rsidP="00B40C67">
            <w:pPr>
              <w:pStyle w:val="In-tableHeading"/>
              <w:jc w:val="center"/>
              <w:rPr>
                <w:lang w:val="en-AU"/>
              </w:rPr>
            </w:pPr>
            <w:r w:rsidRPr="00310498">
              <w:rPr>
                <w:lang w:val="en-AU"/>
              </w:rPr>
              <w:t>Use in CUA/CMA</w:t>
            </w:r>
          </w:p>
        </w:tc>
      </w:tr>
      <w:tr w:rsidR="00485DF5" w:rsidRPr="00310498" w14:paraId="0DFF7E40" w14:textId="77777777">
        <w:trPr>
          <w:cantSplit/>
        </w:trPr>
        <w:tc>
          <w:tcPr>
            <w:tcW w:w="5000" w:type="pct"/>
            <w:gridSpan w:val="7"/>
            <w:shd w:val="clear" w:color="auto" w:fill="auto"/>
            <w:vAlign w:val="center"/>
          </w:tcPr>
          <w:p w14:paraId="46859705" w14:textId="3FFA6010" w:rsidR="00485DF5" w:rsidRPr="00310498" w:rsidRDefault="00485DF5" w:rsidP="00B40C67">
            <w:pPr>
              <w:pStyle w:val="Tabletext"/>
              <w:keepNext/>
              <w:keepLines/>
              <w:rPr>
                <w:b/>
                <w:bCs/>
              </w:rPr>
            </w:pPr>
            <w:r w:rsidRPr="00310498">
              <w:rPr>
                <w:b/>
                <w:bCs/>
              </w:rPr>
              <w:t xml:space="preserve">Durvalumab + PC </w:t>
            </w:r>
            <w:r w:rsidR="003B5B79" w:rsidRPr="00310498">
              <w:rPr>
                <w:b/>
                <w:bCs/>
              </w:rPr>
              <w:t>with or without</w:t>
            </w:r>
            <w:r w:rsidRPr="00310498">
              <w:rPr>
                <w:b/>
                <w:bCs/>
              </w:rPr>
              <w:t xml:space="preserve"> olaparib vs. PC</w:t>
            </w:r>
          </w:p>
        </w:tc>
      </w:tr>
      <w:tr w:rsidR="00485DF5" w:rsidRPr="00310498" w14:paraId="083C4790" w14:textId="77777777" w:rsidTr="00E24B8A">
        <w:trPr>
          <w:cantSplit/>
        </w:trPr>
        <w:tc>
          <w:tcPr>
            <w:tcW w:w="460" w:type="pct"/>
            <w:shd w:val="clear" w:color="auto" w:fill="auto"/>
            <w:vAlign w:val="center"/>
          </w:tcPr>
          <w:p w14:paraId="1D9B1227" w14:textId="77777777" w:rsidR="00485DF5" w:rsidRPr="00310498" w:rsidRDefault="00485DF5" w:rsidP="00B40C67">
            <w:pPr>
              <w:pStyle w:val="Tabletext"/>
              <w:keepNext/>
              <w:keepLines/>
            </w:pPr>
            <w:r w:rsidRPr="00310498">
              <w:t>DUO-E</w:t>
            </w:r>
          </w:p>
        </w:tc>
        <w:tc>
          <w:tcPr>
            <w:tcW w:w="544" w:type="pct"/>
            <w:shd w:val="clear" w:color="auto" w:fill="auto"/>
            <w:vAlign w:val="center"/>
          </w:tcPr>
          <w:p w14:paraId="1A416155" w14:textId="77777777" w:rsidR="00485DF5" w:rsidRPr="00310498" w:rsidRDefault="00485DF5" w:rsidP="00B40C67">
            <w:pPr>
              <w:pStyle w:val="Tabletext"/>
              <w:keepNext/>
              <w:keepLines/>
            </w:pPr>
            <w:r w:rsidRPr="00310498">
              <w:t>718</w:t>
            </w:r>
            <w:r w:rsidR="00304B0A" w:rsidRPr="00310498">
              <w:t xml:space="preserve"> ITT;</w:t>
            </w:r>
          </w:p>
          <w:p w14:paraId="61141EC9" w14:textId="7A0B1504" w:rsidR="004E5E56" w:rsidRPr="00310498" w:rsidRDefault="00A91140" w:rsidP="00B40C67">
            <w:pPr>
              <w:pStyle w:val="Tabletext"/>
              <w:keepNext/>
              <w:keepLines/>
              <w:rPr>
                <w:vertAlign w:val="superscript"/>
              </w:rPr>
            </w:pPr>
            <w:r w:rsidRPr="00310498">
              <w:t xml:space="preserve">383 pMMR </w:t>
            </w:r>
            <w:r w:rsidRPr="00310498">
              <w:rPr>
                <w:vertAlign w:val="superscript"/>
              </w:rPr>
              <w:t>a</w:t>
            </w:r>
          </w:p>
        </w:tc>
        <w:tc>
          <w:tcPr>
            <w:tcW w:w="1188" w:type="pct"/>
            <w:shd w:val="clear" w:color="auto" w:fill="auto"/>
            <w:vAlign w:val="center"/>
          </w:tcPr>
          <w:p w14:paraId="5BEDDCD6" w14:textId="77777777" w:rsidR="00485DF5" w:rsidRPr="00310498" w:rsidRDefault="00485DF5" w:rsidP="00B40C67">
            <w:pPr>
              <w:pStyle w:val="Tabletext"/>
              <w:keepNext/>
              <w:keepLines/>
            </w:pPr>
            <w:r w:rsidRPr="00310498">
              <w:t>R, DB, MC;</w:t>
            </w:r>
          </w:p>
          <w:p w14:paraId="4F3DD316" w14:textId="5C8DF06F" w:rsidR="00485DF5" w:rsidRPr="00310498" w:rsidRDefault="00485DF5" w:rsidP="00B40C67">
            <w:pPr>
              <w:pStyle w:val="Tabletext"/>
              <w:keepNext/>
              <w:keepLines/>
            </w:pPr>
            <w:r w:rsidRPr="00310498">
              <w:t xml:space="preserve">10.2 months (PC); </w:t>
            </w:r>
            <w:r w:rsidR="0089384B" w:rsidRPr="00310498">
              <w:br/>
            </w:r>
            <w:r w:rsidRPr="00310498">
              <w:t xml:space="preserve">15.5 months (durvalumab + PC); </w:t>
            </w:r>
            <w:r w:rsidR="0089384B" w:rsidRPr="00310498">
              <w:br/>
            </w:r>
            <w:r w:rsidRPr="00310498">
              <w:t>19.2 months (durvalumab + PC + olaparib)</w:t>
            </w:r>
          </w:p>
        </w:tc>
        <w:tc>
          <w:tcPr>
            <w:tcW w:w="548" w:type="pct"/>
            <w:shd w:val="clear" w:color="auto" w:fill="auto"/>
            <w:vAlign w:val="center"/>
          </w:tcPr>
          <w:p w14:paraId="11D7C890" w14:textId="33AA39C2" w:rsidR="00485DF5" w:rsidRPr="00310498" w:rsidRDefault="00485DF5" w:rsidP="00B40C67">
            <w:pPr>
              <w:pStyle w:val="Tabletext"/>
              <w:keepNext/>
              <w:keepLines/>
            </w:pPr>
            <w:r w:rsidRPr="00310498">
              <w:t xml:space="preserve">High for </w:t>
            </w:r>
            <w:r w:rsidR="002524DD" w:rsidRPr="00310498">
              <w:t>d</w:t>
            </w:r>
            <w:r w:rsidRPr="00310498">
              <w:t>MMR</w:t>
            </w:r>
            <w:r w:rsidR="002524DD" w:rsidRPr="00310498">
              <w:t xml:space="preserve"> and pMMR</w:t>
            </w:r>
            <w:r w:rsidRPr="00310498">
              <w:t xml:space="preserve"> subgroups</w:t>
            </w:r>
          </w:p>
        </w:tc>
        <w:tc>
          <w:tcPr>
            <w:tcW w:w="861" w:type="pct"/>
            <w:shd w:val="clear" w:color="auto" w:fill="auto"/>
            <w:vAlign w:val="center"/>
          </w:tcPr>
          <w:p w14:paraId="1E36006D" w14:textId="77777777" w:rsidR="00485DF5" w:rsidRPr="00310498" w:rsidRDefault="00485DF5" w:rsidP="00B40C67">
            <w:pPr>
              <w:pStyle w:val="Tabletext"/>
              <w:keepNext/>
              <w:keepLines/>
            </w:pPr>
            <w:r w:rsidRPr="00310498">
              <w:t xml:space="preserve">1L newly diagnosed (stage III/stage IV) or recurrent EC </w:t>
            </w:r>
            <w:r w:rsidRPr="00310498">
              <w:rPr>
                <w:vertAlign w:val="superscript"/>
              </w:rPr>
              <w:t>a</w:t>
            </w:r>
          </w:p>
        </w:tc>
        <w:tc>
          <w:tcPr>
            <w:tcW w:w="549" w:type="pct"/>
            <w:shd w:val="clear" w:color="auto" w:fill="auto"/>
            <w:vAlign w:val="center"/>
          </w:tcPr>
          <w:p w14:paraId="18BB0D59" w14:textId="77777777" w:rsidR="00485DF5" w:rsidRPr="00310498" w:rsidRDefault="00485DF5" w:rsidP="00B40C67">
            <w:pPr>
              <w:pStyle w:val="Tabletext"/>
              <w:keepNext/>
              <w:keepLines/>
            </w:pPr>
            <w:r w:rsidRPr="00310498">
              <w:t>PFS, OS, safety</w:t>
            </w:r>
          </w:p>
        </w:tc>
        <w:tc>
          <w:tcPr>
            <w:tcW w:w="850" w:type="pct"/>
            <w:shd w:val="clear" w:color="auto" w:fill="auto"/>
            <w:vAlign w:val="center"/>
          </w:tcPr>
          <w:p w14:paraId="5AFBC834" w14:textId="77C45DA9" w:rsidR="00485DF5" w:rsidRPr="00310498" w:rsidRDefault="00E014DF" w:rsidP="00B40C67">
            <w:pPr>
              <w:pStyle w:val="Tabletext"/>
              <w:keepNext/>
              <w:keepLines/>
            </w:pPr>
            <w:r w:rsidRPr="00310498">
              <w:t xml:space="preserve">CUA: </w:t>
            </w:r>
            <w:r w:rsidR="00485DF5" w:rsidRPr="00310498">
              <w:t>PFS, OS and TTD Kaplan-Meier data, safety, 2L treatment; utilities</w:t>
            </w:r>
          </w:p>
        </w:tc>
      </w:tr>
      <w:tr w:rsidR="00485DF5" w:rsidRPr="00310498" w14:paraId="7F5D503D" w14:textId="77777777">
        <w:trPr>
          <w:cantSplit/>
        </w:trPr>
        <w:tc>
          <w:tcPr>
            <w:tcW w:w="5000" w:type="pct"/>
            <w:gridSpan w:val="7"/>
            <w:shd w:val="clear" w:color="auto" w:fill="auto"/>
            <w:vAlign w:val="center"/>
          </w:tcPr>
          <w:p w14:paraId="0B921C88" w14:textId="77777777" w:rsidR="00485DF5" w:rsidRPr="00310498" w:rsidRDefault="00485DF5" w:rsidP="00B40C67">
            <w:pPr>
              <w:pStyle w:val="Tabletext"/>
              <w:keepNext/>
              <w:keepLines/>
              <w:rPr>
                <w:b/>
                <w:bCs/>
              </w:rPr>
            </w:pPr>
            <w:r w:rsidRPr="00310498">
              <w:rPr>
                <w:b/>
                <w:bCs/>
              </w:rPr>
              <w:t>ITC in dMMR EC: Durvalumab + PC vs. dostarlimab + PC (PC used as common comparator)</w:t>
            </w:r>
          </w:p>
        </w:tc>
      </w:tr>
      <w:tr w:rsidR="00485DF5" w:rsidRPr="00310498" w14:paraId="2F249997" w14:textId="77777777" w:rsidTr="00E24B8A">
        <w:trPr>
          <w:cantSplit/>
        </w:trPr>
        <w:tc>
          <w:tcPr>
            <w:tcW w:w="460" w:type="pct"/>
            <w:shd w:val="clear" w:color="auto" w:fill="auto"/>
            <w:vAlign w:val="center"/>
          </w:tcPr>
          <w:p w14:paraId="39DC3543" w14:textId="77777777" w:rsidR="00485DF5" w:rsidRPr="00310498" w:rsidRDefault="00485DF5" w:rsidP="00B40C67">
            <w:pPr>
              <w:pStyle w:val="Tabletext"/>
              <w:keepNext/>
              <w:keepLines/>
            </w:pPr>
            <w:r w:rsidRPr="00310498">
              <w:t>DUO-E</w:t>
            </w:r>
          </w:p>
        </w:tc>
        <w:tc>
          <w:tcPr>
            <w:tcW w:w="544" w:type="pct"/>
            <w:shd w:val="clear" w:color="auto" w:fill="auto"/>
            <w:vAlign w:val="center"/>
          </w:tcPr>
          <w:p w14:paraId="4FF423FB" w14:textId="77777777" w:rsidR="00485DF5" w:rsidRPr="00310498" w:rsidRDefault="00485DF5" w:rsidP="00B40C67">
            <w:pPr>
              <w:pStyle w:val="Tabletext"/>
              <w:keepNext/>
              <w:keepLines/>
            </w:pPr>
            <w:r w:rsidRPr="00310498">
              <w:t xml:space="preserve">718 ITT; </w:t>
            </w:r>
          </w:p>
          <w:p w14:paraId="64152973" w14:textId="1CB3F6CD" w:rsidR="00485DF5" w:rsidRPr="00310498" w:rsidRDefault="00485DF5" w:rsidP="00B40C67">
            <w:pPr>
              <w:pStyle w:val="Tabletext"/>
              <w:keepNext/>
              <w:keepLines/>
              <w:rPr>
                <w:vertAlign w:val="superscript"/>
              </w:rPr>
            </w:pPr>
            <w:r w:rsidRPr="00310498">
              <w:t>95 dMMR</w:t>
            </w:r>
            <w:r w:rsidR="00A91140" w:rsidRPr="00310498">
              <w:t xml:space="preserve"> </w:t>
            </w:r>
            <w:r w:rsidR="00A91140" w:rsidRPr="00310498">
              <w:rPr>
                <w:vertAlign w:val="superscript"/>
              </w:rPr>
              <w:t>b</w:t>
            </w:r>
          </w:p>
        </w:tc>
        <w:tc>
          <w:tcPr>
            <w:tcW w:w="1188" w:type="pct"/>
            <w:shd w:val="clear" w:color="auto" w:fill="auto"/>
            <w:vAlign w:val="center"/>
          </w:tcPr>
          <w:p w14:paraId="1AE415BE" w14:textId="77777777" w:rsidR="00485DF5" w:rsidRPr="00310498" w:rsidRDefault="00485DF5" w:rsidP="00B40C67">
            <w:pPr>
              <w:pStyle w:val="Tabletext"/>
              <w:keepNext/>
              <w:keepLines/>
            </w:pPr>
            <w:r w:rsidRPr="00310498">
              <w:t>R, DB, MC</w:t>
            </w:r>
          </w:p>
          <w:p w14:paraId="3B22E241" w14:textId="77777777" w:rsidR="00485DF5" w:rsidRPr="00310498" w:rsidRDefault="00485DF5" w:rsidP="00B40C67">
            <w:pPr>
              <w:pStyle w:val="Tabletext"/>
              <w:keepNext/>
              <w:keepLines/>
            </w:pPr>
            <w:r w:rsidRPr="00310498">
              <w:t>15.5 months (durvalumab + PC)</w:t>
            </w:r>
          </w:p>
        </w:tc>
        <w:tc>
          <w:tcPr>
            <w:tcW w:w="548" w:type="pct"/>
            <w:shd w:val="clear" w:color="auto" w:fill="auto"/>
            <w:vAlign w:val="center"/>
          </w:tcPr>
          <w:p w14:paraId="444EB559" w14:textId="77777777" w:rsidR="00485DF5" w:rsidRPr="00310498" w:rsidRDefault="00485DF5" w:rsidP="00B40C67">
            <w:pPr>
              <w:pStyle w:val="Tabletext"/>
              <w:keepNext/>
              <w:keepLines/>
            </w:pPr>
            <w:r w:rsidRPr="00310498">
              <w:t>High for dMMR subgroup</w:t>
            </w:r>
          </w:p>
        </w:tc>
        <w:tc>
          <w:tcPr>
            <w:tcW w:w="861" w:type="pct"/>
            <w:shd w:val="clear" w:color="auto" w:fill="auto"/>
            <w:vAlign w:val="center"/>
          </w:tcPr>
          <w:p w14:paraId="1A8FFA17" w14:textId="6015EF28" w:rsidR="00485DF5" w:rsidRPr="00310498" w:rsidRDefault="00485DF5" w:rsidP="00B40C67">
            <w:pPr>
              <w:pStyle w:val="Tabletext"/>
              <w:keepNext/>
              <w:keepLines/>
            </w:pPr>
            <w:r w:rsidRPr="00310498">
              <w:t xml:space="preserve">1L newly diagnosed (stage III/stage IV) or recurrent EC </w:t>
            </w:r>
            <w:r w:rsidR="00A91140" w:rsidRPr="00310498">
              <w:rPr>
                <w:vertAlign w:val="superscript"/>
              </w:rPr>
              <w:t>c</w:t>
            </w:r>
          </w:p>
        </w:tc>
        <w:tc>
          <w:tcPr>
            <w:tcW w:w="549" w:type="pct"/>
            <w:shd w:val="clear" w:color="auto" w:fill="auto"/>
            <w:vAlign w:val="center"/>
          </w:tcPr>
          <w:p w14:paraId="207A0745" w14:textId="77777777" w:rsidR="00485DF5" w:rsidRPr="00310498" w:rsidRDefault="00485DF5" w:rsidP="00B40C67">
            <w:pPr>
              <w:pStyle w:val="Tabletext"/>
              <w:keepNext/>
              <w:keepLines/>
            </w:pPr>
            <w:r w:rsidRPr="00310498">
              <w:t>PFS, OS, safety</w:t>
            </w:r>
          </w:p>
        </w:tc>
        <w:tc>
          <w:tcPr>
            <w:tcW w:w="850" w:type="pct"/>
            <w:shd w:val="clear" w:color="auto" w:fill="auto"/>
            <w:vAlign w:val="center"/>
          </w:tcPr>
          <w:p w14:paraId="04759D6A" w14:textId="335605E6" w:rsidR="00485DF5" w:rsidRPr="00310498" w:rsidRDefault="00485DF5" w:rsidP="00B40C67">
            <w:pPr>
              <w:pStyle w:val="Tabletext"/>
              <w:keepNext/>
              <w:keepLines/>
            </w:pPr>
            <w:r w:rsidRPr="00310498">
              <w:t>Not used</w:t>
            </w:r>
            <w:r w:rsidR="00E014DF" w:rsidRPr="00310498">
              <w:t xml:space="preserve"> (assumed same as dostarlimab)</w:t>
            </w:r>
          </w:p>
        </w:tc>
      </w:tr>
      <w:tr w:rsidR="00485DF5" w:rsidRPr="00310498" w14:paraId="06025A7F" w14:textId="77777777" w:rsidTr="00E24B8A">
        <w:trPr>
          <w:cantSplit/>
        </w:trPr>
        <w:tc>
          <w:tcPr>
            <w:tcW w:w="460" w:type="pct"/>
            <w:shd w:val="clear" w:color="auto" w:fill="auto"/>
            <w:vAlign w:val="center"/>
          </w:tcPr>
          <w:p w14:paraId="2A250488" w14:textId="77777777" w:rsidR="00485DF5" w:rsidRPr="00310498" w:rsidRDefault="00485DF5" w:rsidP="00B40C67">
            <w:pPr>
              <w:pStyle w:val="Tabletext"/>
              <w:keepNext/>
              <w:keepLines/>
            </w:pPr>
            <w:r w:rsidRPr="00310498">
              <w:t>RUBY</w:t>
            </w:r>
          </w:p>
        </w:tc>
        <w:tc>
          <w:tcPr>
            <w:tcW w:w="544" w:type="pct"/>
            <w:shd w:val="clear" w:color="auto" w:fill="auto"/>
            <w:vAlign w:val="center"/>
          </w:tcPr>
          <w:p w14:paraId="692BA49A" w14:textId="77777777" w:rsidR="00485DF5" w:rsidRPr="00310498" w:rsidRDefault="00485DF5" w:rsidP="00B40C67">
            <w:pPr>
              <w:pStyle w:val="Tabletext"/>
              <w:keepNext/>
              <w:keepLines/>
            </w:pPr>
            <w:r w:rsidRPr="00310498">
              <w:t xml:space="preserve">494 ITT; </w:t>
            </w:r>
          </w:p>
          <w:p w14:paraId="4A56A7EC" w14:textId="77777777" w:rsidR="00485DF5" w:rsidRPr="00310498" w:rsidRDefault="00485DF5" w:rsidP="00B40C67">
            <w:pPr>
              <w:pStyle w:val="Tabletext"/>
              <w:keepNext/>
              <w:keepLines/>
            </w:pPr>
            <w:r w:rsidRPr="00310498">
              <w:t>118 dMMR/ MSI-H</w:t>
            </w:r>
          </w:p>
        </w:tc>
        <w:tc>
          <w:tcPr>
            <w:tcW w:w="1188" w:type="pct"/>
            <w:shd w:val="clear" w:color="auto" w:fill="auto"/>
            <w:vAlign w:val="center"/>
          </w:tcPr>
          <w:p w14:paraId="7974EBDC" w14:textId="77777777" w:rsidR="00485DF5" w:rsidRPr="00310498" w:rsidRDefault="00485DF5" w:rsidP="00B40C67">
            <w:pPr>
              <w:pStyle w:val="Tabletext"/>
              <w:keepNext/>
              <w:keepLines/>
            </w:pPr>
            <w:r w:rsidRPr="00310498">
              <w:t>R, DB, MC</w:t>
            </w:r>
          </w:p>
          <w:p w14:paraId="1589630A" w14:textId="77777777" w:rsidR="00485DF5" w:rsidRPr="00310498" w:rsidRDefault="00485DF5" w:rsidP="00B40C67">
            <w:pPr>
              <w:pStyle w:val="Tabletext"/>
              <w:keepNext/>
              <w:keepLines/>
            </w:pPr>
            <w:r w:rsidRPr="00310498">
              <w:t>24.8 months (dMMR/ MSI-H)</w:t>
            </w:r>
          </w:p>
        </w:tc>
        <w:tc>
          <w:tcPr>
            <w:tcW w:w="548" w:type="pct"/>
            <w:shd w:val="clear" w:color="auto" w:fill="auto"/>
            <w:vAlign w:val="center"/>
          </w:tcPr>
          <w:p w14:paraId="52A943E2" w14:textId="77777777" w:rsidR="00485DF5" w:rsidRPr="00310498" w:rsidRDefault="00485DF5" w:rsidP="00B40C67">
            <w:pPr>
              <w:pStyle w:val="Tabletext"/>
              <w:keepNext/>
              <w:keepLines/>
            </w:pPr>
            <w:r w:rsidRPr="00310498">
              <w:t>High for dMMR subgroup</w:t>
            </w:r>
          </w:p>
        </w:tc>
        <w:tc>
          <w:tcPr>
            <w:tcW w:w="861" w:type="pct"/>
            <w:shd w:val="clear" w:color="auto" w:fill="auto"/>
            <w:vAlign w:val="center"/>
          </w:tcPr>
          <w:p w14:paraId="429E195B" w14:textId="77777777" w:rsidR="00485DF5" w:rsidRPr="00310498" w:rsidRDefault="00485DF5" w:rsidP="00B40C67">
            <w:pPr>
              <w:pStyle w:val="Tabletext"/>
              <w:keepNext/>
              <w:keepLines/>
            </w:pPr>
            <w:r w:rsidRPr="00310498">
              <w:t>1L advanced/ recurrent EC</w:t>
            </w:r>
          </w:p>
        </w:tc>
        <w:tc>
          <w:tcPr>
            <w:tcW w:w="549" w:type="pct"/>
            <w:shd w:val="clear" w:color="auto" w:fill="auto"/>
            <w:vAlign w:val="center"/>
          </w:tcPr>
          <w:p w14:paraId="463F933F" w14:textId="77777777" w:rsidR="00485DF5" w:rsidRPr="00310498" w:rsidRDefault="00485DF5" w:rsidP="00B40C67">
            <w:pPr>
              <w:pStyle w:val="Tabletext"/>
              <w:keepNext/>
              <w:keepLines/>
            </w:pPr>
            <w:r w:rsidRPr="00310498">
              <w:t>PFS, OS</w:t>
            </w:r>
          </w:p>
        </w:tc>
        <w:tc>
          <w:tcPr>
            <w:tcW w:w="850" w:type="pct"/>
            <w:shd w:val="clear" w:color="auto" w:fill="auto"/>
            <w:vAlign w:val="center"/>
          </w:tcPr>
          <w:p w14:paraId="1000B3E7" w14:textId="3F61A9A7" w:rsidR="00485DF5" w:rsidRPr="00310498" w:rsidRDefault="00E014DF" w:rsidP="00B40C67">
            <w:pPr>
              <w:pStyle w:val="Tabletext"/>
              <w:keepNext/>
              <w:keepLines/>
            </w:pPr>
            <w:r w:rsidRPr="00310498">
              <w:t xml:space="preserve">CMA: </w:t>
            </w:r>
            <w:r w:rsidR="00485DF5" w:rsidRPr="00310498">
              <w:t xml:space="preserve">Duration of treatment </w:t>
            </w:r>
            <w:r w:rsidR="00A91140" w:rsidRPr="00310498">
              <w:rPr>
                <w:vertAlign w:val="superscript"/>
              </w:rPr>
              <w:t>d</w:t>
            </w:r>
          </w:p>
        </w:tc>
      </w:tr>
    </w:tbl>
    <w:p w14:paraId="3E2CA044" w14:textId="53651611" w:rsidR="00E24B8A" w:rsidRPr="00310498" w:rsidRDefault="00E24B8A" w:rsidP="00D17A65">
      <w:pPr>
        <w:pStyle w:val="TableFigureFooter"/>
      </w:pPr>
      <w:r w:rsidRPr="00310498">
        <w:t>Source: Sections 2.3, 2.4, Table 3.39, pp53-63, 71-74, 179 of the submission.</w:t>
      </w:r>
    </w:p>
    <w:p w14:paraId="235668BF" w14:textId="7341CF34" w:rsidR="00485DF5" w:rsidRPr="00310498" w:rsidRDefault="00485DF5" w:rsidP="00D17A65">
      <w:pPr>
        <w:pStyle w:val="TableFigureFooter"/>
      </w:pPr>
      <w:r w:rsidRPr="00310498">
        <w:t xml:space="preserve">1L = first-line; 2L = second-line; </w:t>
      </w:r>
      <w:r w:rsidR="00E014DF" w:rsidRPr="00310498">
        <w:t xml:space="preserve">CMA = cost minimisation analysis; CUA = cost utility analysis; </w:t>
      </w:r>
      <w:r w:rsidRPr="00310498">
        <w:t xml:space="preserve">DB = double blind; dMMR = deficient mismatch repair; EC = endometrial cancer; ITC = indirect treatment comparison; MC = multi-centre; </w:t>
      </w:r>
      <w:r w:rsidRPr="00310498">
        <w:rPr>
          <w:szCs w:val="18"/>
        </w:rPr>
        <w:t xml:space="preserve">MSI-H = microsatellite instability-high; </w:t>
      </w:r>
      <w:r w:rsidRPr="00310498">
        <w:t xml:space="preserve">OS = overall survival; </w:t>
      </w:r>
      <w:r w:rsidR="003B5B79" w:rsidRPr="00310498">
        <w:t xml:space="preserve">PC = </w:t>
      </w:r>
      <w:r w:rsidR="0041670E" w:rsidRPr="00310498">
        <w:t>paclitaxel + carboplatin</w:t>
      </w:r>
      <w:r w:rsidR="003B5B79" w:rsidRPr="00310498">
        <w:t xml:space="preserve">; </w:t>
      </w:r>
      <w:r w:rsidRPr="00310498">
        <w:t>PFS = progression-free survival;</w:t>
      </w:r>
      <w:r w:rsidR="002524DD" w:rsidRPr="00310498">
        <w:t xml:space="preserve"> pMMR = proficient mismatch repair;</w:t>
      </w:r>
      <w:r w:rsidRPr="00310498">
        <w:t xml:space="preserve"> R = randomised; TTD = time to discontinuation. </w:t>
      </w:r>
    </w:p>
    <w:p w14:paraId="08480B91" w14:textId="7C16282C" w:rsidR="00A91140" w:rsidRPr="00310498" w:rsidRDefault="00485DF5" w:rsidP="00D17A65">
      <w:pPr>
        <w:pStyle w:val="TableFigureFooter"/>
      </w:pPr>
      <w:r w:rsidRPr="00310498">
        <w:t>a</w:t>
      </w:r>
      <w:r w:rsidR="00A91140" w:rsidRPr="00310498">
        <w:t xml:space="preserve"> </w:t>
      </w:r>
      <w:r w:rsidR="00EA0309" w:rsidRPr="00310498">
        <w:t>including only durvalumab + PC + olaparib arm (n=191) and PC arm (n=192)</w:t>
      </w:r>
      <w:r w:rsidRPr="00310498">
        <w:t xml:space="preserve"> </w:t>
      </w:r>
    </w:p>
    <w:p w14:paraId="6F8EB99C" w14:textId="6A1C587C" w:rsidR="00A91140" w:rsidRPr="00310498" w:rsidRDefault="00A91140" w:rsidP="00D17A65">
      <w:pPr>
        <w:pStyle w:val="TableFigureFooter"/>
      </w:pPr>
      <w:r w:rsidRPr="00310498">
        <w:t>b</w:t>
      </w:r>
      <w:r w:rsidR="00EA0309" w:rsidRPr="00310498">
        <w:t xml:space="preserve"> including only durvalumab + PC (n=</w:t>
      </w:r>
      <w:r w:rsidR="007055AE" w:rsidRPr="00310498">
        <w:t>46) arm and PC arm (n=49)</w:t>
      </w:r>
    </w:p>
    <w:p w14:paraId="44FD1A1D" w14:textId="5813180E" w:rsidR="00485DF5" w:rsidRPr="00310498" w:rsidRDefault="00A91140" w:rsidP="00D17A65">
      <w:pPr>
        <w:pStyle w:val="TableFigureFooter"/>
      </w:pPr>
      <w:r w:rsidRPr="00310498">
        <w:t xml:space="preserve">c </w:t>
      </w:r>
      <w:r w:rsidR="00485DF5" w:rsidRPr="00310498">
        <w:t xml:space="preserve">Naïve to </w:t>
      </w:r>
      <w:r w:rsidR="00464CDF" w:rsidRPr="00310498">
        <w:t>1L</w:t>
      </w:r>
      <w:r w:rsidR="00485DF5" w:rsidRPr="00310498">
        <w:t xml:space="preserve"> systemic anti-cancer treatment. For patients with recurrent disease only, prior systemic anti-cancer treatment was allowed only if it was administered in the adjuvant setting and there was at least 12 months from date of last dose of systemic anti-cancer treatment administered to date of subsequent relapse.</w:t>
      </w:r>
    </w:p>
    <w:p w14:paraId="3CDFA340" w14:textId="2CA3AA9B" w:rsidR="00485DF5" w:rsidRPr="00310498" w:rsidRDefault="00A91140" w:rsidP="00D17A65">
      <w:pPr>
        <w:pStyle w:val="TableFigureFooter"/>
      </w:pPr>
      <w:r w:rsidRPr="00310498">
        <w:t xml:space="preserve">d </w:t>
      </w:r>
      <w:r w:rsidR="00485DF5" w:rsidRPr="00310498">
        <w:t>Based on Table 18, dostarlimab PSD, November 2023 PBAC meeting.</w:t>
      </w:r>
    </w:p>
    <w:p w14:paraId="4B4747E3" w14:textId="77777777" w:rsidR="00485DF5" w:rsidRPr="00310498" w:rsidRDefault="00485DF5" w:rsidP="00485DF5">
      <w:pPr>
        <w:pStyle w:val="3-BodyText"/>
      </w:pPr>
      <w:r w:rsidRPr="00310498">
        <w:t>DUO-E enrolled a total of 718 patients who were randomised in a 1:1:1 ratio to one of the following treatment arms:</w:t>
      </w:r>
    </w:p>
    <w:p w14:paraId="089DBE70" w14:textId="77777777" w:rsidR="00485DF5" w:rsidRPr="00310498" w:rsidRDefault="00485DF5" w:rsidP="00ED133A">
      <w:pPr>
        <w:pStyle w:val="ListParagraph"/>
        <w:ind w:left="1134"/>
        <w:jc w:val="both"/>
        <w:rPr>
          <w:snapToGrid/>
        </w:rPr>
      </w:pPr>
      <w:r w:rsidRPr="00310498">
        <w:rPr>
          <w:snapToGrid/>
        </w:rPr>
        <w:lastRenderedPageBreak/>
        <w:t>Arm A (PC): Patients received PC every three weeks (Q3W) for a maximum of six cycles;</w:t>
      </w:r>
    </w:p>
    <w:p w14:paraId="269F828A" w14:textId="3D2D5A3C" w:rsidR="00485DF5" w:rsidRPr="00310498" w:rsidRDefault="00485DF5" w:rsidP="00ED133A">
      <w:pPr>
        <w:pStyle w:val="ListParagraph"/>
        <w:ind w:left="1134"/>
        <w:jc w:val="both"/>
        <w:rPr>
          <w:snapToGrid/>
        </w:rPr>
      </w:pPr>
      <w:r w:rsidRPr="00310498">
        <w:rPr>
          <w:snapToGrid/>
        </w:rPr>
        <w:t xml:space="preserve">Arm B (durvalumab + PC): Patients received PC </w:t>
      </w:r>
      <w:r w:rsidR="00D1174E" w:rsidRPr="00310498">
        <w:rPr>
          <w:snapToGrid/>
        </w:rPr>
        <w:t>plus 1</w:t>
      </w:r>
      <w:r w:rsidR="00086551" w:rsidRPr="00310498">
        <w:rPr>
          <w:snapToGrid/>
        </w:rPr>
        <w:t>,</w:t>
      </w:r>
      <w:r w:rsidR="00D1174E" w:rsidRPr="00310498">
        <w:rPr>
          <w:snapToGrid/>
        </w:rPr>
        <w:t xml:space="preserve">120 mg durvalumab (IV) </w:t>
      </w:r>
      <w:r w:rsidRPr="00310498">
        <w:rPr>
          <w:snapToGrid/>
        </w:rPr>
        <w:t>Q3W for a maximum of six cycles. Following completion of chemotherapy treatment, patients without objective disease progression received maintenance 1</w:t>
      </w:r>
      <w:r w:rsidR="00086551" w:rsidRPr="00310498">
        <w:rPr>
          <w:snapToGrid/>
        </w:rPr>
        <w:t>,</w:t>
      </w:r>
      <w:r w:rsidRPr="00310498">
        <w:rPr>
          <w:snapToGrid/>
        </w:rPr>
        <w:t>500 mg durvalumab (IV) Q4W; and</w:t>
      </w:r>
    </w:p>
    <w:p w14:paraId="505FB648" w14:textId="56FE48B6" w:rsidR="00485DF5" w:rsidRPr="00310498" w:rsidRDefault="00485DF5" w:rsidP="00ED133A">
      <w:pPr>
        <w:pStyle w:val="ListParagraph"/>
        <w:ind w:left="1134"/>
        <w:jc w:val="both"/>
        <w:rPr>
          <w:snapToGrid/>
        </w:rPr>
      </w:pPr>
      <w:r w:rsidRPr="00310498">
        <w:rPr>
          <w:snapToGrid/>
        </w:rPr>
        <w:t xml:space="preserve">Arm C (durvalumab + PC + olaparib): Patients received PC </w:t>
      </w:r>
      <w:r w:rsidR="00D1174E" w:rsidRPr="00310498">
        <w:rPr>
          <w:snapToGrid/>
        </w:rPr>
        <w:t>plus 1</w:t>
      </w:r>
      <w:r w:rsidR="00086551" w:rsidRPr="00310498">
        <w:rPr>
          <w:snapToGrid/>
        </w:rPr>
        <w:t>,</w:t>
      </w:r>
      <w:r w:rsidR="00D1174E" w:rsidRPr="00310498">
        <w:rPr>
          <w:snapToGrid/>
        </w:rPr>
        <w:t>120</w:t>
      </w:r>
      <w:r w:rsidR="00B55DA5">
        <w:rPr>
          <w:snapToGrid/>
        </w:rPr>
        <w:t> </w:t>
      </w:r>
      <w:r w:rsidR="00D1174E" w:rsidRPr="00310498">
        <w:rPr>
          <w:snapToGrid/>
        </w:rPr>
        <w:t xml:space="preserve">mg durvalumab (IV) </w:t>
      </w:r>
      <w:r w:rsidRPr="00310498">
        <w:rPr>
          <w:snapToGrid/>
        </w:rPr>
        <w:t>Q3W for a maximum of six cycles. Following completion of chemotherapy treatment, patients without objective disease progression received maintenance 1</w:t>
      </w:r>
      <w:r w:rsidR="00CE56E1" w:rsidRPr="00310498">
        <w:rPr>
          <w:snapToGrid/>
        </w:rPr>
        <w:t>,</w:t>
      </w:r>
      <w:r w:rsidRPr="00310498">
        <w:rPr>
          <w:snapToGrid/>
        </w:rPr>
        <w:t>500 mg durvalumab (IV) Q4W with 300 mg olaparib (tablets) twice daily orally.</w:t>
      </w:r>
    </w:p>
    <w:p w14:paraId="36977AD4" w14:textId="77777777" w:rsidR="00703304" w:rsidRDefault="00485DF5" w:rsidP="00703304">
      <w:pPr>
        <w:pStyle w:val="3-BodyText"/>
      </w:pPr>
      <w:r w:rsidRPr="00310498">
        <w:t>Maintenance treatment was continued until disease progression. P</w:t>
      </w:r>
      <w:r w:rsidR="003E515A" w:rsidRPr="00310498">
        <w:t>lacebo p</w:t>
      </w:r>
      <w:r w:rsidRPr="00310498">
        <w:t xml:space="preserve">atients randomised to Arm A or Arm B received placebo ‘durvalumab’ and/or ‘olaparib’ to maintain double blinding. </w:t>
      </w:r>
    </w:p>
    <w:p w14:paraId="02E0D34F" w14:textId="72A8E9C2" w:rsidR="00485DF5" w:rsidRPr="00310498" w:rsidRDefault="00A01A20" w:rsidP="00022017">
      <w:pPr>
        <w:pStyle w:val="3-BodyText"/>
      </w:pPr>
      <w:r w:rsidRPr="00310498">
        <w:t xml:space="preserve">DUO-E </w:t>
      </w:r>
      <w:r w:rsidR="005B052F">
        <w:t>did not include a</w:t>
      </w:r>
      <w:r w:rsidR="00485DF5" w:rsidRPr="00310498">
        <w:t xml:space="preserve"> PC + olaparib</w:t>
      </w:r>
      <w:r w:rsidR="00703304">
        <w:t xml:space="preserve"> </w:t>
      </w:r>
      <w:r w:rsidR="005B052F">
        <w:t>arm, and a</w:t>
      </w:r>
      <w:r w:rsidR="00485DF5" w:rsidRPr="00310498">
        <w:t xml:space="preserve">s such, </w:t>
      </w:r>
      <w:r w:rsidR="005B052F">
        <w:t xml:space="preserve">the evaluation </w:t>
      </w:r>
      <w:r w:rsidR="00703304">
        <w:t xml:space="preserve">and the ESC </w:t>
      </w:r>
      <w:r w:rsidR="00703304" w:rsidRPr="00703304">
        <w:t>not</w:t>
      </w:r>
      <w:r>
        <w:t xml:space="preserve">ed that the trial did not provide </w:t>
      </w:r>
      <w:r w:rsidRPr="00310498">
        <w:t>inform</w:t>
      </w:r>
      <w:r>
        <w:t>ation as to</w:t>
      </w:r>
      <w:r w:rsidRPr="00310498">
        <w:t xml:space="preserve"> </w:t>
      </w:r>
      <w:r>
        <w:t xml:space="preserve">the incremental value of </w:t>
      </w:r>
      <w:r w:rsidRPr="00310498">
        <w:t>addi</w:t>
      </w:r>
      <w:r>
        <w:t>ng</w:t>
      </w:r>
      <w:r w:rsidRPr="00310498">
        <w:t xml:space="preserve"> durvalumab to PC + olaparib.</w:t>
      </w:r>
      <w:r w:rsidR="00703304" w:rsidRPr="00703304">
        <w:t xml:space="preserve"> </w:t>
      </w:r>
      <w:r w:rsidR="0032043A">
        <w:t>The pre-PBAC response state</w:t>
      </w:r>
      <w:r w:rsidR="00187D6A">
        <w:t>d</w:t>
      </w:r>
      <w:r w:rsidR="0032043A">
        <w:t xml:space="preserve"> that the DUO-E trial did not contain a PC + olaparib arm</w:t>
      </w:r>
      <w:r>
        <w:t xml:space="preserve"> because,</w:t>
      </w:r>
      <w:r w:rsidR="0032043A">
        <w:t xml:space="preserve"> </w:t>
      </w:r>
      <w:r w:rsidR="00827CAD">
        <w:t>at the time the trial was designed</w:t>
      </w:r>
      <w:r>
        <w:t>,</w:t>
      </w:r>
      <w:r w:rsidR="00827CAD">
        <w:t xml:space="preserve"> </w:t>
      </w:r>
      <w:r w:rsidR="0032043A">
        <w:t>there was no evidence to suggest this regimen would provide patients with the same or greater efficacy than PC alone.</w:t>
      </w:r>
    </w:p>
    <w:p w14:paraId="06172770" w14:textId="29D807EE" w:rsidR="00485DF5" w:rsidRPr="00310498" w:rsidRDefault="008F53D1" w:rsidP="00827CAD">
      <w:pPr>
        <w:pStyle w:val="3-BodyText"/>
      </w:pPr>
      <w:bookmarkStart w:id="31" w:name="_Ref174973996"/>
      <w:r w:rsidRPr="00310498">
        <w:t xml:space="preserve">A </w:t>
      </w:r>
      <w:r w:rsidR="00485DF5" w:rsidRPr="00310498">
        <w:t>pre-specified exploratory analysis comparing durvalumab + PC + olaparib versus durvalumab + PC was undertaken</w:t>
      </w:r>
      <w:r w:rsidRPr="00310498">
        <w:t xml:space="preserve"> in DUO-E. </w:t>
      </w:r>
      <w:r w:rsidR="00061194" w:rsidRPr="00310498">
        <w:t>However, h</w:t>
      </w:r>
      <w:r w:rsidR="00485DF5" w:rsidRPr="00310498">
        <w:t xml:space="preserve">ypotheses </w:t>
      </w:r>
      <w:r w:rsidR="00061194" w:rsidRPr="00310498">
        <w:t xml:space="preserve">testing </w:t>
      </w:r>
      <w:r w:rsidR="00485DF5" w:rsidRPr="00310498">
        <w:t>for this comparison were not predefined and</w:t>
      </w:r>
      <w:r w:rsidR="00401D65" w:rsidRPr="00310498">
        <w:t xml:space="preserve"> </w:t>
      </w:r>
      <w:r w:rsidR="00061194" w:rsidRPr="00310498">
        <w:t xml:space="preserve">given the lack of adjustment for multiplicity, </w:t>
      </w:r>
      <w:r w:rsidR="00173F1E" w:rsidRPr="00310498">
        <w:t>t</w:t>
      </w:r>
      <w:r w:rsidR="00485DF5" w:rsidRPr="00310498">
        <w:t>hese analyses may be associated with a higher risk of bias and should be interpreted with caution.</w:t>
      </w:r>
      <w:bookmarkEnd w:id="31"/>
      <w:r w:rsidR="00184499" w:rsidRPr="00310498">
        <w:t xml:space="preserve"> </w:t>
      </w:r>
    </w:p>
    <w:p w14:paraId="4150ADD6" w14:textId="2F7CF64C" w:rsidR="00485DF5" w:rsidRPr="00310498" w:rsidRDefault="00485DF5" w:rsidP="00485DF5">
      <w:pPr>
        <w:pStyle w:val="3-BodyText"/>
      </w:pPr>
      <w:bookmarkStart w:id="32" w:name="_Ref176365064"/>
      <w:r w:rsidRPr="00310498">
        <w:t xml:space="preserve">During </w:t>
      </w:r>
      <w:r w:rsidR="00ED133A" w:rsidRPr="00310498">
        <w:t xml:space="preserve">the evaluation </w:t>
      </w:r>
      <w:r w:rsidRPr="00310498">
        <w:t xml:space="preserve">of dostarlimab for the treatment of primary </w:t>
      </w:r>
      <w:r w:rsidR="00ED133A" w:rsidRPr="00310498">
        <w:t xml:space="preserve">A/R </w:t>
      </w:r>
      <w:r w:rsidRPr="00310498">
        <w:t xml:space="preserve">EC, it was observed that while it was reasonable to conclude a low risk of bias for the all-comers population in the RUBY trial, the dMMR population was prone to a higher risk of bias given the smaller sample size (23.9% of the all-comers population, n=118) and RUBY was not powered for the outcome of OS in this subgroup (paragraph 6.8, dostarlimab PSD, November 2023). </w:t>
      </w:r>
      <w:r w:rsidR="006A268E" w:rsidRPr="00310498">
        <w:t xml:space="preserve">Similarly, in </w:t>
      </w:r>
      <w:r w:rsidRPr="00310498">
        <w:t xml:space="preserve">DUO-E, while the </w:t>
      </w:r>
      <w:r w:rsidR="008C12F3" w:rsidRPr="00310498">
        <w:t>intention to treat (</w:t>
      </w:r>
      <w:r w:rsidRPr="00310498">
        <w:t>ITT</w:t>
      </w:r>
      <w:r w:rsidR="008C12F3" w:rsidRPr="00310498">
        <w:t>)</w:t>
      </w:r>
      <w:r w:rsidRPr="00310498">
        <w:t xml:space="preserve"> population</w:t>
      </w:r>
      <w:r w:rsidR="008C12F3" w:rsidRPr="00310498">
        <w:t xml:space="preserve"> (referred to as the full analysis set [FAS] by the submission)</w:t>
      </w:r>
      <w:r w:rsidRPr="00310498">
        <w:t xml:space="preserve"> may be associated with a low risk of bias, the analysis of results based on MMR status </w:t>
      </w:r>
      <w:r w:rsidR="006A268E" w:rsidRPr="00310498">
        <w:t xml:space="preserve">was </w:t>
      </w:r>
      <w:r w:rsidRPr="00310498">
        <w:t xml:space="preserve">likely to be associated with a higher risk of bias </w:t>
      </w:r>
      <w:r w:rsidR="006A268E" w:rsidRPr="00310498">
        <w:t xml:space="preserve">due to reduced patient numbers </w:t>
      </w:r>
      <w:r w:rsidRPr="00310498">
        <w:t>and should therefore be interpreted with caution.</w:t>
      </w:r>
      <w:r w:rsidR="00A46AA8" w:rsidRPr="00310498">
        <w:t xml:space="preserve"> Moreover, </w:t>
      </w:r>
      <w:r w:rsidR="003E0968" w:rsidRPr="00310498">
        <w:t xml:space="preserve">the </w:t>
      </w:r>
      <w:r w:rsidR="00E62DB7" w:rsidRPr="00310498">
        <w:t xml:space="preserve">multiple testing </w:t>
      </w:r>
      <w:r w:rsidR="003E0968" w:rsidRPr="00310498">
        <w:t xml:space="preserve">procedure </w:t>
      </w:r>
      <w:r w:rsidR="002C558B" w:rsidRPr="00310498">
        <w:t xml:space="preserve">in DUO-E </w:t>
      </w:r>
      <w:r w:rsidR="003E0968" w:rsidRPr="00310498">
        <w:t xml:space="preserve">did not include adjustments for MMR status and </w:t>
      </w:r>
      <w:r w:rsidR="00885D1A" w:rsidRPr="00310498">
        <w:t>may increase the risk of false</w:t>
      </w:r>
      <w:r w:rsidR="001A765A" w:rsidRPr="00310498">
        <w:t xml:space="preserve"> positives</w:t>
      </w:r>
      <w:bookmarkEnd w:id="32"/>
      <w:r w:rsidR="00792A85" w:rsidRPr="00310498">
        <w:t>.</w:t>
      </w:r>
    </w:p>
    <w:p w14:paraId="4F29B36A" w14:textId="551CB701" w:rsidR="00485DF5" w:rsidRPr="00310498" w:rsidRDefault="00485DF5" w:rsidP="00827CAD">
      <w:pPr>
        <w:pStyle w:val="3-BodyText"/>
      </w:pPr>
      <w:bookmarkStart w:id="33" w:name="_Toc174923384"/>
      <w:r w:rsidRPr="00310498">
        <w:t xml:space="preserve">The submission reported that </w:t>
      </w:r>
      <w:r w:rsidR="005B0995" w:rsidRPr="00310498">
        <w:t xml:space="preserve">in DUO-E, </w:t>
      </w:r>
      <w:r w:rsidRPr="00310498">
        <w:t xml:space="preserve">7/48 (14.6%) patients with dMMR EC and 40/191 (20.9%) patients with pMMR EC who were randomised to receive durvalumab + PC + olaparib did not receive the olaparib component of the regimen, largely due to patients not being well enough to receive the additional therapy. </w:t>
      </w:r>
      <w:r w:rsidR="003C0F39" w:rsidRPr="00310498">
        <w:t xml:space="preserve">These patients were </w:t>
      </w:r>
      <w:r w:rsidR="003C0F39" w:rsidRPr="00310498">
        <w:lastRenderedPageBreak/>
        <w:t xml:space="preserve">assessed as part of the durvalumab + PC + olaparib treatment group to which they were randomised. </w:t>
      </w:r>
      <w:r w:rsidRPr="00310498">
        <w:t xml:space="preserve">The submission claimed that this </w:t>
      </w:r>
      <w:r w:rsidR="00A76D00" w:rsidRPr="00310498">
        <w:t>was</w:t>
      </w:r>
      <w:r w:rsidRPr="00310498">
        <w:t xml:space="preserve"> likely to be a reasonable proxy for what will happen in practice if durvalumab + olaparib is PBS listed. </w:t>
      </w:r>
      <w:r w:rsidR="003C0F39" w:rsidRPr="00310498">
        <w:t xml:space="preserve">Although the </w:t>
      </w:r>
      <w:r w:rsidRPr="00310498">
        <w:t xml:space="preserve">proposed </w:t>
      </w:r>
      <w:r w:rsidR="00764D76" w:rsidRPr="00310498">
        <w:t>restriction</w:t>
      </w:r>
      <w:r w:rsidR="003C0F39" w:rsidRPr="00310498">
        <w:t xml:space="preserve"> stated that </w:t>
      </w:r>
      <w:r w:rsidRPr="00310498">
        <w:t>patients with pMMR EC must receive durvalumab in combination with olaparib</w:t>
      </w:r>
      <w:r w:rsidR="00764D76" w:rsidRPr="00310498">
        <w:t xml:space="preserve"> (i.e. </w:t>
      </w:r>
      <w:r w:rsidR="00CD1DDD" w:rsidRPr="00310498">
        <w:t xml:space="preserve">there </w:t>
      </w:r>
      <w:r w:rsidR="003C0F39" w:rsidRPr="00310498">
        <w:t xml:space="preserve">was </w:t>
      </w:r>
      <w:r w:rsidR="00764D76" w:rsidRPr="00310498">
        <w:t xml:space="preserve">no option for </w:t>
      </w:r>
      <w:r w:rsidR="00CD1DDD" w:rsidRPr="00310498">
        <w:t xml:space="preserve">maintenance with </w:t>
      </w:r>
      <w:r w:rsidR="00764D76" w:rsidRPr="00310498">
        <w:t>durvalumab monotherapy)</w:t>
      </w:r>
      <w:r w:rsidR="003C0F39" w:rsidRPr="00310498">
        <w:t xml:space="preserve">, the </w:t>
      </w:r>
      <w:r w:rsidR="000C36E6" w:rsidRPr="00310498">
        <w:t>revised</w:t>
      </w:r>
      <w:r w:rsidR="00123F84" w:rsidRPr="00310498">
        <w:t xml:space="preserve"> restriction </w:t>
      </w:r>
      <w:r w:rsidR="003C0F39" w:rsidRPr="00310498">
        <w:t xml:space="preserve">presented in the PSCR would permit </w:t>
      </w:r>
      <w:r w:rsidR="00123F84" w:rsidRPr="00310498">
        <w:t>durvalumab</w:t>
      </w:r>
      <w:r w:rsidR="003C0F39" w:rsidRPr="00310498">
        <w:t xml:space="preserve"> monotherapy</w:t>
      </w:r>
      <w:r w:rsidR="00123F84" w:rsidRPr="00310498">
        <w:t xml:space="preserve"> in patients who </w:t>
      </w:r>
      <w:r w:rsidR="003C0F39" w:rsidRPr="00310498">
        <w:t>we</w:t>
      </w:r>
      <w:r w:rsidR="00123F84" w:rsidRPr="00310498">
        <w:t>re unable to tolerate olaparib in</w:t>
      </w:r>
      <w:r w:rsidR="003C0F39" w:rsidRPr="00310498">
        <w:t xml:space="preserve"> the</w:t>
      </w:r>
      <w:r w:rsidR="00123F84" w:rsidRPr="00310498">
        <w:t xml:space="preserve"> maintenance therapy</w:t>
      </w:r>
      <w:r w:rsidR="003C0F39" w:rsidRPr="00310498">
        <w:t xml:space="preserve"> setting</w:t>
      </w:r>
      <w:r w:rsidR="00123F84" w:rsidRPr="00310498">
        <w:t xml:space="preserve">. </w:t>
      </w:r>
    </w:p>
    <w:p w14:paraId="0DD4BB68" w14:textId="77777777" w:rsidR="00485DF5" w:rsidRPr="00A0075B" w:rsidRDefault="00485DF5" w:rsidP="00485DF5">
      <w:pPr>
        <w:pStyle w:val="4-SubsectionHeading"/>
        <w:rPr>
          <w:iCs/>
        </w:rPr>
      </w:pPr>
      <w:bookmarkStart w:id="34" w:name="_Toc176785107"/>
      <w:r w:rsidRPr="00A0075B">
        <w:rPr>
          <w:iCs/>
        </w:rPr>
        <w:t>Comparative effectiveness</w:t>
      </w:r>
      <w:bookmarkEnd w:id="33"/>
      <w:bookmarkEnd w:id="34"/>
    </w:p>
    <w:p w14:paraId="01F4A2F2" w14:textId="67C4B512" w:rsidR="00FB45E5" w:rsidRPr="00310498" w:rsidRDefault="00FB45E5" w:rsidP="00FB45E5">
      <w:pPr>
        <w:pStyle w:val="3-BodyText"/>
        <w:numPr>
          <w:ilvl w:val="0"/>
          <w:numId w:val="0"/>
        </w:numPr>
        <w:ind w:left="720" w:hanging="720"/>
        <w:rPr>
          <w:u w:val="single"/>
          <w:lang w:eastAsia="en-US"/>
        </w:rPr>
      </w:pPr>
      <w:r w:rsidRPr="00310498">
        <w:rPr>
          <w:u w:val="single"/>
          <w:lang w:eastAsia="en-US"/>
        </w:rPr>
        <w:t>Progression free survival – DUO-E trial</w:t>
      </w:r>
    </w:p>
    <w:p w14:paraId="35264CB7" w14:textId="529E95B5" w:rsidR="00485DF5" w:rsidRPr="00310498" w:rsidRDefault="00485DF5" w:rsidP="003E79C8">
      <w:pPr>
        <w:pStyle w:val="3-BodyText"/>
      </w:pPr>
      <w:r w:rsidRPr="00310498">
        <w:t>At the time of the primary analysis of PFS, the investigator assessed PFS data in the FAS were 61% mature across the three treatment arms (438 events/718 patients). The PFS results for DUO-E based on the FAS (ITT analysis) are presented in</w:t>
      </w:r>
      <w:r w:rsidR="00B60281" w:rsidRPr="00310498">
        <w:t xml:space="preserve"> </w:t>
      </w:r>
      <w:r w:rsidR="00F267A0" w:rsidRPr="00310498">
        <w:fldChar w:fldCharType="begin" w:fldLock="1"/>
      </w:r>
      <w:r w:rsidR="00F267A0" w:rsidRPr="00310498">
        <w:instrText xml:space="preserve"> REF _Ref174966006 </w:instrText>
      </w:r>
      <w:r w:rsidR="00310498" w:rsidRPr="00310498">
        <w:instrText xml:space="preserve"> \* MERGEFORMAT </w:instrText>
      </w:r>
      <w:r w:rsidR="00F267A0" w:rsidRPr="00310498">
        <w:fldChar w:fldCharType="separate"/>
      </w:r>
      <w:r w:rsidR="002C52D8" w:rsidRPr="00310498">
        <w:t xml:space="preserve">Table </w:t>
      </w:r>
      <w:r w:rsidR="002C52D8">
        <w:rPr>
          <w:noProof/>
        </w:rPr>
        <w:t>5</w:t>
      </w:r>
      <w:r w:rsidR="00F267A0" w:rsidRPr="00310498">
        <w:rPr>
          <w:noProof/>
        </w:rPr>
        <w:fldChar w:fldCharType="end"/>
      </w:r>
      <w:r w:rsidRPr="00310498">
        <w:t xml:space="preserve">. </w:t>
      </w:r>
      <w:r w:rsidR="003907A3" w:rsidRPr="00310498">
        <w:fldChar w:fldCharType="begin" w:fldLock="1"/>
      </w:r>
      <w:r w:rsidR="003907A3" w:rsidRPr="00310498">
        <w:instrText xml:space="preserve"> REF _Ref174979048 \h </w:instrText>
      </w:r>
      <w:r w:rsidR="00310498" w:rsidRPr="00310498">
        <w:instrText xml:space="preserve"> \* MERGEFORMAT </w:instrText>
      </w:r>
      <w:r w:rsidR="003907A3" w:rsidRPr="00310498">
        <w:fldChar w:fldCharType="separate"/>
      </w:r>
      <w:r w:rsidR="002C52D8" w:rsidRPr="00310498">
        <w:t xml:space="preserve">Figure </w:t>
      </w:r>
      <w:r w:rsidR="002C52D8">
        <w:rPr>
          <w:noProof/>
        </w:rPr>
        <w:t>2</w:t>
      </w:r>
      <w:r w:rsidR="003907A3" w:rsidRPr="00310498">
        <w:fldChar w:fldCharType="end"/>
      </w:r>
      <w:r w:rsidR="003907A3" w:rsidRPr="00310498">
        <w:t xml:space="preserve"> </w:t>
      </w:r>
      <w:r w:rsidRPr="00310498">
        <w:t xml:space="preserve">provides the DUO-E Kaplan Meier (KM) curve for PFS. </w:t>
      </w:r>
    </w:p>
    <w:p w14:paraId="1959CA58" w14:textId="40CA708D" w:rsidR="00485DF5" w:rsidRPr="00310498" w:rsidRDefault="00485DF5" w:rsidP="003C0F39">
      <w:pPr>
        <w:pStyle w:val="Caption"/>
        <w:rPr>
          <w:rStyle w:val="CommentReference"/>
          <w:rFonts w:eastAsiaTheme="majorEastAsia" w:cstheme="majorBidi"/>
          <w:b/>
          <w:bCs w:val="0"/>
          <w:szCs w:val="24"/>
        </w:rPr>
      </w:pPr>
      <w:bookmarkStart w:id="35" w:name="_Ref174966006"/>
      <w:r w:rsidRPr="00310498">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5</w:t>
      </w:r>
      <w:r w:rsidR="00F267A0" w:rsidRPr="00310498">
        <w:rPr>
          <w:noProof/>
        </w:rPr>
        <w:fldChar w:fldCharType="end"/>
      </w:r>
      <w:bookmarkEnd w:id="35"/>
      <w:r w:rsidRPr="00310498">
        <w:rPr>
          <w:rStyle w:val="CommentReference"/>
          <w:rFonts w:eastAsiaTheme="majorEastAsia" w:cstheme="majorBidi"/>
          <w:b/>
          <w:bCs w:val="0"/>
          <w:szCs w:val="24"/>
        </w:rPr>
        <w:t>:</w:t>
      </w:r>
      <w:r w:rsidRPr="00310498">
        <w:rPr>
          <w:rStyle w:val="CommentReference"/>
          <w:rFonts w:eastAsiaTheme="majorEastAsia" w:cstheme="majorBidi"/>
          <w:b/>
          <w:bCs w:val="0"/>
          <w:szCs w:val="24"/>
        </w:rPr>
        <w:tab/>
        <w:t>PFS based on investigator assessment (FAS), DUO-E</w:t>
      </w:r>
    </w:p>
    <w:tbl>
      <w:tblPr>
        <w:tblStyle w:val="AZTable"/>
        <w:tblW w:w="5000" w:type="pct"/>
        <w:tblLook w:val="04A0" w:firstRow="1" w:lastRow="0" w:firstColumn="1" w:lastColumn="0" w:noHBand="0" w:noVBand="1"/>
      </w:tblPr>
      <w:tblGrid>
        <w:gridCol w:w="3397"/>
        <w:gridCol w:w="1701"/>
        <w:gridCol w:w="1982"/>
        <w:gridCol w:w="1960"/>
      </w:tblGrid>
      <w:tr w:rsidR="00485DF5" w:rsidRPr="00310498" w14:paraId="7DAF10DB" w14:textId="77777777">
        <w:trPr>
          <w:cnfStyle w:val="100000000000" w:firstRow="1" w:lastRow="0" w:firstColumn="0" w:lastColumn="0" w:oddVBand="0" w:evenVBand="0" w:oddHBand="0" w:evenHBand="0" w:firstRowFirstColumn="0" w:firstRowLastColumn="0" w:lastRowFirstColumn="0" w:lastRowLastColumn="0"/>
          <w:tblHeader/>
        </w:trPr>
        <w:tc>
          <w:tcPr>
            <w:tcW w:w="1879" w:type="pct"/>
            <w:shd w:val="clear" w:color="auto" w:fill="auto"/>
          </w:tcPr>
          <w:p w14:paraId="24B45ED9" w14:textId="77777777" w:rsidR="00485DF5" w:rsidRPr="00310498" w:rsidRDefault="00485DF5" w:rsidP="003C0F39">
            <w:pPr>
              <w:pStyle w:val="In-tableHeading"/>
              <w:rPr>
                <w:sz w:val="20"/>
                <w:szCs w:val="20"/>
                <w:lang w:val="en-AU"/>
              </w:rPr>
            </w:pPr>
            <w:r w:rsidRPr="00310498">
              <w:rPr>
                <w:sz w:val="20"/>
                <w:szCs w:val="20"/>
                <w:lang w:val="en-AU"/>
              </w:rPr>
              <w:t>Measure</w:t>
            </w:r>
          </w:p>
        </w:tc>
        <w:tc>
          <w:tcPr>
            <w:tcW w:w="941" w:type="pct"/>
            <w:shd w:val="clear" w:color="auto" w:fill="auto"/>
            <w:hideMark/>
          </w:tcPr>
          <w:p w14:paraId="36A76C3F" w14:textId="77777777" w:rsidR="00485DF5" w:rsidRPr="00310498" w:rsidRDefault="00485DF5" w:rsidP="003C0F39">
            <w:pPr>
              <w:pStyle w:val="In-tableHeading"/>
              <w:jc w:val="center"/>
              <w:rPr>
                <w:sz w:val="20"/>
                <w:szCs w:val="20"/>
                <w:lang w:val="en-AU"/>
              </w:rPr>
            </w:pPr>
            <w:r w:rsidRPr="00310498">
              <w:rPr>
                <w:sz w:val="20"/>
                <w:szCs w:val="20"/>
                <w:lang w:val="en-AU"/>
              </w:rPr>
              <w:t>PC (N=241)</w:t>
            </w:r>
          </w:p>
        </w:tc>
        <w:tc>
          <w:tcPr>
            <w:tcW w:w="1096" w:type="pct"/>
            <w:shd w:val="clear" w:color="auto" w:fill="auto"/>
            <w:hideMark/>
          </w:tcPr>
          <w:p w14:paraId="4FF07651" w14:textId="77777777" w:rsidR="00485DF5" w:rsidRPr="00310498" w:rsidRDefault="00485DF5" w:rsidP="003C0F39">
            <w:pPr>
              <w:pStyle w:val="In-tableHeading"/>
              <w:jc w:val="center"/>
              <w:rPr>
                <w:sz w:val="20"/>
                <w:szCs w:val="20"/>
                <w:lang w:val="en-AU"/>
              </w:rPr>
            </w:pPr>
            <w:r w:rsidRPr="00310498">
              <w:rPr>
                <w:sz w:val="20"/>
                <w:szCs w:val="20"/>
                <w:lang w:val="en-AU"/>
              </w:rPr>
              <w:t>durvalumab + PC (N=238)</w:t>
            </w:r>
          </w:p>
        </w:tc>
        <w:tc>
          <w:tcPr>
            <w:tcW w:w="1084" w:type="pct"/>
            <w:shd w:val="clear" w:color="auto" w:fill="auto"/>
            <w:hideMark/>
          </w:tcPr>
          <w:p w14:paraId="56F7DB90" w14:textId="77777777" w:rsidR="00485DF5" w:rsidRPr="00310498" w:rsidRDefault="00485DF5" w:rsidP="003C0F39">
            <w:pPr>
              <w:pStyle w:val="In-tableHeading"/>
              <w:jc w:val="center"/>
              <w:rPr>
                <w:sz w:val="20"/>
                <w:szCs w:val="20"/>
                <w:lang w:val="en-AU"/>
              </w:rPr>
            </w:pPr>
            <w:r w:rsidRPr="00310498">
              <w:rPr>
                <w:sz w:val="20"/>
                <w:szCs w:val="20"/>
                <w:lang w:val="en-AU"/>
              </w:rPr>
              <w:t>durvalumab + PC + olaparib (N=239)</w:t>
            </w:r>
          </w:p>
        </w:tc>
      </w:tr>
      <w:tr w:rsidR="00485DF5" w:rsidRPr="00310498" w14:paraId="162202B6" w14:textId="77777777">
        <w:tc>
          <w:tcPr>
            <w:tcW w:w="1879" w:type="pct"/>
            <w:shd w:val="clear" w:color="auto" w:fill="auto"/>
            <w:vAlign w:val="center"/>
          </w:tcPr>
          <w:p w14:paraId="402690D4" w14:textId="665EAC42" w:rsidR="00485DF5" w:rsidRPr="00310498" w:rsidRDefault="00485DF5" w:rsidP="003C0F39">
            <w:pPr>
              <w:pStyle w:val="Tabletext"/>
              <w:keepNext/>
              <w:keepLines/>
            </w:pPr>
            <w:r w:rsidRPr="00310498">
              <w:t>Median PFS</w:t>
            </w:r>
            <w:r w:rsidR="00DC2E46" w:rsidRPr="00310498">
              <w:t>, months</w:t>
            </w:r>
            <w:r w:rsidRPr="00310498">
              <w:t xml:space="preserve"> (95% CI)</w:t>
            </w:r>
          </w:p>
        </w:tc>
        <w:tc>
          <w:tcPr>
            <w:tcW w:w="941" w:type="pct"/>
            <w:shd w:val="clear" w:color="auto" w:fill="auto"/>
            <w:vAlign w:val="center"/>
          </w:tcPr>
          <w:p w14:paraId="228EE4D1" w14:textId="395972A8" w:rsidR="00485DF5" w:rsidRPr="00310498" w:rsidRDefault="00485DF5" w:rsidP="003C0F39">
            <w:pPr>
              <w:pStyle w:val="Tabletext"/>
              <w:keepNext/>
              <w:keepLines/>
              <w:jc w:val="center"/>
            </w:pPr>
            <w:r w:rsidRPr="00310498">
              <w:t>9.6 (9.0</w:t>
            </w:r>
            <w:r w:rsidR="0032043A">
              <w:t xml:space="preserve">, </w:t>
            </w:r>
            <w:r w:rsidRPr="00310498">
              <w:t>9.9)</w:t>
            </w:r>
          </w:p>
        </w:tc>
        <w:tc>
          <w:tcPr>
            <w:tcW w:w="1096" w:type="pct"/>
            <w:shd w:val="clear" w:color="auto" w:fill="auto"/>
            <w:vAlign w:val="center"/>
          </w:tcPr>
          <w:p w14:paraId="5EECEA8F" w14:textId="75F7E37A" w:rsidR="00485DF5" w:rsidRPr="00310498" w:rsidRDefault="00485DF5" w:rsidP="003C0F39">
            <w:pPr>
              <w:pStyle w:val="Tabletext"/>
              <w:keepNext/>
              <w:keepLines/>
              <w:jc w:val="center"/>
            </w:pPr>
            <w:r w:rsidRPr="00310498">
              <w:t>10.2 (9.7</w:t>
            </w:r>
            <w:r w:rsidR="0032043A">
              <w:t xml:space="preserve">, </w:t>
            </w:r>
            <w:r w:rsidRPr="00310498">
              <w:t>14.7)</w:t>
            </w:r>
          </w:p>
        </w:tc>
        <w:tc>
          <w:tcPr>
            <w:tcW w:w="1084" w:type="pct"/>
            <w:shd w:val="clear" w:color="auto" w:fill="auto"/>
            <w:vAlign w:val="center"/>
          </w:tcPr>
          <w:p w14:paraId="41EF5879" w14:textId="6C798C80" w:rsidR="00485DF5" w:rsidRPr="00310498" w:rsidRDefault="00485DF5" w:rsidP="003C0F39">
            <w:pPr>
              <w:pStyle w:val="Tabletext"/>
              <w:keepNext/>
              <w:keepLines/>
              <w:jc w:val="center"/>
            </w:pPr>
            <w:r w:rsidRPr="00310498">
              <w:t>15.1 (12.6</w:t>
            </w:r>
            <w:r w:rsidR="0032043A">
              <w:t xml:space="preserve">, </w:t>
            </w:r>
            <w:r w:rsidRPr="00310498">
              <w:t>20.7)</w:t>
            </w:r>
          </w:p>
        </w:tc>
      </w:tr>
      <w:tr w:rsidR="00485DF5" w:rsidRPr="00310498" w14:paraId="11FA7B40" w14:textId="77777777">
        <w:tc>
          <w:tcPr>
            <w:tcW w:w="1879" w:type="pct"/>
            <w:shd w:val="clear" w:color="auto" w:fill="auto"/>
            <w:vAlign w:val="center"/>
          </w:tcPr>
          <w:p w14:paraId="31CEB10C" w14:textId="77777777" w:rsidR="00485DF5" w:rsidRPr="00310498" w:rsidRDefault="00485DF5" w:rsidP="003C0F39">
            <w:pPr>
              <w:pStyle w:val="Tabletext"/>
              <w:keepNext/>
              <w:keepLines/>
            </w:pPr>
            <w:r w:rsidRPr="00310498">
              <w:t>HR versus PC (95% CI)</w:t>
            </w:r>
          </w:p>
        </w:tc>
        <w:tc>
          <w:tcPr>
            <w:tcW w:w="941" w:type="pct"/>
            <w:shd w:val="clear" w:color="auto" w:fill="auto"/>
            <w:vAlign w:val="center"/>
          </w:tcPr>
          <w:p w14:paraId="616AE449" w14:textId="77777777" w:rsidR="00485DF5" w:rsidRPr="00310498" w:rsidRDefault="00485DF5" w:rsidP="003C0F39">
            <w:pPr>
              <w:pStyle w:val="Tabletext"/>
              <w:keepNext/>
              <w:keepLines/>
              <w:jc w:val="center"/>
            </w:pPr>
            <w:r w:rsidRPr="00310498">
              <w:t>-</w:t>
            </w:r>
          </w:p>
        </w:tc>
        <w:tc>
          <w:tcPr>
            <w:tcW w:w="1096" w:type="pct"/>
            <w:shd w:val="clear" w:color="auto" w:fill="auto"/>
            <w:vAlign w:val="center"/>
          </w:tcPr>
          <w:p w14:paraId="5CC4B6EF" w14:textId="19A5F911" w:rsidR="00485DF5" w:rsidRPr="00310498" w:rsidRDefault="00485DF5" w:rsidP="003C0F39">
            <w:pPr>
              <w:pStyle w:val="Tabletext"/>
              <w:keepNext/>
              <w:keepLines/>
              <w:jc w:val="center"/>
              <w:rPr>
                <w:b/>
                <w:bCs/>
              </w:rPr>
            </w:pPr>
            <w:r w:rsidRPr="00310498">
              <w:rPr>
                <w:b/>
                <w:bCs/>
              </w:rPr>
              <w:t>0.71 (0.57</w:t>
            </w:r>
            <w:r w:rsidR="0032043A">
              <w:rPr>
                <w:b/>
                <w:bCs/>
              </w:rPr>
              <w:t xml:space="preserve">, </w:t>
            </w:r>
            <w:r w:rsidRPr="00310498">
              <w:rPr>
                <w:b/>
                <w:bCs/>
              </w:rPr>
              <w:t>0.89)</w:t>
            </w:r>
          </w:p>
        </w:tc>
        <w:tc>
          <w:tcPr>
            <w:tcW w:w="1084" w:type="pct"/>
            <w:shd w:val="clear" w:color="auto" w:fill="auto"/>
            <w:vAlign w:val="center"/>
          </w:tcPr>
          <w:p w14:paraId="01AAD6AE" w14:textId="19199138" w:rsidR="00485DF5" w:rsidRPr="00310498" w:rsidRDefault="00485DF5" w:rsidP="003C0F39">
            <w:pPr>
              <w:pStyle w:val="Tabletext"/>
              <w:keepNext/>
              <w:keepLines/>
              <w:jc w:val="center"/>
              <w:rPr>
                <w:b/>
                <w:bCs/>
              </w:rPr>
            </w:pPr>
            <w:r w:rsidRPr="00310498">
              <w:rPr>
                <w:b/>
                <w:bCs/>
              </w:rPr>
              <w:t>0.55 (0.43</w:t>
            </w:r>
            <w:r w:rsidR="0032043A">
              <w:rPr>
                <w:b/>
                <w:bCs/>
              </w:rPr>
              <w:t xml:space="preserve">, </w:t>
            </w:r>
            <w:r w:rsidRPr="00310498">
              <w:rPr>
                <w:b/>
                <w:bCs/>
              </w:rPr>
              <w:t>0.69)</w:t>
            </w:r>
          </w:p>
        </w:tc>
      </w:tr>
      <w:tr w:rsidR="00485DF5" w:rsidRPr="00310498" w14:paraId="2D894BFB" w14:textId="77777777">
        <w:tc>
          <w:tcPr>
            <w:tcW w:w="1879" w:type="pct"/>
            <w:shd w:val="clear" w:color="auto" w:fill="auto"/>
            <w:vAlign w:val="center"/>
          </w:tcPr>
          <w:p w14:paraId="5156F5E8" w14:textId="77777777" w:rsidR="00485DF5" w:rsidRPr="00310498" w:rsidRDefault="00485DF5" w:rsidP="003C0F39">
            <w:pPr>
              <w:pStyle w:val="Tabletext"/>
              <w:keepNext/>
              <w:keepLines/>
            </w:pPr>
            <w:r w:rsidRPr="00310498">
              <w:t>P value versus PC</w:t>
            </w:r>
          </w:p>
        </w:tc>
        <w:tc>
          <w:tcPr>
            <w:tcW w:w="941" w:type="pct"/>
            <w:shd w:val="clear" w:color="auto" w:fill="auto"/>
            <w:vAlign w:val="center"/>
          </w:tcPr>
          <w:p w14:paraId="1024A3D8" w14:textId="77777777" w:rsidR="00485DF5" w:rsidRPr="00310498" w:rsidRDefault="00485DF5" w:rsidP="003C0F39">
            <w:pPr>
              <w:pStyle w:val="Tabletext"/>
              <w:keepNext/>
              <w:keepLines/>
              <w:jc w:val="center"/>
            </w:pPr>
            <w:r w:rsidRPr="00310498">
              <w:t>-</w:t>
            </w:r>
          </w:p>
        </w:tc>
        <w:tc>
          <w:tcPr>
            <w:tcW w:w="1096" w:type="pct"/>
            <w:shd w:val="clear" w:color="auto" w:fill="auto"/>
            <w:vAlign w:val="center"/>
          </w:tcPr>
          <w:p w14:paraId="68AE51C9" w14:textId="77777777" w:rsidR="00485DF5" w:rsidRPr="00310498" w:rsidRDefault="00485DF5" w:rsidP="003C0F39">
            <w:pPr>
              <w:pStyle w:val="Tabletext"/>
              <w:keepNext/>
              <w:keepLines/>
              <w:jc w:val="center"/>
            </w:pPr>
            <w:r w:rsidRPr="00310498">
              <w:t>0.003</w:t>
            </w:r>
          </w:p>
        </w:tc>
        <w:tc>
          <w:tcPr>
            <w:tcW w:w="1084" w:type="pct"/>
            <w:shd w:val="clear" w:color="auto" w:fill="auto"/>
            <w:vAlign w:val="center"/>
          </w:tcPr>
          <w:p w14:paraId="02846E54" w14:textId="77777777" w:rsidR="00485DF5" w:rsidRPr="00310498" w:rsidRDefault="00485DF5" w:rsidP="003C0F39">
            <w:pPr>
              <w:pStyle w:val="Tabletext"/>
              <w:keepNext/>
              <w:keepLines/>
              <w:jc w:val="center"/>
            </w:pPr>
            <w:r w:rsidRPr="00310498">
              <w:t>&lt;0.0001</w:t>
            </w:r>
          </w:p>
        </w:tc>
      </w:tr>
      <w:tr w:rsidR="00485DF5" w:rsidRPr="00310498" w14:paraId="017CBA70" w14:textId="77777777">
        <w:tc>
          <w:tcPr>
            <w:tcW w:w="1879" w:type="pct"/>
            <w:shd w:val="clear" w:color="auto" w:fill="auto"/>
            <w:vAlign w:val="center"/>
          </w:tcPr>
          <w:p w14:paraId="0734B042" w14:textId="77777777" w:rsidR="00485DF5" w:rsidRPr="00310498" w:rsidRDefault="00485DF5" w:rsidP="003C0F39">
            <w:pPr>
              <w:pStyle w:val="Tabletext"/>
              <w:keepNext/>
              <w:keepLines/>
            </w:pPr>
            <w:r w:rsidRPr="00310498">
              <w:t>HR versus durvalumab + PC (95% CI)</w:t>
            </w:r>
          </w:p>
        </w:tc>
        <w:tc>
          <w:tcPr>
            <w:tcW w:w="941" w:type="pct"/>
            <w:shd w:val="clear" w:color="auto" w:fill="auto"/>
            <w:vAlign w:val="center"/>
          </w:tcPr>
          <w:p w14:paraId="0B5A96D1" w14:textId="77777777" w:rsidR="00485DF5" w:rsidRPr="00310498" w:rsidRDefault="00485DF5" w:rsidP="003C0F39">
            <w:pPr>
              <w:pStyle w:val="Tabletext"/>
              <w:keepNext/>
              <w:keepLines/>
              <w:jc w:val="center"/>
            </w:pPr>
            <w:r w:rsidRPr="00310498">
              <w:t>-</w:t>
            </w:r>
          </w:p>
        </w:tc>
        <w:tc>
          <w:tcPr>
            <w:tcW w:w="1096" w:type="pct"/>
            <w:shd w:val="clear" w:color="auto" w:fill="auto"/>
            <w:vAlign w:val="center"/>
          </w:tcPr>
          <w:p w14:paraId="2D58844D" w14:textId="77777777" w:rsidR="00485DF5" w:rsidRPr="00310498" w:rsidRDefault="00485DF5" w:rsidP="003C0F39">
            <w:pPr>
              <w:pStyle w:val="Tabletext"/>
              <w:keepNext/>
              <w:keepLines/>
              <w:jc w:val="center"/>
            </w:pPr>
            <w:r w:rsidRPr="00310498">
              <w:t>-</w:t>
            </w:r>
          </w:p>
        </w:tc>
        <w:tc>
          <w:tcPr>
            <w:tcW w:w="1084" w:type="pct"/>
            <w:shd w:val="clear" w:color="auto" w:fill="auto"/>
            <w:vAlign w:val="center"/>
          </w:tcPr>
          <w:p w14:paraId="37D8568A" w14:textId="300267CE" w:rsidR="00485DF5" w:rsidRPr="00310498" w:rsidRDefault="00485DF5" w:rsidP="003C0F39">
            <w:pPr>
              <w:pStyle w:val="Tabletext"/>
              <w:keepNext/>
              <w:keepLines/>
              <w:jc w:val="center"/>
            </w:pPr>
            <w:r w:rsidRPr="00310498">
              <w:t>0.78 (0.61</w:t>
            </w:r>
            <w:r w:rsidR="0032043A">
              <w:t xml:space="preserve">, </w:t>
            </w:r>
            <w:r w:rsidRPr="00310498">
              <w:t>0.99)</w:t>
            </w:r>
          </w:p>
        </w:tc>
      </w:tr>
      <w:tr w:rsidR="00485DF5" w:rsidRPr="00310498" w14:paraId="3932E737" w14:textId="77777777">
        <w:tc>
          <w:tcPr>
            <w:tcW w:w="1879" w:type="pct"/>
            <w:shd w:val="clear" w:color="auto" w:fill="auto"/>
            <w:vAlign w:val="center"/>
          </w:tcPr>
          <w:p w14:paraId="2909070C" w14:textId="77777777" w:rsidR="00485DF5" w:rsidRPr="00310498" w:rsidRDefault="00485DF5" w:rsidP="003C0F39">
            <w:pPr>
              <w:pStyle w:val="Tabletext"/>
              <w:keepNext/>
              <w:keepLines/>
            </w:pPr>
            <w:r w:rsidRPr="00310498">
              <w:t>P value versus durvalumab + PC</w:t>
            </w:r>
          </w:p>
        </w:tc>
        <w:tc>
          <w:tcPr>
            <w:tcW w:w="941" w:type="pct"/>
            <w:shd w:val="clear" w:color="auto" w:fill="auto"/>
            <w:vAlign w:val="center"/>
          </w:tcPr>
          <w:p w14:paraId="5A601F37" w14:textId="77777777" w:rsidR="00485DF5" w:rsidRPr="00310498" w:rsidRDefault="00485DF5" w:rsidP="003C0F39">
            <w:pPr>
              <w:pStyle w:val="Tabletext"/>
              <w:keepNext/>
              <w:keepLines/>
              <w:jc w:val="center"/>
            </w:pPr>
            <w:r w:rsidRPr="00310498">
              <w:t>-</w:t>
            </w:r>
          </w:p>
        </w:tc>
        <w:tc>
          <w:tcPr>
            <w:tcW w:w="1096" w:type="pct"/>
            <w:shd w:val="clear" w:color="auto" w:fill="auto"/>
            <w:vAlign w:val="center"/>
          </w:tcPr>
          <w:p w14:paraId="349A6DBD" w14:textId="77777777" w:rsidR="00485DF5" w:rsidRPr="00310498" w:rsidRDefault="00485DF5" w:rsidP="003C0F39">
            <w:pPr>
              <w:pStyle w:val="Tabletext"/>
              <w:keepNext/>
              <w:keepLines/>
              <w:jc w:val="center"/>
            </w:pPr>
            <w:r w:rsidRPr="00310498">
              <w:t>-</w:t>
            </w:r>
          </w:p>
        </w:tc>
        <w:tc>
          <w:tcPr>
            <w:tcW w:w="1084" w:type="pct"/>
            <w:shd w:val="clear" w:color="auto" w:fill="auto"/>
            <w:vAlign w:val="center"/>
          </w:tcPr>
          <w:p w14:paraId="2370CB45" w14:textId="77777777" w:rsidR="00485DF5" w:rsidRPr="00310498" w:rsidRDefault="00485DF5" w:rsidP="003C0F39">
            <w:pPr>
              <w:pStyle w:val="Tabletext"/>
              <w:keepNext/>
              <w:keepLines/>
              <w:jc w:val="center"/>
            </w:pPr>
            <w:r w:rsidRPr="00310498">
              <w:t>NR</w:t>
            </w:r>
          </w:p>
        </w:tc>
      </w:tr>
      <w:tr w:rsidR="00485DF5" w:rsidRPr="00310498" w14:paraId="682136B6" w14:textId="77777777">
        <w:tc>
          <w:tcPr>
            <w:tcW w:w="5000" w:type="pct"/>
            <w:gridSpan w:val="4"/>
            <w:shd w:val="clear" w:color="auto" w:fill="auto"/>
            <w:vAlign w:val="center"/>
          </w:tcPr>
          <w:p w14:paraId="70DCF7F4" w14:textId="77777777" w:rsidR="00485DF5" w:rsidRPr="00310498" w:rsidRDefault="00485DF5" w:rsidP="003C0F39">
            <w:pPr>
              <w:pStyle w:val="Tabletext"/>
              <w:keepNext/>
              <w:keepLines/>
            </w:pPr>
            <w:r w:rsidRPr="00310498">
              <w:t>% patients progression free at</w:t>
            </w:r>
          </w:p>
        </w:tc>
      </w:tr>
      <w:tr w:rsidR="00485DF5" w:rsidRPr="00310498" w14:paraId="62ACFB30" w14:textId="77777777">
        <w:tc>
          <w:tcPr>
            <w:tcW w:w="1879" w:type="pct"/>
            <w:shd w:val="clear" w:color="auto" w:fill="auto"/>
            <w:vAlign w:val="center"/>
          </w:tcPr>
          <w:p w14:paraId="5D3CD3AF" w14:textId="77777777" w:rsidR="00485DF5" w:rsidRPr="00310498" w:rsidRDefault="00485DF5" w:rsidP="003C0F39">
            <w:pPr>
              <w:pStyle w:val="Tabletext"/>
              <w:keepNext/>
              <w:keepLines/>
            </w:pPr>
            <w:r w:rsidRPr="00310498">
              <w:t>6 months (95% CI)</w:t>
            </w:r>
          </w:p>
        </w:tc>
        <w:tc>
          <w:tcPr>
            <w:tcW w:w="941" w:type="pct"/>
            <w:shd w:val="clear" w:color="auto" w:fill="auto"/>
            <w:vAlign w:val="center"/>
          </w:tcPr>
          <w:p w14:paraId="0191CC2D" w14:textId="01EA13AA" w:rsidR="00485DF5" w:rsidRPr="00310498" w:rsidRDefault="00485DF5" w:rsidP="003C0F39">
            <w:pPr>
              <w:pStyle w:val="Tabletext"/>
              <w:keepNext/>
              <w:keepLines/>
              <w:jc w:val="center"/>
            </w:pPr>
            <w:r w:rsidRPr="00310498">
              <w:t>82.5 (76.9</w:t>
            </w:r>
            <w:r w:rsidR="0032043A">
              <w:t xml:space="preserve">, </w:t>
            </w:r>
            <w:r w:rsidRPr="00310498">
              <w:t>86.8)</w:t>
            </w:r>
          </w:p>
        </w:tc>
        <w:tc>
          <w:tcPr>
            <w:tcW w:w="1096" w:type="pct"/>
            <w:shd w:val="clear" w:color="auto" w:fill="auto"/>
            <w:vAlign w:val="center"/>
          </w:tcPr>
          <w:p w14:paraId="51528787" w14:textId="41EBE928" w:rsidR="00485DF5" w:rsidRPr="00310498" w:rsidRDefault="00485DF5" w:rsidP="003C0F39">
            <w:pPr>
              <w:pStyle w:val="Tabletext"/>
              <w:keepNext/>
              <w:keepLines/>
              <w:jc w:val="center"/>
            </w:pPr>
            <w:r w:rsidRPr="00310498">
              <w:t>83.8 (78.4</w:t>
            </w:r>
            <w:r w:rsidR="0032043A">
              <w:t xml:space="preserve">, </w:t>
            </w:r>
            <w:r w:rsidRPr="00310498">
              <w:t>88.0)</w:t>
            </w:r>
          </w:p>
        </w:tc>
        <w:tc>
          <w:tcPr>
            <w:tcW w:w="1084" w:type="pct"/>
            <w:shd w:val="clear" w:color="auto" w:fill="auto"/>
            <w:vAlign w:val="center"/>
          </w:tcPr>
          <w:p w14:paraId="66263430" w14:textId="2F0173CF" w:rsidR="00485DF5" w:rsidRPr="00310498" w:rsidRDefault="00485DF5" w:rsidP="003C0F39">
            <w:pPr>
              <w:pStyle w:val="Tabletext"/>
              <w:keepNext/>
              <w:keepLines/>
              <w:jc w:val="center"/>
            </w:pPr>
            <w:r w:rsidRPr="00310498">
              <w:t>83.9 (78.6</w:t>
            </w:r>
            <w:r w:rsidR="0032043A">
              <w:t xml:space="preserve">, </w:t>
            </w:r>
            <w:r w:rsidRPr="00310498">
              <w:t>88.0)</w:t>
            </w:r>
          </w:p>
        </w:tc>
      </w:tr>
      <w:tr w:rsidR="00485DF5" w:rsidRPr="00310498" w14:paraId="57F32C02" w14:textId="77777777">
        <w:tc>
          <w:tcPr>
            <w:tcW w:w="1879" w:type="pct"/>
            <w:shd w:val="clear" w:color="auto" w:fill="auto"/>
            <w:vAlign w:val="center"/>
          </w:tcPr>
          <w:p w14:paraId="212D53E7" w14:textId="77777777" w:rsidR="00485DF5" w:rsidRPr="00310498" w:rsidRDefault="00485DF5" w:rsidP="003C0F39">
            <w:pPr>
              <w:pStyle w:val="Tabletext"/>
              <w:keepNext/>
              <w:keepLines/>
            </w:pPr>
            <w:r w:rsidRPr="00310498">
              <w:t>12 months (95% CI)</w:t>
            </w:r>
          </w:p>
        </w:tc>
        <w:tc>
          <w:tcPr>
            <w:tcW w:w="941" w:type="pct"/>
            <w:shd w:val="clear" w:color="auto" w:fill="auto"/>
            <w:vAlign w:val="center"/>
          </w:tcPr>
          <w:p w14:paraId="62F89B3C" w14:textId="5B3B9D72" w:rsidR="00485DF5" w:rsidRPr="00310498" w:rsidRDefault="00485DF5" w:rsidP="003C0F39">
            <w:pPr>
              <w:pStyle w:val="Tabletext"/>
              <w:keepNext/>
              <w:keepLines/>
              <w:jc w:val="center"/>
            </w:pPr>
            <w:r w:rsidRPr="00310498">
              <w:t>41.1 (34.6</w:t>
            </w:r>
            <w:r w:rsidR="0032043A">
              <w:t xml:space="preserve">, </w:t>
            </w:r>
            <w:r w:rsidRPr="00310498">
              <w:t>47.5)</w:t>
            </w:r>
          </w:p>
        </w:tc>
        <w:tc>
          <w:tcPr>
            <w:tcW w:w="1096" w:type="pct"/>
            <w:shd w:val="clear" w:color="auto" w:fill="auto"/>
            <w:vAlign w:val="center"/>
          </w:tcPr>
          <w:p w14:paraId="76683039" w14:textId="74335D30" w:rsidR="00485DF5" w:rsidRPr="00310498" w:rsidRDefault="00485DF5" w:rsidP="003C0F39">
            <w:pPr>
              <w:pStyle w:val="Tabletext"/>
              <w:keepNext/>
              <w:keepLines/>
              <w:jc w:val="center"/>
            </w:pPr>
            <w:r w:rsidRPr="00310498">
              <w:t>48.5 (41.8</w:t>
            </w:r>
            <w:r w:rsidR="0032043A">
              <w:t xml:space="preserve">, </w:t>
            </w:r>
            <w:r w:rsidRPr="00310498">
              <w:t>54.9)</w:t>
            </w:r>
          </w:p>
        </w:tc>
        <w:tc>
          <w:tcPr>
            <w:tcW w:w="1084" w:type="pct"/>
            <w:shd w:val="clear" w:color="auto" w:fill="auto"/>
            <w:vAlign w:val="center"/>
          </w:tcPr>
          <w:p w14:paraId="160EFC56" w14:textId="24DE9739" w:rsidR="00485DF5" w:rsidRPr="00310498" w:rsidRDefault="00485DF5" w:rsidP="003C0F39">
            <w:pPr>
              <w:pStyle w:val="Tabletext"/>
              <w:keepNext/>
              <w:keepLines/>
              <w:jc w:val="center"/>
            </w:pPr>
            <w:r w:rsidRPr="00310498">
              <w:t>61.5 (54.9</w:t>
            </w:r>
            <w:r w:rsidR="0032043A">
              <w:t xml:space="preserve">, </w:t>
            </w:r>
            <w:r w:rsidRPr="00310498">
              <w:t>67.4)</w:t>
            </w:r>
          </w:p>
        </w:tc>
      </w:tr>
      <w:tr w:rsidR="00485DF5" w:rsidRPr="00310498" w14:paraId="398AA1BF" w14:textId="77777777">
        <w:tc>
          <w:tcPr>
            <w:tcW w:w="1879" w:type="pct"/>
            <w:shd w:val="clear" w:color="auto" w:fill="auto"/>
            <w:vAlign w:val="center"/>
          </w:tcPr>
          <w:p w14:paraId="26EC2E7B" w14:textId="77777777" w:rsidR="00485DF5" w:rsidRPr="00310498" w:rsidRDefault="00485DF5" w:rsidP="003C0F39">
            <w:pPr>
              <w:pStyle w:val="Tabletext"/>
              <w:keepNext/>
              <w:keepLines/>
            </w:pPr>
            <w:r w:rsidRPr="00310498">
              <w:t>18 months (95% CI)</w:t>
            </w:r>
          </w:p>
        </w:tc>
        <w:tc>
          <w:tcPr>
            <w:tcW w:w="941" w:type="pct"/>
            <w:shd w:val="clear" w:color="auto" w:fill="auto"/>
            <w:vAlign w:val="center"/>
          </w:tcPr>
          <w:p w14:paraId="4DBFF1C9" w14:textId="69796AC4" w:rsidR="00485DF5" w:rsidRPr="00310498" w:rsidRDefault="00485DF5" w:rsidP="003C0F39">
            <w:pPr>
              <w:pStyle w:val="Tabletext"/>
              <w:keepNext/>
              <w:keepLines/>
              <w:jc w:val="center"/>
            </w:pPr>
            <w:r w:rsidRPr="00310498">
              <w:t>21.7 (16.0</w:t>
            </w:r>
            <w:r w:rsidR="0032043A">
              <w:t xml:space="preserve">, </w:t>
            </w:r>
            <w:r w:rsidRPr="00310498">
              <w:t>27.9)</w:t>
            </w:r>
          </w:p>
        </w:tc>
        <w:tc>
          <w:tcPr>
            <w:tcW w:w="1096" w:type="pct"/>
            <w:shd w:val="clear" w:color="auto" w:fill="auto"/>
            <w:vAlign w:val="center"/>
          </w:tcPr>
          <w:p w14:paraId="57AB8256" w14:textId="3FF3F334" w:rsidR="00485DF5" w:rsidRPr="00310498" w:rsidRDefault="00485DF5" w:rsidP="003C0F39">
            <w:pPr>
              <w:pStyle w:val="Tabletext"/>
              <w:keepNext/>
              <w:keepLines/>
              <w:jc w:val="center"/>
            </w:pPr>
            <w:r w:rsidRPr="00310498">
              <w:t>37.8 (31.0</w:t>
            </w:r>
            <w:r w:rsidR="0032043A">
              <w:t xml:space="preserve">, </w:t>
            </w:r>
            <w:r w:rsidRPr="00310498">
              <w:t>44.5)</w:t>
            </w:r>
          </w:p>
        </w:tc>
        <w:tc>
          <w:tcPr>
            <w:tcW w:w="1084" w:type="pct"/>
            <w:shd w:val="clear" w:color="auto" w:fill="auto"/>
            <w:vAlign w:val="center"/>
          </w:tcPr>
          <w:p w14:paraId="69B400AB" w14:textId="3CCBED3F" w:rsidR="00485DF5" w:rsidRPr="00310498" w:rsidRDefault="00485DF5" w:rsidP="003C0F39">
            <w:pPr>
              <w:pStyle w:val="Tabletext"/>
              <w:keepNext/>
              <w:keepLines/>
              <w:jc w:val="center"/>
            </w:pPr>
            <w:r w:rsidRPr="00310498">
              <w:t>46.3 (39.2</w:t>
            </w:r>
            <w:r w:rsidR="0032043A">
              <w:t xml:space="preserve">, </w:t>
            </w:r>
            <w:r w:rsidRPr="00310498">
              <w:t>53.0</w:t>
            </w:r>
          </w:p>
        </w:tc>
      </w:tr>
      <w:tr w:rsidR="00485DF5" w:rsidRPr="00310498" w14:paraId="5B704D11" w14:textId="77777777">
        <w:tc>
          <w:tcPr>
            <w:tcW w:w="1879" w:type="pct"/>
            <w:shd w:val="clear" w:color="auto" w:fill="auto"/>
            <w:vAlign w:val="center"/>
          </w:tcPr>
          <w:p w14:paraId="166BFF5F" w14:textId="77777777" w:rsidR="00485DF5" w:rsidRPr="00310498" w:rsidRDefault="00485DF5" w:rsidP="003C0F39">
            <w:pPr>
              <w:pStyle w:val="Tabletext"/>
              <w:keepNext/>
              <w:keepLines/>
            </w:pPr>
            <w:r w:rsidRPr="00310498">
              <w:t>Median range of follow-up (months)</w:t>
            </w:r>
          </w:p>
        </w:tc>
        <w:tc>
          <w:tcPr>
            <w:tcW w:w="941" w:type="pct"/>
            <w:shd w:val="clear" w:color="auto" w:fill="auto"/>
            <w:vAlign w:val="center"/>
          </w:tcPr>
          <w:p w14:paraId="483090F7" w14:textId="77777777" w:rsidR="00485DF5" w:rsidRPr="00310498" w:rsidRDefault="00485DF5" w:rsidP="003C0F39">
            <w:pPr>
              <w:pStyle w:val="Tabletext"/>
              <w:keepNext/>
              <w:keepLines/>
              <w:jc w:val="center"/>
            </w:pPr>
            <w:r w:rsidRPr="00310498">
              <w:t>12.6</w:t>
            </w:r>
          </w:p>
        </w:tc>
        <w:tc>
          <w:tcPr>
            <w:tcW w:w="1096" w:type="pct"/>
            <w:shd w:val="clear" w:color="auto" w:fill="auto"/>
            <w:vAlign w:val="center"/>
          </w:tcPr>
          <w:p w14:paraId="0A362914" w14:textId="77777777" w:rsidR="00485DF5" w:rsidRPr="00310498" w:rsidRDefault="00485DF5" w:rsidP="003C0F39">
            <w:pPr>
              <w:pStyle w:val="Tabletext"/>
              <w:keepNext/>
              <w:keepLines/>
              <w:jc w:val="center"/>
            </w:pPr>
            <w:r w:rsidRPr="00310498">
              <w:t>15.4</w:t>
            </w:r>
          </w:p>
        </w:tc>
        <w:tc>
          <w:tcPr>
            <w:tcW w:w="1084" w:type="pct"/>
            <w:shd w:val="clear" w:color="auto" w:fill="auto"/>
            <w:vAlign w:val="center"/>
          </w:tcPr>
          <w:p w14:paraId="5AD29378" w14:textId="77777777" w:rsidR="00485DF5" w:rsidRPr="00310498" w:rsidRDefault="00485DF5" w:rsidP="003C0F39">
            <w:pPr>
              <w:pStyle w:val="Tabletext"/>
              <w:keepNext/>
              <w:keepLines/>
              <w:jc w:val="center"/>
            </w:pPr>
            <w:r w:rsidRPr="00310498">
              <w:t>15.4</w:t>
            </w:r>
          </w:p>
        </w:tc>
      </w:tr>
    </w:tbl>
    <w:p w14:paraId="21DD1250" w14:textId="77777777" w:rsidR="00E24B8A" w:rsidRPr="00310498" w:rsidRDefault="00E24B8A" w:rsidP="00D17A65">
      <w:pPr>
        <w:pStyle w:val="TableFigureFooter"/>
      </w:pPr>
      <w:r w:rsidRPr="00310498">
        <w:t>Source: Table 2.14, p76 of the submission and Table 28 of the DUO-E CSR.</w:t>
      </w:r>
    </w:p>
    <w:p w14:paraId="7E496348" w14:textId="00AE7D2B" w:rsidR="00485DF5" w:rsidRPr="00310498" w:rsidRDefault="00485DF5" w:rsidP="00D17A65">
      <w:pPr>
        <w:pStyle w:val="TableFigureFooter"/>
      </w:pPr>
      <w:r w:rsidRPr="00310498">
        <w:t xml:space="preserve">CI = confidence interval; FAS = full analysis set; HR = hazard ratio; </w:t>
      </w:r>
      <w:r w:rsidR="0041670E" w:rsidRPr="00310498">
        <w:t>PC = paclitaxel + carboplatin</w:t>
      </w:r>
      <w:r w:rsidRPr="00310498">
        <w:t xml:space="preserve">; PFS = progression free survival </w:t>
      </w:r>
    </w:p>
    <w:p w14:paraId="5C23F21B" w14:textId="647EEF86" w:rsidR="00485DF5" w:rsidRPr="00310498" w:rsidRDefault="005B49F8" w:rsidP="00D17A65">
      <w:pPr>
        <w:pStyle w:val="TableFigureFooter"/>
      </w:pPr>
      <w:r w:rsidRPr="00310498">
        <w:t>Text in bold indicate statistically significant differences</w:t>
      </w:r>
      <w:r w:rsidR="00485DF5" w:rsidRPr="00310498">
        <w:t>.</w:t>
      </w:r>
    </w:p>
    <w:p w14:paraId="6A0BDAE2" w14:textId="1548F667" w:rsidR="00485DF5" w:rsidRPr="00310498" w:rsidRDefault="00485DF5" w:rsidP="00B55DA5">
      <w:pPr>
        <w:pStyle w:val="Caption"/>
      </w:pPr>
      <w:bookmarkStart w:id="36" w:name="_Ref174979048"/>
      <w:r w:rsidRPr="00310498">
        <w:lastRenderedPageBreak/>
        <w:t xml:space="preserve">Figure </w:t>
      </w:r>
      <w:r w:rsidR="00F267A0" w:rsidRPr="00310498">
        <w:fldChar w:fldCharType="begin" w:fldLock="1"/>
      </w:r>
      <w:r w:rsidR="00F267A0" w:rsidRPr="00310498">
        <w:instrText xml:space="preserve"> SEQ Figure \* ARABIC </w:instrText>
      </w:r>
      <w:r w:rsidR="00F267A0" w:rsidRPr="00310498">
        <w:fldChar w:fldCharType="separate"/>
      </w:r>
      <w:r w:rsidR="002C52D8">
        <w:rPr>
          <w:noProof/>
        </w:rPr>
        <w:t>2</w:t>
      </w:r>
      <w:r w:rsidR="00F267A0" w:rsidRPr="00310498">
        <w:rPr>
          <w:noProof/>
        </w:rPr>
        <w:fldChar w:fldCharType="end"/>
      </w:r>
      <w:bookmarkEnd w:id="36"/>
      <w:r w:rsidRPr="00310498">
        <w:t>:</w:t>
      </w:r>
      <w:r w:rsidRPr="00310498">
        <w:tab/>
        <w:t>Kaplan Meier Curve for PFS (FAS)</w:t>
      </w:r>
    </w:p>
    <w:p w14:paraId="7CB7E3C4" w14:textId="278AD1C1" w:rsidR="006B63D7" w:rsidRPr="00310498" w:rsidRDefault="00411933" w:rsidP="00B55DA5">
      <w:pPr>
        <w:keepNext/>
      </w:pPr>
      <w:r w:rsidRPr="00310498">
        <w:rPr>
          <w:noProof/>
        </w:rPr>
        <w:drawing>
          <wp:inline distT="0" distB="0" distL="0" distR="0" wp14:anchorId="2CCB1892" wp14:editId="1CB51E5A">
            <wp:extent cx="5753819" cy="2428048"/>
            <wp:effectExtent l="0" t="0" r="0" b="0"/>
            <wp:docPr id="97145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55473" name=""/>
                    <pic:cNvPicPr/>
                  </pic:nvPicPr>
                  <pic:blipFill>
                    <a:blip r:embed="rId9"/>
                    <a:stretch>
                      <a:fillRect/>
                    </a:stretch>
                  </pic:blipFill>
                  <pic:spPr>
                    <a:xfrm>
                      <a:off x="0" y="0"/>
                      <a:ext cx="5801796" cy="2448294"/>
                    </a:xfrm>
                    <a:prstGeom prst="rect">
                      <a:avLst/>
                    </a:prstGeom>
                  </pic:spPr>
                </pic:pic>
              </a:graphicData>
            </a:graphic>
          </wp:inline>
        </w:drawing>
      </w:r>
    </w:p>
    <w:p w14:paraId="15D4761D" w14:textId="77777777" w:rsidR="00E24B8A" w:rsidRPr="00310498" w:rsidRDefault="00E24B8A" w:rsidP="00B55DA5">
      <w:pPr>
        <w:pStyle w:val="TableFigureFooter"/>
        <w:keepNext/>
      </w:pPr>
      <w:r w:rsidRPr="00310498">
        <w:t>Source: Figure 2.6, p76 of the submission</w:t>
      </w:r>
    </w:p>
    <w:p w14:paraId="19842FD0" w14:textId="7DD59343" w:rsidR="00485DF5" w:rsidRPr="00310498" w:rsidRDefault="00485DF5" w:rsidP="00D17A65">
      <w:pPr>
        <w:pStyle w:val="TableFigureFooter"/>
      </w:pPr>
      <w:r w:rsidRPr="00310498">
        <w:t xml:space="preserve">FAS = full analysis set; HR = hazard ratio; SoC = </w:t>
      </w:r>
      <w:r w:rsidR="00EE02DA" w:rsidRPr="00310498">
        <w:t>paclitaxel + carboplatin</w:t>
      </w:r>
      <w:r w:rsidRPr="00310498">
        <w:t>; PFS = progression free survival</w:t>
      </w:r>
    </w:p>
    <w:p w14:paraId="2E82D092" w14:textId="22DF8CCF" w:rsidR="00485DF5" w:rsidRPr="00310498" w:rsidRDefault="00485DF5" w:rsidP="00485DF5">
      <w:pPr>
        <w:pStyle w:val="3-BodyText"/>
        <w:rPr>
          <w:snapToGrid w:val="0"/>
        </w:rPr>
      </w:pPr>
      <w:r w:rsidRPr="00310498">
        <w:rPr>
          <w:snapToGrid w:val="0"/>
        </w:rPr>
        <w:t xml:space="preserve">Patients randomised to durvalumab + PC reported a statistically significant improvement in PFS compared to patients randomised to PC, with a 29% reduction in the risk of disease progression or death: HR </w:t>
      </w:r>
      <w:r w:rsidR="00E4276F" w:rsidRPr="00310498">
        <w:rPr>
          <w:snapToGrid w:val="0"/>
        </w:rPr>
        <w:t xml:space="preserve">= </w:t>
      </w:r>
      <w:r w:rsidRPr="00310498">
        <w:rPr>
          <w:snapToGrid w:val="0"/>
        </w:rPr>
        <w:t>0.71 (95% CI</w:t>
      </w:r>
      <w:r w:rsidR="00171310" w:rsidRPr="00310498">
        <w:rPr>
          <w:snapToGrid w:val="0"/>
        </w:rPr>
        <w:t>:</w:t>
      </w:r>
      <w:r w:rsidRPr="00310498">
        <w:rPr>
          <w:snapToGrid w:val="0"/>
        </w:rPr>
        <w:t xml:space="preserve"> 0.57</w:t>
      </w:r>
      <w:r w:rsidR="00171310" w:rsidRPr="00310498">
        <w:rPr>
          <w:snapToGrid w:val="0"/>
        </w:rPr>
        <w:t xml:space="preserve">, </w:t>
      </w:r>
      <w:r w:rsidRPr="00310498">
        <w:rPr>
          <w:snapToGrid w:val="0"/>
        </w:rPr>
        <w:t xml:space="preserve">0.89, p=0.003). Patients who were randomised to durvalumab + PC + olaparib reported a statistically significant improvement in PFS compared to patients who were randomised to PC, with a 45% reduction in the risk of disease progression or death: HR </w:t>
      </w:r>
      <w:r w:rsidR="00E4276F" w:rsidRPr="00310498">
        <w:rPr>
          <w:snapToGrid w:val="0"/>
        </w:rPr>
        <w:t xml:space="preserve">= </w:t>
      </w:r>
      <w:r w:rsidRPr="00310498">
        <w:rPr>
          <w:snapToGrid w:val="0"/>
        </w:rPr>
        <w:t>0.55 (95% CI</w:t>
      </w:r>
      <w:r w:rsidR="00171310" w:rsidRPr="00310498">
        <w:rPr>
          <w:snapToGrid w:val="0"/>
        </w:rPr>
        <w:t>:</w:t>
      </w:r>
      <w:r w:rsidRPr="00310498">
        <w:rPr>
          <w:snapToGrid w:val="0"/>
        </w:rPr>
        <w:t xml:space="preserve"> 0.43</w:t>
      </w:r>
      <w:r w:rsidR="00171310" w:rsidRPr="00310498">
        <w:rPr>
          <w:snapToGrid w:val="0"/>
        </w:rPr>
        <w:t xml:space="preserve">, </w:t>
      </w:r>
      <w:r w:rsidRPr="00310498">
        <w:rPr>
          <w:snapToGrid w:val="0"/>
        </w:rPr>
        <w:t xml:space="preserve">0.69, p&lt;0.0001). </w:t>
      </w:r>
    </w:p>
    <w:p w14:paraId="6B884DB9" w14:textId="0367E42B" w:rsidR="00485DF5" w:rsidRPr="00310498" w:rsidRDefault="00485DF5" w:rsidP="00485DF5">
      <w:pPr>
        <w:pStyle w:val="3-BodyText"/>
        <w:rPr>
          <w:snapToGrid w:val="0"/>
        </w:rPr>
      </w:pPr>
      <w:r w:rsidRPr="00310498">
        <w:rPr>
          <w:snapToGrid w:val="0"/>
        </w:rPr>
        <w:t xml:space="preserve">In an exploratory analysis, patients randomised to durvalumab + PC </w:t>
      </w:r>
      <w:r w:rsidR="00A76D00" w:rsidRPr="00310498">
        <w:rPr>
          <w:snapToGrid w:val="0"/>
        </w:rPr>
        <w:t xml:space="preserve">were </w:t>
      </w:r>
      <w:r w:rsidRPr="00310498">
        <w:rPr>
          <w:snapToGrid w:val="0"/>
        </w:rPr>
        <w:t xml:space="preserve">compared to patients randomised to durvalumab + PC + olaparib. The PFS </w:t>
      </w:r>
      <w:r w:rsidR="0032043A">
        <w:rPr>
          <w:snapToGrid w:val="0"/>
        </w:rPr>
        <w:t>hazard ratio</w:t>
      </w:r>
      <w:r w:rsidRPr="00310498">
        <w:rPr>
          <w:snapToGrid w:val="0"/>
        </w:rPr>
        <w:t xml:space="preserve"> (</w:t>
      </w:r>
      <w:r w:rsidR="0032043A">
        <w:rPr>
          <w:snapToGrid w:val="0"/>
        </w:rPr>
        <w:t xml:space="preserve">HR = </w:t>
      </w:r>
      <w:r w:rsidRPr="00310498">
        <w:rPr>
          <w:snapToGrid w:val="0"/>
        </w:rPr>
        <w:t>0.78, 95% CI</w:t>
      </w:r>
      <w:r w:rsidR="00171310" w:rsidRPr="00310498">
        <w:rPr>
          <w:snapToGrid w:val="0"/>
        </w:rPr>
        <w:t>:</w:t>
      </w:r>
      <w:r w:rsidRPr="00310498">
        <w:rPr>
          <w:snapToGrid w:val="0"/>
        </w:rPr>
        <w:t xml:space="preserve"> 0.61</w:t>
      </w:r>
      <w:r w:rsidR="00171310" w:rsidRPr="00310498">
        <w:rPr>
          <w:snapToGrid w:val="0"/>
        </w:rPr>
        <w:t xml:space="preserve">, </w:t>
      </w:r>
      <w:r w:rsidRPr="00310498">
        <w:rPr>
          <w:snapToGrid w:val="0"/>
        </w:rPr>
        <w:t xml:space="preserve">0.99) was more favourable towards the durvalumab + PC + olaparib arm with the upper 95% confidence interval excluding the null. </w:t>
      </w:r>
    </w:p>
    <w:p w14:paraId="0FD4F670" w14:textId="46FD451F" w:rsidR="005D1227" w:rsidRPr="00310498" w:rsidRDefault="003907A3" w:rsidP="000D3EC6">
      <w:pPr>
        <w:pStyle w:val="3-BodyText"/>
      </w:pPr>
      <w:r w:rsidRPr="00310498">
        <w:fldChar w:fldCharType="begin" w:fldLock="1"/>
      </w:r>
      <w:r w:rsidRPr="00310498">
        <w:instrText xml:space="preserve"> REF _Ref174979068 \h </w:instrText>
      </w:r>
      <w:r w:rsidR="00310498" w:rsidRPr="00310498">
        <w:instrText xml:space="preserve"> \* MERGEFORMAT </w:instrText>
      </w:r>
      <w:r w:rsidRPr="00310498">
        <w:fldChar w:fldCharType="separate"/>
      </w:r>
      <w:r w:rsidR="002C52D8" w:rsidRPr="00310498">
        <w:t xml:space="preserve">Table </w:t>
      </w:r>
      <w:r w:rsidR="002C52D8">
        <w:rPr>
          <w:noProof/>
        </w:rPr>
        <w:t>6</w:t>
      </w:r>
      <w:r w:rsidRPr="00310498">
        <w:fldChar w:fldCharType="end"/>
      </w:r>
      <w:r w:rsidRPr="00310498">
        <w:t xml:space="preserve"> </w:t>
      </w:r>
      <w:r w:rsidR="00485DF5" w:rsidRPr="00310498">
        <w:t xml:space="preserve">summarises the DUO-E PFS results by MMR status. </w:t>
      </w:r>
      <w:r w:rsidRPr="00310498">
        <w:fldChar w:fldCharType="begin" w:fldLock="1"/>
      </w:r>
      <w:r w:rsidRPr="00310498">
        <w:instrText xml:space="preserve"> REF _Ref174979084 \h </w:instrText>
      </w:r>
      <w:r w:rsidR="00310498" w:rsidRPr="00310498">
        <w:instrText xml:space="preserve"> \* MERGEFORMAT </w:instrText>
      </w:r>
      <w:r w:rsidRPr="00310498">
        <w:fldChar w:fldCharType="separate"/>
      </w:r>
      <w:r w:rsidR="002C52D8" w:rsidRPr="00310498">
        <w:t xml:space="preserve">Figure </w:t>
      </w:r>
      <w:r w:rsidR="002C52D8">
        <w:rPr>
          <w:noProof/>
        </w:rPr>
        <w:t>3</w:t>
      </w:r>
      <w:r w:rsidRPr="00310498">
        <w:fldChar w:fldCharType="end"/>
      </w:r>
      <w:r w:rsidRPr="00310498">
        <w:t xml:space="preserve"> and </w:t>
      </w:r>
      <w:r w:rsidRPr="00310498">
        <w:fldChar w:fldCharType="begin" w:fldLock="1"/>
      </w:r>
      <w:r w:rsidRPr="00310498">
        <w:instrText xml:space="preserve"> REF _Ref174979086 \h </w:instrText>
      </w:r>
      <w:r w:rsidR="00310498" w:rsidRPr="00310498">
        <w:instrText xml:space="preserve"> \* MERGEFORMAT </w:instrText>
      </w:r>
      <w:r w:rsidRPr="00310498">
        <w:fldChar w:fldCharType="separate"/>
      </w:r>
      <w:r w:rsidR="002C52D8" w:rsidRPr="00310498">
        <w:t xml:space="preserve">Figure </w:t>
      </w:r>
      <w:r w:rsidR="002C52D8">
        <w:rPr>
          <w:noProof/>
        </w:rPr>
        <w:t>4</w:t>
      </w:r>
      <w:r w:rsidRPr="00310498">
        <w:fldChar w:fldCharType="end"/>
      </w:r>
      <w:r w:rsidRPr="00310498">
        <w:t xml:space="preserve"> </w:t>
      </w:r>
      <w:r w:rsidR="00485DF5" w:rsidRPr="00310498">
        <w:t xml:space="preserve">provide the KM curves for PFS in the dMMR and pMMR subgroups, respectively. </w:t>
      </w:r>
    </w:p>
    <w:p w14:paraId="04722C62" w14:textId="6EE23CBC" w:rsidR="00485DF5" w:rsidRPr="00310498" w:rsidRDefault="00485DF5" w:rsidP="000D3EC6">
      <w:pPr>
        <w:pStyle w:val="Caption"/>
      </w:pPr>
      <w:bookmarkStart w:id="37" w:name="_Ref174979068"/>
      <w:r w:rsidRPr="00310498">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6</w:t>
      </w:r>
      <w:r w:rsidR="00F267A0" w:rsidRPr="00310498">
        <w:rPr>
          <w:noProof/>
        </w:rPr>
        <w:fldChar w:fldCharType="end"/>
      </w:r>
      <w:bookmarkEnd w:id="37"/>
      <w:r w:rsidRPr="00310498">
        <w:t>:</w:t>
      </w:r>
      <w:r w:rsidRPr="00310498">
        <w:tab/>
        <w:t>PFS by investigator by MMR status (FAS)</w:t>
      </w:r>
    </w:p>
    <w:tbl>
      <w:tblPr>
        <w:tblStyle w:val="TableGrid"/>
        <w:tblW w:w="0" w:type="auto"/>
        <w:tblLook w:val="04A0" w:firstRow="1" w:lastRow="0" w:firstColumn="1" w:lastColumn="0" w:noHBand="0" w:noVBand="1"/>
      </w:tblPr>
      <w:tblGrid>
        <w:gridCol w:w="2875"/>
        <w:gridCol w:w="1920"/>
        <w:gridCol w:w="2040"/>
        <w:gridCol w:w="2181"/>
      </w:tblGrid>
      <w:tr w:rsidR="00485DF5" w:rsidRPr="00310498" w14:paraId="590D6BF1" w14:textId="77777777" w:rsidTr="007A7C3D">
        <w:tc>
          <w:tcPr>
            <w:tcW w:w="2875" w:type="dxa"/>
            <w:shd w:val="clear" w:color="auto" w:fill="auto"/>
            <w:vAlign w:val="center"/>
          </w:tcPr>
          <w:p w14:paraId="2B1D61B4" w14:textId="77777777" w:rsidR="00485DF5" w:rsidRPr="00310498" w:rsidRDefault="00485DF5" w:rsidP="000D3EC6">
            <w:pPr>
              <w:pStyle w:val="In-tableHeading"/>
              <w:rPr>
                <w:lang w:val="en-AU"/>
              </w:rPr>
            </w:pPr>
            <w:r w:rsidRPr="00310498">
              <w:rPr>
                <w:lang w:val="en-AU"/>
              </w:rPr>
              <w:t>dMMR</w:t>
            </w:r>
          </w:p>
        </w:tc>
        <w:tc>
          <w:tcPr>
            <w:tcW w:w="1920" w:type="dxa"/>
            <w:shd w:val="clear" w:color="auto" w:fill="auto"/>
            <w:vAlign w:val="center"/>
          </w:tcPr>
          <w:p w14:paraId="2139EF6A" w14:textId="77777777" w:rsidR="00485DF5" w:rsidRPr="00310498" w:rsidRDefault="00485DF5" w:rsidP="000D3EC6">
            <w:pPr>
              <w:pStyle w:val="In-tableHeading"/>
              <w:jc w:val="center"/>
              <w:rPr>
                <w:lang w:val="en-AU"/>
              </w:rPr>
            </w:pPr>
            <w:r w:rsidRPr="00310498">
              <w:rPr>
                <w:lang w:val="en-AU"/>
              </w:rPr>
              <w:t>PC (N=49)</w:t>
            </w:r>
          </w:p>
        </w:tc>
        <w:tc>
          <w:tcPr>
            <w:tcW w:w="2040" w:type="dxa"/>
            <w:shd w:val="clear" w:color="auto" w:fill="auto"/>
            <w:vAlign w:val="center"/>
          </w:tcPr>
          <w:p w14:paraId="46A271C0" w14:textId="057EDD75" w:rsidR="00485DF5" w:rsidRPr="00310498" w:rsidRDefault="00485DF5" w:rsidP="000D3EC6">
            <w:pPr>
              <w:pStyle w:val="In-tableHeading"/>
              <w:jc w:val="center"/>
              <w:rPr>
                <w:lang w:val="en-AU"/>
              </w:rPr>
            </w:pPr>
            <w:r w:rsidRPr="00310498">
              <w:rPr>
                <w:lang w:val="en-AU"/>
              </w:rPr>
              <w:t xml:space="preserve">durvalumab + PC </w:t>
            </w:r>
            <w:r w:rsidR="007A7C3D" w:rsidRPr="00310498">
              <w:rPr>
                <w:lang w:val="en-AU"/>
              </w:rPr>
              <w:br/>
            </w:r>
            <w:r w:rsidRPr="00310498">
              <w:rPr>
                <w:lang w:val="en-AU"/>
              </w:rPr>
              <w:t>(N=46)</w:t>
            </w:r>
          </w:p>
        </w:tc>
        <w:tc>
          <w:tcPr>
            <w:tcW w:w="2181" w:type="dxa"/>
            <w:shd w:val="clear" w:color="auto" w:fill="auto"/>
            <w:vAlign w:val="center"/>
          </w:tcPr>
          <w:p w14:paraId="60F2AE16" w14:textId="77777777" w:rsidR="00485DF5" w:rsidRPr="00310498" w:rsidRDefault="00485DF5" w:rsidP="000D3EC6">
            <w:pPr>
              <w:pStyle w:val="In-tableHeading"/>
              <w:jc w:val="center"/>
              <w:rPr>
                <w:lang w:val="en-AU"/>
              </w:rPr>
            </w:pPr>
            <w:r w:rsidRPr="00310498">
              <w:rPr>
                <w:lang w:val="en-AU"/>
              </w:rPr>
              <w:t>durvalumab + PC + olaparib (N=48)</w:t>
            </w:r>
          </w:p>
        </w:tc>
      </w:tr>
      <w:tr w:rsidR="00485DF5" w:rsidRPr="00310498" w14:paraId="6BD2963A" w14:textId="77777777" w:rsidTr="007A7C3D">
        <w:tc>
          <w:tcPr>
            <w:tcW w:w="2875" w:type="dxa"/>
            <w:shd w:val="clear" w:color="auto" w:fill="auto"/>
            <w:vAlign w:val="center"/>
          </w:tcPr>
          <w:p w14:paraId="72F2D03E" w14:textId="729FA3B0" w:rsidR="00485DF5" w:rsidRPr="00310498" w:rsidRDefault="00485DF5" w:rsidP="000D3EC6">
            <w:pPr>
              <w:pStyle w:val="Tabletext"/>
              <w:keepNext/>
              <w:keepLines/>
            </w:pPr>
            <w:r w:rsidRPr="00310498">
              <w:t>Median PFS</w:t>
            </w:r>
            <w:r w:rsidR="00171310" w:rsidRPr="00310498">
              <w:t>, months</w:t>
            </w:r>
            <w:r w:rsidRPr="00310498">
              <w:t xml:space="preserve"> (95% CI)</w:t>
            </w:r>
          </w:p>
        </w:tc>
        <w:tc>
          <w:tcPr>
            <w:tcW w:w="1920" w:type="dxa"/>
            <w:shd w:val="clear" w:color="auto" w:fill="auto"/>
            <w:vAlign w:val="center"/>
          </w:tcPr>
          <w:p w14:paraId="682BD69A" w14:textId="27737420" w:rsidR="00485DF5" w:rsidRPr="00310498" w:rsidRDefault="00485DF5" w:rsidP="000D3EC6">
            <w:pPr>
              <w:pStyle w:val="Tabletext"/>
              <w:keepNext/>
              <w:keepLines/>
              <w:jc w:val="center"/>
            </w:pPr>
            <w:r w:rsidRPr="00310498">
              <w:t>7.0 (6.7</w:t>
            </w:r>
            <w:r w:rsidR="0032043A">
              <w:t xml:space="preserve">, </w:t>
            </w:r>
            <w:r w:rsidRPr="00310498">
              <w:t>14.8)</w:t>
            </w:r>
          </w:p>
        </w:tc>
        <w:tc>
          <w:tcPr>
            <w:tcW w:w="2040" w:type="dxa"/>
            <w:shd w:val="clear" w:color="auto" w:fill="auto"/>
            <w:vAlign w:val="center"/>
          </w:tcPr>
          <w:p w14:paraId="74D4CA5A" w14:textId="6C71D48F" w:rsidR="00485DF5" w:rsidRPr="00310498" w:rsidRDefault="00485DF5" w:rsidP="000D3EC6">
            <w:pPr>
              <w:pStyle w:val="Tabletext"/>
              <w:keepNext/>
              <w:keepLines/>
              <w:jc w:val="center"/>
            </w:pPr>
            <w:r w:rsidRPr="00310498">
              <w:t>NR (NR</w:t>
            </w:r>
            <w:r w:rsidR="0032043A">
              <w:t xml:space="preserve">, </w:t>
            </w:r>
            <w:r w:rsidRPr="00310498">
              <w:t>NR)</w:t>
            </w:r>
          </w:p>
        </w:tc>
        <w:tc>
          <w:tcPr>
            <w:tcW w:w="2181" w:type="dxa"/>
            <w:shd w:val="clear" w:color="auto" w:fill="auto"/>
            <w:vAlign w:val="center"/>
          </w:tcPr>
          <w:p w14:paraId="2263DAEE" w14:textId="0390977B" w:rsidR="00485DF5" w:rsidRPr="00310498" w:rsidRDefault="00485DF5" w:rsidP="000D3EC6">
            <w:pPr>
              <w:pStyle w:val="Tabletext"/>
              <w:keepNext/>
              <w:keepLines/>
              <w:jc w:val="center"/>
            </w:pPr>
            <w:r w:rsidRPr="00310498">
              <w:t>31.8 (12.4</w:t>
            </w:r>
            <w:r w:rsidR="0032043A">
              <w:t xml:space="preserve">, </w:t>
            </w:r>
            <w:r w:rsidRPr="00310498">
              <w:t>NR)</w:t>
            </w:r>
          </w:p>
        </w:tc>
      </w:tr>
      <w:tr w:rsidR="00485DF5" w:rsidRPr="00310498" w14:paraId="5E460ABD" w14:textId="77777777" w:rsidTr="007A7C3D">
        <w:tc>
          <w:tcPr>
            <w:tcW w:w="2875" w:type="dxa"/>
            <w:shd w:val="clear" w:color="auto" w:fill="auto"/>
            <w:vAlign w:val="center"/>
          </w:tcPr>
          <w:p w14:paraId="08DA3100" w14:textId="77777777" w:rsidR="00485DF5" w:rsidRPr="00310498" w:rsidRDefault="00485DF5" w:rsidP="000D3EC6">
            <w:pPr>
              <w:pStyle w:val="Tabletext"/>
              <w:keepNext/>
              <w:keepLines/>
            </w:pPr>
            <w:r w:rsidRPr="00310498">
              <w:t>HR versus PC</w:t>
            </w:r>
          </w:p>
        </w:tc>
        <w:tc>
          <w:tcPr>
            <w:tcW w:w="1920" w:type="dxa"/>
            <w:shd w:val="clear" w:color="auto" w:fill="auto"/>
            <w:vAlign w:val="center"/>
          </w:tcPr>
          <w:p w14:paraId="35967F47" w14:textId="3A4B89A4" w:rsidR="00485DF5" w:rsidRPr="00310498" w:rsidRDefault="0032043A" w:rsidP="000D3EC6">
            <w:pPr>
              <w:pStyle w:val="Tabletext"/>
              <w:keepNext/>
              <w:keepLines/>
              <w:jc w:val="center"/>
            </w:pPr>
            <w:r>
              <w:t>-</w:t>
            </w:r>
          </w:p>
        </w:tc>
        <w:tc>
          <w:tcPr>
            <w:tcW w:w="2040" w:type="dxa"/>
            <w:shd w:val="clear" w:color="auto" w:fill="auto"/>
            <w:vAlign w:val="center"/>
          </w:tcPr>
          <w:p w14:paraId="699D9C0F" w14:textId="0298F762" w:rsidR="00485DF5" w:rsidRPr="00310498" w:rsidRDefault="00485DF5" w:rsidP="000D3EC6">
            <w:pPr>
              <w:pStyle w:val="Tabletext"/>
              <w:keepNext/>
              <w:keepLines/>
              <w:jc w:val="center"/>
            </w:pPr>
            <w:r w:rsidRPr="00310498">
              <w:t>0.42 (0.22</w:t>
            </w:r>
            <w:r w:rsidR="0032043A">
              <w:t xml:space="preserve">, </w:t>
            </w:r>
            <w:r w:rsidRPr="00310498">
              <w:t>0.8)</w:t>
            </w:r>
          </w:p>
        </w:tc>
        <w:tc>
          <w:tcPr>
            <w:tcW w:w="2181" w:type="dxa"/>
            <w:shd w:val="clear" w:color="auto" w:fill="auto"/>
            <w:vAlign w:val="center"/>
          </w:tcPr>
          <w:p w14:paraId="5E78E069" w14:textId="63833FBE" w:rsidR="00485DF5" w:rsidRPr="00310498" w:rsidRDefault="00485DF5" w:rsidP="000D3EC6">
            <w:pPr>
              <w:pStyle w:val="Tabletext"/>
              <w:keepNext/>
              <w:keepLines/>
              <w:jc w:val="center"/>
            </w:pPr>
            <w:r w:rsidRPr="00310498">
              <w:t>0.41 (0.21</w:t>
            </w:r>
            <w:r w:rsidR="0032043A">
              <w:t xml:space="preserve">, </w:t>
            </w:r>
            <w:r w:rsidRPr="00310498">
              <w:t>0.75)</w:t>
            </w:r>
          </w:p>
        </w:tc>
      </w:tr>
      <w:tr w:rsidR="00485DF5" w:rsidRPr="00310498" w14:paraId="08B42464" w14:textId="77777777" w:rsidTr="007A7C3D">
        <w:tc>
          <w:tcPr>
            <w:tcW w:w="2875" w:type="dxa"/>
            <w:shd w:val="clear" w:color="auto" w:fill="auto"/>
            <w:vAlign w:val="center"/>
          </w:tcPr>
          <w:p w14:paraId="4016D265" w14:textId="77777777" w:rsidR="00485DF5" w:rsidRPr="00310498" w:rsidRDefault="00485DF5" w:rsidP="000D3EC6">
            <w:pPr>
              <w:pStyle w:val="Tabletext"/>
              <w:keepNext/>
              <w:keepLines/>
            </w:pPr>
            <w:r w:rsidRPr="00310498">
              <w:t>HR vs durvalumab + PC</w:t>
            </w:r>
          </w:p>
        </w:tc>
        <w:tc>
          <w:tcPr>
            <w:tcW w:w="1920" w:type="dxa"/>
            <w:shd w:val="clear" w:color="auto" w:fill="auto"/>
            <w:vAlign w:val="center"/>
          </w:tcPr>
          <w:p w14:paraId="46924F72" w14:textId="7EEC18DD" w:rsidR="00485DF5" w:rsidRPr="00310498" w:rsidRDefault="0032043A" w:rsidP="000D3EC6">
            <w:pPr>
              <w:pStyle w:val="Tabletext"/>
              <w:keepNext/>
              <w:keepLines/>
              <w:jc w:val="center"/>
            </w:pPr>
            <w:r>
              <w:t>-</w:t>
            </w:r>
          </w:p>
        </w:tc>
        <w:tc>
          <w:tcPr>
            <w:tcW w:w="2040" w:type="dxa"/>
            <w:shd w:val="clear" w:color="auto" w:fill="auto"/>
            <w:vAlign w:val="center"/>
          </w:tcPr>
          <w:p w14:paraId="75FEB1AF" w14:textId="4282D0A5" w:rsidR="00485DF5" w:rsidRPr="00310498" w:rsidRDefault="0032043A" w:rsidP="000D3EC6">
            <w:pPr>
              <w:pStyle w:val="Tabletext"/>
              <w:keepNext/>
              <w:keepLines/>
              <w:jc w:val="center"/>
            </w:pPr>
            <w:r>
              <w:t>-</w:t>
            </w:r>
          </w:p>
        </w:tc>
        <w:tc>
          <w:tcPr>
            <w:tcW w:w="2181" w:type="dxa"/>
            <w:shd w:val="clear" w:color="auto" w:fill="auto"/>
            <w:vAlign w:val="center"/>
          </w:tcPr>
          <w:p w14:paraId="46F38EA5" w14:textId="63D666B7" w:rsidR="00485DF5" w:rsidRPr="00310498" w:rsidRDefault="00485DF5" w:rsidP="000D3EC6">
            <w:pPr>
              <w:pStyle w:val="Tabletext"/>
              <w:keepNext/>
              <w:keepLines/>
              <w:jc w:val="center"/>
            </w:pPr>
            <w:r w:rsidRPr="00310498">
              <w:t>0.97 (0.49</w:t>
            </w:r>
            <w:r w:rsidR="0032043A">
              <w:t xml:space="preserve">, </w:t>
            </w:r>
            <w:r w:rsidRPr="00310498">
              <w:t>1.98)</w:t>
            </w:r>
          </w:p>
        </w:tc>
      </w:tr>
      <w:tr w:rsidR="00485DF5" w:rsidRPr="00310498" w14:paraId="0F752A33" w14:textId="77777777" w:rsidTr="007A7C3D">
        <w:tc>
          <w:tcPr>
            <w:tcW w:w="2875" w:type="dxa"/>
            <w:vAlign w:val="center"/>
          </w:tcPr>
          <w:p w14:paraId="01E4B8A5" w14:textId="77777777" w:rsidR="00485DF5" w:rsidRPr="00310498" w:rsidRDefault="00485DF5" w:rsidP="000D3EC6">
            <w:pPr>
              <w:pStyle w:val="Tabletext"/>
              <w:keepNext/>
              <w:keepLines/>
            </w:pPr>
            <w:r w:rsidRPr="00310498">
              <w:t>Median follow-up (months)</w:t>
            </w:r>
          </w:p>
        </w:tc>
        <w:tc>
          <w:tcPr>
            <w:tcW w:w="1920" w:type="dxa"/>
            <w:vAlign w:val="center"/>
          </w:tcPr>
          <w:p w14:paraId="3E8C3AC7" w14:textId="77777777" w:rsidR="00485DF5" w:rsidRPr="00310498" w:rsidRDefault="00485DF5" w:rsidP="000D3EC6">
            <w:pPr>
              <w:pStyle w:val="Tabletext"/>
              <w:keepNext/>
              <w:keepLines/>
              <w:jc w:val="center"/>
            </w:pPr>
            <w:r w:rsidRPr="00310498">
              <w:t>10.2</w:t>
            </w:r>
          </w:p>
        </w:tc>
        <w:tc>
          <w:tcPr>
            <w:tcW w:w="2040" w:type="dxa"/>
            <w:vAlign w:val="center"/>
          </w:tcPr>
          <w:p w14:paraId="24B7BDE9" w14:textId="77777777" w:rsidR="00485DF5" w:rsidRPr="00310498" w:rsidRDefault="00485DF5" w:rsidP="000D3EC6">
            <w:pPr>
              <w:pStyle w:val="Tabletext"/>
              <w:keepNext/>
              <w:keepLines/>
              <w:jc w:val="center"/>
            </w:pPr>
            <w:r w:rsidRPr="00310498">
              <w:t>15.5</w:t>
            </w:r>
          </w:p>
        </w:tc>
        <w:tc>
          <w:tcPr>
            <w:tcW w:w="2181" w:type="dxa"/>
            <w:vAlign w:val="center"/>
          </w:tcPr>
          <w:p w14:paraId="37FD676A" w14:textId="77777777" w:rsidR="00485DF5" w:rsidRPr="00310498" w:rsidRDefault="00485DF5" w:rsidP="000D3EC6">
            <w:pPr>
              <w:pStyle w:val="Tabletext"/>
              <w:keepNext/>
              <w:keepLines/>
              <w:jc w:val="center"/>
            </w:pPr>
            <w:r w:rsidRPr="00310498">
              <w:t>19.2</w:t>
            </w:r>
          </w:p>
        </w:tc>
      </w:tr>
      <w:tr w:rsidR="00485DF5" w:rsidRPr="00310498" w14:paraId="4C686C96" w14:textId="77777777" w:rsidTr="007A7C3D">
        <w:tc>
          <w:tcPr>
            <w:tcW w:w="2875" w:type="dxa"/>
            <w:shd w:val="clear" w:color="auto" w:fill="auto"/>
            <w:vAlign w:val="center"/>
          </w:tcPr>
          <w:p w14:paraId="1CE08E18" w14:textId="77777777" w:rsidR="00485DF5" w:rsidRPr="00310498" w:rsidRDefault="00485DF5" w:rsidP="000D3EC6">
            <w:pPr>
              <w:pStyle w:val="In-tableHeading"/>
              <w:rPr>
                <w:lang w:val="en-AU"/>
              </w:rPr>
            </w:pPr>
            <w:r w:rsidRPr="00310498">
              <w:rPr>
                <w:lang w:val="en-AU"/>
              </w:rPr>
              <w:t>pMMR</w:t>
            </w:r>
          </w:p>
        </w:tc>
        <w:tc>
          <w:tcPr>
            <w:tcW w:w="1920" w:type="dxa"/>
            <w:shd w:val="clear" w:color="auto" w:fill="auto"/>
            <w:vAlign w:val="center"/>
          </w:tcPr>
          <w:p w14:paraId="6DB7DE98" w14:textId="77777777" w:rsidR="00485DF5" w:rsidRPr="00310498" w:rsidRDefault="00485DF5" w:rsidP="000D3EC6">
            <w:pPr>
              <w:pStyle w:val="In-tableHeading"/>
              <w:jc w:val="center"/>
              <w:rPr>
                <w:lang w:val="en-AU"/>
              </w:rPr>
            </w:pPr>
            <w:r w:rsidRPr="00310498">
              <w:rPr>
                <w:lang w:val="en-AU"/>
              </w:rPr>
              <w:t>PC (N=192)</w:t>
            </w:r>
          </w:p>
        </w:tc>
        <w:tc>
          <w:tcPr>
            <w:tcW w:w="2040" w:type="dxa"/>
            <w:shd w:val="clear" w:color="auto" w:fill="auto"/>
            <w:vAlign w:val="center"/>
          </w:tcPr>
          <w:p w14:paraId="41E3700B" w14:textId="77777777" w:rsidR="00485DF5" w:rsidRPr="00310498" w:rsidRDefault="00485DF5" w:rsidP="000D3EC6">
            <w:pPr>
              <w:pStyle w:val="In-tableHeading"/>
              <w:jc w:val="center"/>
              <w:rPr>
                <w:lang w:val="en-AU"/>
              </w:rPr>
            </w:pPr>
            <w:r w:rsidRPr="00310498">
              <w:rPr>
                <w:lang w:val="en-AU"/>
              </w:rPr>
              <w:t>durvalumab + PC (N=192)</w:t>
            </w:r>
          </w:p>
        </w:tc>
        <w:tc>
          <w:tcPr>
            <w:tcW w:w="2181" w:type="dxa"/>
            <w:shd w:val="clear" w:color="auto" w:fill="auto"/>
            <w:vAlign w:val="center"/>
          </w:tcPr>
          <w:p w14:paraId="4D4E3587" w14:textId="77777777" w:rsidR="00485DF5" w:rsidRPr="00310498" w:rsidRDefault="00485DF5" w:rsidP="000D3EC6">
            <w:pPr>
              <w:pStyle w:val="In-tableHeading"/>
              <w:jc w:val="center"/>
              <w:rPr>
                <w:lang w:val="en-AU"/>
              </w:rPr>
            </w:pPr>
            <w:r w:rsidRPr="00310498">
              <w:rPr>
                <w:lang w:val="en-AU"/>
              </w:rPr>
              <w:t>durvalumab + PC + olaparib (N=191)</w:t>
            </w:r>
          </w:p>
        </w:tc>
      </w:tr>
      <w:tr w:rsidR="00485DF5" w:rsidRPr="00310498" w14:paraId="2BAA9FE2" w14:textId="77777777" w:rsidTr="007A7C3D">
        <w:tc>
          <w:tcPr>
            <w:tcW w:w="2875" w:type="dxa"/>
            <w:shd w:val="clear" w:color="auto" w:fill="auto"/>
            <w:vAlign w:val="center"/>
          </w:tcPr>
          <w:p w14:paraId="5D1A8996" w14:textId="7ABE3CE0" w:rsidR="00485DF5" w:rsidRPr="00310498" w:rsidRDefault="00485DF5" w:rsidP="000D3EC6">
            <w:pPr>
              <w:pStyle w:val="Tabletext"/>
              <w:keepNext/>
              <w:keepLines/>
            </w:pPr>
            <w:r w:rsidRPr="00310498">
              <w:t>Median PFS</w:t>
            </w:r>
            <w:r w:rsidR="009732A4" w:rsidRPr="00310498">
              <w:t>, months</w:t>
            </w:r>
            <w:r w:rsidRPr="00310498">
              <w:t xml:space="preserve"> (95% CI)</w:t>
            </w:r>
          </w:p>
        </w:tc>
        <w:tc>
          <w:tcPr>
            <w:tcW w:w="1920" w:type="dxa"/>
            <w:shd w:val="clear" w:color="auto" w:fill="auto"/>
            <w:vAlign w:val="center"/>
          </w:tcPr>
          <w:p w14:paraId="5E1D2A30" w14:textId="1EB67257" w:rsidR="00485DF5" w:rsidRPr="00310498" w:rsidRDefault="00485DF5" w:rsidP="000D3EC6">
            <w:pPr>
              <w:pStyle w:val="Tabletext"/>
              <w:keepNext/>
              <w:keepLines/>
              <w:jc w:val="center"/>
            </w:pPr>
            <w:r w:rsidRPr="00310498">
              <w:t>9.7 (9.2</w:t>
            </w:r>
            <w:r w:rsidR="0032043A">
              <w:t xml:space="preserve">, </w:t>
            </w:r>
            <w:r w:rsidRPr="00310498">
              <w:t>10.1)</w:t>
            </w:r>
          </w:p>
        </w:tc>
        <w:tc>
          <w:tcPr>
            <w:tcW w:w="2040" w:type="dxa"/>
            <w:shd w:val="clear" w:color="auto" w:fill="auto"/>
            <w:vAlign w:val="center"/>
          </w:tcPr>
          <w:p w14:paraId="1FE86674" w14:textId="1A4146C4" w:rsidR="00485DF5" w:rsidRPr="00310498" w:rsidRDefault="00485DF5" w:rsidP="000D3EC6">
            <w:pPr>
              <w:pStyle w:val="Tabletext"/>
              <w:keepNext/>
              <w:keepLines/>
              <w:jc w:val="center"/>
            </w:pPr>
            <w:r w:rsidRPr="00310498">
              <w:t>9.9 (9.4</w:t>
            </w:r>
            <w:r w:rsidR="0032043A">
              <w:t xml:space="preserve">, </w:t>
            </w:r>
            <w:r w:rsidRPr="00310498">
              <w:t>12.5)</w:t>
            </w:r>
          </w:p>
        </w:tc>
        <w:tc>
          <w:tcPr>
            <w:tcW w:w="2181" w:type="dxa"/>
            <w:shd w:val="clear" w:color="auto" w:fill="auto"/>
            <w:vAlign w:val="center"/>
          </w:tcPr>
          <w:p w14:paraId="31AF4303" w14:textId="30F4D7ED" w:rsidR="00485DF5" w:rsidRPr="00310498" w:rsidRDefault="00485DF5" w:rsidP="000D3EC6">
            <w:pPr>
              <w:pStyle w:val="Tabletext"/>
              <w:keepNext/>
              <w:keepLines/>
              <w:jc w:val="center"/>
            </w:pPr>
            <w:r w:rsidRPr="00310498">
              <w:t>15.0 (12.4</w:t>
            </w:r>
            <w:r w:rsidR="0032043A">
              <w:t xml:space="preserve">, </w:t>
            </w:r>
            <w:r w:rsidRPr="00310498">
              <w:t>18.0)</w:t>
            </w:r>
          </w:p>
        </w:tc>
      </w:tr>
      <w:tr w:rsidR="00485DF5" w:rsidRPr="00310498" w14:paraId="2EEA6365" w14:textId="77777777" w:rsidTr="007A7C3D">
        <w:tc>
          <w:tcPr>
            <w:tcW w:w="2875" w:type="dxa"/>
            <w:shd w:val="clear" w:color="auto" w:fill="auto"/>
            <w:vAlign w:val="center"/>
          </w:tcPr>
          <w:p w14:paraId="4BC47A1E" w14:textId="77777777" w:rsidR="00485DF5" w:rsidRPr="00310498" w:rsidRDefault="00485DF5" w:rsidP="000D3EC6">
            <w:pPr>
              <w:pStyle w:val="Tabletext"/>
              <w:keepNext/>
              <w:keepLines/>
            </w:pPr>
            <w:r w:rsidRPr="00310498">
              <w:t>HR versus PC</w:t>
            </w:r>
          </w:p>
        </w:tc>
        <w:tc>
          <w:tcPr>
            <w:tcW w:w="1920" w:type="dxa"/>
            <w:shd w:val="clear" w:color="auto" w:fill="auto"/>
            <w:vAlign w:val="center"/>
          </w:tcPr>
          <w:p w14:paraId="4B8DA2A5" w14:textId="2F8B153F" w:rsidR="00485DF5" w:rsidRPr="00310498" w:rsidRDefault="0032043A" w:rsidP="000D3EC6">
            <w:pPr>
              <w:pStyle w:val="Tabletext"/>
              <w:keepNext/>
              <w:keepLines/>
              <w:jc w:val="center"/>
            </w:pPr>
            <w:r>
              <w:t>-</w:t>
            </w:r>
          </w:p>
        </w:tc>
        <w:tc>
          <w:tcPr>
            <w:tcW w:w="2040" w:type="dxa"/>
            <w:shd w:val="clear" w:color="auto" w:fill="auto"/>
            <w:vAlign w:val="center"/>
          </w:tcPr>
          <w:p w14:paraId="13A5744D" w14:textId="0DA7B7A2" w:rsidR="00485DF5" w:rsidRPr="00310498" w:rsidRDefault="00485DF5" w:rsidP="000D3EC6">
            <w:pPr>
              <w:pStyle w:val="Tabletext"/>
              <w:keepNext/>
              <w:keepLines/>
              <w:jc w:val="center"/>
            </w:pPr>
            <w:r w:rsidRPr="00310498">
              <w:t>0.77 (0.60</w:t>
            </w:r>
            <w:r w:rsidR="0032043A">
              <w:t xml:space="preserve">, </w:t>
            </w:r>
            <w:r w:rsidRPr="00310498">
              <w:t>0.97)</w:t>
            </w:r>
          </w:p>
        </w:tc>
        <w:tc>
          <w:tcPr>
            <w:tcW w:w="2181" w:type="dxa"/>
            <w:shd w:val="clear" w:color="auto" w:fill="auto"/>
            <w:vAlign w:val="center"/>
          </w:tcPr>
          <w:p w14:paraId="4D6B7814" w14:textId="4F3E8F93" w:rsidR="00485DF5" w:rsidRPr="00310498" w:rsidRDefault="00485DF5" w:rsidP="000D3EC6">
            <w:pPr>
              <w:pStyle w:val="Tabletext"/>
              <w:keepNext/>
              <w:keepLines/>
              <w:jc w:val="center"/>
            </w:pPr>
            <w:r w:rsidRPr="00310498">
              <w:t>0.57 (0.44</w:t>
            </w:r>
            <w:r w:rsidR="0032043A">
              <w:t xml:space="preserve">, </w:t>
            </w:r>
            <w:r w:rsidRPr="00310498">
              <w:t>0.73)</w:t>
            </w:r>
          </w:p>
        </w:tc>
      </w:tr>
      <w:tr w:rsidR="00485DF5" w:rsidRPr="00310498" w14:paraId="4E437EE7" w14:textId="77777777" w:rsidTr="007A7C3D">
        <w:tc>
          <w:tcPr>
            <w:tcW w:w="2875" w:type="dxa"/>
            <w:shd w:val="clear" w:color="auto" w:fill="auto"/>
            <w:vAlign w:val="center"/>
          </w:tcPr>
          <w:p w14:paraId="70F3E225" w14:textId="77777777" w:rsidR="00485DF5" w:rsidRPr="00310498" w:rsidRDefault="00485DF5" w:rsidP="000D3EC6">
            <w:pPr>
              <w:pStyle w:val="Tabletext"/>
              <w:keepNext/>
              <w:keepLines/>
            </w:pPr>
            <w:r w:rsidRPr="00310498">
              <w:t>HR vs durvalumab + PC</w:t>
            </w:r>
          </w:p>
        </w:tc>
        <w:tc>
          <w:tcPr>
            <w:tcW w:w="1920" w:type="dxa"/>
            <w:shd w:val="clear" w:color="auto" w:fill="auto"/>
            <w:vAlign w:val="center"/>
          </w:tcPr>
          <w:p w14:paraId="57379815" w14:textId="05BADA6C" w:rsidR="00485DF5" w:rsidRPr="00310498" w:rsidRDefault="0032043A" w:rsidP="000D3EC6">
            <w:pPr>
              <w:pStyle w:val="Tabletext"/>
              <w:keepNext/>
              <w:keepLines/>
              <w:jc w:val="center"/>
            </w:pPr>
            <w:r>
              <w:t>-</w:t>
            </w:r>
          </w:p>
        </w:tc>
        <w:tc>
          <w:tcPr>
            <w:tcW w:w="2040" w:type="dxa"/>
            <w:shd w:val="clear" w:color="auto" w:fill="auto"/>
            <w:vAlign w:val="center"/>
          </w:tcPr>
          <w:p w14:paraId="0AD2342D" w14:textId="6C5A0E1D" w:rsidR="00485DF5" w:rsidRPr="00310498" w:rsidRDefault="0032043A" w:rsidP="000D3EC6">
            <w:pPr>
              <w:pStyle w:val="Tabletext"/>
              <w:keepNext/>
              <w:keepLines/>
              <w:jc w:val="center"/>
            </w:pPr>
            <w:r>
              <w:t>-</w:t>
            </w:r>
          </w:p>
        </w:tc>
        <w:tc>
          <w:tcPr>
            <w:tcW w:w="2181" w:type="dxa"/>
            <w:shd w:val="clear" w:color="auto" w:fill="auto"/>
            <w:vAlign w:val="center"/>
          </w:tcPr>
          <w:p w14:paraId="3D284DF5" w14:textId="3943F9D7" w:rsidR="00485DF5" w:rsidRPr="00310498" w:rsidRDefault="00485DF5" w:rsidP="000D3EC6">
            <w:pPr>
              <w:pStyle w:val="Tabletext"/>
              <w:keepNext/>
              <w:keepLines/>
              <w:jc w:val="center"/>
            </w:pPr>
            <w:r w:rsidRPr="00310498">
              <w:t>0.76 (0.59</w:t>
            </w:r>
            <w:r w:rsidR="0032043A">
              <w:t xml:space="preserve">, </w:t>
            </w:r>
            <w:r w:rsidRPr="00310498">
              <w:t>0.99)</w:t>
            </w:r>
          </w:p>
        </w:tc>
      </w:tr>
      <w:tr w:rsidR="00485DF5" w:rsidRPr="00310498" w14:paraId="299B09B6" w14:textId="77777777" w:rsidTr="007A7C3D">
        <w:tc>
          <w:tcPr>
            <w:tcW w:w="2875" w:type="dxa"/>
            <w:vAlign w:val="center"/>
          </w:tcPr>
          <w:p w14:paraId="0E684807" w14:textId="77777777" w:rsidR="00485DF5" w:rsidRPr="00310498" w:rsidRDefault="00485DF5" w:rsidP="000D3EC6">
            <w:pPr>
              <w:pStyle w:val="Tabletext"/>
              <w:keepNext/>
              <w:keepLines/>
            </w:pPr>
            <w:r w:rsidRPr="00310498">
              <w:t>Median follow-up (months)</w:t>
            </w:r>
          </w:p>
        </w:tc>
        <w:tc>
          <w:tcPr>
            <w:tcW w:w="1920" w:type="dxa"/>
            <w:vAlign w:val="center"/>
          </w:tcPr>
          <w:p w14:paraId="519FDB6E" w14:textId="77777777" w:rsidR="00485DF5" w:rsidRPr="00310498" w:rsidRDefault="00485DF5" w:rsidP="000D3EC6">
            <w:pPr>
              <w:pStyle w:val="Tabletext"/>
              <w:keepNext/>
              <w:keepLines/>
              <w:jc w:val="center"/>
            </w:pPr>
            <w:r w:rsidRPr="00310498">
              <w:t>12.8</w:t>
            </w:r>
          </w:p>
        </w:tc>
        <w:tc>
          <w:tcPr>
            <w:tcW w:w="2040" w:type="dxa"/>
            <w:vAlign w:val="center"/>
          </w:tcPr>
          <w:p w14:paraId="7CB1EF36" w14:textId="77777777" w:rsidR="00485DF5" w:rsidRPr="00310498" w:rsidRDefault="00485DF5" w:rsidP="000D3EC6">
            <w:pPr>
              <w:pStyle w:val="Tabletext"/>
              <w:keepNext/>
              <w:keepLines/>
              <w:jc w:val="center"/>
            </w:pPr>
            <w:r w:rsidRPr="00310498">
              <w:t>15.3</w:t>
            </w:r>
          </w:p>
        </w:tc>
        <w:tc>
          <w:tcPr>
            <w:tcW w:w="2181" w:type="dxa"/>
            <w:vAlign w:val="center"/>
          </w:tcPr>
          <w:p w14:paraId="5132EC2B" w14:textId="77777777" w:rsidR="00485DF5" w:rsidRPr="00310498" w:rsidRDefault="00485DF5" w:rsidP="000D3EC6">
            <w:pPr>
              <w:pStyle w:val="Tabletext"/>
              <w:keepNext/>
              <w:keepLines/>
              <w:jc w:val="center"/>
            </w:pPr>
            <w:r w:rsidRPr="00310498">
              <w:t>15.2</w:t>
            </w:r>
          </w:p>
        </w:tc>
      </w:tr>
    </w:tbl>
    <w:p w14:paraId="7D5479D1" w14:textId="77777777" w:rsidR="00E24B8A" w:rsidRPr="00310498" w:rsidRDefault="00E24B8A" w:rsidP="00B55DA5">
      <w:pPr>
        <w:pStyle w:val="TableFigureFooter"/>
        <w:keepNext/>
      </w:pPr>
      <w:r w:rsidRPr="00310498">
        <w:t>Source: Table 2.24, p97 of the submission.</w:t>
      </w:r>
    </w:p>
    <w:p w14:paraId="3BD047A9" w14:textId="1A5F4BA9" w:rsidR="00485DF5" w:rsidRPr="00310498" w:rsidRDefault="00485DF5" w:rsidP="00D17A65">
      <w:pPr>
        <w:pStyle w:val="TableFigureFooter"/>
      </w:pPr>
      <w:r w:rsidRPr="00310498">
        <w:t xml:space="preserve">dMMR = </w:t>
      </w:r>
      <w:r w:rsidR="00BB2BCF" w:rsidRPr="00310498">
        <w:t xml:space="preserve">deficient </w:t>
      </w:r>
      <w:r w:rsidRPr="00310498">
        <w:t xml:space="preserve">mismatch repair; FAS = full analysis set; HR = hazard ratio; MMR = mismatch repair; NR = not reached; </w:t>
      </w:r>
      <w:r w:rsidR="0041670E" w:rsidRPr="00310498">
        <w:t>PC = paclitaxel + carboplatin</w:t>
      </w:r>
      <w:r w:rsidRPr="00310498">
        <w:t xml:space="preserve">; PFS = progression free survival; pMMR = </w:t>
      </w:r>
      <w:r w:rsidR="00BB2BCF" w:rsidRPr="00310498">
        <w:t xml:space="preserve">proficient </w:t>
      </w:r>
      <w:r w:rsidRPr="00310498">
        <w:t xml:space="preserve">mismatch repair </w:t>
      </w:r>
    </w:p>
    <w:p w14:paraId="787F1D1A" w14:textId="35F3F795" w:rsidR="00485DF5" w:rsidRPr="00310498" w:rsidRDefault="00485DF5" w:rsidP="00485DF5">
      <w:pPr>
        <w:pStyle w:val="Caption"/>
      </w:pPr>
      <w:bookmarkStart w:id="38" w:name="_Ref174979084"/>
      <w:r w:rsidRPr="00310498">
        <w:lastRenderedPageBreak/>
        <w:t xml:space="preserve">Figure </w:t>
      </w:r>
      <w:r w:rsidR="00F267A0" w:rsidRPr="00310498">
        <w:fldChar w:fldCharType="begin" w:fldLock="1"/>
      </w:r>
      <w:r w:rsidR="00F267A0" w:rsidRPr="00310498">
        <w:instrText xml:space="preserve"> SEQ Figure \* ARABIC </w:instrText>
      </w:r>
      <w:r w:rsidR="00F267A0" w:rsidRPr="00310498">
        <w:fldChar w:fldCharType="separate"/>
      </w:r>
      <w:r w:rsidR="002C52D8">
        <w:rPr>
          <w:noProof/>
        </w:rPr>
        <w:t>3</w:t>
      </w:r>
      <w:r w:rsidR="00F267A0" w:rsidRPr="00310498">
        <w:rPr>
          <w:noProof/>
        </w:rPr>
        <w:fldChar w:fldCharType="end"/>
      </w:r>
      <w:bookmarkEnd w:id="38"/>
      <w:r w:rsidRPr="00310498">
        <w:t>:</w:t>
      </w:r>
      <w:r w:rsidRPr="00310498">
        <w:tab/>
        <w:t>Kaplan Meier curve for PFS, dMMR subgroup</w:t>
      </w:r>
    </w:p>
    <w:p w14:paraId="3F8C5C71" w14:textId="77777777" w:rsidR="00485DF5" w:rsidRPr="00310498" w:rsidRDefault="00485DF5" w:rsidP="00485DF5">
      <w:r w:rsidRPr="00310498">
        <w:rPr>
          <w:noProof/>
        </w:rPr>
        <w:drawing>
          <wp:inline distT="0" distB="0" distL="0" distR="0" wp14:anchorId="51F79834" wp14:editId="2296F010">
            <wp:extent cx="6156960" cy="2929251"/>
            <wp:effectExtent l="0" t="0" r="0" b="5080"/>
            <wp:docPr id="1797243864" name="Picture 1797243864" descr="A graph of a number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graph of a number of numbers and a line&#10;&#10;Description automatically generated with medium confidence"/>
                    <pic:cNvPicPr/>
                  </pic:nvPicPr>
                  <pic:blipFill rotWithShape="1">
                    <a:blip r:embed="rId10"/>
                    <a:srcRect l="2917" t="7929"/>
                    <a:stretch/>
                  </pic:blipFill>
                  <pic:spPr bwMode="auto">
                    <a:xfrm>
                      <a:off x="0" y="0"/>
                      <a:ext cx="6193038" cy="2946416"/>
                    </a:xfrm>
                    <a:prstGeom prst="rect">
                      <a:avLst/>
                    </a:prstGeom>
                    <a:ln>
                      <a:noFill/>
                    </a:ln>
                    <a:extLst>
                      <a:ext uri="{53640926-AAD7-44D8-BBD7-CCE9431645EC}">
                        <a14:shadowObscured xmlns:a14="http://schemas.microsoft.com/office/drawing/2010/main"/>
                      </a:ext>
                    </a:extLst>
                  </pic:spPr>
                </pic:pic>
              </a:graphicData>
            </a:graphic>
          </wp:inline>
        </w:drawing>
      </w:r>
    </w:p>
    <w:p w14:paraId="137A0834" w14:textId="77777777" w:rsidR="00E24B8A" w:rsidRPr="00310498" w:rsidRDefault="00E24B8A" w:rsidP="00D17A65">
      <w:pPr>
        <w:pStyle w:val="TableFigureFooter"/>
      </w:pPr>
      <w:r w:rsidRPr="00310498">
        <w:t xml:space="preserve">Source: Figure 2.14, p98 of the submission. </w:t>
      </w:r>
    </w:p>
    <w:p w14:paraId="23BEF392" w14:textId="388AD5BD" w:rsidR="00485DF5" w:rsidRPr="00310498" w:rsidRDefault="00485DF5" w:rsidP="00D17A65">
      <w:pPr>
        <w:pStyle w:val="TableFigureFooter"/>
      </w:pPr>
      <w:r w:rsidRPr="00310498">
        <w:t xml:space="preserve">Durva = durvalumab; dMMR = </w:t>
      </w:r>
      <w:r w:rsidR="00BB2BCF" w:rsidRPr="00310498">
        <w:t xml:space="preserve">deficient </w:t>
      </w:r>
      <w:r w:rsidRPr="00310498">
        <w:t>mismatch repair; Olap = olaparib; PFS = progression free survival; SoC = standard of care</w:t>
      </w:r>
    </w:p>
    <w:p w14:paraId="6F92FF8D" w14:textId="48C8ACD0" w:rsidR="00485DF5" w:rsidRPr="00310498" w:rsidRDefault="00485DF5" w:rsidP="00485DF5">
      <w:pPr>
        <w:pStyle w:val="Caption"/>
      </w:pPr>
      <w:bookmarkStart w:id="39" w:name="_Ref174979086"/>
      <w:r w:rsidRPr="00310498">
        <w:t xml:space="preserve">Figure </w:t>
      </w:r>
      <w:r w:rsidR="00F267A0" w:rsidRPr="00310498">
        <w:fldChar w:fldCharType="begin" w:fldLock="1"/>
      </w:r>
      <w:r w:rsidR="00F267A0" w:rsidRPr="00310498">
        <w:instrText xml:space="preserve"> SEQ Figure \* ARABIC </w:instrText>
      </w:r>
      <w:r w:rsidR="00F267A0" w:rsidRPr="00310498">
        <w:fldChar w:fldCharType="separate"/>
      </w:r>
      <w:r w:rsidR="002C52D8">
        <w:rPr>
          <w:noProof/>
        </w:rPr>
        <w:t>4</w:t>
      </w:r>
      <w:r w:rsidR="00F267A0" w:rsidRPr="00310498">
        <w:rPr>
          <w:noProof/>
        </w:rPr>
        <w:fldChar w:fldCharType="end"/>
      </w:r>
      <w:bookmarkEnd w:id="39"/>
      <w:r w:rsidRPr="00310498">
        <w:t>:</w:t>
      </w:r>
      <w:r w:rsidRPr="00310498">
        <w:tab/>
        <w:t>Kaplan Meier curve for PFS, pMMR subgroup</w:t>
      </w:r>
    </w:p>
    <w:p w14:paraId="7562CA6B" w14:textId="77777777" w:rsidR="00485DF5" w:rsidRPr="00310498" w:rsidRDefault="00485DF5" w:rsidP="00D17A65">
      <w:pPr>
        <w:pStyle w:val="TableFigureFooter"/>
      </w:pPr>
      <w:r w:rsidRPr="00310498">
        <w:rPr>
          <w:noProof/>
        </w:rPr>
        <w:drawing>
          <wp:inline distT="0" distB="0" distL="0" distR="0" wp14:anchorId="1384623E" wp14:editId="1821617B">
            <wp:extent cx="6156960" cy="3000568"/>
            <wp:effectExtent l="0" t="0" r="0" b="9525"/>
            <wp:docPr id="545589958" name="Picture 545589958"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9958" name="Picture 545589958" descr="A graph of a number of people&#10;&#10;Description automatically generated with medium confidence"/>
                    <pic:cNvPicPr/>
                  </pic:nvPicPr>
                  <pic:blipFill rotWithShape="1">
                    <a:blip r:embed="rId11"/>
                    <a:srcRect l="1830" t="3225" r="1565"/>
                    <a:stretch/>
                  </pic:blipFill>
                  <pic:spPr bwMode="auto">
                    <a:xfrm>
                      <a:off x="0" y="0"/>
                      <a:ext cx="6194139" cy="3018687"/>
                    </a:xfrm>
                    <a:prstGeom prst="rect">
                      <a:avLst/>
                    </a:prstGeom>
                    <a:ln>
                      <a:noFill/>
                    </a:ln>
                    <a:extLst>
                      <a:ext uri="{53640926-AAD7-44D8-BBD7-CCE9431645EC}">
                        <a14:shadowObscured xmlns:a14="http://schemas.microsoft.com/office/drawing/2010/main"/>
                      </a:ext>
                    </a:extLst>
                  </pic:spPr>
                </pic:pic>
              </a:graphicData>
            </a:graphic>
          </wp:inline>
        </w:drawing>
      </w:r>
    </w:p>
    <w:p w14:paraId="48FC81C9" w14:textId="77777777" w:rsidR="00E24B8A" w:rsidRPr="00310498" w:rsidRDefault="00E24B8A" w:rsidP="00D17A65">
      <w:pPr>
        <w:pStyle w:val="TableFigureFooter"/>
      </w:pPr>
      <w:r w:rsidRPr="00310498">
        <w:t xml:space="preserve">Source: Figure 2.15, p98 of the submission. </w:t>
      </w:r>
    </w:p>
    <w:p w14:paraId="69FC50FF" w14:textId="22553F34" w:rsidR="00485DF5" w:rsidRPr="00310498" w:rsidRDefault="00485DF5" w:rsidP="00D17A65">
      <w:pPr>
        <w:pStyle w:val="TableFigureFooter"/>
      </w:pPr>
      <w:r w:rsidRPr="00310498">
        <w:t xml:space="preserve">Durva = durvalumab; dMMR = </w:t>
      </w:r>
      <w:r w:rsidR="00BB2BCF" w:rsidRPr="00310498">
        <w:t xml:space="preserve">deficient </w:t>
      </w:r>
      <w:r w:rsidRPr="00310498">
        <w:t>mismatch repair; Olap = olaparib; PFS = progression free survival; SoC = standard of care</w:t>
      </w:r>
    </w:p>
    <w:p w14:paraId="59169207" w14:textId="3647DB0F" w:rsidR="00A4078D" w:rsidRPr="00310498" w:rsidRDefault="00A4078D" w:rsidP="00A4078D">
      <w:pPr>
        <w:pStyle w:val="3-BodyText"/>
      </w:pPr>
      <w:r w:rsidRPr="00310498">
        <w:t xml:space="preserve">The DUO-E CSR reported that the global interaction test indicated a quantitative interaction involving MMR status and region, suggesting numeric differences favouring durvalumab + PC versus PC of different magnitudes but in the same direction (p = 0.036). </w:t>
      </w:r>
      <w:r w:rsidR="00BE583F" w:rsidRPr="00310498">
        <w:t>W</w:t>
      </w:r>
      <w:r w:rsidRPr="00310498">
        <w:t xml:space="preserve">hereas for the comparison of durvalumab + PC + </w:t>
      </w:r>
      <w:r w:rsidR="00FC1414" w:rsidRPr="00310498">
        <w:t>o</w:t>
      </w:r>
      <w:r w:rsidRPr="00310498">
        <w:t>laparib versus PC, the global interaction test showed no evidence of treatment effect being different across the pre-specified subgroups (p=0.133).</w:t>
      </w:r>
    </w:p>
    <w:p w14:paraId="0166EC37" w14:textId="1F407014" w:rsidR="00AB5722" w:rsidRPr="00310498" w:rsidRDefault="00AB5722" w:rsidP="00AB5722">
      <w:pPr>
        <w:pStyle w:val="3-BodyText"/>
      </w:pPr>
      <w:bookmarkStart w:id="40" w:name="_Ref176365067"/>
      <w:r w:rsidRPr="00310498">
        <w:lastRenderedPageBreak/>
        <w:t xml:space="preserve">The PBAC previously considered it was plausible that MMR status may be a treatment effect modifier for dostarlimab as patients in GARNET Cohort A1 appeared to have better outcomes compared to those in Cohort A2 (paragraph 6.25, dostarlimab PSD, March 2022 PBAC meeting). In November 2023, the ESC considered that based on the test for interaction with p=0.0061 for PFS, and a clear difference in response between the pMMR and dMMR subgroups, MMR status was likely to be a treatment effect modifier </w:t>
      </w:r>
      <w:r w:rsidR="00703304">
        <w:t xml:space="preserve">for dostarlimab </w:t>
      </w:r>
      <w:r w:rsidRPr="00310498">
        <w:t>(paragraph 6.24, dostarlimab PSD, November 2023 PBAC meeting). Moreover, while the dostarlimab submission requested listing in both the dMMR and all-comers A/R EC populations, the PBAC only recommended listing in the dMMR A/R EC population.</w:t>
      </w:r>
      <w:bookmarkEnd w:id="40"/>
      <w:r w:rsidRPr="00310498">
        <w:t xml:space="preserve"> </w:t>
      </w:r>
    </w:p>
    <w:p w14:paraId="428993B6" w14:textId="7A28702E" w:rsidR="00485DF5" w:rsidRPr="00310498" w:rsidRDefault="00485DF5" w:rsidP="00485DF5">
      <w:pPr>
        <w:pStyle w:val="3-BodyText"/>
      </w:pPr>
      <w:r w:rsidRPr="00310498">
        <w:t xml:space="preserve">Among patients with dMMR EC there did not appear to be any difference in PFS between patients randomised to durvalumab + PC + olaparib and patients randomised to durvalumab + PC (HR </w:t>
      </w:r>
      <w:r w:rsidR="00C670F4" w:rsidRPr="00310498">
        <w:t xml:space="preserve">= </w:t>
      </w:r>
      <w:r w:rsidRPr="00310498">
        <w:t>0.97, 95% CI</w:t>
      </w:r>
      <w:r w:rsidR="00432035" w:rsidRPr="00310498">
        <w:t>:</w:t>
      </w:r>
      <w:r w:rsidRPr="00310498">
        <w:t xml:space="preserve"> 0.49</w:t>
      </w:r>
      <w:r w:rsidR="00432035" w:rsidRPr="00310498">
        <w:t xml:space="preserve">, </w:t>
      </w:r>
      <w:r w:rsidRPr="00310498">
        <w:t xml:space="preserve">1.98). </w:t>
      </w:r>
      <w:r w:rsidR="005B411A" w:rsidRPr="00310498">
        <w:t>Additionally, t</w:t>
      </w:r>
      <w:r w:rsidRPr="00310498">
        <w:t>he PFS HR</w:t>
      </w:r>
      <w:r w:rsidR="005B411A" w:rsidRPr="00310498">
        <w:t>s</w:t>
      </w:r>
      <w:r w:rsidRPr="00310498">
        <w:t xml:space="preserve"> </w:t>
      </w:r>
      <w:r w:rsidR="005B411A" w:rsidRPr="00310498">
        <w:t>were</w:t>
      </w:r>
      <w:r w:rsidRPr="00310498">
        <w:t xml:space="preserve"> similar between patients randomised to durvalumab + PC </w:t>
      </w:r>
      <w:r w:rsidR="0038102A" w:rsidRPr="00310498">
        <w:t xml:space="preserve">and patients randomised to durvalumab + PC + olaparib </w:t>
      </w:r>
      <w:r w:rsidRPr="00310498">
        <w:t>compared to patients randomised to PC</w:t>
      </w:r>
      <w:r w:rsidR="004F7B94" w:rsidRPr="00310498">
        <w:t>.</w:t>
      </w:r>
      <w:r w:rsidRPr="00310498">
        <w:t xml:space="preserve"> The submission claimed that this indicated that the addition of olaparib had little impact on PFS in patients with dMMR EC</w:t>
      </w:r>
      <w:r w:rsidR="00C670F4" w:rsidRPr="00310498">
        <w:t>. H</w:t>
      </w:r>
      <w:r w:rsidRPr="00310498">
        <w:t>owever</w:t>
      </w:r>
      <w:r w:rsidR="009A6EFB" w:rsidRPr="00310498">
        <w:t>,</w:t>
      </w:r>
      <w:r w:rsidRPr="00310498">
        <w:t xml:space="preserve"> concerns regarding the additional toxicity of adding olaparib to durvalumab + PC were not specifically addressed in the submission. Additionally, the sample size in the dMMR subgroup was small (around 20% of the total DUO-E population, less than 50 patients in each arm) and the subgroup may not </w:t>
      </w:r>
      <w:r w:rsidR="004C1C18" w:rsidRPr="00310498">
        <w:t xml:space="preserve">have </w:t>
      </w:r>
      <w:r w:rsidRPr="00310498">
        <w:t>be</w:t>
      </w:r>
      <w:r w:rsidR="004C1C18" w:rsidRPr="00310498">
        <w:t>en</w:t>
      </w:r>
      <w:r w:rsidRPr="00310498">
        <w:t xml:space="preserve"> sufficiently powered to detect differences between durvalumab + PC and durvalumab + PC + olaparib. </w:t>
      </w:r>
    </w:p>
    <w:p w14:paraId="32F48E4D" w14:textId="2C0EB770" w:rsidR="00485DF5" w:rsidRPr="00310498" w:rsidRDefault="00485DF5" w:rsidP="00485DF5">
      <w:pPr>
        <w:pStyle w:val="3-BodyText"/>
      </w:pPr>
      <w:r w:rsidRPr="00310498">
        <w:t xml:space="preserve">For pMMR EC, patients randomised to durvalumab + PC + olaparib reported a median PFS of 15.0 months, compared with 9.7 months in patients randomised to PC and 9.9 months in patients randomised to durvalumab + PC. </w:t>
      </w:r>
      <w:r w:rsidR="003D0D17" w:rsidRPr="00310498">
        <w:t>Though it was plausible that MMR status may be a treatment effect modifier</w:t>
      </w:r>
      <w:r w:rsidR="004E15CA" w:rsidRPr="00310498">
        <w:t xml:space="preserve"> for PD-L1 inhibitors (see paragraph </w:t>
      </w:r>
      <w:r w:rsidR="004E15CA" w:rsidRPr="00310498">
        <w:fldChar w:fldCharType="begin" w:fldLock="1"/>
      </w:r>
      <w:r w:rsidR="004E15CA" w:rsidRPr="00310498">
        <w:instrText xml:space="preserve"> REF _Ref176365067 \r \h </w:instrText>
      </w:r>
      <w:r w:rsidR="00944CE7" w:rsidRPr="00310498">
        <w:instrText xml:space="preserve"> \* MERGEFORMAT </w:instrText>
      </w:r>
      <w:r w:rsidR="004E15CA" w:rsidRPr="00310498">
        <w:fldChar w:fldCharType="separate"/>
      </w:r>
      <w:r w:rsidR="00A0075B">
        <w:t>6.21</w:t>
      </w:r>
      <w:r w:rsidR="004E15CA" w:rsidRPr="00310498">
        <w:fldChar w:fldCharType="end"/>
      </w:r>
      <w:r w:rsidR="004E15CA" w:rsidRPr="00310498">
        <w:t>)</w:t>
      </w:r>
      <w:r w:rsidR="003D0D17" w:rsidRPr="00310498">
        <w:t xml:space="preserve">, </w:t>
      </w:r>
      <w:r w:rsidRPr="00310498">
        <w:t>DUO-E endpoint analyses by MMR status were not included in the formal testing hierarchy, and analysis of results based on MMR status is likely to be associated with a higher risk of bias and should be interpreted with caution</w:t>
      </w:r>
      <w:r w:rsidR="00A46811" w:rsidRPr="00310498">
        <w:t xml:space="preserve"> (see </w:t>
      </w:r>
      <w:r w:rsidR="003D0D17" w:rsidRPr="00310498">
        <w:t xml:space="preserve">paragraph </w:t>
      </w:r>
      <w:r w:rsidR="003D0D17" w:rsidRPr="00310498">
        <w:fldChar w:fldCharType="begin" w:fldLock="1"/>
      </w:r>
      <w:r w:rsidR="003D0D17" w:rsidRPr="00310498">
        <w:instrText xml:space="preserve"> REF _Ref176365064 \r \h </w:instrText>
      </w:r>
      <w:r w:rsidR="00944CE7" w:rsidRPr="00310498">
        <w:instrText xml:space="preserve"> \* MERGEFORMAT </w:instrText>
      </w:r>
      <w:r w:rsidR="003D0D17" w:rsidRPr="00310498">
        <w:fldChar w:fldCharType="separate"/>
      </w:r>
      <w:r w:rsidR="00A0075B">
        <w:t>6.14</w:t>
      </w:r>
      <w:r w:rsidR="003D0D17" w:rsidRPr="00310498">
        <w:fldChar w:fldCharType="end"/>
      </w:r>
      <w:r w:rsidR="003D0D17" w:rsidRPr="00310498">
        <w:t>).</w:t>
      </w:r>
    </w:p>
    <w:p w14:paraId="6B03EA00" w14:textId="4C22C30D" w:rsidR="00485DF5" w:rsidRPr="00310498" w:rsidRDefault="00476A7C" w:rsidP="00485DF5">
      <w:pPr>
        <w:pStyle w:val="3-BodyText"/>
      </w:pPr>
      <w:r w:rsidRPr="00310498">
        <w:t>T</w:t>
      </w:r>
      <w:r w:rsidR="00485DF5" w:rsidRPr="00310498">
        <w:t>he PFS results for durvalumab + PC + olaparib vs durvalumab + PC w</w:t>
      </w:r>
      <w:r w:rsidRPr="00310498">
        <w:t>ere</w:t>
      </w:r>
      <w:r w:rsidR="00485DF5" w:rsidRPr="00310498">
        <w:t xml:space="preserve"> used to justify the proposed PBS-listing of durvalumab + PC + olaparib for the treatment of pMMR</w:t>
      </w:r>
      <w:r w:rsidR="00ED01B9" w:rsidRPr="00310498">
        <w:t>. H</w:t>
      </w:r>
      <w:r w:rsidR="00485DF5" w:rsidRPr="00310498">
        <w:t>owever</w:t>
      </w:r>
      <w:r w:rsidR="00ED01B9" w:rsidRPr="00310498">
        <w:t>,</w:t>
      </w:r>
      <w:r w:rsidR="00DE2DCE">
        <w:t xml:space="preserve"> it was unclear </w:t>
      </w:r>
      <w:r w:rsidR="00485DF5" w:rsidRPr="00310498">
        <w:t xml:space="preserve">whether </w:t>
      </w:r>
      <w:r w:rsidR="00027590" w:rsidRPr="00310498">
        <w:t xml:space="preserve">any additional </w:t>
      </w:r>
      <w:r w:rsidR="00485DF5" w:rsidRPr="00310498">
        <w:t xml:space="preserve">incremental efficacy </w:t>
      </w:r>
      <w:r w:rsidR="00DE2DCE">
        <w:t xml:space="preserve">would </w:t>
      </w:r>
      <w:r w:rsidR="00910473" w:rsidRPr="00310498">
        <w:t xml:space="preserve">outweigh the </w:t>
      </w:r>
      <w:r w:rsidR="00DE2DCE">
        <w:t>potential for additional adverse events</w:t>
      </w:r>
      <w:r w:rsidR="00A01A20">
        <w:t xml:space="preserve"> with olaparib</w:t>
      </w:r>
      <w:r w:rsidR="00485DF5" w:rsidRPr="00310498">
        <w:t xml:space="preserve">. </w:t>
      </w:r>
      <w:r w:rsidR="00A01A20" w:rsidRPr="00703304">
        <w:t>The pre-PBAC response stated that the rationale for combining durvalumab and olaparib was based on the hypothesis that inhibition of PARP with olaparib would result in enhanced immunogenicity, which can be further enhanced with an immune checkpoint inhibitor like durvalumab, not by targeting BRCAm.</w:t>
      </w:r>
    </w:p>
    <w:p w14:paraId="1034ED86" w14:textId="356E4B81" w:rsidR="00485DF5" w:rsidRPr="00310498" w:rsidRDefault="00485DF5" w:rsidP="008A1DB8">
      <w:pPr>
        <w:pStyle w:val="3-BodyText"/>
      </w:pPr>
      <w:r w:rsidRPr="00310498">
        <w:t xml:space="preserve">The submission reported results from a </w:t>
      </w:r>
      <w:r w:rsidRPr="0032043A">
        <w:rPr>
          <w:i/>
          <w:iCs/>
        </w:rPr>
        <w:t>post hoc</w:t>
      </w:r>
      <w:r w:rsidRPr="00310498">
        <w:t xml:space="preserve"> analysis (Nieuwenhuysen 2024) of PFS data which was conducted with the aim of assessing the impact of </w:t>
      </w:r>
      <w:r w:rsidRPr="0032043A">
        <w:rPr>
          <w:i/>
          <w:iCs/>
        </w:rPr>
        <w:t>BRCA1</w:t>
      </w:r>
      <w:r w:rsidRPr="00310498">
        <w:t xml:space="preserve"> and/or </w:t>
      </w:r>
      <w:r w:rsidRPr="0032043A">
        <w:rPr>
          <w:i/>
          <w:iCs/>
        </w:rPr>
        <w:t>BRCA2</w:t>
      </w:r>
      <w:r w:rsidRPr="00310498">
        <w:t xml:space="preserve"> </w:t>
      </w:r>
      <w:r w:rsidR="0032043A">
        <w:t>pathogenic variation</w:t>
      </w:r>
      <w:r w:rsidRPr="00310498">
        <w:t xml:space="preserve"> (</w:t>
      </w:r>
      <w:r w:rsidRPr="0032043A">
        <w:rPr>
          <w:i/>
          <w:iCs/>
        </w:rPr>
        <w:t>BRCAm</w:t>
      </w:r>
      <w:r w:rsidRPr="00310498">
        <w:t xml:space="preserve">) status on the clinical outcomes in DUO-E as olaparib is usually used for the treatment of patients whose tumours have </w:t>
      </w:r>
      <w:r w:rsidRPr="0032043A">
        <w:rPr>
          <w:i/>
          <w:iCs/>
        </w:rPr>
        <w:t xml:space="preserve">BRCAm </w:t>
      </w:r>
      <w:r w:rsidRPr="00310498">
        <w:t>(</w:t>
      </w:r>
      <w:r w:rsidR="003907A3" w:rsidRPr="00310498">
        <w:fldChar w:fldCharType="begin" w:fldLock="1"/>
      </w:r>
      <w:r w:rsidR="003907A3" w:rsidRPr="00310498">
        <w:instrText xml:space="preserve"> REF _Ref174979113 \h </w:instrText>
      </w:r>
      <w:r w:rsidR="00944CE7" w:rsidRPr="00310498">
        <w:instrText xml:space="preserve"> \* MERGEFORMAT </w:instrText>
      </w:r>
      <w:r w:rsidR="003907A3" w:rsidRPr="00310498">
        <w:fldChar w:fldCharType="separate"/>
      </w:r>
      <w:r w:rsidR="002C52D8" w:rsidRPr="00310498">
        <w:t xml:space="preserve">Table </w:t>
      </w:r>
      <w:r w:rsidR="002C52D8">
        <w:rPr>
          <w:noProof/>
        </w:rPr>
        <w:t>7</w:t>
      </w:r>
      <w:r w:rsidR="003907A3" w:rsidRPr="00310498">
        <w:fldChar w:fldCharType="end"/>
      </w:r>
      <w:r w:rsidRPr="00310498">
        <w:t xml:space="preserve">). For DUO-E, </w:t>
      </w:r>
      <w:r w:rsidRPr="0032043A">
        <w:rPr>
          <w:i/>
          <w:iCs/>
        </w:rPr>
        <w:t xml:space="preserve">BRCA </w:t>
      </w:r>
      <w:r w:rsidRPr="00310498">
        <w:t xml:space="preserve">status was determined retrospectively. </w:t>
      </w:r>
    </w:p>
    <w:p w14:paraId="5988FA55" w14:textId="365AE9F3" w:rsidR="00485DF5" w:rsidRPr="00310498" w:rsidRDefault="00485DF5" w:rsidP="00B66717">
      <w:pPr>
        <w:pStyle w:val="Caption"/>
      </w:pPr>
      <w:bookmarkStart w:id="41" w:name="_Ref174979113"/>
      <w:r w:rsidRPr="00310498">
        <w:lastRenderedPageBreak/>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7</w:t>
      </w:r>
      <w:r w:rsidR="00F267A0" w:rsidRPr="00310498">
        <w:rPr>
          <w:noProof/>
        </w:rPr>
        <w:fldChar w:fldCharType="end"/>
      </w:r>
      <w:bookmarkEnd w:id="41"/>
      <w:r w:rsidRPr="00310498">
        <w:t>: PFS by BRCAm status (ITT population)</w:t>
      </w:r>
    </w:p>
    <w:tbl>
      <w:tblPr>
        <w:tblStyle w:val="TableGrid"/>
        <w:tblW w:w="0" w:type="auto"/>
        <w:tblLook w:val="04A0" w:firstRow="1" w:lastRow="0" w:firstColumn="1" w:lastColumn="0" w:noHBand="0" w:noVBand="1"/>
      </w:tblPr>
      <w:tblGrid>
        <w:gridCol w:w="1271"/>
        <w:gridCol w:w="2084"/>
        <w:gridCol w:w="1920"/>
        <w:gridCol w:w="1800"/>
        <w:gridCol w:w="1941"/>
      </w:tblGrid>
      <w:tr w:rsidR="0032043A" w:rsidRPr="00310498" w14:paraId="1B7FDF58" w14:textId="77777777" w:rsidTr="00827CAD">
        <w:tc>
          <w:tcPr>
            <w:tcW w:w="3355" w:type="dxa"/>
            <w:gridSpan w:val="2"/>
            <w:shd w:val="clear" w:color="auto" w:fill="auto"/>
          </w:tcPr>
          <w:p w14:paraId="31CAD88B" w14:textId="77777777" w:rsidR="0032043A" w:rsidRPr="00310498" w:rsidRDefault="0032043A" w:rsidP="00B66717">
            <w:pPr>
              <w:pStyle w:val="In-tableHeading"/>
              <w:rPr>
                <w:lang w:val="en-AU"/>
              </w:rPr>
            </w:pPr>
          </w:p>
        </w:tc>
        <w:tc>
          <w:tcPr>
            <w:tcW w:w="1920" w:type="dxa"/>
            <w:shd w:val="clear" w:color="auto" w:fill="auto"/>
            <w:vAlign w:val="center"/>
          </w:tcPr>
          <w:p w14:paraId="4DE22596" w14:textId="77777777" w:rsidR="0032043A" w:rsidRPr="00310498" w:rsidRDefault="0032043A" w:rsidP="00B66717">
            <w:pPr>
              <w:pStyle w:val="In-tableHeading"/>
              <w:jc w:val="center"/>
              <w:rPr>
                <w:lang w:val="en-AU"/>
              </w:rPr>
            </w:pPr>
            <w:r w:rsidRPr="00310498">
              <w:rPr>
                <w:lang w:val="en-AU"/>
              </w:rPr>
              <w:t>PC</w:t>
            </w:r>
          </w:p>
          <w:p w14:paraId="77C8C434" w14:textId="1F5BA90A" w:rsidR="0032043A" w:rsidRPr="00310498" w:rsidRDefault="0032043A" w:rsidP="00B66717">
            <w:pPr>
              <w:pStyle w:val="In-tableHeading"/>
              <w:jc w:val="center"/>
              <w:rPr>
                <w:lang w:val="en-AU"/>
              </w:rPr>
            </w:pPr>
            <w:r w:rsidRPr="00310498">
              <w:rPr>
                <w:lang w:val="en-AU"/>
              </w:rPr>
              <w:t>(N=241)</w:t>
            </w:r>
          </w:p>
        </w:tc>
        <w:tc>
          <w:tcPr>
            <w:tcW w:w="1800" w:type="dxa"/>
            <w:shd w:val="clear" w:color="auto" w:fill="auto"/>
            <w:vAlign w:val="center"/>
          </w:tcPr>
          <w:p w14:paraId="6C1C017D" w14:textId="77777777" w:rsidR="0032043A" w:rsidRPr="00310498" w:rsidRDefault="0032043A" w:rsidP="00B66717">
            <w:pPr>
              <w:pStyle w:val="In-tableHeading"/>
              <w:jc w:val="center"/>
              <w:rPr>
                <w:lang w:val="en-AU"/>
              </w:rPr>
            </w:pPr>
            <w:r w:rsidRPr="00310498">
              <w:rPr>
                <w:lang w:val="en-AU"/>
              </w:rPr>
              <w:t>durvalumab + PC</w:t>
            </w:r>
          </w:p>
          <w:p w14:paraId="09720955" w14:textId="272B70DD" w:rsidR="0032043A" w:rsidRPr="00310498" w:rsidRDefault="0032043A" w:rsidP="00B66717">
            <w:pPr>
              <w:pStyle w:val="In-tableHeading"/>
              <w:jc w:val="center"/>
              <w:rPr>
                <w:lang w:val="en-AU"/>
              </w:rPr>
            </w:pPr>
            <w:r w:rsidRPr="00310498">
              <w:rPr>
                <w:lang w:val="en-AU"/>
              </w:rPr>
              <w:t>(N=238)</w:t>
            </w:r>
          </w:p>
        </w:tc>
        <w:tc>
          <w:tcPr>
            <w:tcW w:w="1941" w:type="dxa"/>
            <w:shd w:val="clear" w:color="auto" w:fill="auto"/>
            <w:vAlign w:val="center"/>
          </w:tcPr>
          <w:p w14:paraId="0A9F4753" w14:textId="7411515E" w:rsidR="0032043A" w:rsidRPr="00310498" w:rsidRDefault="0032043A" w:rsidP="00B66717">
            <w:pPr>
              <w:pStyle w:val="In-tableHeading"/>
              <w:jc w:val="center"/>
              <w:rPr>
                <w:lang w:val="en-AU"/>
              </w:rPr>
            </w:pPr>
            <w:r w:rsidRPr="00310498">
              <w:rPr>
                <w:lang w:val="en-AU"/>
              </w:rPr>
              <w:t>durvalumab + PC + olaparib (N=239)</w:t>
            </w:r>
          </w:p>
        </w:tc>
      </w:tr>
      <w:tr w:rsidR="0032043A" w:rsidRPr="00310498" w14:paraId="7E52E654" w14:textId="77777777" w:rsidTr="009D1131">
        <w:tc>
          <w:tcPr>
            <w:tcW w:w="1271" w:type="dxa"/>
            <w:vMerge w:val="restart"/>
          </w:tcPr>
          <w:p w14:paraId="13A8028C" w14:textId="77777777" w:rsidR="0032043A" w:rsidRPr="00310498" w:rsidRDefault="0032043A" w:rsidP="00B66717">
            <w:pPr>
              <w:pStyle w:val="Tabletext"/>
              <w:keepNext/>
              <w:keepLines/>
            </w:pPr>
            <w:r w:rsidRPr="00310498">
              <w:t>All patients</w:t>
            </w:r>
          </w:p>
        </w:tc>
        <w:tc>
          <w:tcPr>
            <w:tcW w:w="2084" w:type="dxa"/>
            <w:vAlign w:val="center"/>
          </w:tcPr>
          <w:p w14:paraId="2F766497" w14:textId="77777777" w:rsidR="0032043A" w:rsidRPr="00310498" w:rsidRDefault="0032043A" w:rsidP="00B66717">
            <w:pPr>
              <w:pStyle w:val="Tabletext"/>
              <w:keepNext/>
              <w:keepLines/>
            </w:pPr>
            <w:r w:rsidRPr="00310498">
              <w:t>Events n/N (%)</w:t>
            </w:r>
          </w:p>
        </w:tc>
        <w:tc>
          <w:tcPr>
            <w:tcW w:w="1920" w:type="dxa"/>
            <w:vAlign w:val="center"/>
          </w:tcPr>
          <w:p w14:paraId="6BFDC361" w14:textId="77777777" w:rsidR="0032043A" w:rsidRPr="00310498" w:rsidRDefault="0032043A" w:rsidP="00B66717">
            <w:pPr>
              <w:pStyle w:val="Tabletext"/>
              <w:keepNext/>
              <w:keepLines/>
              <w:jc w:val="center"/>
            </w:pPr>
            <w:r w:rsidRPr="00310498">
              <w:t>173/241 (71.8)</w:t>
            </w:r>
          </w:p>
        </w:tc>
        <w:tc>
          <w:tcPr>
            <w:tcW w:w="1800" w:type="dxa"/>
            <w:vAlign w:val="center"/>
          </w:tcPr>
          <w:p w14:paraId="013D47DE" w14:textId="77777777" w:rsidR="0032043A" w:rsidRPr="00310498" w:rsidRDefault="0032043A" w:rsidP="00B66717">
            <w:pPr>
              <w:pStyle w:val="Tabletext"/>
              <w:keepNext/>
              <w:keepLines/>
              <w:jc w:val="center"/>
            </w:pPr>
            <w:r w:rsidRPr="00310498">
              <w:t>139/238 (58.4)</w:t>
            </w:r>
          </w:p>
        </w:tc>
        <w:tc>
          <w:tcPr>
            <w:tcW w:w="1941" w:type="dxa"/>
            <w:vAlign w:val="center"/>
          </w:tcPr>
          <w:p w14:paraId="26FACB38" w14:textId="77777777" w:rsidR="0032043A" w:rsidRPr="00310498" w:rsidRDefault="0032043A" w:rsidP="00B66717">
            <w:pPr>
              <w:pStyle w:val="Tabletext"/>
              <w:keepNext/>
              <w:keepLines/>
              <w:jc w:val="center"/>
            </w:pPr>
            <w:r w:rsidRPr="00310498">
              <w:t>126/239 (52.7)</w:t>
            </w:r>
          </w:p>
        </w:tc>
      </w:tr>
      <w:tr w:rsidR="0032043A" w:rsidRPr="00310498" w14:paraId="3C9863EB" w14:textId="77777777" w:rsidTr="009D1131">
        <w:tc>
          <w:tcPr>
            <w:tcW w:w="1271" w:type="dxa"/>
            <w:vMerge/>
          </w:tcPr>
          <w:p w14:paraId="4D5B18B1" w14:textId="77777777" w:rsidR="0032043A" w:rsidRPr="00310498" w:rsidRDefault="0032043A" w:rsidP="00B66717">
            <w:pPr>
              <w:pStyle w:val="Tabletext"/>
              <w:keepNext/>
              <w:keepLines/>
            </w:pPr>
          </w:p>
        </w:tc>
        <w:tc>
          <w:tcPr>
            <w:tcW w:w="2084" w:type="dxa"/>
            <w:vAlign w:val="center"/>
          </w:tcPr>
          <w:p w14:paraId="3ACF1D63" w14:textId="203FB19C" w:rsidR="0032043A" w:rsidRPr="00310498" w:rsidRDefault="0032043A" w:rsidP="00B66717">
            <w:pPr>
              <w:pStyle w:val="Tabletext"/>
              <w:keepNext/>
              <w:keepLines/>
            </w:pPr>
            <w:r w:rsidRPr="00310498">
              <w:t>Median, months (95% CI)</w:t>
            </w:r>
          </w:p>
        </w:tc>
        <w:tc>
          <w:tcPr>
            <w:tcW w:w="1920" w:type="dxa"/>
            <w:vAlign w:val="center"/>
          </w:tcPr>
          <w:p w14:paraId="36A725B3" w14:textId="1D365153" w:rsidR="0032043A" w:rsidRPr="00310498" w:rsidRDefault="0032043A" w:rsidP="00B66717">
            <w:pPr>
              <w:pStyle w:val="Tabletext"/>
              <w:keepNext/>
              <w:keepLines/>
              <w:jc w:val="center"/>
            </w:pPr>
            <w:r w:rsidRPr="00310498">
              <w:t>9.6 (9.0</w:t>
            </w:r>
            <w:r>
              <w:t xml:space="preserve">, </w:t>
            </w:r>
            <w:r w:rsidRPr="00310498">
              <w:t>9.6)</w:t>
            </w:r>
          </w:p>
        </w:tc>
        <w:tc>
          <w:tcPr>
            <w:tcW w:w="1800" w:type="dxa"/>
            <w:vAlign w:val="center"/>
          </w:tcPr>
          <w:p w14:paraId="455E097C" w14:textId="5E4CA64B" w:rsidR="0032043A" w:rsidRPr="00310498" w:rsidRDefault="0032043A" w:rsidP="00B66717">
            <w:pPr>
              <w:pStyle w:val="Tabletext"/>
              <w:keepNext/>
              <w:keepLines/>
              <w:jc w:val="center"/>
            </w:pPr>
            <w:r w:rsidRPr="00310498">
              <w:t>10.2 (9.7</w:t>
            </w:r>
            <w:r>
              <w:t xml:space="preserve">, </w:t>
            </w:r>
            <w:r w:rsidRPr="00310498">
              <w:t>14.7)</w:t>
            </w:r>
          </w:p>
        </w:tc>
        <w:tc>
          <w:tcPr>
            <w:tcW w:w="1941" w:type="dxa"/>
            <w:vAlign w:val="center"/>
          </w:tcPr>
          <w:p w14:paraId="439EC27F" w14:textId="60F45879" w:rsidR="0032043A" w:rsidRPr="00310498" w:rsidRDefault="0032043A" w:rsidP="00B66717">
            <w:pPr>
              <w:pStyle w:val="Tabletext"/>
              <w:keepNext/>
              <w:keepLines/>
              <w:jc w:val="center"/>
            </w:pPr>
            <w:r w:rsidRPr="00310498">
              <w:t>15.1 (12.6</w:t>
            </w:r>
            <w:r>
              <w:t xml:space="preserve">, </w:t>
            </w:r>
            <w:r w:rsidRPr="00310498">
              <w:t>20.7)</w:t>
            </w:r>
          </w:p>
        </w:tc>
      </w:tr>
      <w:tr w:rsidR="0032043A" w:rsidRPr="00310498" w14:paraId="58EB93E7" w14:textId="77777777" w:rsidTr="009D1131">
        <w:tc>
          <w:tcPr>
            <w:tcW w:w="1271" w:type="dxa"/>
            <w:vMerge/>
          </w:tcPr>
          <w:p w14:paraId="3D3E09C9" w14:textId="77777777" w:rsidR="0032043A" w:rsidRPr="00310498" w:rsidRDefault="0032043A" w:rsidP="00B66717">
            <w:pPr>
              <w:pStyle w:val="Tabletext"/>
              <w:keepNext/>
              <w:keepLines/>
            </w:pPr>
          </w:p>
        </w:tc>
        <w:tc>
          <w:tcPr>
            <w:tcW w:w="2084" w:type="dxa"/>
            <w:vAlign w:val="center"/>
          </w:tcPr>
          <w:p w14:paraId="100A2E94" w14:textId="77777777" w:rsidR="0032043A" w:rsidRPr="00310498" w:rsidRDefault="0032043A" w:rsidP="00B66717">
            <w:pPr>
              <w:pStyle w:val="Tabletext"/>
              <w:keepNext/>
              <w:keepLines/>
            </w:pPr>
            <w:r w:rsidRPr="00310498">
              <w:t>HR (95% CI) vs PC</w:t>
            </w:r>
          </w:p>
        </w:tc>
        <w:tc>
          <w:tcPr>
            <w:tcW w:w="1920" w:type="dxa"/>
            <w:vAlign w:val="center"/>
          </w:tcPr>
          <w:p w14:paraId="71A98CF9" w14:textId="2A0170F1" w:rsidR="0032043A" w:rsidRPr="00310498" w:rsidRDefault="0032043A" w:rsidP="00B66717">
            <w:pPr>
              <w:pStyle w:val="Tabletext"/>
              <w:keepNext/>
              <w:keepLines/>
              <w:jc w:val="center"/>
            </w:pPr>
            <w:r>
              <w:t>-</w:t>
            </w:r>
          </w:p>
        </w:tc>
        <w:tc>
          <w:tcPr>
            <w:tcW w:w="1800" w:type="dxa"/>
            <w:vAlign w:val="center"/>
          </w:tcPr>
          <w:p w14:paraId="109228EB" w14:textId="55B50879" w:rsidR="0032043A" w:rsidRPr="00310498" w:rsidRDefault="0032043A" w:rsidP="00B66717">
            <w:pPr>
              <w:pStyle w:val="Tabletext"/>
              <w:keepNext/>
              <w:keepLines/>
              <w:jc w:val="center"/>
            </w:pPr>
            <w:r w:rsidRPr="00310498">
              <w:t>0.71 (0.57</w:t>
            </w:r>
            <w:r>
              <w:t xml:space="preserve">, </w:t>
            </w:r>
            <w:r w:rsidRPr="00310498">
              <w:t>0.89)</w:t>
            </w:r>
          </w:p>
        </w:tc>
        <w:tc>
          <w:tcPr>
            <w:tcW w:w="1941" w:type="dxa"/>
            <w:vAlign w:val="center"/>
          </w:tcPr>
          <w:p w14:paraId="5238679B" w14:textId="700C59C6" w:rsidR="0032043A" w:rsidRPr="00310498" w:rsidRDefault="0032043A" w:rsidP="00B66717">
            <w:pPr>
              <w:pStyle w:val="Tabletext"/>
              <w:keepNext/>
              <w:keepLines/>
              <w:jc w:val="center"/>
            </w:pPr>
            <w:r w:rsidRPr="00310498">
              <w:t>0.55 (0.43</w:t>
            </w:r>
            <w:r>
              <w:t xml:space="preserve">, </w:t>
            </w:r>
            <w:r w:rsidRPr="00310498">
              <w:t>0.69)</w:t>
            </w:r>
          </w:p>
        </w:tc>
      </w:tr>
      <w:tr w:rsidR="0032043A" w:rsidRPr="00310498" w14:paraId="2499A7A2" w14:textId="77777777" w:rsidTr="009D1131">
        <w:tc>
          <w:tcPr>
            <w:tcW w:w="1271" w:type="dxa"/>
            <w:vMerge/>
          </w:tcPr>
          <w:p w14:paraId="6095E2A7" w14:textId="77777777" w:rsidR="0032043A" w:rsidRPr="00310498" w:rsidRDefault="0032043A" w:rsidP="00B66717">
            <w:pPr>
              <w:pStyle w:val="Tabletext"/>
              <w:keepNext/>
              <w:keepLines/>
            </w:pPr>
          </w:p>
        </w:tc>
        <w:tc>
          <w:tcPr>
            <w:tcW w:w="2084" w:type="dxa"/>
            <w:vAlign w:val="center"/>
          </w:tcPr>
          <w:p w14:paraId="7125036C" w14:textId="77777777" w:rsidR="0032043A" w:rsidRPr="00310498" w:rsidRDefault="0032043A" w:rsidP="00B66717">
            <w:pPr>
              <w:pStyle w:val="Tabletext"/>
              <w:keepNext/>
              <w:keepLines/>
            </w:pPr>
            <w:r w:rsidRPr="00310498">
              <w:t>P value</w:t>
            </w:r>
          </w:p>
        </w:tc>
        <w:tc>
          <w:tcPr>
            <w:tcW w:w="1920" w:type="dxa"/>
            <w:vAlign w:val="center"/>
          </w:tcPr>
          <w:p w14:paraId="34012F82" w14:textId="14569F27" w:rsidR="0032043A" w:rsidRPr="00310498" w:rsidRDefault="0032043A" w:rsidP="00B66717">
            <w:pPr>
              <w:pStyle w:val="Tabletext"/>
              <w:keepNext/>
              <w:keepLines/>
              <w:jc w:val="center"/>
            </w:pPr>
            <w:r>
              <w:t>-</w:t>
            </w:r>
          </w:p>
        </w:tc>
        <w:tc>
          <w:tcPr>
            <w:tcW w:w="1800" w:type="dxa"/>
            <w:vAlign w:val="center"/>
          </w:tcPr>
          <w:p w14:paraId="2C887002" w14:textId="77777777" w:rsidR="0032043A" w:rsidRPr="00310498" w:rsidRDefault="0032043A" w:rsidP="00B66717">
            <w:pPr>
              <w:pStyle w:val="Tabletext"/>
              <w:keepNext/>
              <w:keepLines/>
              <w:jc w:val="center"/>
            </w:pPr>
            <w:r w:rsidRPr="00310498">
              <w:t>P=0.003</w:t>
            </w:r>
          </w:p>
        </w:tc>
        <w:tc>
          <w:tcPr>
            <w:tcW w:w="1941" w:type="dxa"/>
            <w:vAlign w:val="center"/>
          </w:tcPr>
          <w:p w14:paraId="093DD825" w14:textId="77777777" w:rsidR="0032043A" w:rsidRPr="00310498" w:rsidRDefault="0032043A" w:rsidP="00B66717">
            <w:pPr>
              <w:pStyle w:val="Tabletext"/>
              <w:keepNext/>
              <w:keepLines/>
              <w:jc w:val="center"/>
            </w:pPr>
            <w:r w:rsidRPr="00310498">
              <w:t>P&lt;0.0001</w:t>
            </w:r>
          </w:p>
        </w:tc>
      </w:tr>
      <w:tr w:rsidR="0032043A" w:rsidRPr="00310498" w14:paraId="5B02B5D6" w14:textId="77777777" w:rsidTr="009D1131">
        <w:tc>
          <w:tcPr>
            <w:tcW w:w="1271" w:type="dxa"/>
            <w:vMerge w:val="restart"/>
          </w:tcPr>
          <w:p w14:paraId="35C0C16D" w14:textId="77777777" w:rsidR="0032043A" w:rsidRPr="00310498" w:rsidRDefault="0032043A" w:rsidP="00B66717">
            <w:pPr>
              <w:pStyle w:val="Tabletext"/>
              <w:keepNext/>
              <w:keepLines/>
            </w:pPr>
            <w:r w:rsidRPr="00310498">
              <w:t>BRCAm</w:t>
            </w:r>
          </w:p>
        </w:tc>
        <w:tc>
          <w:tcPr>
            <w:tcW w:w="2084" w:type="dxa"/>
            <w:vAlign w:val="center"/>
          </w:tcPr>
          <w:p w14:paraId="3EC948B1" w14:textId="77777777" w:rsidR="0032043A" w:rsidRPr="00310498" w:rsidRDefault="0032043A" w:rsidP="00B66717">
            <w:pPr>
              <w:pStyle w:val="Tabletext"/>
              <w:keepNext/>
              <w:keepLines/>
            </w:pPr>
            <w:r w:rsidRPr="00310498">
              <w:t>Events n/N (%)</w:t>
            </w:r>
          </w:p>
        </w:tc>
        <w:tc>
          <w:tcPr>
            <w:tcW w:w="1920" w:type="dxa"/>
            <w:vAlign w:val="center"/>
          </w:tcPr>
          <w:p w14:paraId="4AF67CD3" w14:textId="77777777" w:rsidR="0032043A" w:rsidRPr="00310498" w:rsidRDefault="0032043A" w:rsidP="00B66717">
            <w:pPr>
              <w:pStyle w:val="Tabletext"/>
              <w:keepNext/>
              <w:keepLines/>
              <w:jc w:val="center"/>
            </w:pPr>
            <w:r w:rsidRPr="00310498">
              <w:t>17/22 (77.3)</w:t>
            </w:r>
          </w:p>
        </w:tc>
        <w:tc>
          <w:tcPr>
            <w:tcW w:w="1800" w:type="dxa"/>
            <w:vAlign w:val="center"/>
          </w:tcPr>
          <w:p w14:paraId="6D1F9247" w14:textId="77777777" w:rsidR="0032043A" w:rsidRPr="00310498" w:rsidRDefault="0032043A" w:rsidP="00B66717">
            <w:pPr>
              <w:pStyle w:val="Tabletext"/>
              <w:keepNext/>
              <w:keepLines/>
              <w:jc w:val="center"/>
            </w:pPr>
            <w:r w:rsidRPr="00310498">
              <w:t>10/24 (41.7)</w:t>
            </w:r>
          </w:p>
        </w:tc>
        <w:tc>
          <w:tcPr>
            <w:tcW w:w="1941" w:type="dxa"/>
            <w:vAlign w:val="center"/>
          </w:tcPr>
          <w:p w14:paraId="6F3B8FA6" w14:textId="77777777" w:rsidR="0032043A" w:rsidRPr="00310498" w:rsidRDefault="0032043A" w:rsidP="00B66717">
            <w:pPr>
              <w:pStyle w:val="Tabletext"/>
              <w:keepNext/>
              <w:keepLines/>
              <w:jc w:val="center"/>
            </w:pPr>
            <w:r w:rsidRPr="00310498">
              <w:t>13/30 (43.3)</w:t>
            </w:r>
          </w:p>
        </w:tc>
      </w:tr>
      <w:tr w:rsidR="0032043A" w:rsidRPr="00310498" w14:paraId="39CA55AF" w14:textId="77777777" w:rsidTr="009D1131">
        <w:tc>
          <w:tcPr>
            <w:tcW w:w="1271" w:type="dxa"/>
            <w:vMerge/>
          </w:tcPr>
          <w:p w14:paraId="1206A731" w14:textId="77777777" w:rsidR="0032043A" w:rsidRPr="00310498" w:rsidRDefault="0032043A" w:rsidP="00B66717">
            <w:pPr>
              <w:pStyle w:val="Tabletext"/>
              <w:keepNext/>
              <w:keepLines/>
            </w:pPr>
          </w:p>
        </w:tc>
        <w:tc>
          <w:tcPr>
            <w:tcW w:w="2084" w:type="dxa"/>
            <w:vAlign w:val="center"/>
          </w:tcPr>
          <w:p w14:paraId="2448AB1D" w14:textId="4722C76B" w:rsidR="0032043A" w:rsidRPr="00310498" w:rsidRDefault="0032043A" w:rsidP="00B66717">
            <w:pPr>
              <w:pStyle w:val="Tabletext"/>
              <w:keepNext/>
              <w:keepLines/>
            </w:pPr>
            <w:r w:rsidRPr="00310498">
              <w:t>Median, months (95% CI)</w:t>
            </w:r>
          </w:p>
        </w:tc>
        <w:tc>
          <w:tcPr>
            <w:tcW w:w="1920" w:type="dxa"/>
            <w:vAlign w:val="center"/>
          </w:tcPr>
          <w:p w14:paraId="12D946BD" w14:textId="671E4ADE" w:rsidR="0032043A" w:rsidRPr="00310498" w:rsidRDefault="0032043A" w:rsidP="00B66717">
            <w:pPr>
              <w:pStyle w:val="Tabletext"/>
              <w:keepNext/>
              <w:keepLines/>
              <w:jc w:val="center"/>
            </w:pPr>
            <w:r w:rsidRPr="00310498">
              <w:t>9.5 (6.3</w:t>
            </w:r>
            <w:r>
              <w:t xml:space="preserve">, </w:t>
            </w:r>
            <w:r w:rsidRPr="00310498">
              <w:t>12.3)</w:t>
            </w:r>
          </w:p>
        </w:tc>
        <w:tc>
          <w:tcPr>
            <w:tcW w:w="1800" w:type="dxa"/>
            <w:vAlign w:val="center"/>
          </w:tcPr>
          <w:p w14:paraId="347B73EA" w14:textId="5986EB91" w:rsidR="0032043A" w:rsidRPr="00310498" w:rsidRDefault="0032043A" w:rsidP="00B66717">
            <w:pPr>
              <w:pStyle w:val="Tabletext"/>
              <w:keepNext/>
              <w:keepLines/>
              <w:jc w:val="center"/>
            </w:pPr>
            <w:r w:rsidRPr="00310498">
              <w:t>26.0 (9.6</w:t>
            </w:r>
            <w:r>
              <w:t xml:space="preserve">, </w:t>
            </w:r>
            <w:r w:rsidRPr="00310498">
              <w:t>NR)</w:t>
            </w:r>
          </w:p>
        </w:tc>
        <w:tc>
          <w:tcPr>
            <w:tcW w:w="1941" w:type="dxa"/>
            <w:vAlign w:val="center"/>
          </w:tcPr>
          <w:p w14:paraId="7F1A94C5" w14:textId="5DCEB1DC" w:rsidR="0032043A" w:rsidRPr="00310498" w:rsidRDefault="0032043A" w:rsidP="00B66717">
            <w:pPr>
              <w:pStyle w:val="Tabletext"/>
              <w:keepNext/>
              <w:keepLines/>
              <w:jc w:val="center"/>
            </w:pPr>
            <w:r w:rsidRPr="00310498">
              <w:t>31.8 (10.1</w:t>
            </w:r>
            <w:r>
              <w:t xml:space="preserve">, </w:t>
            </w:r>
            <w:r w:rsidRPr="00310498">
              <w:t>NR)</w:t>
            </w:r>
          </w:p>
        </w:tc>
      </w:tr>
      <w:tr w:rsidR="0032043A" w:rsidRPr="00310498" w14:paraId="6CD6749D" w14:textId="77777777" w:rsidTr="009D1131">
        <w:tc>
          <w:tcPr>
            <w:tcW w:w="1271" w:type="dxa"/>
            <w:vMerge/>
          </w:tcPr>
          <w:p w14:paraId="2245E7D4" w14:textId="77777777" w:rsidR="0032043A" w:rsidRPr="00310498" w:rsidRDefault="0032043A" w:rsidP="00B66717">
            <w:pPr>
              <w:pStyle w:val="Tabletext"/>
              <w:keepNext/>
              <w:keepLines/>
            </w:pPr>
          </w:p>
        </w:tc>
        <w:tc>
          <w:tcPr>
            <w:tcW w:w="2084" w:type="dxa"/>
            <w:vAlign w:val="center"/>
          </w:tcPr>
          <w:p w14:paraId="6EDB6DE7" w14:textId="77777777" w:rsidR="0032043A" w:rsidRPr="00310498" w:rsidRDefault="0032043A" w:rsidP="00B66717">
            <w:pPr>
              <w:pStyle w:val="Tabletext"/>
              <w:keepNext/>
              <w:keepLines/>
            </w:pPr>
            <w:r w:rsidRPr="00310498">
              <w:t>HR (95% CI) vs PC</w:t>
            </w:r>
          </w:p>
        </w:tc>
        <w:tc>
          <w:tcPr>
            <w:tcW w:w="1920" w:type="dxa"/>
            <w:vAlign w:val="center"/>
          </w:tcPr>
          <w:p w14:paraId="73143877" w14:textId="5A244739" w:rsidR="0032043A" w:rsidRPr="00310498" w:rsidRDefault="0032043A" w:rsidP="00B66717">
            <w:pPr>
              <w:pStyle w:val="Tabletext"/>
              <w:keepNext/>
              <w:keepLines/>
              <w:jc w:val="center"/>
            </w:pPr>
            <w:r>
              <w:t>-</w:t>
            </w:r>
          </w:p>
        </w:tc>
        <w:tc>
          <w:tcPr>
            <w:tcW w:w="1800" w:type="dxa"/>
            <w:vAlign w:val="center"/>
          </w:tcPr>
          <w:p w14:paraId="69C72FAE" w14:textId="6FD9A7D5" w:rsidR="0032043A" w:rsidRPr="00310498" w:rsidRDefault="0032043A" w:rsidP="00B66717">
            <w:pPr>
              <w:pStyle w:val="Tabletext"/>
              <w:keepNext/>
              <w:keepLines/>
              <w:jc w:val="center"/>
            </w:pPr>
            <w:r w:rsidRPr="00310498">
              <w:t>0.26 (0.10</w:t>
            </w:r>
            <w:r>
              <w:t xml:space="preserve">, </w:t>
            </w:r>
            <w:r w:rsidRPr="00310498">
              <w:t>0.61)</w:t>
            </w:r>
          </w:p>
        </w:tc>
        <w:tc>
          <w:tcPr>
            <w:tcW w:w="1941" w:type="dxa"/>
            <w:vAlign w:val="center"/>
          </w:tcPr>
          <w:p w14:paraId="197D0932" w14:textId="6EBA13B2" w:rsidR="0032043A" w:rsidRPr="00310498" w:rsidRDefault="0032043A" w:rsidP="00B66717">
            <w:pPr>
              <w:pStyle w:val="Tabletext"/>
              <w:keepNext/>
              <w:keepLines/>
              <w:jc w:val="center"/>
            </w:pPr>
            <w:r w:rsidRPr="00310498">
              <w:t>0.27 (0.12</w:t>
            </w:r>
            <w:r>
              <w:t xml:space="preserve">, </w:t>
            </w:r>
            <w:r w:rsidRPr="00310498">
              <w:t>0.58)</w:t>
            </w:r>
          </w:p>
        </w:tc>
      </w:tr>
      <w:tr w:rsidR="0032043A" w:rsidRPr="00310498" w14:paraId="6F1AC1A9" w14:textId="77777777" w:rsidTr="009D1131">
        <w:tc>
          <w:tcPr>
            <w:tcW w:w="1271" w:type="dxa"/>
            <w:vMerge w:val="restart"/>
          </w:tcPr>
          <w:p w14:paraId="7A44A6BD" w14:textId="77777777" w:rsidR="0032043A" w:rsidRPr="00310498" w:rsidRDefault="0032043A" w:rsidP="00B66717">
            <w:pPr>
              <w:pStyle w:val="Tabletext"/>
              <w:keepNext/>
              <w:keepLines/>
            </w:pPr>
            <w:r w:rsidRPr="00310498">
              <w:t>Non-BRCAm</w:t>
            </w:r>
          </w:p>
        </w:tc>
        <w:tc>
          <w:tcPr>
            <w:tcW w:w="2084" w:type="dxa"/>
            <w:vAlign w:val="center"/>
          </w:tcPr>
          <w:p w14:paraId="36BD9CAB" w14:textId="77777777" w:rsidR="0032043A" w:rsidRPr="00310498" w:rsidRDefault="0032043A" w:rsidP="00B66717">
            <w:pPr>
              <w:pStyle w:val="Tabletext"/>
              <w:keepNext/>
              <w:keepLines/>
            </w:pPr>
            <w:r w:rsidRPr="00310498">
              <w:t>Events n/N (%)</w:t>
            </w:r>
          </w:p>
        </w:tc>
        <w:tc>
          <w:tcPr>
            <w:tcW w:w="1920" w:type="dxa"/>
            <w:vAlign w:val="center"/>
          </w:tcPr>
          <w:p w14:paraId="23301747" w14:textId="77777777" w:rsidR="0032043A" w:rsidRPr="00310498" w:rsidRDefault="0032043A" w:rsidP="00B66717">
            <w:pPr>
              <w:pStyle w:val="Tabletext"/>
              <w:keepNext/>
              <w:keepLines/>
              <w:jc w:val="center"/>
            </w:pPr>
            <w:r w:rsidRPr="00310498">
              <w:t>131/181 (72.4)</w:t>
            </w:r>
          </w:p>
        </w:tc>
        <w:tc>
          <w:tcPr>
            <w:tcW w:w="1800" w:type="dxa"/>
            <w:vAlign w:val="center"/>
          </w:tcPr>
          <w:p w14:paraId="06F9B964" w14:textId="77777777" w:rsidR="0032043A" w:rsidRPr="00310498" w:rsidRDefault="0032043A" w:rsidP="00B66717">
            <w:pPr>
              <w:pStyle w:val="Tabletext"/>
              <w:keepNext/>
              <w:keepLines/>
              <w:jc w:val="center"/>
            </w:pPr>
            <w:r w:rsidRPr="00310498">
              <w:t>108/180 (60)</w:t>
            </w:r>
          </w:p>
        </w:tc>
        <w:tc>
          <w:tcPr>
            <w:tcW w:w="1941" w:type="dxa"/>
            <w:vAlign w:val="center"/>
          </w:tcPr>
          <w:p w14:paraId="3549E674" w14:textId="77777777" w:rsidR="0032043A" w:rsidRPr="00310498" w:rsidRDefault="0032043A" w:rsidP="00B66717">
            <w:pPr>
              <w:pStyle w:val="Tabletext"/>
              <w:keepNext/>
              <w:keepLines/>
              <w:jc w:val="center"/>
            </w:pPr>
            <w:r w:rsidRPr="00310498">
              <w:t>98/182 (53.8)</w:t>
            </w:r>
          </w:p>
        </w:tc>
      </w:tr>
      <w:tr w:rsidR="0032043A" w:rsidRPr="00310498" w14:paraId="68E18842" w14:textId="77777777" w:rsidTr="009D1131">
        <w:tc>
          <w:tcPr>
            <w:tcW w:w="1271" w:type="dxa"/>
            <w:vMerge/>
          </w:tcPr>
          <w:p w14:paraId="70846235" w14:textId="77777777" w:rsidR="0032043A" w:rsidRPr="00310498" w:rsidRDefault="0032043A" w:rsidP="00B66717">
            <w:pPr>
              <w:pStyle w:val="Tabletext"/>
              <w:keepNext/>
              <w:keepLines/>
            </w:pPr>
          </w:p>
        </w:tc>
        <w:tc>
          <w:tcPr>
            <w:tcW w:w="2084" w:type="dxa"/>
            <w:vAlign w:val="center"/>
          </w:tcPr>
          <w:p w14:paraId="21B88829" w14:textId="672A0150" w:rsidR="0032043A" w:rsidRPr="00310498" w:rsidRDefault="0032043A" w:rsidP="00B66717">
            <w:pPr>
              <w:pStyle w:val="Tabletext"/>
              <w:keepNext/>
              <w:keepLines/>
            </w:pPr>
            <w:r w:rsidRPr="00310498">
              <w:t>Median, months (95% CI)</w:t>
            </w:r>
          </w:p>
        </w:tc>
        <w:tc>
          <w:tcPr>
            <w:tcW w:w="1920" w:type="dxa"/>
            <w:vAlign w:val="center"/>
          </w:tcPr>
          <w:p w14:paraId="3F4C5EF1" w14:textId="73AAEFDC" w:rsidR="0032043A" w:rsidRPr="00310498" w:rsidRDefault="0032043A" w:rsidP="00B66717">
            <w:pPr>
              <w:pStyle w:val="Tabletext"/>
              <w:keepNext/>
              <w:keepLines/>
              <w:jc w:val="center"/>
            </w:pPr>
            <w:r w:rsidRPr="00310498">
              <w:t>9.7 (8.3</w:t>
            </w:r>
            <w:r>
              <w:t xml:space="preserve">, </w:t>
            </w:r>
            <w:r w:rsidRPr="00310498">
              <w:t>12)</w:t>
            </w:r>
          </w:p>
        </w:tc>
        <w:tc>
          <w:tcPr>
            <w:tcW w:w="1800" w:type="dxa"/>
            <w:vAlign w:val="center"/>
          </w:tcPr>
          <w:p w14:paraId="6FE3196A" w14:textId="332C615E" w:rsidR="0032043A" w:rsidRPr="00310498" w:rsidRDefault="0032043A" w:rsidP="00B66717">
            <w:pPr>
              <w:pStyle w:val="Tabletext"/>
              <w:keepNext/>
              <w:keepLines/>
              <w:jc w:val="center"/>
            </w:pPr>
            <w:r w:rsidRPr="00310498">
              <w:t>10.5 (9.7</w:t>
            </w:r>
            <w:r>
              <w:t xml:space="preserve">, </w:t>
            </w:r>
            <w:r w:rsidRPr="00310498">
              <w:t>15)</w:t>
            </w:r>
          </w:p>
        </w:tc>
        <w:tc>
          <w:tcPr>
            <w:tcW w:w="1941" w:type="dxa"/>
            <w:vAlign w:val="center"/>
          </w:tcPr>
          <w:p w14:paraId="7652FDDA" w14:textId="4C5D3A8B" w:rsidR="0032043A" w:rsidRPr="00310498" w:rsidRDefault="0032043A" w:rsidP="00B66717">
            <w:pPr>
              <w:pStyle w:val="Tabletext"/>
              <w:keepNext/>
              <w:keepLines/>
              <w:jc w:val="center"/>
            </w:pPr>
            <w:r w:rsidRPr="00310498">
              <w:t>15.1 (12.6</w:t>
            </w:r>
            <w:r>
              <w:t xml:space="preserve">, </w:t>
            </w:r>
            <w:r w:rsidRPr="00310498">
              <w:t>20.7)</w:t>
            </w:r>
          </w:p>
        </w:tc>
      </w:tr>
      <w:tr w:rsidR="0032043A" w:rsidRPr="00310498" w14:paraId="78B01016" w14:textId="77777777" w:rsidTr="009D1131">
        <w:tc>
          <w:tcPr>
            <w:tcW w:w="1271" w:type="dxa"/>
            <w:vMerge/>
          </w:tcPr>
          <w:p w14:paraId="2F3533C1" w14:textId="77777777" w:rsidR="0032043A" w:rsidRPr="00310498" w:rsidRDefault="0032043A" w:rsidP="00B66717">
            <w:pPr>
              <w:pStyle w:val="Tabletext"/>
              <w:keepNext/>
              <w:keepLines/>
            </w:pPr>
          </w:p>
        </w:tc>
        <w:tc>
          <w:tcPr>
            <w:tcW w:w="2084" w:type="dxa"/>
            <w:vAlign w:val="center"/>
          </w:tcPr>
          <w:p w14:paraId="270F3C8B" w14:textId="77777777" w:rsidR="0032043A" w:rsidRPr="00310498" w:rsidRDefault="0032043A" w:rsidP="00B66717">
            <w:pPr>
              <w:pStyle w:val="Tabletext"/>
              <w:keepNext/>
              <w:keepLines/>
            </w:pPr>
            <w:r w:rsidRPr="00310498">
              <w:t>HR (95% CI) vs PC</w:t>
            </w:r>
          </w:p>
        </w:tc>
        <w:tc>
          <w:tcPr>
            <w:tcW w:w="1920" w:type="dxa"/>
            <w:vAlign w:val="center"/>
          </w:tcPr>
          <w:p w14:paraId="0E927AA3" w14:textId="3CCD4E6B" w:rsidR="0032043A" w:rsidRPr="00310498" w:rsidRDefault="0032043A" w:rsidP="00B66717">
            <w:pPr>
              <w:pStyle w:val="Tabletext"/>
              <w:keepNext/>
              <w:keepLines/>
              <w:jc w:val="center"/>
            </w:pPr>
            <w:r>
              <w:t>-</w:t>
            </w:r>
          </w:p>
        </w:tc>
        <w:tc>
          <w:tcPr>
            <w:tcW w:w="1800" w:type="dxa"/>
            <w:vAlign w:val="center"/>
          </w:tcPr>
          <w:p w14:paraId="24778666" w14:textId="16B7DE0D" w:rsidR="0032043A" w:rsidRPr="00310498" w:rsidRDefault="0032043A" w:rsidP="00B66717">
            <w:pPr>
              <w:pStyle w:val="Tabletext"/>
              <w:keepNext/>
              <w:keepLines/>
              <w:jc w:val="center"/>
            </w:pPr>
            <w:r w:rsidRPr="00310498">
              <w:t>0.73 (0.56</w:t>
            </w:r>
            <w:r>
              <w:t xml:space="preserve">, </w:t>
            </w:r>
            <w:r w:rsidRPr="00310498">
              <w:t>0.94)</w:t>
            </w:r>
          </w:p>
        </w:tc>
        <w:tc>
          <w:tcPr>
            <w:tcW w:w="1941" w:type="dxa"/>
            <w:vAlign w:val="center"/>
          </w:tcPr>
          <w:p w14:paraId="186BBFF6" w14:textId="061891F1" w:rsidR="0032043A" w:rsidRPr="00310498" w:rsidRDefault="0032043A" w:rsidP="00B66717">
            <w:pPr>
              <w:pStyle w:val="Tabletext"/>
              <w:keepNext/>
              <w:keepLines/>
              <w:jc w:val="center"/>
            </w:pPr>
            <w:r w:rsidRPr="00310498">
              <w:t>0.56 (0.43</w:t>
            </w:r>
            <w:r>
              <w:t xml:space="preserve">, </w:t>
            </w:r>
            <w:r w:rsidRPr="00310498">
              <w:t>0.73)</w:t>
            </w:r>
          </w:p>
        </w:tc>
      </w:tr>
      <w:tr w:rsidR="0032043A" w:rsidRPr="00310498" w14:paraId="028929F1" w14:textId="77777777" w:rsidTr="009D1131">
        <w:tc>
          <w:tcPr>
            <w:tcW w:w="1271" w:type="dxa"/>
            <w:vMerge w:val="restart"/>
          </w:tcPr>
          <w:p w14:paraId="15662663" w14:textId="77777777" w:rsidR="0032043A" w:rsidRPr="00310498" w:rsidRDefault="0032043A" w:rsidP="00B66717">
            <w:pPr>
              <w:pStyle w:val="Tabletext"/>
              <w:keepNext/>
              <w:keepLines/>
            </w:pPr>
            <w:r w:rsidRPr="00310498">
              <w:t>Unknown</w:t>
            </w:r>
          </w:p>
        </w:tc>
        <w:tc>
          <w:tcPr>
            <w:tcW w:w="2084" w:type="dxa"/>
            <w:vAlign w:val="center"/>
          </w:tcPr>
          <w:p w14:paraId="0ADB6A53" w14:textId="77777777" w:rsidR="0032043A" w:rsidRPr="00310498" w:rsidRDefault="0032043A" w:rsidP="00B66717">
            <w:pPr>
              <w:pStyle w:val="Tabletext"/>
              <w:keepNext/>
              <w:keepLines/>
            </w:pPr>
            <w:r w:rsidRPr="00310498">
              <w:t>Events n/N (%)</w:t>
            </w:r>
          </w:p>
        </w:tc>
        <w:tc>
          <w:tcPr>
            <w:tcW w:w="1920" w:type="dxa"/>
            <w:vAlign w:val="center"/>
          </w:tcPr>
          <w:p w14:paraId="1E8ABB23" w14:textId="77777777" w:rsidR="0032043A" w:rsidRPr="00310498" w:rsidRDefault="0032043A" w:rsidP="00B66717">
            <w:pPr>
              <w:pStyle w:val="Tabletext"/>
              <w:keepNext/>
              <w:keepLines/>
              <w:jc w:val="center"/>
            </w:pPr>
            <w:r w:rsidRPr="00310498">
              <w:t>25/38 (65.8)</w:t>
            </w:r>
          </w:p>
        </w:tc>
        <w:tc>
          <w:tcPr>
            <w:tcW w:w="1800" w:type="dxa"/>
            <w:vAlign w:val="center"/>
          </w:tcPr>
          <w:p w14:paraId="4B39DE0B" w14:textId="77777777" w:rsidR="0032043A" w:rsidRPr="00310498" w:rsidRDefault="0032043A" w:rsidP="00B66717">
            <w:pPr>
              <w:pStyle w:val="Tabletext"/>
              <w:keepNext/>
              <w:keepLines/>
              <w:jc w:val="center"/>
            </w:pPr>
            <w:r w:rsidRPr="00310498">
              <w:t>21/34 (61.8)</w:t>
            </w:r>
          </w:p>
        </w:tc>
        <w:tc>
          <w:tcPr>
            <w:tcW w:w="1941" w:type="dxa"/>
            <w:vAlign w:val="center"/>
          </w:tcPr>
          <w:p w14:paraId="06082BE8" w14:textId="77777777" w:rsidR="0032043A" w:rsidRPr="00310498" w:rsidRDefault="0032043A" w:rsidP="00B66717">
            <w:pPr>
              <w:pStyle w:val="Tabletext"/>
              <w:keepNext/>
              <w:keepLines/>
              <w:jc w:val="center"/>
            </w:pPr>
            <w:r w:rsidRPr="00310498">
              <w:t>15/27 (55.6)</w:t>
            </w:r>
          </w:p>
        </w:tc>
      </w:tr>
      <w:tr w:rsidR="0032043A" w:rsidRPr="00310498" w14:paraId="41C236FB" w14:textId="77777777" w:rsidTr="009D1131">
        <w:tc>
          <w:tcPr>
            <w:tcW w:w="1271" w:type="dxa"/>
            <w:vMerge/>
          </w:tcPr>
          <w:p w14:paraId="631AC10A" w14:textId="77777777" w:rsidR="0032043A" w:rsidRPr="00310498" w:rsidRDefault="0032043A" w:rsidP="00B66717">
            <w:pPr>
              <w:pStyle w:val="Tabletext"/>
              <w:keepNext/>
              <w:keepLines/>
            </w:pPr>
          </w:p>
        </w:tc>
        <w:tc>
          <w:tcPr>
            <w:tcW w:w="2084" w:type="dxa"/>
            <w:vAlign w:val="center"/>
          </w:tcPr>
          <w:p w14:paraId="146C8936" w14:textId="29FA3E04" w:rsidR="0032043A" w:rsidRPr="00310498" w:rsidRDefault="0032043A" w:rsidP="00B66717">
            <w:pPr>
              <w:pStyle w:val="Tabletext"/>
              <w:keepNext/>
              <w:keepLines/>
            </w:pPr>
            <w:r w:rsidRPr="00310498">
              <w:t>Median, months (95% CI)</w:t>
            </w:r>
          </w:p>
        </w:tc>
        <w:tc>
          <w:tcPr>
            <w:tcW w:w="1920" w:type="dxa"/>
            <w:vAlign w:val="center"/>
          </w:tcPr>
          <w:p w14:paraId="22D8884D" w14:textId="3AB0E2FD" w:rsidR="0032043A" w:rsidRPr="00310498" w:rsidRDefault="0032043A" w:rsidP="00B66717">
            <w:pPr>
              <w:pStyle w:val="Tabletext"/>
              <w:keepNext/>
              <w:keepLines/>
              <w:jc w:val="center"/>
            </w:pPr>
            <w:r w:rsidRPr="00310498">
              <w:t>9.5 (7.1</w:t>
            </w:r>
            <w:r>
              <w:t xml:space="preserve">, </w:t>
            </w:r>
            <w:r w:rsidRPr="00310498">
              <w:t>11.6)</w:t>
            </w:r>
          </w:p>
        </w:tc>
        <w:tc>
          <w:tcPr>
            <w:tcW w:w="1800" w:type="dxa"/>
            <w:vAlign w:val="center"/>
          </w:tcPr>
          <w:p w14:paraId="67F1C7D7" w14:textId="160DBE8A" w:rsidR="0032043A" w:rsidRPr="00310498" w:rsidRDefault="0032043A" w:rsidP="00B66717">
            <w:pPr>
              <w:pStyle w:val="Tabletext"/>
              <w:keepNext/>
              <w:keepLines/>
              <w:jc w:val="center"/>
            </w:pPr>
            <w:r w:rsidRPr="00310498">
              <w:t>8.8 (7.1</w:t>
            </w:r>
            <w:r>
              <w:t xml:space="preserve">, </w:t>
            </w:r>
            <w:r w:rsidRPr="00310498">
              <w:t>15.2)</w:t>
            </w:r>
          </w:p>
        </w:tc>
        <w:tc>
          <w:tcPr>
            <w:tcW w:w="1941" w:type="dxa"/>
            <w:vAlign w:val="center"/>
          </w:tcPr>
          <w:p w14:paraId="418C6317" w14:textId="2F00CC6A" w:rsidR="0032043A" w:rsidRPr="00310498" w:rsidRDefault="0032043A" w:rsidP="00B66717">
            <w:pPr>
              <w:pStyle w:val="Tabletext"/>
              <w:keepNext/>
              <w:keepLines/>
              <w:jc w:val="center"/>
            </w:pPr>
            <w:r w:rsidRPr="00310498">
              <w:t>9.9 (6.2</w:t>
            </w:r>
            <w:r>
              <w:t xml:space="preserve">, </w:t>
            </w:r>
            <w:r w:rsidRPr="00310498">
              <w:t>NR)</w:t>
            </w:r>
          </w:p>
        </w:tc>
      </w:tr>
      <w:tr w:rsidR="0032043A" w:rsidRPr="00310498" w14:paraId="5127DF07" w14:textId="77777777" w:rsidTr="009D1131">
        <w:tc>
          <w:tcPr>
            <w:tcW w:w="1271" w:type="dxa"/>
            <w:vMerge/>
          </w:tcPr>
          <w:p w14:paraId="52C41BEA" w14:textId="77777777" w:rsidR="0032043A" w:rsidRPr="00310498" w:rsidRDefault="0032043A" w:rsidP="00B66717">
            <w:pPr>
              <w:pStyle w:val="Tabletext"/>
              <w:keepNext/>
              <w:keepLines/>
            </w:pPr>
          </w:p>
        </w:tc>
        <w:tc>
          <w:tcPr>
            <w:tcW w:w="2084" w:type="dxa"/>
            <w:vAlign w:val="center"/>
          </w:tcPr>
          <w:p w14:paraId="486FCCF4" w14:textId="77777777" w:rsidR="0032043A" w:rsidRPr="00310498" w:rsidRDefault="0032043A" w:rsidP="00B66717">
            <w:pPr>
              <w:pStyle w:val="Tabletext"/>
              <w:keepNext/>
              <w:keepLines/>
            </w:pPr>
            <w:r w:rsidRPr="00310498">
              <w:t>HR (95% CI) vs PC</w:t>
            </w:r>
          </w:p>
        </w:tc>
        <w:tc>
          <w:tcPr>
            <w:tcW w:w="1920" w:type="dxa"/>
            <w:vAlign w:val="center"/>
          </w:tcPr>
          <w:p w14:paraId="04168A88" w14:textId="2B462A40" w:rsidR="0032043A" w:rsidRPr="00310498" w:rsidRDefault="0032043A" w:rsidP="00B66717">
            <w:pPr>
              <w:pStyle w:val="Tabletext"/>
              <w:keepNext/>
              <w:keepLines/>
              <w:jc w:val="center"/>
            </w:pPr>
            <w:r>
              <w:t>-</w:t>
            </w:r>
          </w:p>
        </w:tc>
        <w:tc>
          <w:tcPr>
            <w:tcW w:w="1800" w:type="dxa"/>
            <w:vAlign w:val="center"/>
          </w:tcPr>
          <w:p w14:paraId="6FCD275F" w14:textId="329CF65E" w:rsidR="0032043A" w:rsidRPr="00310498" w:rsidRDefault="0032043A" w:rsidP="00B66717">
            <w:pPr>
              <w:pStyle w:val="Tabletext"/>
              <w:keepNext/>
              <w:keepLines/>
              <w:jc w:val="center"/>
            </w:pPr>
            <w:r w:rsidRPr="00310498">
              <w:t>0.80 (0.44</w:t>
            </w:r>
            <w:r>
              <w:t xml:space="preserve">, </w:t>
            </w:r>
            <w:r w:rsidRPr="00310498">
              <w:t>1.42)</w:t>
            </w:r>
          </w:p>
        </w:tc>
        <w:tc>
          <w:tcPr>
            <w:tcW w:w="1941" w:type="dxa"/>
            <w:vAlign w:val="center"/>
          </w:tcPr>
          <w:p w14:paraId="2C6C488C" w14:textId="75CE51D3" w:rsidR="0032043A" w:rsidRPr="00310498" w:rsidRDefault="0032043A" w:rsidP="00B66717">
            <w:pPr>
              <w:pStyle w:val="Tabletext"/>
              <w:keepNext/>
              <w:keepLines/>
              <w:jc w:val="center"/>
            </w:pPr>
            <w:r w:rsidRPr="00310498">
              <w:t>0.77 (0.40</w:t>
            </w:r>
            <w:r>
              <w:t xml:space="preserve">, </w:t>
            </w:r>
            <w:r w:rsidRPr="00310498">
              <w:t>1.45)</w:t>
            </w:r>
          </w:p>
        </w:tc>
      </w:tr>
    </w:tbl>
    <w:p w14:paraId="6C18F140" w14:textId="77777777" w:rsidR="00E24B8A" w:rsidRPr="00310498" w:rsidRDefault="00E24B8A" w:rsidP="00D17A65">
      <w:pPr>
        <w:pStyle w:val="TableFigureFooter"/>
      </w:pPr>
      <w:r w:rsidRPr="00310498">
        <w:t>Source: Table 2.27, p102 of the submission.</w:t>
      </w:r>
    </w:p>
    <w:p w14:paraId="01A3E3EB" w14:textId="6172E7AA" w:rsidR="00485DF5" w:rsidRPr="00310498" w:rsidRDefault="00485DF5" w:rsidP="00D17A65">
      <w:pPr>
        <w:pStyle w:val="TableFigureFooter"/>
      </w:pPr>
      <w:r w:rsidRPr="00310498">
        <w:t xml:space="preserve">BRCA = breast cancer gene mutation; dMMR = </w:t>
      </w:r>
      <w:r w:rsidR="00BB2BCF" w:rsidRPr="00310498">
        <w:t xml:space="preserve">deficient </w:t>
      </w:r>
      <w:r w:rsidRPr="00310498">
        <w:t xml:space="preserve">mismatch repair; ITT = intention to treat; NR = not reached; </w:t>
      </w:r>
      <w:r w:rsidR="0041670E" w:rsidRPr="00310498">
        <w:t>PC = paclitaxel + carboplatin</w:t>
      </w:r>
      <w:r w:rsidRPr="00310498">
        <w:t xml:space="preserve">; PFS = progression free survival; pMMR = </w:t>
      </w:r>
      <w:r w:rsidR="00BB2BCF" w:rsidRPr="00310498">
        <w:t xml:space="preserve">proficient </w:t>
      </w:r>
      <w:r w:rsidRPr="00310498">
        <w:t xml:space="preserve">mismatch repair </w:t>
      </w:r>
    </w:p>
    <w:p w14:paraId="3ADDF2CD" w14:textId="41369810" w:rsidR="00485DF5" w:rsidRPr="00310498" w:rsidRDefault="00485DF5" w:rsidP="00485DF5">
      <w:pPr>
        <w:pStyle w:val="3-BodyText"/>
      </w:pPr>
      <w:r w:rsidRPr="00310498">
        <w:t xml:space="preserve">The median PFS results for the ITT population showed improvement in PFS for both durvalumab + PC and durvalumab + PC + olaparib versus PC, in both patients with confirmed </w:t>
      </w:r>
      <w:r w:rsidRPr="0032043A">
        <w:rPr>
          <w:i/>
          <w:iCs/>
        </w:rPr>
        <w:t xml:space="preserve">BRCAm </w:t>
      </w:r>
      <w:r w:rsidRPr="00310498">
        <w:t>and confirmed non</w:t>
      </w:r>
      <w:r w:rsidR="00BA5EE2" w:rsidRPr="00310498">
        <w:t>-</w:t>
      </w:r>
      <w:r w:rsidRPr="0032043A">
        <w:rPr>
          <w:i/>
          <w:iCs/>
        </w:rPr>
        <w:t>BRCAm</w:t>
      </w:r>
      <w:r w:rsidRPr="00310498">
        <w:t xml:space="preserve"> status. </w:t>
      </w:r>
      <w:r w:rsidR="00BA5EE2" w:rsidRPr="00310498">
        <w:t xml:space="preserve">The PSCR noted that the proportion of patients with unknown </w:t>
      </w:r>
      <w:r w:rsidR="00BA5EE2" w:rsidRPr="0032043A">
        <w:rPr>
          <w:i/>
          <w:iCs/>
        </w:rPr>
        <w:t xml:space="preserve">BRCA </w:t>
      </w:r>
      <w:r w:rsidR="00BA5EE2" w:rsidRPr="00310498">
        <w:t xml:space="preserve">status was small (99/718, 13.8%) and therefore </w:t>
      </w:r>
      <w:r w:rsidR="00F71A26" w:rsidRPr="00310498">
        <w:t>results of th</w:t>
      </w:r>
      <w:r w:rsidR="00DE2DCE">
        <w:t xml:space="preserve">e unknown </w:t>
      </w:r>
      <w:r w:rsidR="00DE2DCE" w:rsidRPr="0032043A">
        <w:rPr>
          <w:i/>
          <w:iCs/>
        </w:rPr>
        <w:t xml:space="preserve">BRCA </w:t>
      </w:r>
      <w:r w:rsidR="00DE2DCE" w:rsidRPr="00310498">
        <w:t>status</w:t>
      </w:r>
      <w:r w:rsidR="00F71A26" w:rsidRPr="00310498">
        <w:t xml:space="preserve"> subgroup</w:t>
      </w:r>
      <w:r w:rsidR="00BA5EE2" w:rsidRPr="00310498">
        <w:t xml:space="preserve"> were highly uncertain.</w:t>
      </w:r>
    </w:p>
    <w:p w14:paraId="4CF91FA7" w14:textId="6B45C99D" w:rsidR="003A2460" w:rsidRPr="00310498" w:rsidRDefault="00BD5D24" w:rsidP="00485DF5">
      <w:pPr>
        <w:pStyle w:val="3-BodyText"/>
      </w:pPr>
      <w:r w:rsidRPr="00310498">
        <w:t>P</w:t>
      </w:r>
      <w:r w:rsidR="00485DF5" w:rsidRPr="00310498">
        <w:t xml:space="preserve">atients with </w:t>
      </w:r>
      <w:r w:rsidR="00485DF5" w:rsidRPr="0032043A">
        <w:rPr>
          <w:i/>
          <w:iCs/>
        </w:rPr>
        <w:t>BRCAm</w:t>
      </w:r>
      <w:r w:rsidR="00485DF5" w:rsidRPr="00310498">
        <w:t xml:space="preserve"> </w:t>
      </w:r>
      <w:r w:rsidR="004C1C18" w:rsidRPr="00310498">
        <w:t>comprised</w:t>
      </w:r>
      <w:r w:rsidR="00485DF5" w:rsidRPr="00310498">
        <w:t xml:space="preserve"> only a small proportion (10.6%) of the total patient population</w:t>
      </w:r>
      <w:r w:rsidR="009B3748" w:rsidRPr="00310498">
        <w:t xml:space="preserve">. The ESC noted that although patients in the </w:t>
      </w:r>
      <w:r w:rsidR="009B3748" w:rsidRPr="0032043A">
        <w:rPr>
          <w:i/>
          <w:iCs/>
        </w:rPr>
        <w:t>BRCAm</w:t>
      </w:r>
      <w:r w:rsidR="009B3748" w:rsidRPr="00310498">
        <w:t xml:space="preserve"> subgroup experienced better outcomes than those in the non-</w:t>
      </w:r>
      <w:r w:rsidR="009B3748" w:rsidRPr="0032043A">
        <w:rPr>
          <w:i/>
          <w:iCs/>
        </w:rPr>
        <w:t>BRCAm</w:t>
      </w:r>
      <w:r w:rsidR="009B3748" w:rsidRPr="00310498">
        <w:t xml:space="preserve"> subgroup and the ITT population, the 95% confidence intervals overlapped. In addition, </w:t>
      </w:r>
      <w:r w:rsidRPr="00310498">
        <w:t>the ESC</w:t>
      </w:r>
      <w:r w:rsidR="009B3748" w:rsidRPr="00310498">
        <w:t xml:space="preserve"> noted</w:t>
      </w:r>
      <w:r w:rsidR="009D1131" w:rsidRPr="00310498">
        <w:t xml:space="preserve"> that </w:t>
      </w:r>
      <w:r w:rsidR="00485DF5" w:rsidRPr="00310498">
        <w:t xml:space="preserve">the PFS </w:t>
      </w:r>
      <w:r w:rsidR="0032043A">
        <w:t>hazard ratios</w:t>
      </w:r>
      <w:r w:rsidR="00485DF5" w:rsidRPr="00310498">
        <w:t xml:space="preserve"> for durvalumab + PC and durvalumab + PC + olaparib (compared to PC)</w:t>
      </w:r>
      <w:r w:rsidR="009D1131" w:rsidRPr="00310498">
        <w:t xml:space="preserve"> were similar</w:t>
      </w:r>
      <w:r w:rsidR="000B0863" w:rsidRPr="00310498">
        <w:t xml:space="preserve"> (i.e. the addition of olaparib did not appear to improve efficacy in </w:t>
      </w:r>
      <w:r w:rsidR="000B0863" w:rsidRPr="0032043A">
        <w:rPr>
          <w:i/>
          <w:iCs/>
        </w:rPr>
        <w:t xml:space="preserve">BRCAm </w:t>
      </w:r>
      <w:r w:rsidR="000B0863" w:rsidRPr="00310498">
        <w:t xml:space="preserve">patients). </w:t>
      </w:r>
      <w:r w:rsidR="009B3748" w:rsidRPr="00310498">
        <w:t>However, t</w:t>
      </w:r>
      <w:r w:rsidR="000B0863" w:rsidRPr="00310498">
        <w:t xml:space="preserve">he ESC </w:t>
      </w:r>
      <w:r w:rsidR="009B3748" w:rsidRPr="00310498">
        <w:t xml:space="preserve">also </w:t>
      </w:r>
      <w:r w:rsidR="000B0863" w:rsidRPr="00310498">
        <w:t>noted that, in the non-</w:t>
      </w:r>
      <w:r w:rsidR="000B0863" w:rsidRPr="0032043A">
        <w:rPr>
          <w:i/>
          <w:iCs/>
        </w:rPr>
        <w:t xml:space="preserve">BRCAm </w:t>
      </w:r>
      <w:r w:rsidR="000B0863" w:rsidRPr="00310498">
        <w:t xml:space="preserve">subgroup, the point estimate of the </w:t>
      </w:r>
      <w:r w:rsidR="0032043A">
        <w:t>hazard ratio</w:t>
      </w:r>
      <w:r w:rsidR="000B0863" w:rsidRPr="00310498">
        <w:t xml:space="preserve"> for PFS was better in the durvalumab + PC + olaparib arm than in the durvalumab + PC arm. The ESC considered that these results appeared to be counter-intuitive and highlighted the uncertainties with the multiple </w:t>
      </w:r>
      <w:r w:rsidR="000B0863" w:rsidRPr="0032043A">
        <w:rPr>
          <w:i/>
          <w:iCs/>
        </w:rPr>
        <w:t>post-hoc</w:t>
      </w:r>
      <w:r w:rsidR="000B0863" w:rsidRPr="00310498">
        <w:t xml:space="preserve"> subgroup analyses that were conducted</w:t>
      </w:r>
      <w:r w:rsidR="003A2460" w:rsidRPr="00310498">
        <w:t>.</w:t>
      </w:r>
      <w:r w:rsidR="009D1131" w:rsidRPr="00310498">
        <w:t xml:space="preserve"> </w:t>
      </w:r>
    </w:p>
    <w:p w14:paraId="0527CBF5" w14:textId="514D0414" w:rsidR="009D1131" w:rsidRPr="00310498" w:rsidRDefault="009D1131" w:rsidP="00485DF5">
      <w:pPr>
        <w:pStyle w:val="3-BodyText"/>
      </w:pPr>
      <w:r w:rsidRPr="00310498">
        <w:t xml:space="preserve">The ESC noted that at baseline, </w:t>
      </w:r>
      <w:r w:rsidR="00BA5EE2" w:rsidRPr="00310498">
        <w:t xml:space="preserve">although the proportions of patients with </w:t>
      </w:r>
      <w:r w:rsidR="00BA5EE2" w:rsidRPr="0032043A">
        <w:rPr>
          <w:i/>
          <w:iCs/>
        </w:rPr>
        <w:t>BRCAm</w:t>
      </w:r>
      <w:r w:rsidR="00BA5EE2" w:rsidRPr="00310498">
        <w:t xml:space="preserve"> were similar across the arms (9-12%), </w:t>
      </w:r>
      <w:r w:rsidRPr="00310498">
        <w:t xml:space="preserve">patients in the durvalumab + PC + olaparib arm had a higher incidence of homologous recombination repair gene </w:t>
      </w:r>
      <w:r w:rsidR="0032043A">
        <w:t>pathogenic variation</w:t>
      </w:r>
      <w:r w:rsidRPr="00310498">
        <w:t xml:space="preserve"> (</w:t>
      </w:r>
      <w:r w:rsidRPr="0032043A">
        <w:rPr>
          <w:i/>
          <w:iCs/>
        </w:rPr>
        <w:t>HRRm</w:t>
      </w:r>
      <w:r w:rsidRPr="00310498">
        <w:t xml:space="preserve">), which includes </w:t>
      </w:r>
      <w:r w:rsidRPr="0032043A">
        <w:rPr>
          <w:i/>
          <w:iCs/>
        </w:rPr>
        <w:t>BRCAm</w:t>
      </w:r>
      <w:r w:rsidRPr="00310498">
        <w:t>, (16.3%), compared to the durvalumab + PC (10.9%) or PC (13.3%) arms.</w:t>
      </w:r>
      <w:r w:rsidR="003A2460" w:rsidRPr="00310498">
        <w:rPr>
          <w:rStyle w:val="FootnoteReference"/>
        </w:rPr>
        <w:footnoteReference w:id="3"/>
      </w:r>
      <w:r w:rsidRPr="00310498">
        <w:t xml:space="preserve"> The ESC considered that</w:t>
      </w:r>
      <w:r w:rsidR="00BA5EE2" w:rsidRPr="00310498">
        <w:t xml:space="preserve"> this </w:t>
      </w:r>
      <w:r w:rsidR="009B3748" w:rsidRPr="00310498">
        <w:t xml:space="preserve">also </w:t>
      </w:r>
      <w:r w:rsidR="00BA5EE2" w:rsidRPr="00310498">
        <w:t xml:space="preserve">added to the uncertainty of the results as it </w:t>
      </w:r>
      <w:r w:rsidRPr="00310498">
        <w:t xml:space="preserve">may have biased the results in favour of the durvalumab + PC + olaparib </w:t>
      </w:r>
      <w:r w:rsidRPr="00310498">
        <w:lastRenderedPageBreak/>
        <w:t>arm</w:t>
      </w:r>
      <w:r w:rsidR="003A2460" w:rsidRPr="00310498">
        <w:t xml:space="preserve"> (given patients in the </w:t>
      </w:r>
      <w:r w:rsidR="003A2460" w:rsidRPr="0032043A">
        <w:rPr>
          <w:i/>
          <w:iCs/>
        </w:rPr>
        <w:t>BRCAm</w:t>
      </w:r>
      <w:r w:rsidR="003A2460" w:rsidRPr="00310498">
        <w:t xml:space="preserve"> subgroup experienced better outcomes than those in the non-</w:t>
      </w:r>
      <w:r w:rsidR="003A2460" w:rsidRPr="0032043A">
        <w:rPr>
          <w:i/>
          <w:iCs/>
        </w:rPr>
        <w:t>BRCAm</w:t>
      </w:r>
      <w:r w:rsidR="003A2460" w:rsidRPr="00310498">
        <w:t xml:space="preserve"> subgroup and the ITT population)</w:t>
      </w:r>
      <w:r w:rsidRPr="00310498">
        <w:t>.</w:t>
      </w:r>
    </w:p>
    <w:p w14:paraId="152817F5" w14:textId="77F7E1E3" w:rsidR="00485DF5" w:rsidRPr="00310498" w:rsidRDefault="00485DF5" w:rsidP="00485DF5">
      <w:pPr>
        <w:pStyle w:val="3-BodyText"/>
      </w:pPr>
      <w:r w:rsidRPr="00310498">
        <w:t xml:space="preserve">The submission provided median PFS results for the pMMR EC subpopulation by </w:t>
      </w:r>
      <w:r w:rsidRPr="0032043A">
        <w:rPr>
          <w:i/>
          <w:iCs/>
        </w:rPr>
        <w:t>BRCA</w:t>
      </w:r>
      <w:r w:rsidRPr="00310498">
        <w:t xml:space="preserve"> status </w:t>
      </w:r>
      <w:r w:rsidR="003907A3" w:rsidRPr="00310498">
        <w:t>(</w:t>
      </w:r>
      <w:r w:rsidR="003907A3" w:rsidRPr="00310498">
        <w:fldChar w:fldCharType="begin" w:fldLock="1"/>
      </w:r>
      <w:r w:rsidR="003907A3" w:rsidRPr="00310498">
        <w:instrText xml:space="preserve"> REF _Ref174979121 \h </w:instrText>
      </w:r>
      <w:r w:rsidR="00944CE7" w:rsidRPr="00310498">
        <w:instrText xml:space="preserve"> \* MERGEFORMAT </w:instrText>
      </w:r>
      <w:r w:rsidR="003907A3" w:rsidRPr="00310498">
        <w:fldChar w:fldCharType="separate"/>
      </w:r>
      <w:r w:rsidR="002C52D8" w:rsidRPr="00310498">
        <w:t xml:space="preserve">Table </w:t>
      </w:r>
      <w:r w:rsidR="002C52D8">
        <w:rPr>
          <w:noProof/>
        </w:rPr>
        <w:t>8</w:t>
      </w:r>
      <w:r w:rsidR="003907A3" w:rsidRPr="00310498">
        <w:fldChar w:fldCharType="end"/>
      </w:r>
      <w:r w:rsidR="003907A3" w:rsidRPr="00310498">
        <w:t xml:space="preserve">). </w:t>
      </w:r>
      <w:r w:rsidRPr="00310498">
        <w:t>Given these represent data from subgroup</w:t>
      </w:r>
      <w:r w:rsidR="007E5623" w:rsidRPr="00310498">
        <w:t>s</w:t>
      </w:r>
      <w:r w:rsidRPr="00310498">
        <w:t xml:space="preserve"> of subgroups, there were small sample sizes (e.g. only 37 patients with </w:t>
      </w:r>
      <w:r w:rsidRPr="0032043A">
        <w:rPr>
          <w:i/>
          <w:iCs/>
        </w:rPr>
        <w:t>BRCAm</w:t>
      </w:r>
      <w:r w:rsidRPr="00310498">
        <w:t xml:space="preserve"> across all three arms) and </w:t>
      </w:r>
      <w:r w:rsidR="007E5623" w:rsidRPr="00310498">
        <w:t xml:space="preserve">the </w:t>
      </w:r>
      <w:r w:rsidRPr="00310498">
        <w:t xml:space="preserve">results should be considered with caution. </w:t>
      </w:r>
    </w:p>
    <w:p w14:paraId="3E2BD6DD" w14:textId="6C82B044" w:rsidR="00485DF5" w:rsidRPr="00310498" w:rsidRDefault="00485DF5" w:rsidP="00B66717">
      <w:pPr>
        <w:pStyle w:val="Caption"/>
      </w:pPr>
      <w:bookmarkStart w:id="42" w:name="_Ref174979121"/>
      <w:r w:rsidRPr="00310498">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8</w:t>
      </w:r>
      <w:r w:rsidR="00F267A0" w:rsidRPr="00310498">
        <w:rPr>
          <w:noProof/>
        </w:rPr>
        <w:fldChar w:fldCharType="end"/>
      </w:r>
      <w:bookmarkEnd w:id="42"/>
      <w:r w:rsidRPr="00310498">
        <w:t>: PFS by BRCAm status (pMMR EC population)</w:t>
      </w:r>
    </w:p>
    <w:tbl>
      <w:tblPr>
        <w:tblStyle w:val="TableGrid"/>
        <w:tblW w:w="0" w:type="auto"/>
        <w:tblLook w:val="04A0" w:firstRow="1" w:lastRow="0" w:firstColumn="1" w:lastColumn="0" w:noHBand="0" w:noVBand="1"/>
      </w:tblPr>
      <w:tblGrid>
        <w:gridCol w:w="1195"/>
        <w:gridCol w:w="2160"/>
        <w:gridCol w:w="1800"/>
        <w:gridCol w:w="1920"/>
        <w:gridCol w:w="1941"/>
      </w:tblGrid>
      <w:tr w:rsidR="00485DF5" w:rsidRPr="00310498" w14:paraId="73B1D3CE" w14:textId="77777777" w:rsidTr="007E5623">
        <w:tc>
          <w:tcPr>
            <w:tcW w:w="3355" w:type="dxa"/>
            <w:gridSpan w:val="2"/>
            <w:shd w:val="clear" w:color="auto" w:fill="auto"/>
          </w:tcPr>
          <w:p w14:paraId="24936015" w14:textId="77777777" w:rsidR="00485DF5" w:rsidRPr="00310498" w:rsidRDefault="00485DF5" w:rsidP="00B66717">
            <w:pPr>
              <w:pStyle w:val="Tabletext"/>
              <w:keepNext/>
              <w:keepLines/>
            </w:pPr>
          </w:p>
        </w:tc>
        <w:tc>
          <w:tcPr>
            <w:tcW w:w="1800" w:type="dxa"/>
            <w:shd w:val="clear" w:color="auto" w:fill="auto"/>
            <w:vAlign w:val="center"/>
          </w:tcPr>
          <w:p w14:paraId="44D9DE0B" w14:textId="77777777" w:rsidR="00485DF5" w:rsidRPr="00310498" w:rsidRDefault="00485DF5" w:rsidP="00B66717">
            <w:pPr>
              <w:pStyle w:val="In-tableHeading"/>
              <w:jc w:val="center"/>
              <w:rPr>
                <w:lang w:val="en-AU"/>
              </w:rPr>
            </w:pPr>
            <w:r w:rsidRPr="00310498">
              <w:rPr>
                <w:lang w:val="en-AU"/>
              </w:rPr>
              <w:t>PC</w:t>
            </w:r>
          </w:p>
          <w:p w14:paraId="752832B8" w14:textId="1D9B3D1A" w:rsidR="00485DF5" w:rsidRPr="00310498" w:rsidRDefault="00CD6FCA" w:rsidP="00B66717">
            <w:pPr>
              <w:pStyle w:val="In-tableHeading"/>
              <w:jc w:val="center"/>
              <w:rPr>
                <w:lang w:val="en-AU"/>
              </w:rPr>
            </w:pPr>
            <w:r w:rsidRPr="00310498">
              <w:rPr>
                <w:lang w:val="en-AU"/>
              </w:rPr>
              <w:t>(</w:t>
            </w:r>
            <w:r w:rsidR="00485DF5" w:rsidRPr="00310498">
              <w:rPr>
                <w:lang w:val="en-AU"/>
              </w:rPr>
              <w:t>N=192</w:t>
            </w:r>
            <w:r w:rsidRPr="00310498">
              <w:rPr>
                <w:lang w:val="en-AU"/>
              </w:rPr>
              <w:t>)</w:t>
            </w:r>
          </w:p>
        </w:tc>
        <w:tc>
          <w:tcPr>
            <w:tcW w:w="1920" w:type="dxa"/>
            <w:shd w:val="clear" w:color="auto" w:fill="auto"/>
            <w:vAlign w:val="center"/>
          </w:tcPr>
          <w:p w14:paraId="222EBE2C" w14:textId="77777777" w:rsidR="00485DF5" w:rsidRPr="00310498" w:rsidRDefault="00485DF5" w:rsidP="00B66717">
            <w:pPr>
              <w:pStyle w:val="In-tableHeading"/>
              <w:jc w:val="center"/>
              <w:rPr>
                <w:lang w:val="en-AU"/>
              </w:rPr>
            </w:pPr>
            <w:r w:rsidRPr="00310498">
              <w:rPr>
                <w:lang w:val="en-AU"/>
              </w:rPr>
              <w:t>durvalumab + PC</w:t>
            </w:r>
          </w:p>
          <w:p w14:paraId="7642653D" w14:textId="24B89970" w:rsidR="00485DF5" w:rsidRPr="00310498" w:rsidRDefault="00CD6FCA" w:rsidP="00B66717">
            <w:pPr>
              <w:pStyle w:val="In-tableHeading"/>
              <w:jc w:val="center"/>
              <w:rPr>
                <w:lang w:val="en-AU"/>
              </w:rPr>
            </w:pPr>
            <w:r w:rsidRPr="00310498">
              <w:rPr>
                <w:lang w:val="en-AU"/>
              </w:rPr>
              <w:t>(</w:t>
            </w:r>
            <w:r w:rsidR="00485DF5" w:rsidRPr="00310498">
              <w:rPr>
                <w:lang w:val="en-AU"/>
              </w:rPr>
              <w:t>N=192</w:t>
            </w:r>
            <w:r w:rsidRPr="00310498">
              <w:rPr>
                <w:lang w:val="en-AU"/>
              </w:rPr>
              <w:t>)</w:t>
            </w:r>
          </w:p>
        </w:tc>
        <w:tc>
          <w:tcPr>
            <w:tcW w:w="1941" w:type="dxa"/>
            <w:shd w:val="clear" w:color="auto" w:fill="auto"/>
            <w:vAlign w:val="center"/>
          </w:tcPr>
          <w:p w14:paraId="6C32CB65" w14:textId="718672EB" w:rsidR="00485DF5" w:rsidRPr="00310498" w:rsidRDefault="00485DF5" w:rsidP="00B66717">
            <w:pPr>
              <w:pStyle w:val="In-tableHeading"/>
              <w:jc w:val="center"/>
              <w:rPr>
                <w:lang w:val="en-AU"/>
              </w:rPr>
            </w:pPr>
            <w:r w:rsidRPr="00310498">
              <w:rPr>
                <w:lang w:val="en-AU"/>
              </w:rPr>
              <w:t xml:space="preserve">durvalumab + PC + olaparib </w:t>
            </w:r>
            <w:r w:rsidR="00CD6FCA" w:rsidRPr="00310498">
              <w:rPr>
                <w:lang w:val="en-AU"/>
              </w:rPr>
              <w:t>(</w:t>
            </w:r>
            <w:r w:rsidRPr="00310498">
              <w:rPr>
                <w:lang w:val="en-AU"/>
              </w:rPr>
              <w:t>N=191</w:t>
            </w:r>
            <w:r w:rsidR="00CD6FCA" w:rsidRPr="00310498">
              <w:rPr>
                <w:lang w:val="en-AU"/>
              </w:rPr>
              <w:t>)</w:t>
            </w:r>
          </w:p>
        </w:tc>
      </w:tr>
      <w:tr w:rsidR="0032043A" w:rsidRPr="00310498" w14:paraId="438204B8" w14:textId="77777777" w:rsidTr="007E5623">
        <w:tc>
          <w:tcPr>
            <w:tcW w:w="1195" w:type="dxa"/>
            <w:vMerge w:val="restart"/>
          </w:tcPr>
          <w:p w14:paraId="08177841" w14:textId="77777777" w:rsidR="0032043A" w:rsidRPr="00310498" w:rsidRDefault="0032043A" w:rsidP="00B66717">
            <w:pPr>
              <w:pStyle w:val="Tabletext"/>
              <w:keepNext/>
              <w:keepLines/>
            </w:pPr>
            <w:r w:rsidRPr="00310498">
              <w:t>All subjects</w:t>
            </w:r>
          </w:p>
        </w:tc>
        <w:tc>
          <w:tcPr>
            <w:tcW w:w="2160" w:type="dxa"/>
            <w:vAlign w:val="center"/>
          </w:tcPr>
          <w:p w14:paraId="076D172E" w14:textId="77777777" w:rsidR="0032043A" w:rsidRPr="00310498" w:rsidRDefault="0032043A" w:rsidP="00B66717">
            <w:pPr>
              <w:pStyle w:val="Tabletext"/>
              <w:keepNext/>
              <w:keepLines/>
            </w:pPr>
            <w:r w:rsidRPr="00310498">
              <w:t>Events n/N (%)</w:t>
            </w:r>
          </w:p>
        </w:tc>
        <w:tc>
          <w:tcPr>
            <w:tcW w:w="1800" w:type="dxa"/>
            <w:vAlign w:val="center"/>
          </w:tcPr>
          <w:p w14:paraId="7F1EF0B6" w14:textId="77777777" w:rsidR="0032043A" w:rsidRPr="00310498" w:rsidRDefault="0032043A" w:rsidP="00B66717">
            <w:pPr>
              <w:pStyle w:val="Tabletext"/>
              <w:keepNext/>
              <w:keepLines/>
              <w:jc w:val="center"/>
            </w:pPr>
            <w:r w:rsidRPr="00310498">
              <w:t>148/192 (77.1)</w:t>
            </w:r>
          </w:p>
        </w:tc>
        <w:tc>
          <w:tcPr>
            <w:tcW w:w="1920" w:type="dxa"/>
            <w:vAlign w:val="center"/>
          </w:tcPr>
          <w:p w14:paraId="61056E60" w14:textId="77777777" w:rsidR="0032043A" w:rsidRPr="00310498" w:rsidRDefault="0032043A" w:rsidP="00B66717">
            <w:pPr>
              <w:pStyle w:val="Tabletext"/>
              <w:keepNext/>
              <w:keepLines/>
              <w:jc w:val="center"/>
            </w:pPr>
            <w:r w:rsidRPr="00310498">
              <w:t>124/192 (64.6)</w:t>
            </w:r>
          </w:p>
        </w:tc>
        <w:tc>
          <w:tcPr>
            <w:tcW w:w="1941" w:type="dxa"/>
            <w:vAlign w:val="center"/>
          </w:tcPr>
          <w:p w14:paraId="2868473F" w14:textId="77777777" w:rsidR="0032043A" w:rsidRPr="00310498" w:rsidRDefault="0032043A" w:rsidP="00B66717">
            <w:pPr>
              <w:pStyle w:val="Tabletext"/>
              <w:keepNext/>
              <w:keepLines/>
              <w:jc w:val="center"/>
            </w:pPr>
            <w:r w:rsidRPr="00310498">
              <w:t>108/191 (56.6)</w:t>
            </w:r>
          </w:p>
        </w:tc>
      </w:tr>
      <w:tr w:rsidR="0032043A" w:rsidRPr="00310498" w14:paraId="484BCE84" w14:textId="77777777" w:rsidTr="007E5623">
        <w:tc>
          <w:tcPr>
            <w:tcW w:w="1195" w:type="dxa"/>
            <w:vMerge/>
          </w:tcPr>
          <w:p w14:paraId="6DFBCF99" w14:textId="77777777" w:rsidR="0032043A" w:rsidRPr="00310498" w:rsidRDefault="0032043A" w:rsidP="00B66717">
            <w:pPr>
              <w:pStyle w:val="Tabletext"/>
              <w:keepNext/>
              <w:keepLines/>
            </w:pPr>
          </w:p>
        </w:tc>
        <w:tc>
          <w:tcPr>
            <w:tcW w:w="2160" w:type="dxa"/>
            <w:vAlign w:val="center"/>
          </w:tcPr>
          <w:p w14:paraId="705808BB" w14:textId="3187E7B2" w:rsidR="0032043A" w:rsidRPr="00310498" w:rsidRDefault="0032043A" w:rsidP="00B66717">
            <w:pPr>
              <w:pStyle w:val="Tabletext"/>
              <w:keepNext/>
              <w:keepLines/>
            </w:pPr>
            <w:r w:rsidRPr="00310498">
              <w:t>Median, months (95% CI)</w:t>
            </w:r>
          </w:p>
        </w:tc>
        <w:tc>
          <w:tcPr>
            <w:tcW w:w="1800" w:type="dxa"/>
            <w:vAlign w:val="center"/>
          </w:tcPr>
          <w:p w14:paraId="7C53DA5A" w14:textId="54E41006" w:rsidR="0032043A" w:rsidRPr="00310498" w:rsidRDefault="0032043A" w:rsidP="00B66717">
            <w:pPr>
              <w:pStyle w:val="Tabletext"/>
              <w:keepNext/>
              <w:keepLines/>
              <w:jc w:val="center"/>
            </w:pPr>
            <w:r w:rsidRPr="00310498">
              <w:t>9.7 (9.2</w:t>
            </w:r>
            <w:r>
              <w:t xml:space="preserve">, </w:t>
            </w:r>
            <w:r w:rsidRPr="00310498">
              <w:t>10.1)</w:t>
            </w:r>
          </w:p>
        </w:tc>
        <w:tc>
          <w:tcPr>
            <w:tcW w:w="1920" w:type="dxa"/>
            <w:vAlign w:val="center"/>
          </w:tcPr>
          <w:p w14:paraId="37ECA89B" w14:textId="0516E86E" w:rsidR="0032043A" w:rsidRPr="00310498" w:rsidRDefault="0032043A" w:rsidP="00B66717">
            <w:pPr>
              <w:pStyle w:val="Tabletext"/>
              <w:keepNext/>
              <w:keepLines/>
              <w:jc w:val="center"/>
            </w:pPr>
            <w:r w:rsidRPr="00310498">
              <w:t>9.9 (9.4</w:t>
            </w:r>
            <w:r>
              <w:t xml:space="preserve">, </w:t>
            </w:r>
            <w:r w:rsidRPr="00310498">
              <w:t>12.5)</w:t>
            </w:r>
          </w:p>
        </w:tc>
        <w:tc>
          <w:tcPr>
            <w:tcW w:w="1941" w:type="dxa"/>
            <w:vAlign w:val="center"/>
          </w:tcPr>
          <w:p w14:paraId="0D0D0A2B" w14:textId="7DC78EA8" w:rsidR="0032043A" w:rsidRPr="00310498" w:rsidRDefault="0032043A" w:rsidP="00B66717">
            <w:pPr>
              <w:pStyle w:val="Tabletext"/>
              <w:keepNext/>
              <w:keepLines/>
              <w:jc w:val="center"/>
            </w:pPr>
            <w:r w:rsidRPr="00310498">
              <w:t>15.0 (12.4</w:t>
            </w:r>
            <w:r>
              <w:t xml:space="preserve">, </w:t>
            </w:r>
            <w:r w:rsidRPr="00310498">
              <w:t>18.0)</w:t>
            </w:r>
          </w:p>
        </w:tc>
      </w:tr>
      <w:tr w:rsidR="0032043A" w:rsidRPr="00310498" w14:paraId="4206D8CB" w14:textId="77777777" w:rsidTr="007E5623">
        <w:tc>
          <w:tcPr>
            <w:tcW w:w="1195" w:type="dxa"/>
            <w:vMerge/>
          </w:tcPr>
          <w:p w14:paraId="1F3E6EF4" w14:textId="77777777" w:rsidR="0032043A" w:rsidRPr="00310498" w:rsidRDefault="0032043A" w:rsidP="00B66717">
            <w:pPr>
              <w:pStyle w:val="Tabletext"/>
              <w:keepNext/>
              <w:keepLines/>
            </w:pPr>
          </w:p>
        </w:tc>
        <w:tc>
          <w:tcPr>
            <w:tcW w:w="2160" w:type="dxa"/>
            <w:vAlign w:val="center"/>
          </w:tcPr>
          <w:p w14:paraId="393347AE" w14:textId="77777777" w:rsidR="0032043A" w:rsidRPr="00310498" w:rsidRDefault="0032043A" w:rsidP="00B66717">
            <w:pPr>
              <w:pStyle w:val="Tabletext"/>
              <w:keepNext/>
              <w:keepLines/>
            </w:pPr>
            <w:r w:rsidRPr="00310498">
              <w:t>HR (95% CI) vs PC</w:t>
            </w:r>
          </w:p>
        </w:tc>
        <w:tc>
          <w:tcPr>
            <w:tcW w:w="1800" w:type="dxa"/>
            <w:vAlign w:val="center"/>
          </w:tcPr>
          <w:p w14:paraId="7F51AB29" w14:textId="6DC5178E" w:rsidR="0032043A" w:rsidRPr="00310498" w:rsidRDefault="0032043A" w:rsidP="00B66717">
            <w:pPr>
              <w:pStyle w:val="Tabletext"/>
              <w:keepNext/>
              <w:keepLines/>
              <w:jc w:val="center"/>
            </w:pPr>
            <w:r>
              <w:t>-</w:t>
            </w:r>
          </w:p>
        </w:tc>
        <w:tc>
          <w:tcPr>
            <w:tcW w:w="1920" w:type="dxa"/>
            <w:vAlign w:val="center"/>
          </w:tcPr>
          <w:p w14:paraId="7B2032A3" w14:textId="1223F123" w:rsidR="0032043A" w:rsidRPr="00310498" w:rsidRDefault="0032043A" w:rsidP="00B66717">
            <w:pPr>
              <w:pStyle w:val="Tabletext"/>
              <w:keepNext/>
              <w:keepLines/>
              <w:jc w:val="center"/>
            </w:pPr>
            <w:r w:rsidRPr="00310498">
              <w:t>0.77 (0.60</w:t>
            </w:r>
            <w:r>
              <w:t xml:space="preserve">, </w:t>
            </w:r>
            <w:r w:rsidRPr="00310498">
              <w:t>0.97)</w:t>
            </w:r>
          </w:p>
        </w:tc>
        <w:tc>
          <w:tcPr>
            <w:tcW w:w="1941" w:type="dxa"/>
            <w:vAlign w:val="center"/>
          </w:tcPr>
          <w:p w14:paraId="1D43830A" w14:textId="55A24F16" w:rsidR="0032043A" w:rsidRPr="00310498" w:rsidRDefault="0032043A" w:rsidP="00B66717">
            <w:pPr>
              <w:pStyle w:val="Tabletext"/>
              <w:keepNext/>
              <w:keepLines/>
              <w:jc w:val="center"/>
            </w:pPr>
            <w:r w:rsidRPr="00310498">
              <w:t>0.57 (0.44</w:t>
            </w:r>
            <w:r>
              <w:t xml:space="preserve">, </w:t>
            </w:r>
            <w:r w:rsidRPr="00310498">
              <w:t>0.73)</w:t>
            </w:r>
          </w:p>
        </w:tc>
      </w:tr>
      <w:tr w:rsidR="0032043A" w:rsidRPr="00310498" w14:paraId="2F22A341" w14:textId="77777777" w:rsidTr="007E5623">
        <w:tc>
          <w:tcPr>
            <w:tcW w:w="1195" w:type="dxa"/>
            <w:vMerge w:val="restart"/>
          </w:tcPr>
          <w:p w14:paraId="1BB7CC80" w14:textId="77777777" w:rsidR="0032043A" w:rsidRPr="0032043A" w:rsidRDefault="0032043A" w:rsidP="00B66717">
            <w:pPr>
              <w:pStyle w:val="Tabletext"/>
              <w:keepNext/>
              <w:keepLines/>
              <w:rPr>
                <w:i/>
                <w:iCs/>
              </w:rPr>
            </w:pPr>
            <w:r w:rsidRPr="0032043A">
              <w:rPr>
                <w:i/>
                <w:iCs/>
              </w:rPr>
              <w:t>BRCAm</w:t>
            </w:r>
          </w:p>
        </w:tc>
        <w:tc>
          <w:tcPr>
            <w:tcW w:w="2160" w:type="dxa"/>
            <w:vAlign w:val="center"/>
          </w:tcPr>
          <w:p w14:paraId="752CFB6D" w14:textId="77777777" w:rsidR="0032043A" w:rsidRPr="00310498" w:rsidRDefault="0032043A" w:rsidP="00B66717">
            <w:pPr>
              <w:pStyle w:val="Tabletext"/>
              <w:keepNext/>
              <w:keepLines/>
            </w:pPr>
            <w:r w:rsidRPr="00310498">
              <w:t>Events n/N (%)</w:t>
            </w:r>
          </w:p>
        </w:tc>
        <w:tc>
          <w:tcPr>
            <w:tcW w:w="1800" w:type="dxa"/>
            <w:vAlign w:val="center"/>
          </w:tcPr>
          <w:p w14:paraId="59B675E3" w14:textId="77777777" w:rsidR="0032043A" w:rsidRPr="00310498" w:rsidRDefault="0032043A" w:rsidP="00B66717">
            <w:pPr>
              <w:pStyle w:val="Tabletext"/>
              <w:keepNext/>
              <w:keepLines/>
              <w:jc w:val="center"/>
            </w:pPr>
            <w:r w:rsidRPr="00310498">
              <w:t>11/13 (84.6)</w:t>
            </w:r>
          </w:p>
        </w:tc>
        <w:tc>
          <w:tcPr>
            <w:tcW w:w="1920" w:type="dxa"/>
            <w:vAlign w:val="center"/>
          </w:tcPr>
          <w:p w14:paraId="47D577E1" w14:textId="77777777" w:rsidR="0032043A" w:rsidRPr="00310498" w:rsidRDefault="0032043A" w:rsidP="00B66717">
            <w:pPr>
              <w:pStyle w:val="Tabletext"/>
              <w:keepNext/>
              <w:keepLines/>
              <w:jc w:val="center"/>
            </w:pPr>
            <w:r w:rsidRPr="00310498">
              <w:t>4/10 (40)</w:t>
            </w:r>
          </w:p>
        </w:tc>
        <w:tc>
          <w:tcPr>
            <w:tcW w:w="1941" w:type="dxa"/>
            <w:vAlign w:val="center"/>
          </w:tcPr>
          <w:p w14:paraId="6364DA96" w14:textId="77777777" w:rsidR="0032043A" w:rsidRPr="00310498" w:rsidRDefault="0032043A" w:rsidP="00B66717">
            <w:pPr>
              <w:pStyle w:val="Tabletext"/>
              <w:keepNext/>
              <w:keepLines/>
              <w:jc w:val="center"/>
            </w:pPr>
            <w:r w:rsidRPr="00310498">
              <w:t>7/14 (50)</w:t>
            </w:r>
          </w:p>
        </w:tc>
      </w:tr>
      <w:tr w:rsidR="0032043A" w:rsidRPr="00310498" w14:paraId="4B56C619" w14:textId="77777777" w:rsidTr="007E5623">
        <w:tc>
          <w:tcPr>
            <w:tcW w:w="1195" w:type="dxa"/>
            <w:vMerge/>
          </w:tcPr>
          <w:p w14:paraId="5EDDCAA1" w14:textId="77777777" w:rsidR="0032043A" w:rsidRPr="00310498" w:rsidRDefault="0032043A" w:rsidP="00B66717">
            <w:pPr>
              <w:pStyle w:val="Tabletext"/>
              <w:keepNext/>
              <w:keepLines/>
            </w:pPr>
          </w:p>
        </w:tc>
        <w:tc>
          <w:tcPr>
            <w:tcW w:w="2160" w:type="dxa"/>
            <w:vAlign w:val="center"/>
          </w:tcPr>
          <w:p w14:paraId="7DB37068" w14:textId="355542CF" w:rsidR="0032043A" w:rsidRPr="00310498" w:rsidRDefault="0032043A" w:rsidP="00B66717">
            <w:pPr>
              <w:pStyle w:val="Tabletext"/>
              <w:keepNext/>
              <w:keepLines/>
            </w:pPr>
            <w:r w:rsidRPr="00310498">
              <w:t>Median, months (95% CI)</w:t>
            </w:r>
          </w:p>
        </w:tc>
        <w:tc>
          <w:tcPr>
            <w:tcW w:w="1800" w:type="dxa"/>
            <w:vAlign w:val="center"/>
          </w:tcPr>
          <w:p w14:paraId="67EC3187" w14:textId="35C5CF7C" w:rsidR="0032043A" w:rsidRPr="00310498" w:rsidRDefault="0032043A" w:rsidP="00B66717">
            <w:pPr>
              <w:pStyle w:val="Tabletext"/>
              <w:keepNext/>
              <w:keepLines/>
              <w:jc w:val="center"/>
            </w:pPr>
            <w:r w:rsidRPr="00310498">
              <w:t>9.9 (4.2</w:t>
            </w:r>
            <w:r>
              <w:t xml:space="preserve">, </w:t>
            </w:r>
            <w:r w:rsidRPr="00310498">
              <w:t>12.5)</w:t>
            </w:r>
          </w:p>
        </w:tc>
        <w:tc>
          <w:tcPr>
            <w:tcW w:w="1920" w:type="dxa"/>
            <w:vAlign w:val="center"/>
          </w:tcPr>
          <w:p w14:paraId="6B34E9AC" w14:textId="398B8CDD" w:rsidR="0032043A" w:rsidRPr="00310498" w:rsidRDefault="0032043A" w:rsidP="00B66717">
            <w:pPr>
              <w:pStyle w:val="Tabletext"/>
              <w:keepNext/>
              <w:keepLines/>
              <w:jc w:val="center"/>
            </w:pPr>
            <w:r w:rsidRPr="00310498">
              <w:t>15.0 (8.7</w:t>
            </w:r>
            <w:r>
              <w:t xml:space="preserve">, </w:t>
            </w:r>
            <w:r w:rsidRPr="00310498">
              <w:t>NR)</w:t>
            </w:r>
          </w:p>
        </w:tc>
        <w:tc>
          <w:tcPr>
            <w:tcW w:w="1941" w:type="dxa"/>
            <w:vAlign w:val="center"/>
          </w:tcPr>
          <w:p w14:paraId="67F55F52" w14:textId="6F785D68" w:rsidR="0032043A" w:rsidRPr="00310498" w:rsidRDefault="0032043A" w:rsidP="00B66717">
            <w:pPr>
              <w:pStyle w:val="Tabletext"/>
              <w:keepNext/>
              <w:keepLines/>
              <w:jc w:val="center"/>
            </w:pPr>
            <w:r w:rsidRPr="00310498">
              <w:t>15.2 (5.3</w:t>
            </w:r>
            <w:r>
              <w:t xml:space="preserve">, </w:t>
            </w:r>
            <w:r w:rsidRPr="00310498">
              <w:t>NR)</w:t>
            </w:r>
          </w:p>
        </w:tc>
      </w:tr>
      <w:tr w:rsidR="0032043A" w:rsidRPr="00310498" w14:paraId="3A5C5ED7" w14:textId="77777777" w:rsidTr="007E5623">
        <w:tc>
          <w:tcPr>
            <w:tcW w:w="1195" w:type="dxa"/>
            <w:vMerge/>
          </w:tcPr>
          <w:p w14:paraId="5AFA89D8" w14:textId="77777777" w:rsidR="0032043A" w:rsidRPr="00310498" w:rsidRDefault="0032043A" w:rsidP="00B66717">
            <w:pPr>
              <w:pStyle w:val="Tabletext"/>
              <w:keepNext/>
              <w:keepLines/>
            </w:pPr>
          </w:p>
        </w:tc>
        <w:tc>
          <w:tcPr>
            <w:tcW w:w="2160" w:type="dxa"/>
            <w:vAlign w:val="center"/>
          </w:tcPr>
          <w:p w14:paraId="5886F85D" w14:textId="77777777" w:rsidR="0032043A" w:rsidRPr="00310498" w:rsidRDefault="0032043A" w:rsidP="00B66717">
            <w:pPr>
              <w:pStyle w:val="Tabletext"/>
              <w:keepNext/>
              <w:keepLines/>
            </w:pPr>
            <w:r w:rsidRPr="00310498">
              <w:t>HR (95% CI) vs PC</w:t>
            </w:r>
          </w:p>
        </w:tc>
        <w:tc>
          <w:tcPr>
            <w:tcW w:w="1800" w:type="dxa"/>
            <w:vAlign w:val="center"/>
          </w:tcPr>
          <w:p w14:paraId="4CF2D9E8" w14:textId="3D258A96" w:rsidR="0032043A" w:rsidRPr="00310498" w:rsidRDefault="0032043A" w:rsidP="00B66717">
            <w:pPr>
              <w:pStyle w:val="Tabletext"/>
              <w:keepNext/>
              <w:keepLines/>
              <w:jc w:val="center"/>
            </w:pPr>
            <w:r>
              <w:t>-</w:t>
            </w:r>
          </w:p>
        </w:tc>
        <w:tc>
          <w:tcPr>
            <w:tcW w:w="1920" w:type="dxa"/>
            <w:vAlign w:val="center"/>
          </w:tcPr>
          <w:p w14:paraId="1B9E761F" w14:textId="77777777" w:rsidR="0032043A" w:rsidRPr="00310498" w:rsidRDefault="0032043A" w:rsidP="00B66717">
            <w:pPr>
              <w:pStyle w:val="Tabletext"/>
              <w:keepNext/>
              <w:keepLines/>
              <w:jc w:val="center"/>
            </w:pPr>
            <w:r w:rsidRPr="00310498">
              <w:t>NC</w:t>
            </w:r>
          </w:p>
        </w:tc>
        <w:tc>
          <w:tcPr>
            <w:tcW w:w="1941" w:type="dxa"/>
            <w:vAlign w:val="center"/>
          </w:tcPr>
          <w:p w14:paraId="292638C3" w14:textId="77777777" w:rsidR="0032043A" w:rsidRPr="00310498" w:rsidRDefault="0032043A" w:rsidP="00B66717">
            <w:pPr>
              <w:pStyle w:val="Tabletext"/>
              <w:keepNext/>
              <w:keepLines/>
              <w:jc w:val="center"/>
            </w:pPr>
            <w:r w:rsidRPr="00310498">
              <w:t>NC</w:t>
            </w:r>
          </w:p>
        </w:tc>
      </w:tr>
      <w:tr w:rsidR="0032043A" w:rsidRPr="00310498" w14:paraId="131E3AD6" w14:textId="77777777" w:rsidTr="007E5623">
        <w:tc>
          <w:tcPr>
            <w:tcW w:w="1195" w:type="dxa"/>
            <w:vMerge w:val="restart"/>
          </w:tcPr>
          <w:p w14:paraId="04AF3B52" w14:textId="77777777" w:rsidR="0032043A" w:rsidRPr="00310498" w:rsidRDefault="0032043A" w:rsidP="00B66717">
            <w:pPr>
              <w:pStyle w:val="Tabletext"/>
              <w:keepNext/>
              <w:keepLines/>
            </w:pPr>
            <w:r w:rsidRPr="00310498">
              <w:t>Non-</w:t>
            </w:r>
            <w:r w:rsidRPr="0032043A">
              <w:rPr>
                <w:i/>
                <w:iCs/>
              </w:rPr>
              <w:t>BRCAm</w:t>
            </w:r>
          </w:p>
        </w:tc>
        <w:tc>
          <w:tcPr>
            <w:tcW w:w="2160" w:type="dxa"/>
            <w:vAlign w:val="center"/>
          </w:tcPr>
          <w:p w14:paraId="51836AC4" w14:textId="77777777" w:rsidR="0032043A" w:rsidRPr="00310498" w:rsidRDefault="0032043A" w:rsidP="00B66717">
            <w:pPr>
              <w:pStyle w:val="Tabletext"/>
              <w:keepNext/>
              <w:keepLines/>
            </w:pPr>
            <w:r w:rsidRPr="00310498">
              <w:t>Events n/N (%)</w:t>
            </w:r>
          </w:p>
        </w:tc>
        <w:tc>
          <w:tcPr>
            <w:tcW w:w="1800" w:type="dxa"/>
            <w:vAlign w:val="center"/>
          </w:tcPr>
          <w:p w14:paraId="39A3C0F6" w14:textId="77777777" w:rsidR="0032043A" w:rsidRPr="00310498" w:rsidRDefault="0032043A" w:rsidP="00B66717">
            <w:pPr>
              <w:pStyle w:val="Tabletext"/>
              <w:keepNext/>
              <w:keepLines/>
              <w:jc w:val="center"/>
            </w:pPr>
            <w:r w:rsidRPr="00310498">
              <w:t>116/149 (77.9)</w:t>
            </w:r>
          </w:p>
        </w:tc>
        <w:tc>
          <w:tcPr>
            <w:tcW w:w="1920" w:type="dxa"/>
            <w:vAlign w:val="center"/>
          </w:tcPr>
          <w:p w14:paraId="5A2E7C73" w14:textId="77777777" w:rsidR="0032043A" w:rsidRPr="00310498" w:rsidRDefault="0032043A" w:rsidP="00B66717">
            <w:pPr>
              <w:pStyle w:val="Tabletext"/>
              <w:keepNext/>
              <w:keepLines/>
              <w:jc w:val="center"/>
            </w:pPr>
            <w:r w:rsidRPr="00310498">
              <w:t>101/156 (64.7)</w:t>
            </w:r>
          </w:p>
        </w:tc>
        <w:tc>
          <w:tcPr>
            <w:tcW w:w="1941" w:type="dxa"/>
            <w:vAlign w:val="center"/>
          </w:tcPr>
          <w:p w14:paraId="446934DF" w14:textId="77777777" w:rsidR="0032043A" w:rsidRPr="00310498" w:rsidRDefault="0032043A" w:rsidP="00B66717">
            <w:pPr>
              <w:pStyle w:val="Tabletext"/>
              <w:keepNext/>
              <w:keepLines/>
              <w:jc w:val="center"/>
            </w:pPr>
            <w:r w:rsidRPr="00310498">
              <w:t>87/152 (57.2)</w:t>
            </w:r>
          </w:p>
        </w:tc>
      </w:tr>
      <w:tr w:rsidR="0032043A" w:rsidRPr="00310498" w14:paraId="5FAC4A9A" w14:textId="77777777" w:rsidTr="007E5623">
        <w:tc>
          <w:tcPr>
            <w:tcW w:w="1195" w:type="dxa"/>
            <w:vMerge/>
          </w:tcPr>
          <w:p w14:paraId="09C3E5D5" w14:textId="77777777" w:rsidR="0032043A" w:rsidRPr="00310498" w:rsidRDefault="0032043A" w:rsidP="00B66717">
            <w:pPr>
              <w:pStyle w:val="Tabletext"/>
              <w:keepNext/>
              <w:keepLines/>
            </w:pPr>
          </w:p>
        </w:tc>
        <w:tc>
          <w:tcPr>
            <w:tcW w:w="2160" w:type="dxa"/>
            <w:vAlign w:val="center"/>
          </w:tcPr>
          <w:p w14:paraId="3B54D7CC" w14:textId="4389C8A0" w:rsidR="0032043A" w:rsidRPr="00310498" w:rsidRDefault="0032043A" w:rsidP="00B66717">
            <w:pPr>
              <w:pStyle w:val="Tabletext"/>
              <w:keepNext/>
              <w:keepLines/>
            </w:pPr>
            <w:r w:rsidRPr="00310498">
              <w:t>Median, months (95% CI)</w:t>
            </w:r>
          </w:p>
        </w:tc>
        <w:tc>
          <w:tcPr>
            <w:tcW w:w="1800" w:type="dxa"/>
            <w:vAlign w:val="center"/>
          </w:tcPr>
          <w:p w14:paraId="40E78886" w14:textId="6B46C863" w:rsidR="0032043A" w:rsidRPr="00310498" w:rsidRDefault="0032043A" w:rsidP="00B66717">
            <w:pPr>
              <w:pStyle w:val="Tabletext"/>
              <w:keepNext/>
              <w:keepLines/>
              <w:jc w:val="center"/>
            </w:pPr>
            <w:r w:rsidRPr="00310498">
              <w:t>9.7 (8.8</w:t>
            </w:r>
            <w:r>
              <w:t xml:space="preserve">, </w:t>
            </w:r>
            <w:r w:rsidRPr="00310498">
              <w:t>12)</w:t>
            </w:r>
          </w:p>
        </w:tc>
        <w:tc>
          <w:tcPr>
            <w:tcW w:w="1920" w:type="dxa"/>
            <w:vAlign w:val="center"/>
          </w:tcPr>
          <w:p w14:paraId="0D6D473D" w14:textId="6FD66888" w:rsidR="0032043A" w:rsidRPr="00310498" w:rsidRDefault="0032043A" w:rsidP="00B66717">
            <w:pPr>
              <w:pStyle w:val="Tabletext"/>
              <w:keepNext/>
              <w:keepLines/>
              <w:jc w:val="center"/>
            </w:pPr>
            <w:r w:rsidRPr="00310498">
              <w:t>9.9 (9.5</w:t>
            </w:r>
            <w:r>
              <w:t xml:space="preserve">, </w:t>
            </w:r>
            <w:r w:rsidRPr="00310498">
              <w:t>12.6)</w:t>
            </w:r>
          </w:p>
        </w:tc>
        <w:tc>
          <w:tcPr>
            <w:tcW w:w="1941" w:type="dxa"/>
            <w:vAlign w:val="center"/>
          </w:tcPr>
          <w:p w14:paraId="3452985F" w14:textId="6A86811B" w:rsidR="0032043A" w:rsidRPr="00310498" w:rsidRDefault="0032043A" w:rsidP="00B66717">
            <w:pPr>
              <w:pStyle w:val="Tabletext"/>
              <w:keepNext/>
              <w:keepLines/>
              <w:jc w:val="center"/>
            </w:pPr>
            <w:r w:rsidRPr="00310498">
              <w:t>15.0 (12.4</w:t>
            </w:r>
            <w:r>
              <w:t xml:space="preserve">, </w:t>
            </w:r>
            <w:r w:rsidRPr="00310498">
              <w:t>19.4)</w:t>
            </w:r>
          </w:p>
        </w:tc>
      </w:tr>
      <w:tr w:rsidR="0032043A" w:rsidRPr="00310498" w14:paraId="69565741" w14:textId="77777777" w:rsidTr="007E5623">
        <w:tc>
          <w:tcPr>
            <w:tcW w:w="1195" w:type="dxa"/>
            <w:vMerge/>
          </w:tcPr>
          <w:p w14:paraId="6FB6EAD5" w14:textId="77777777" w:rsidR="0032043A" w:rsidRPr="00310498" w:rsidRDefault="0032043A" w:rsidP="00B66717">
            <w:pPr>
              <w:pStyle w:val="Tabletext"/>
              <w:keepNext/>
              <w:keepLines/>
            </w:pPr>
          </w:p>
        </w:tc>
        <w:tc>
          <w:tcPr>
            <w:tcW w:w="2160" w:type="dxa"/>
            <w:vAlign w:val="center"/>
          </w:tcPr>
          <w:p w14:paraId="575BD501" w14:textId="77777777" w:rsidR="0032043A" w:rsidRPr="00310498" w:rsidRDefault="0032043A" w:rsidP="00B66717">
            <w:pPr>
              <w:pStyle w:val="Tabletext"/>
              <w:keepNext/>
              <w:keepLines/>
            </w:pPr>
            <w:r w:rsidRPr="00310498">
              <w:t>HR (95% CI) vs PC</w:t>
            </w:r>
          </w:p>
        </w:tc>
        <w:tc>
          <w:tcPr>
            <w:tcW w:w="1800" w:type="dxa"/>
            <w:vAlign w:val="center"/>
          </w:tcPr>
          <w:p w14:paraId="7907694B" w14:textId="64427AD3" w:rsidR="0032043A" w:rsidRPr="00310498" w:rsidRDefault="0032043A" w:rsidP="00B66717">
            <w:pPr>
              <w:pStyle w:val="Tabletext"/>
              <w:keepNext/>
              <w:keepLines/>
              <w:jc w:val="center"/>
            </w:pPr>
            <w:r>
              <w:t>-</w:t>
            </w:r>
          </w:p>
        </w:tc>
        <w:tc>
          <w:tcPr>
            <w:tcW w:w="1920" w:type="dxa"/>
            <w:vAlign w:val="center"/>
          </w:tcPr>
          <w:p w14:paraId="2C5F4B99" w14:textId="5D8531B6" w:rsidR="0032043A" w:rsidRPr="00310498" w:rsidRDefault="0032043A" w:rsidP="00B66717">
            <w:pPr>
              <w:pStyle w:val="Tabletext"/>
              <w:keepNext/>
              <w:keepLines/>
              <w:jc w:val="center"/>
            </w:pPr>
            <w:r w:rsidRPr="00310498">
              <w:t>0.77 (0.59</w:t>
            </w:r>
            <w:r>
              <w:t xml:space="preserve">, </w:t>
            </w:r>
            <w:r w:rsidRPr="00310498">
              <w:t>1.00)</w:t>
            </w:r>
          </w:p>
        </w:tc>
        <w:tc>
          <w:tcPr>
            <w:tcW w:w="1941" w:type="dxa"/>
            <w:vAlign w:val="center"/>
          </w:tcPr>
          <w:p w14:paraId="5EE3EF0B" w14:textId="51E89217" w:rsidR="0032043A" w:rsidRPr="00310498" w:rsidRDefault="0032043A" w:rsidP="00B66717">
            <w:pPr>
              <w:pStyle w:val="Tabletext"/>
              <w:keepNext/>
              <w:keepLines/>
              <w:jc w:val="center"/>
            </w:pPr>
            <w:r w:rsidRPr="00310498">
              <w:t>0.57 (0.43</w:t>
            </w:r>
            <w:r>
              <w:t xml:space="preserve">, </w:t>
            </w:r>
            <w:r w:rsidRPr="00310498">
              <w:t>0.75)</w:t>
            </w:r>
          </w:p>
        </w:tc>
      </w:tr>
      <w:tr w:rsidR="0032043A" w:rsidRPr="00310498" w14:paraId="07854843" w14:textId="77777777" w:rsidTr="007E5623">
        <w:tc>
          <w:tcPr>
            <w:tcW w:w="1195" w:type="dxa"/>
            <w:vMerge w:val="restart"/>
          </w:tcPr>
          <w:p w14:paraId="305E45C9" w14:textId="77777777" w:rsidR="0032043A" w:rsidRPr="00310498" w:rsidRDefault="0032043A" w:rsidP="00B66717">
            <w:pPr>
              <w:pStyle w:val="Tabletext"/>
              <w:keepNext/>
              <w:keepLines/>
            </w:pPr>
            <w:r w:rsidRPr="00310498">
              <w:t>Unknown</w:t>
            </w:r>
          </w:p>
        </w:tc>
        <w:tc>
          <w:tcPr>
            <w:tcW w:w="2160" w:type="dxa"/>
            <w:vAlign w:val="center"/>
          </w:tcPr>
          <w:p w14:paraId="2BA7FC73" w14:textId="77777777" w:rsidR="0032043A" w:rsidRPr="00310498" w:rsidRDefault="0032043A" w:rsidP="00B66717">
            <w:pPr>
              <w:pStyle w:val="Tabletext"/>
              <w:keepNext/>
              <w:keepLines/>
            </w:pPr>
            <w:r w:rsidRPr="00310498">
              <w:t>Events n/N (%)</w:t>
            </w:r>
          </w:p>
        </w:tc>
        <w:tc>
          <w:tcPr>
            <w:tcW w:w="1800" w:type="dxa"/>
            <w:vAlign w:val="center"/>
          </w:tcPr>
          <w:p w14:paraId="668C85BE" w14:textId="77777777" w:rsidR="0032043A" w:rsidRPr="00310498" w:rsidRDefault="0032043A" w:rsidP="00B66717">
            <w:pPr>
              <w:pStyle w:val="Tabletext"/>
              <w:keepNext/>
              <w:keepLines/>
              <w:jc w:val="center"/>
            </w:pPr>
            <w:r w:rsidRPr="00310498">
              <w:t>21/30 (70)</w:t>
            </w:r>
          </w:p>
        </w:tc>
        <w:tc>
          <w:tcPr>
            <w:tcW w:w="1920" w:type="dxa"/>
            <w:vAlign w:val="center"/>
          </w:tcPr>
          <w:p w14:paraId="37F3AC2E" w14:textId="77777777" w:rsidR="0032043A" w:rsidRPr="00310498" w:rsidRDefault="0032043A" w:rsidP="00B66717">
            <w:pPr>
              <w:pStyle w:val="Tabletext"/>
              <w:keepNext/>
              <w:keepLines/>
              <w:jc w:val="center"/>
            </w:pPr>
            <w:r w:rsidRPr="00310498">
              <w:t>19/26 (73.1)</w:t>
            </w:r>
          </w:p>
        </w:tc>
        <w:tc>
          <w:tcPr>
            <w:tcW w:w="1941" w:type="dxa"/>
            <w:vAlign w:val="center"/>
          </w:tcPr>
          <w:p w14:paraId="1A21389B" w14:textId="77777777" w:rsidR="0032043A" w:rsidRPr="00310498" w:rsidRDefault="0032043A" w:rsidP="00B66717">
            <w:pPr>
              <w:pStyle w:val="Tabletext"/>
              <w:keepNext/>
              <w:keepLines/>
              <w:jc w:val="center"/>
            </w:pPr>
            <w:r w:rsidRPr="00310498">
              <w:t>14/25 (56)</w:t>
            </w:r>
          </w:p>
        </w:tc>
      </w:tr>
      <w:tr w:rsidR="0032043A" w:rsidRPr="00310498" w14:paraId="7BA3EDF8" w14:textId="77777777" w:rsidTr="007E5623">
        <w:tc>
          <w:tcPr>
            <w:tcW w:w="1195" w:type="dxa"/>
            <w:vMerge/>
          </w:tcPr>
          <w:p w14:paraId="1F31DD6D" w14:textId="77777777" w:rsidR="0032043A" w:rsidRPr="00310498" w:rsidRDefault="0032043A" w:rsidP="00B66717">
            <w:pPr>
              <w:pStyle w:val="Tabletext"/>
              <w:keepNext/>
              <w:keepLines/>
            </w:pPr>
          </w:p>
        </w:tc>
        <w:tc>
          <w:tcPr>
            <w:tcW w:w="2160" w:type="dxa"/>
            <w:vAlign w:val="center"/>
          </w:tcPr>
          <w:p w14:paraId="57086315" w14:textId="345C844B" w:rsidR="0032043A" w:rsidRPr="00310498" w:rsidRDefault="0032043A" w:rsidP="00B66717">
            <w:pPr>
              <w:pStyle w:val="Tabletext"/>
              <w:keepNext/>
              <w:keepLines/>
            </w:pPr>
            <w:r w:rsidRPr="00310498">
              <w:t>Median, months (95% CI)</w:t>
            </w:r>
          </w:p>
        </w:tc>
        <w:tc>
          <w:tcPr>
            <w:tcW w:w="1800" w:type="dxa"/>
            <w:vAlign w:val="center"/>
          </w:tcPr>
          <w:p w14:paraId="77CDF737" w14:textId="32ED4E22" w:rsidR="0032043A" w:rsidRPr="00310498" w:rsidRDefault="0032043A" w:rsidP="00B66717">
            <w:pPr>
              <w:pStyle w:val="Tabletext"/>
              <w:keepNext/>
              <w:keepLines/>
              <w:jc w:val="center"/>
            </w:pPr>
            <w:r w:rsidRPr="00310498">
              <w:t>9.5 (7.2</w:t>
            </w:r>
            <w:r>
              <w:t xml:space="preserve">, </w:t>
            </w:r>
            <w:r w:rsidRPr="00310498">
              <w:t>11.6)</w:t>
            </w:r>
          </w:p>
        </w:tc>
        <w:tc>
          <w:tcPr>
            <w:tcW w:w="1920" w:type="dxa"/>
            <w:vAlign w:val="center"/>
          </w:tcPr>
          <w:p w14:paraId="3391E9F9" w14:textId="7BDE28B6" w:rsidR="0032043A" w:rsidRPr="00310498" w:rsidRDefault="0032043A" w:rsidP="00B66717">
            <w:pPr>
              <w:pStyle w:val="Tabletext"/>
              <w:keepNext/>
              <w:keepLines/>
              <w:jc w:val="center"/>
            </w:pPr>
            <w:r w:rsidRPr="00310498">
              <w:t>8.2 (6.6</w:t>
            </w:r>
            <w:r>
              <w:t xml:space="preserve">, </w:t>
            </w:r>
            <w:r w:rsidRPr="00310498">
              <w:t>9.8)</w:t>
            </w:r>
          </w:p>
        </w:tc>
        <w:tc>
          <w:tcPr>
            <w:tcW w:w="1941" w:type="dxa"/>
            <w:vAlign w:val="center"/>
          </w:tcPr>
          <w:p w14:paraId="7FC9CBFF" w14:textId="365C6D75" w:rsidR="0032043A" w:rsidRPr="00310498" w:rsidRDefault="0032043A" w:rsidP="00B66717">
            <w:pPr>
              <w:pStyle w:val="Tabletext"/>
              <w:keepNext/>
              <w:keepLines/>
              <w:jc w:val="center"/>
            </w:pPr>
            <w:r w:rsidRPr="00310498">
              <w:t>9.9 (4.8</w:t>
            </w:r>
            <w:r>
              <w:t xml:space="preserve">, </w:t>
            </w:r>
            <w:r w:rsidRPr="00310498">
              <w:t>NR)</w:t>
            </w:r>
          </w:p>
        </w:tc>
      </w:tr>
      <w:tr w:rsidR="0032043A" w:rsidRPr="00310498" w14:paraId="1F324735" w14:textId="77777777" w:rsidTr="007E5623">
        <w:tc>
          <w:tcPr>
            <w:tcW w:w="1195" w:type="dxa"/>
            <w:vMerge/>
          </w:tcPr>
          <w:p w14:paraId="5AED3881" w14:textId="77777777" w:rsidR="0032043A" w:rsidRPr="00310498" w:rsidRDefault="0032043A" w:rsidP="00B66717">
            <w:pPr>
              <w:pStyle w:val="Tabletext"/>
              <w:keepNext/>
              <w:keepLines/>
            </w:pPr>
          </w:p>
        </w:tc>
        <w:tc>
          <w:tcPr>
            <w:tcW w:w="2160" w:type="dxa"/>
            <w:vAlign w:val="center"/>
          </w:tcPr>
          <w:p w14:paraId="599D9EFA" w14:textId="77777777" w:rsidR="0032043A" w:rsidRPr="00310498" w:rsidRDefault="0032043A" w:rsidP="00B66717">
            <w:pPr>
              <w:pStyle w:val="Tabletext"/>
              <w:keepNext/>
              <w:keepLines/>
            </w:pPr>
            <w:r w:rsidRPr="00310498">
              <w:t>HR (95% CI) vs PC</w:t>
            </w:r>
          </w:p>
        </w:tc>
        <w:tc>
          <w:tcPr>
            <w:tcW w:w="1800" w:type="dxa"/>
            <w:vAlign w:val="center"/>
          </w:tcPr>
          <w:p w14:paraId="0EE8CF2A" w14:textId="656EE4CA" w:rsidR="0032043A" w:rsidRPr="00310498" w:rsidRDefault="0032043A" w:rsidP="00B66717">
            <w:pPr>
              <w:pStyle w:val="Tabletext"/>
              <w:keepNext/>
              <w:keepLines/>
              <w:jc w:val="center"/>
            </w:pPr>
            <w:r>
              <w:t>-</w:t>
            </w:r>
          </w:p>
        </w:tc>
        <w:tc>
          <w:tcPr>
            <w:tcW w:w="1920" w:type="dxa"/>
            <w:vAlign w:val="center"/>
          </w:tcPr>
          <w:p w14:paraId="146038C8" w14:textId="1131904E" w:rsidR="0032043A" w:rsidRPr="00310498" w:rsidRDefault="0032043A" w:rsidP="00B66717">
            <w:pPr>
              <w:pStyle w:val="Tabletext"/>
              <w:keepNext/>
              <w:keepLines/>
              <w:jc w:val="center"/>
            </w:pPr>
            <w:r w:rsidRPr="00310498">
              <w:t>1.05 (0.56</w:t>
            </w:r>
            <w:r>
              <w:t xml:space="preserve">, </w:t>
            </w:r>
            <w:r w:rsidRPr="00310498">
              <w:t>1.96)</w:t>
            </w:r>
          </w:p>
        </w:tc>
        <w:tc>
          <w:tcPr>
            <w:tcW w:w="1941" w:type="dxa"/>
            <w:vAlign w:val="center"/>
          </w:tcPr>
          <w:p w14:paraId="4A6EFED0" w14:textId="3CF5F690" w:rsidR="0032043A" w:rsidRPr="00310498" w:rsidRDefault="0032043A" w:rsidP="00B66717">
            <w:pPr>
              <w:pStyle w:val="Tabletext"/>
              <w:keepNext/>
              <w:keepLines/>
              <w:jc w:val="center"/>
            </w:pPr>
            <w:r w:rsidRPr="00310498">
              <w:t>0.74 (0.37</w:t>
            </w:r>
            <w:r>
              <w:t xml:space="preserve">, </w:t>
            </w:r>
            <w:r w:rsidRPr="00310498">
              <w:t>1.45)</w:t>
            </w:r>
          </w:p>
        </w:tc>
      </w:tr>
    </w:tbl>
    <w:p w14:paraId="22D36424" w14:textId="77777777" w:rsidR="00E24B8A" w:rsidRPr="00310498" w:rsidRDefault="00E24B8A" w:rsidP="00D17A65">
      <w:pPr>
        <w:pStyle w:val="TableFigureFooter"/>
      </w:pPr>
      <w:r w:rsidRPr="00310498">
        <w:t>Source: Table 2.27, p102 of the submission.</w:t>
      </w:r>
    </w:p>
    <w:p w14:paraId="66E28754" w14:textId="5B29ADF9" w:rsidR="00485DF5" w:rsidRPr="00310498" w:rsidRDefault="00485DF5" w:rsidP="00D17A65">
      <w:pPr>
        <w:pStyle w:val="TableFigureFooter"/>
      </w:pPr>
      <w:r w:rsidRPr="00310498">
        <w:t xml:space="preserve">BRCA = breast cancer gene mutation; dMMR = </w:t>
      </w:r>
      <w:r w:rsidR="00BB2BCF" w:rsidRPr="00310498">
        <w:t xml:space="preserve">deficient </w:t>
      </w:r>
      <w:r w:rsidRPr="00310498">
        <w:t xml:space="preserve">mismatch repair; ITT = intention to treat; </w:t>
      </w:r>
      <w:r w:rsidR="0041670E" w:rsidRPr="00310498">
        <w:t>PC = paclitaxel + carboplatin</w:t>
      </w:r>
      <w:r w:rsidRPr="00310498">
        <w:t xml:space="preserve">; PFS = progression free survival; pMMR = </w:t>
      </w:r>
      <w:r w:rsidR="00BB2BCF" w:rsidRPr="00310498">
        <w:t xml:space="preserve">proficient </w:t>
      </w:r>
      <w:r w:rsidRPr="00310498">
        <w:t xml:space="preserve">mismatch repair </w:t>
      </w:r>
    </w:p>
    <w:p w14:paraId="7E44A141" w14:textId="0046E86C" w:rsidR="00485DF5" w:rsidRPr="00310498" w:rsidRDefault="00485DF5" w:rsidP="00485DF5">
      <w:pPr>
        <w:pStyle w:val="3-BodyText"/>
      </w:pPr>
      <w:r w:rsidRPr="00310498">
        <w:t>Nieuwenhuysen 2024 also presented median PFS results for the dMMR EC population</w:t>
      </w:r>
      <w:r w:rsidR="008A053B" w:rsidRPr="00310498">
        <w:t xml:space="preserve"> by </w:t>
      </w:r>
      <w:r w:rsidR="008A053B" w:rsidRPr="0032043A">
        <w:rPr>
          <w:i/>
          <w:iCs/>
        </w:rPr>
        <w:t>BRCAm</w:t>
      </w:r>
      <w:r w:rsidR="008A053B" w:rsidRPr="00310498">
        <w:t xml:space="preserve"> status</w:t>
      </w:r>
      <w:r w:rsidRPr="00310498">
        <w:t xml:space="preserve">. Data </w:t>
      </w:r>
      <w:r w:rsidR="008128F0" w:rsidRPr="00310498">
        <w:t xml:space="preserve">were </w:t>
      </w:r>
      <w:r w:rsidRPr="00310498">
        <w:t xml:space="preserve">limited in this subpopulation due to low patient numbers but in the dMMR subpopulation patients with </w:t>
      </w:r>
      <w:r w:rsidRPr="0032043A">
        <w:rPr>
          <w:i/>
          <w:iCs/>
        </w:rPr>
        <w:t>BRCAm</w:t>
      </w:r>
      <w:r w:rsidRPr="00310498">
        <w:t xml:space="preserve"> achieved similar median PFS results when they received durvalumab + PC (26.0 months</w:t>
      </w:r>
      <w:r w:rsidR="006A77C4" w:rsidRPr="00310498">
        <w:t>; 95% CI: 7.1, NR)</w:t>
      </w:r>
      <w:r w:rsidRPr="00310498">
        <w:t xml:space="preserve"> compared to durvalumab + PC + olaparib (31.8 months</w:t>
      </w:r>
      <w:r w:rsidR="006A77C4" w:rsidRPr="00310498">
        <w:t>; 95% CI: 9.9, NR</w:t>
      </w:r>
      <w:r w:rsidRPr="00310498">
        <w:t>).</w:t>
      </w:r>
      <w:r w:rsidR="008965E3" w:rsidRPr="00310498">
        <w:rPr>
          <w:rStyle w:val="FootnoteReference"/>
        </w:rPr>
        <w:footnoteReference w:id="4"/>
      </w:r>
      <w:r w:rsidRPr="00310498">
        <w:t xml:space="preserve"> </w:t>
      </w:r>
      <w:r w:rsidR="0032043A">
        <w:t>Hazard ratio</w:t>
      </w:r>
      <w:r w:rsidR="00AB536B" w:rsidRPr="00310498">
        <w:t>s</w:t>
      </w:r>
      <w:r w:rsidRPr="00310498">
        <w:t xml:space="preserve"> for these treatment arms compared to PC could not be calculated. </w:t>
      </w:r>
    </w:p>
    <w:p w14:paraId="29EB3220" w14:textId="5C30DFC6" w:rsidR="00485DF5" w:rsidRPr="00310498" w:rsidRDefault="00485DF5" w:rsidP="00485DF5">
      <w:pPr>
        <w:pStyle w:val="3-BodyText"/>
      </w:pPr>
      <w:r w:rsidRPr="0067038A">
        <w:t xml:space="preserve">The TGA evaluator in the </w:t>
      </w:r>
      <w:r w:rsidR="00A31376" w:rsidRPr="0067038A">
        <w:t>CER</w:t>
      </w:r>
      <w:r w:rsidRPr="0067038A">
        <w:t xml:space="preserve"> (round </w:t>
      </w:r>
      <w:r w:rsidR="00FB45E5" w:rsidRPr="0067038A">
        <w:t>2</w:t>
      </w:r>
      <w:r w:rsidRPr="0067038A">
        <w:t xml:space="preserve">) </w:t>
      </w:r>
      <w:r w:rsidR="5A31CED7" w:rsidRPr="7EE24840">
        <w:rPr>
          <w:color w:val="000000" w:themeColor="text1"/>
        </w:rPr>
        <w:t>|</w:t>
      </w:r>
      <w:r w:rsidR="5A31CED7">
        <w:t xml:space="preserve"> </w:t>
      </w:r>
      <w:r w:rsidR="5A31CED7" w:rsidRPr="7EE24840">
        <w:rPr>
          <w:color w:val="000000" w:themeColor="text1"/>
        </w:rPr>
        <w:t>|</w:t>
      </w:r>
      <w:r w:rsidR="5A31CED7">
        <w:t xml:space="preserve"> </w:t>
      </w:r>
      <w:r w:rsidR="5A31CED7" w:rsidRPr="7EE24840">
        <w:rPr>
          <w:color w:val="000000" w:themeColor="text1"/>
        </w:rPr>
        <w:t>|</w:t>
      </w:r>
      <w:r w:rsidR="5A31CED7">
        <w:t xml:space="preserve"> </w:t>
      </w:r>
      <w:r w:rsidR="5A31CED7" w:rsidRPr="7EE24840">
        <w:rPr>
          <w:color w:val="000000" w:themeColor="text1"/>
        </w:rPr>
        <w:t>|</w:t>
      </w:r>
      <w:r w:rsidR="5A31CED7">
        <w:t xml:space="preserve"> </w:t>
      </w:r>
      <w:r w:rsidR="5A31CED7" w:rsidRPr="7EE24840">
        <w:rPr>
          <w:color w:val="000000" w:themeColor="text1"/>
        </w:rPr>
        <w:t>|</w:t>
      </w:r>
      <w:r w:rsidR="00A27FA9" w:rsidRPr="00A27FA9">
        <w:t xml:space="preserve"> </w:t>
      </w:r>
      <w:r w:rsidR="00025B50" w:rsidRPr="7EE24840">
        <w:rPr>
          <w:color w:val="000000" w:themeColor="text1"/>
        </w:rPr>
        <w:t>|</w:t>
      </w:r>
      <w:r w:rsidR="00025B50">
        <w:t xml:space="preserve"> </w:t>
      </w:r>
      <w:r w:rsidR="00025B50" w:rsidRPr="7EE24840">
        <w:rPr>
          <w:color w:val="000000" w:themeColor="text1"/>
        </w:rPr>
        <w:t>|</w:t>
      </w:r>
      <w:r w:rsidR="00025B50">
        <w:t xml:space="preserve"> </w:t>
      </w:r>
      <w:r w:rsidR="00025B50" w:rsidRPr="7EE24840">
        <w:rPr>
          <w:color w:val="000000" w:themeColor="text1"/>
        </w:rPr>
        <w:t>|</w:t>
      </w:r>
      <w:r w:rsidR="00025B50">
        <w:t xml:space="preserve"> </w:t>
      </w:r>
      <w:r w:rsidR="00025B50" w:rsidRPr="7EE24840">
        <w:rPr>
          <w:color w:val="000000" w:themeColor="text1"/>
        </w:rPr>
        <w:t>|</w:t>
      </w:r>
      <w:r w:rsidR="00025B50">
        <w:t xml:space="preserve"> </w:t>
      </w:r>
      <w:r w:rsidR="00025B50" w:rsidRPr="7EE24840">
        <w:rPr>
          <w:color w:val="000000" w:themeColor="text1"/>
        </w:rPr>
        <w:t>|</w:t>
      </w:r>
      <w:r w:rsidR="00A27FA9" w:rsidRPr="00A27FA9">
        <w:t xml:space="preserve"> </w:t>
      </w:r>
      <w:r w:rsidR="5743150C" w:rsidRPr="7EE24840">
        <w:rPr>
          <w:color w:val="000000" w:themeColor="text1"/>
        </w:rPr>
        <w:t>|</w:t>
      </w:r>
      <w:r w:rsidR="5743150C">
        <w:t xml:space="preserve"> </w:t>
      </w:r>
      <w:r w:rsidR="5743150C" w:rsidRPr="7EE24840">
        <w:rPr>
          <w:color w:val="000000" w:themeColor="text1"/>
        </w:rPr>
        <w:t>|</w:t>
      </w:r>
      <w:r w:rsidR="5743150C">
        <w:t xml:space="preserve"> </w:t>
      </w:r>
      <w:r w:rsidR="5743150C" w:rsidRPr="7EE24840">
        <w:rPr>
          <w:color w:val="000000" w:themeColor="text1"/>
        </w:rPr>
        <w:t>|</w:t>
      </w:r>
      <w:r w:rsidR="5743150C">
        <w:t xml:space="preserve"> </w:t>
      </w:r>
      <w:r w:rsidR="5743150C" w:rsidRPr="7EE24840">
        <w:rPr>
          <w:color w:val="000000" w:themeColor="text1"/>
        </w:rPr>
        <w:t>|</w:t>
      </w:r>
      <w:r w:rsidR="5743150C">
        <w:t xml:space="preserve"> </w:t>
      </w:r>
      <w:r w:rsidR="5743150C" w:rsidRPr="7EE24840">
        <w:rPr>
          <w:color w:val="000000" w:themeColor="text1"/>
        </w:rPr>
        <w:t>|</w:t>
      </w:r>
      <w:r w:rsidR="0A7361CB" w:rsidRPr="00A27FA9">
        <w:t xml:space="preserve"> </w:t>
      </w:r>
      <w:r w:rsidR="5AB5845A" w:rsidRPr="7EE24840">
        <w:rPr>
          <w:color w:val="000000" w:themeColor="text1"/>
        </w:rPr>
        <w:t>|</w:t>
      </w:r>
      <w:r w:rsidR="5AB5845A">
        <w:t xml:space="preserve"> </w:t>
      </w:r>
      <w:r w:rsidR="5AB5845A" w:rsidRPr="7EE24840">
        <w:rPr>
          <w:color w:val="000000" w:themeColor="text1"/>
        </w:rPr>
        <w:t>|</w:t>
      </w:r>
      <w:r w:rsidR="5AB5845A">
        <w:t xml:space="preserve"> </w:t>
      </w:r>
      <w:r w:rsidR="5AB5845A" w:rsidRPr="7EE24840">
        <w:rPr>
          <w:color w:val="000000" w:themeColor="text1"/>
        </w:rPr>
        <w:t>|</w:t>
      </w:r>
      <w:r w:rsidR="5AB5845A">
        <w:t xml:space="preserve"> </w:t>
      </w:r>
      <w:r w:rsidR="5AB5845A" w:rsidRPr="7EE24840">
        <w:rPr>
          <w:color w:val="000000" w:themeColor="text1"/>
        </w:rPr>
        <w:t>|</w:t>
      </w:r>
      <w:r w:rsidR="5AB5845A">
        <w:t xml:space="preserve"> </w:t>
      </w:r>
      <w:r w:rsidR="4BD20565" w:rsidRPr="7EE24840">
        <w:rPr>
          <w:color w:val="000000" w:themeColor="text1"/>
        </w:rPr>
        <w:t>| |</w:t>
      </w:r>
      <w:r w:rsidR="5492176A">
        <w:t xml:space="preserve"> </w:t>
      </w:r>
      <w:r w:rsidR="5492176A" w:rsidRPr="7EE24840">
        <w:rPr>
          <w:color w:val="000000" w:themeColor="text1"/>
        </w:rPr>
        <w:t>|</w:t>
      </w:r>
      <w:r w:rsidR="5492176A">
        <w:t xml:space="preserve"> </w:t>
      </w:r>
      <w:r w:rsidR="5492176A" w:rsidRPr="7EE24840">
        <w:rPr>
          <w:color w:val="000000" w:themeColor="text1"/>
        </w:rPr>
        <w:t>|</w:t>
      </w:r>
      <w:r w:rsidR="5492176A">
        <w:t xml:space="preserve"> </w:t>
      </w:r>
      <w:r w:rsidR="5492176A" w:rsidRPr="7EE24840">
        <w:rPr>
          <w:color w:val="000000" w:themeColor="text1"/>
        </w:rPr>
        <w:t>|</w:t>
      </w:r>
      <w:r w:rsidR="5492176A">
        <w:t xml:space="preserve"> </w:t>
      </w:r>
      <w:r w:rsidR="5492176A" w:rsidRPr="7EE24840">
        <w:rPr>
          <w:color w:val="000000" w:themeColor="text1"/>
        </w:rPr>
        <w:t>|</w:t>
      </w:r>
      <w:r w:rsidR="00A27FA9" w:rsidRPr="00A27FA9">
        <w:t xml:space="preserve"> </w:t>
      </w:r>
      <w:r w:rsidR="444E06FF" w:rsidRPr="7EE24840">
        <w:rPr>
          <w:color w:val="000000" w:themeColor="text1"/>
        </w:rPr>
        <w:t>|</w:t>
      </w:r>
      <w:r w:rsidR="444E06FF">
        <w:t xml:space="preserve"> </w:t>
      </w:r>
      <w:r w:rsidR="444E06FF" w:rsidRPr="7EE24840">
        <w:rPr>
          <w:color w:val="000000" w:themeColor="text1"/>
        </w:rPr>
        <w:t>|</w:t>
      </w:r>
      <w:r w:rsidR="444E06FF">
        <w:t xml:space="preserve"> </w:t>
      </w:r>
      <w:r w:rsidR="444E06FF" w:rsidRPr="7EE24840">
        <w:rPr>
          <w:color w:val="000000" w:themeColor="text1"/>
        </w:rPr>
        <w:t>|</w:t>
      </w:r>
      <w:r w:rsidR="444E06FF">
        <w:t xml:space="preserve"> </w:t>
      </w:r>
      <w:r w:rsidR="444E06FF" w:rsidRPr="7EE24840">
        <w:rPr>
          <w:color w:val="000000" w:themeColor="text1"/>
        </w:rPr>
        <w:t>|</w:t>
      </w:r>
      <w:r w:rsidR="444E06FF">
        <w:t xml:space="preserve"> </w:t>
      </w:r>
      <w:r w:rsidR="444E06FF" w:rsidRPr="7EE24840">
        <w:rPr>
          <w:color w:val="000000" w:themeColor="text1"/>
        </w:rPr>
        <w:t>|</w:t>
      </w:r>
      <w:r w:rsidR="00A27FA9" w:rsidRPr="00A27FA9">
        <w:t xml:space="preserve"> </w:t>
      </w:r>
      <w:r w:rsidR="495CEE47" w:rsidRPr="7EE24840">
        <w:rPr>
          <w:color w:val="000000" w:themeColor="text1"/>
        </w:rPr>
        <w:t>|</w:t>
      </w:r>
      <w:r w:rsidR="495CEE47">
        <w:t xml:space="preserve"> </w:t>
      </w:r>
      <w:r w:rsidR="495CEE47" w:rsidRPr="7EE24840">
        <w:rPr>
          <w:color w:val="000000" w:themeColor="text1"/>
        </w:rPr>
        <w:t>|</w:t>
      </w:r>
      <w:r w:rsidR="495CEE47">
        <w:t xml:space="preserve"> </w:t>
      </w:r>
      <w:r w:rsidR="495CEE47" w:rsidRPr="7EE24840">
        <w:rPr>
          <w:color w:val="000000" w:themeColor="text1"/>
        </w:rPr>
        <w:t>|</w:t>
      </w:r>
      <w:r w:rsidR="495CEE47">
        <w:t xml:space="preserve"> </w:t>
      </w:r>
      <w:r w:rsidR="495CEE47" w:rsidRPr="7EE24840">
        <w:rPr>
          <w:color w:val="000000" w:themeColor="text1"/>
        </w:rPr>
        <w:t>|</w:t>
      </w:r>
      <w:r w:rsidR="495CEE47">
        <w:t xml:space="preserve"> </w:t>
      </w:r>
      <w:r w:rsidR="495CEE47" w:rsidRPr="7EE24840">
        <w:rPr>
          <w:color w:val="000000" w:themeColor="text1"/>
        </w:rPr>
        <w:t>|</w:t>
      </w:r>
      <w:r w:rsidR="00A27FA9" w:rsidRPr="00A27FA9">
        <w:t xml:space="preserve"> </w:t>
      </w:r>
      <w:r w:rsidR="64144BFC" w:rsidRPr="7EE24840">
        <w:rPr>
          <w:color w:val="000000" w:themeColor="text1"/>
        </w:rPr>
        <w:t>|</w:t>
      </w:r>
      <w:r w:rsidR="64144BFC">
        <w:t xml:space="preserve"> </w:t>
      </w:r>
      <w:r w:rsidR="64144BFC" w:rsidRPr="7EE24840">
        <w:rPr>
          <w:color w:val="000000" w:themeColor="text1"/>
        </w:rPr>
        <w:t>|</w:t>
      </w:r>
      <w:r w:rsidR="64144BFC">
        <w:t xml:space="preserve"> </w:t>
      </w:r>
      <w:r w:rsidR="64144BFC" w:rsidRPr="7EE24840">
        <w:rPr>
          <w:color w:val="000000" w:themeColor="text1"/>
        </w:rPr>
        <w:t>|</w:t>
      </w:r>
      <w:r w:rsidR="64144BFC">
        <w:t xml:space="preserve"> </w:t>
      </w:r>
      <w:r w:rsidR="64144BFC" w:rsidRPr="7EE24840">
        <w:rPr>
          <w:color w:val="000000" w:themeColor="text1"/>
        </w:rPr>
        <w:t>|</w:t>
      </w:r>
      <w:r w:rsidR="64144BFC">
        <w:t xml:space="preserve"> </w:t>
      </w:r>
      <w:r w:rsidR="64144BFC" w:rsidRPr="7EE24840">
        <w:rPr>
          <w:color w:val="000000" w:themeColor="text1"/>
        </w:rPr>
        <w:t>|</w:t>
      </w:r>
      <w:r w:rsidR="37494988" w:rsidRPr="7EE24840">
        <w:rPr>
          <w:i/>
          <w:iCs/>
        </w:rPr>
        <w:t xml:space="preserve"> </w:t>
      </w:r>
      <w:r w:rsidR="3EC272A8" w:rsidRPr="7EE24840">
        <w:rPr>
          <w:color w:val="000000" w:themeColor="text1"/>
        </w:rPr>
        <w:t>|</w:t>
      </w:r>
      <w:r w:rsidR="3EC272A8">
        <w:t xml:space="preserve"> </w:t>
      </w:r>
      <w:r w:rsidR="3EC272A8" w:rsidRPr="7EE24840">
        <w:rPr>
          <w:color w:val="000000" w:themeColor="text1"/>
        </w:rPr>
        <w:t>|</w:t>
      </w:r>
      <w:r w:rsidR="3EC272A8">
        <w:t xml:space="preserve"> </w:t>
      </w:r>
      <w:r w:rsidR="3EC272A8" w:rsidRPr="7EE24840">
        <w:rPr>
          <w:color w:val="000000" w:themeColor="text1"/>
        </w:rPr>
        <w:t>|</w:t>
      </w:r>
      <w:r w:rsidR="3EC272A8">
        <w:t xml:space="preserve"> </w:t>
      </w:r>
      <w:r w:rsidR="3EC272A8" w:rsidRPr="7EE24840">
        <w:rPr>
          <w:color w:val="000000" w:themeColor="text1"/>
        </w:rPr>
        <w:t>|</w:t>
      </w:r>
      <w:r w:rsidR="3EC272A8">
        <w:t xml:space="preserve"> </w:t>
      </w:r>
      <w:r w:rsidR="3EC272A8" w:rsidRPr="7EE24840">
        <w:rPr>
          <w:color w:val="000000" w:themeColor="text1"/>
        </w:rPr>
        <w:t>|</w:t>
      </w:r>
      <w:r w:rsidR="00A27FA9" w:rsidRPr="00A27FA9">
        <w:t xml:space="preserve"> </w:t>
      </w:r>
      <w:r w:rsidR="5528E45A" w:rsidRPr="7EE24840">
        <w:rPr>
          <w:color w:val="000000" w:themeColor="text1"/>
        </w:rPr>
        <w:t>|</w:t>
      </w:r>
      <w:r w:rsidR="5528E45A">
        <w:t xml:space="preserve"> </w:t>
      </w:r>
      <w:r w:rsidR="5528E45A" w:rsidRPr="7EE24840">
        <w:rPr>
          <w:color w:val="000000" w:themeColor="text1"/>
        </w:rPr>
        <w:t>|</w:t>
      </w:r>
      <w:r w:rsidR="5528E45A">
        <w:t xml:space="preserve"> </w:t>
      </w:r>
      <w:r w:rsidR="5528E45A" w:rsidRPr="7EE24840">
        <w:rPr>
          <w:color w:val="000000" w:themeColor="text1"/>
        </w:rPr>
        <w:t>|</w:t>
      </w:r>
      <w:r w:rsidR="5528E45A">
        <w:t xml:space="preserve"> </w:t>
      </w:r>
      <w:r w:rsidR="5528E45A" w:rsidRPr="7EE24840">
        <w:rPr>
          <w:color w:val="000000" w:themeColor="text1"/>
        </w:rPr>
        <w:t>|</w:t>
      </w:r>
      <w:r w:rsidR="5528E45A">
        <w:t xml:space="preserve"> </w:t>
      </w:r>
      <w:r w:rsidR="5528E45A" w:rsidRPr="7EE24840">
        <w:rPr>
          <w:color w:val="000000" w:themeColor="text1"/>
        </w:rPr>
        <w:t>|</w:t>
      </w:r>
      <w:r w:rsidR="101EB548" w:rsidRPr="00A27FA9">
        <w:t xml:space="preserve"> </w:t>
      </w:r>
      <w:bookmarkStart w:id="43" w:name="_Ref196732139"/>
      <w:r w:rsidR="002C296E">
        <w:rPr>
          <w:rStyle w:val="FootnoteReference"/>
        </w:rPr>
        <w:footnoteReference w:id="5"/>
      </w:r>
      <w:bookmarkEnd w:id="43"/>
    </w:p>
    <w:p w14:paraId="3EEEC4AD" w14:textId="1006ED34" w:rsidR="00485DF5" w:rsidRPr="00310498" w:rsidRDefault="0A6450D8" w:rsidP="000E3B69">
      <w:pPr>
        <w:pStyle w:val="3-BodyText"/>
        <w:numPr>
          <w:ilvl w:val="1"/>
          <w:numId w:val="23"/>
        </w:numPr>
        <w:ind w:left="1134"/>
      </w:pPr>
      <w:r w:rsidRPr="7EE24840">
        <w:rPr>
          <w:rFonts w:ascii="Calibri" w:eastAsia="Calibri" w:hAnsi="Calibri" w:cs="Arial"/>
          <w:color w:val="000000" w:themeColor="text1"/>
          <w:szCs w:val="24"/>
        </w:rPr>
        <w:t>|</w:t>
      </w:r>
      <w:r w:rsidRPr="7EE24840">
        <w:rPr>
          <w:rFonts w:ascii="Calibri" w:eastAsia="Calibri" w:hAnsi="Calibri" w:cs="Arial"/>
          <w:szCs w:val="24"/>
        </w:rPr>
        <w:t xml:space="preserve"> </w:t>
      </w:r>
      <w:r w:rsidRPr="7EE24840">
        <w:rPr>
          <w:rFonts w:ascii="Calibri" w:eastAsia="Calibri" w:hAnsi="Calibri" w:cs="Arial"/>
          <w:color w:val="000000" w:themeColor="text1"/>
          <w:szCs w:val="24"/>
        </w:rPr>
        <w:t>|</w:t>
      </w:r>
      <w:r w:rsidRPr="7EE24840">
        <w:rPr>
          <w:rFonts w:ascii="Calibri" w:eastAsia="Calibri" w:hAnsi="Calibri" w:cs="Arial"/>
          <w:szCs w:val="24"/>
        </w:rPr>
        <w:t xml:space="preserve"> </w:t>
      </w:r>
      <w:r w:rsidRPr="7EE24840">
        <w:rPr>
          <w:rFonts w:ascii="Calibri" w:eastAsia="Calibri" w:hAnsi="Calibri" w:cs="Arial"/>
          <w:color w:val="000000" w:themeColor="text1"/>
          <w:szCs w:val="24"/>
        </w:rPr>
        <w:t>|</w:t>
      </w:r>
      <w:r w:rsidRPr="7EE24840">
        <w:rPr>
          <w:rFonts w:ascii="Calibri" w:eastAsia="Calibri" w:hAnsi="Calibri" w:cs="Arial"/>
          <w:szCs w:val="24"/>
        </w:rPr>
        <w:t xml:space="preserve"> </w:t>
      </w:r>
      <w:r w:rsidRPr="7EE24840">
        <w:rPr>
          <w:rFonts w:ascii="Calibri" w:eastAsia="Calibri" w:hAnsi="Calibri" w:cs="Arial"/>
          <w:color w:val="000000" w:themeColor="text1"/>
          <w:szCs w:val="24"/>
        </w:rPr>
        <w:t>|</w:t>
      </w:r>
      <w:r w:rsidRPr="7EE24840">
        <w:rPr>
          <w:rFonts w:ascii="Calibri" w:eastAsia="Calibri" w:hAnsi="Calibri" w:cs="Arial"/>
          <w:szCs w:val="24"/>
        </w:rPr>
        <w:t xml:space="preserve"> </w:t>
      </w:r>
      <w:r w:rsidRPr="7EE24840">
        <w:rPr>
          <w:rFonts w:ascii="Calibri" w:eastAsia="Calibri" w:hAnsi="Calibri" w:cs="Arial"/>
          <w:color w:val="000000" w:themeColor="text1"/>
          <w:szCs w:val="24"/>
        </w:rPr>
        <w:t>|</w:t>
      </w:r>
      <w:r w:rsidR="00A27FA9" w:rsidRPr="00A27FA9">
        <w:t xml:space="preserve"> </w:t>
      </w:r>
      <w:r w:rsidR="6E756F4D" w:rsidRPr="7EE24840">
        <w:rPr>
          <w:color w:val="000000" w:themeColor="text1"/>
        </w:rPr>
        <w:t>|</w:t>
      </w:r>
      <w:r w:rsidR="6E756F4D">
        <w:t xml:space="preserve"> </w:t>
      </w:r>
      <w:r w:rsidR="6E756F4D" w:rsidRPr="7EE24840">
        <w:rPr>
          <w:color w:val="000000" w:themeColor="text1"/>
        </w:rPr>
        <w:t>|</w:t>
      </w:r>
      <w:r w:rsidR="6E756F4D">
        <w:t xml:space="preserve"> </w:t>
      </w:r>
      <w:r w:rsidR="6E756F4D" w:rsidRPr="7EE24840">
        <w:rPr>
          <w:color w:val="000000" w:themeColor="text1"/>
        </w:rPr>
        <w:t>|</w:t>
      </w:r>
      <w:r w:rsidR="6E756F4D">
        <w:t xml:space="preserve"> </w:t>
      </w:r>
      <w:r w:rsidR="6E756F4D" w:rsidRPr="7EE24840">
        <w:rPr>
          <w:color w:val="000000" w:themeColor="text1"/>
        </w:rPr>
        <w:t>|</w:t>
      </w:r>
      <w:r w:rsidR="6E756F4D">
        <w:t xml:space="preserve"> </w:t>
      </w:r>
      <w:r w:rsidR="6E756F4D" w:rsidRPr="7EE24840">
        <w:rPr>
          <w:color w:val="000000" w:themeColor="text1"/>
        </w:rPr>
        <w:t>|</w:t>
      </w:r>
      <w:r w:rsidR="00A27FA9" w:rsidRPr="00A27FA9">
        <w:t xml:space="preserve"> </w:t>
      </w:r>
      <w:r w:rsidR="40CA804F" w:rsidRPr="7EE24840">
        <w:rPr>
          <w:color w:val="000000" w:themeColor="text1"/>
        </w:rPr>
        <w:t>|</w:t>
      </w:r>
      <w:r w:rsidR="40CA804F">
        <w:t xml:space="preserve"> </w:t>
      </w:r>
      <w:r w:rsidR="40CA804F" w:rsidRPr="7EE24840">
        <w:rPr>
          <w:color w:val="000000" w:themeColor="text1"/>
        </w:rPr>
        <w:t>|</w:t>
      </w:r>
      <w:r w:rsidR="40CA804F">
        <w:t xml:space="preserve"> </w:t>
      </w:r>
      <w:r w:rsidR="40CA804F" w:rsidRPr="7EE24840">
        <w:rPr>
          <w:color w:val="000000" w:themeColor="text1"/>
        </w:rPr>
        <w:t>|</w:t>
      </w:r>
      <w:r w:rsidR="40CA804F">
        <w:t xml:space="preserve"> </w:t>
      </w:r>
      <w:r w:rsidR="40CA804F" w:rsidRPr="7EE24840">
        <w:rPr>
          <w:color w:val="000000" w:themeColor="text1"/>
        </w:rPr>
        <w:t>|</w:t>
      </w:r>
      <w:r w:rsidR="40CA804F">
        <w:t xml:space="preserve"> </w:t>
      </w:r>
      <w:r w:rsidR="40CA804F" w:rsidRPr="7EE24840">
        <w:rPr>
          <w:color w:val="000000" w:themeColor="text1"/>
        </w:rPr>
        <w:t>|</w:t>
      </w:r>
      <w:r w:rsidR="00A27FA9" w:rsidRPr="00A27FA9">
        <w:t xml:space="preserve"> </w:t>
      </w:r>
      <w:r w:rsidR="3D264D6F" w:rsidRPr="7EE24840">
        <w:rPr>
          <w:color w:val="000000" w:themeColor="text1"/>
        </w:rPr>
        <w:t>|</w:t>
      </w:r>
      <w:r w:rsidR="3D264D6F">
        <w:t xml:space="preserve"> </w:t>
      </w:r>
      <w:r w:rsidR="3D264D6F" w:rsidRPr="7EE24840">
        <w:rPr>
          <w:color w:val="000000" w:themeColor="text1"/>
        </w:rPr>
        <w:t>|</w:t>
      </w:r>
      <w:r w:rsidR="3D264D6F">
        <w:t xml:space="preserve"> </w:t>
      </w:r>
      <w:r w:rsidR="3D264D6F" w:rsidRPr="7EE24840">
        <w:rPr>
          <w:color w:val="000000" w:themeColor="text1"/>
        </w:rPr>
        <w:t>|</w:t>
      </w:r>
      <w:r w:rsidR="3D264D6F">
        <w:t xml:space="preserve"> </w:t>
      </w:r>
      <w:r w:rsidR="3D264D6F" w:rsidRPr="7EE24840">
        <w:rPr>
          <w:color w:val="000000" w:themeColor="text1"/>
        </w:rPr>
        <w:t>|</w:t>
      </w:r>
      <w:r w:rsidR="3D264D6F">
        <w:t xml:space="preserve"> </w:t>
      </w:r>
      <w:r w:rsidR="3D264D6F" w:rsidRPr="7EE24840">
        <w:rPr>
          <w:color w:val="000000" w:themeColor="text1"/>
        </w:rPr>
        <w:t>|</w:t>
      </w:r>
      <w:r w:rsidR="00A27FA9" w:rsidRPr="00A27FA9">
        <w:t xml:space="preserve"> </w:t>
      </w:r>
      <w:r w:rsidR="6CED08C1" w:rsidRPr="7EE24840">
        <w:rPr>
          <w:color w:val="000000" w:themeColor="text1"/>
        </w:rPr>
        <w:t>|</w:t>
      </w:r>
      <w:r w:rsidR="6CED08C1">
        <w:t xml:space="preserve"> </w:t>
      </w:r>
      <w:r w:rsidR="6CED08C1" w:rsidRPr="7EE24840">
        <w:rPr>
          <w:color w:val="000000" w:themeColor="text1"/>
        </w:rPr>
        <w:t>|</w:t>
      </w:r>
      <w:r w:rsidR="6CED08C1">
        <w:t xml:space="preserve"> </w:t>
      </w:r>
      <w:r w:rsidR="6CED08C1" w:rsidRPr="7EE24840">
        <w:rPr>
          <w:color w:val="000000" w:themeColor="text1"/>
        </w:rPr>
        <w:t>|</w:t>
      </w:r>
      <w:r w:rsidR="6CED08C1">
        <w:t xml:space="preserve"> </w:t>
      </w:r>
      <w:r w:rsidR="6CED08C1" w:rsidRPr="7EE24840">
        <w:rPr>
          <w:color w:val="000000" w:themeColor="text1"/>
        </w:rPr>
        <w:t>|</w:t>
      </w:r>
      <w:r w:rsidR="6CED08C1">
        <w:t xml:space="preserve"> </w:t>
      </w:r>
      <w:r w:rsidR="6CED08C1" w:rsidRPr="7EE24840">
        <w:rPr>
          <w:color w:val="000000" w:themeColor="text1"/>
        </w:rPr>
        <w:t>|</w:t>
      </w:r>
      <w:r w:rsidR="1C68656A" w:rsidRPr="00A27FA9">
        <w:t xml:space="preserve"> </w:t>
      </w:r>
      <w:r w:rsidR="00116E4F" w:rsidRPr="00116E4F">
        <w:rPr>
          <w:vertAlign w:val="superscript"/>
        </w:rPr>
        <w:fldChar w:fldCharType="begin" w:fldLock="1"/>
      </w:r>
      <w:r w:rsidR="00116E4F" w:rsidRPr="00116E4F">
        <w:rPr>
          <w:vertAlign w:val="superscript"/>
        </w:rPr>
        <w:instrText xml:space="preserve"> NOTEREF _Ref196732139 \h  \* MERGEFORMAT </w:instrText>
      </w:r>
      <w:r w:rsidR="00116E4F" w:rsidRPr="00116E4F">
        <w:rPr>
          <w:vertAlign w:val="superscript"/>
        </w:rPr>
      </w:r>
      <w:r w:rsidR="00116E4F" w:rsidRPr="00116E4F">
        <w:rPr>
          <w:vertAlign w:val="superscript"/>
        </w:rPr>
        <w:fldChar w:fldCharType="separate"/>
      </w:r>
      <w:r w:rsidR="00116E4F" w:rsidRPr="00116E4F">
        <w:rPr>
          <w:vertAlign w:val="superscript"/>
        </w:rPr>
        <w:t>4</w:t>
      </w:r>
      <w:r w:rsidR="00116E4F" w:rsidRPr="00116E4F">
        <w:rPr>
          <w:vertAlign w:val="superscript"/>
        </w:rPr>
        <w:fldChar w:fldCharType="end"/>
      </w:r>
    </w:p>
    <w:p w14:paraId="68FBEC86" w14:textId="02583216" w:rsidR="00485DF5" w:rsidRPr="00310498" w:rsidRDefault="66483D3C" w:rsidP="000E3B69">
      <w:pPr>
        <w:pStyle w:val="3-BodyText"/>
        <w:numPr>
          <w:ilvl w:val="1"/>
          <w:numId w:val="23"/>
        </w:numPr>
        <w:ind w:left="1134"/>
        <w:rPr>
          <w:rStyle w:val="FootnoteReference"/>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A27FA9" w:rsidRPr="00A27FA9">
        <w:t xml:space="preserve"> </w:t>
      </w:r>
      <w:r w:rsidR="4462DFD8" w:rsidRPr="7EE24840">
        <w:rPr>
          <w:color w:val="000000" w:themeColor="text1"/>
        </w:rPr>
        <w:t>|</w:t>
      </w:r>
      <w:r w:rsidR="4462DFD8">
        <w:t xml:space="preserve"> </w:t>
      </w:r>
      <w:r w:rsidR="4462DFD8" w:rsidRPr="7EE24840">
        <w:rPr>
          <w:color w:val="000000" w:themeColor="text1"/>
        </w:rPr>
        <w:t>|</w:t>
      </w:r>
      <w:r w:rsidR="4462DFD8">
        <w:t xml:space="preserve"> </w:t>
      </w:r>
      <w:r w:rsidR="4462DFD8" w:rsidRPr="7EE24840">
        <w:rPr>
          <w:color w:val="000000" w:themeColor="text1"/>
        </w:rPr>
        <w:t>|</w:t>
      </w:r>
      <w:r w:rsidR="4462DFD8">
        <w:t xml:space="preserve"> </w:t>
      </w:r>
      <w:r w:rsidR="4462DFD8" w:rsidRPr="7EE24840">
        <w:rPr>
          <w:color w:val="000000" w:themeColor="text1"/>
        </w:rPr>
        <w:t>|</w:t>
      </w:r>
      <w:r w:rsidR="4462DFD8">
        <w:t xml:space="preserve"> </w:t>
      </w:r>
      <w:r w:rsidR="4462DFD8" w:rsidRPr="7EE24840">
        <w:rPr>
          <w:color w:val="000000" w:themeColor="text1"/>
        </w:rPr>
        <w:t>|</w:t>
      </w:r>
      <w:r w:rsidR="00A27FA9" w:rsidRPr="00A27FA9">
        <w:t xml:space="preserve"> </w:t>
      </w:r>
      <w:r w:rsidR="71AF7C94" w:rsidRPr="7EE24840">
        <w:rPr>
          <w:color w:val="000000" w:themeColor="text1"/>
        </w:rPr>
        <w:t>|</w:t>
      </w:r>
      <w:r w:rsidR="71AF7C94">
        <w:t xml:space="preserve"> </w:t>
      </w:r>
      <w:r w:rsidR="71AF7C94" w:rsidRPr="7EE24840">
        <w:rPr>
          <w:color w:val="000000" w:themeColor="text1"/>
        </w:rPr>
        <w:t>|</w:t>
      </w:r>
      <w:r w:rsidR="71AF7C94">
        <w:t xml:space="preserve"> </w:t>
      </w:r>
      <w:r w:rsidR="71AF7C94" w:rsidRPr="7EE24840">
        <w:rPr>
          <w:color w:val="000000" w:themeColor="text1"/>
        </w:rPr>
        <w:t>|</w:t>
      </w:r>
      <w:r w:rsidR="71AF7C94">
        <w:t xml:space="preserve"> </w:t>
      </w:r>
      <w:r w:rsidR="71AF7C94" w:rsidRPr="7EE24840">
        <w:rPr>
          <w:color w:val="000000" w:themeColor="text1"/>
        </w:rPr>
        <w:t>|</w:t>
      </w:r>
      <w:r w:rsidR="71AF7C94">
        <w:t xml:space="preserve"> </w:t>
      </w:r>
      <w:r w:rsidR="71AF7C94" w:rsidRPr="7EE24840">
        <w:rPr>
          <w:color w:val="000000" w:themeColor="text1"/>
        </w:rPr>
        <w:t>|</w:t>
      </w:r>
      <w:r w:rsidR="00A27FA9" w:rsidRPr="00A27FA9">
        <w:t xml:space="preserve"> </w:t>
      </w:r>
      <w:r w:rsidR="314C1D70" w:rsidRPr="7EE24840">
        <w:rPr>
          <w:color w:val="000000" w:themeColor="text1"/>
        </w:rPr>
        <w:t>|</w:t>
      </w:r>
      <w:r w:rsidR="314C1D70">
        <w:t xml:space="preserve"> </w:t>
      </w:r>
      <w:r w:rsidR="314C1D70" w:rsidRPr="7EE24840">
        <w:rPr>
          <w:color w:val="000000" w:themeColor="text1"/>
        </w:rPr>
        <w:t>|</w:t>
      </w:r>
      <w:r w:rsidR="314C1D70">
        <w:t xml:space="preserve"> </w:t>
      </w:r>
      <w:r w:rsidR="314C1D70" w:rsidRPr="7EE24840">
        <w:rPr>
          <w:color w:val="000000" w:themeColor="text1"/>
        </w:rPr>
        <w:t>|</w:t>
      </w:r>
      <w:r w:rsidR="314C1D70">
        <w:t xml:space="preserve"> </w:t>
      </w:r>
      <w:r w:rsidR="314C1D70" w:rsidRPr="7EE24840">
        <w:rPr>
          <w:color w:val="000000" w:themeColor="text1"/>
        </w:rPr>
        <w:t>|</w:t>
      </w:r>
      <w:r w:rsidR="314C1D70">
        <w:t xml:space="preserve"> </w:t>
      </w:r>
      <w:r w:rsidR="314C1D70" w:rsidRPr="7EE24840">
        <w:rPr>
          <w:color w:val="000000" w:themeColor="text1"/>
        </w:rPr>
        <w:t>|</w:t>
      </w:r>
      <w:r w:rsidR="00A27FA9" w:rsidRPr="00A27FA9">
        <w:t xml:space="preserve"> </w:t>
      </w:r>
      <w:r w:rsidR="111EF7E9" w:rsidRPr="7EE24840">
        <w:rPr>
          <w:color w:val="000000" w:themeColor="text1"/>
        </w:rPr>
        <w:t>|</w:t>
      </w:r>
      <w:r w:rsidR="111EF7E9">
        <w:t xml:space="preserve"> </w:t>
      </w:r>
      <w:r w:rsidR="111EF7E9" w:rsidRPr="7EE24840">
        <w:rPr>
          <w:color w:val="000000" w:themeColor="text1"/>
        </w:rPr>
        <w:t>|</w:t>
      </w:r>
      <w:r w:rsidR="111EF7E9">
        <w:t xml:space="preserve"> </w:t>
      </w:r>
      <w:r w:rsidR="111EF7E9" w:rsidRPr="7EE24840">
        <w:rPr>
          <w:color w:val="000000" w:themeColor="text1"/>
        </w:rPr>
        <w:t>|</w:t>
      </w:r>
      <w:r w:rsidR="111EF7E9">
        <w:t xml:space="preserve"> </w:t>
      </w:r>
      <w:r w:rsidR="111EF7E9" w:rsidRPr="7EE24840">
        <w:rPr>
          <w:color w:val="000000" w:themeColor="text1"/>
        </w:rPr>
        <w:t>|</w:t>
      </w:r>
      <w:r w:rsidR="111EF7E9">
        <w:t xml:space="preserve"> </w:t>
      </w:r>
      <w:r w:rsidR="111EF7E9" w:rsidRPr="7EE24840">
        <w:rPr>
          <w:color w:val="000000" w:themeColor="text1"/>
        </w:rPr>
        <w:t>|</w:t>
      </w:r>
      <w:r w:rsidR="00A27FA9" w:rsidRPr="00A27FA9">
        <w:t xml:space="preserve"> </w:t>
      </w:r>
      <w:r w:rsidR="3E550440" w:rsidRPr="7EE24840">
        <w:rPr>
          <w:color w:val="000000" w:themeColor="text1"/>
        </w:rPr>
        <w:t>|</w:t>
      </w:r>
      <w:r w:rsidR="3E550440">
        <w:t xml:space="preserve"> </w:t>
      </w:r>
      <w:r w:rsidR="3E550440" w:rsidRPr="7EE24840">
        <w:rPr>
          <w:color w:val="000000" w:themeColor="text1"/>
        </w:rPr>
        <w:t>|</w:t>
      </w:r>
      <w:r w:rsidR="3E550440">
        <w:t xml:space="preserve"> </w:t>
      </w:r>
      <w:r w:rsidR="3E550440" w:rsidRPr="7EE24840">
        <w:rPr>
          <w:color w:val="000000" w:themeColor="text1"/>
        </w:rPr>
        <w:t>|</w:t>
      </w:r>
      <w:r w:rsidR="3E550440">
        <w:t xml:space="preserve"> </w:t>
      </w:r>
      <w:r w:rsidR="3E550440" w:rsidRPr="7EE24840">
        <w:rPr>
          <w:color w:val="000000" w:themeColor="text1"/>
        </w:rPr>
        <w:t>|</w:t>
      </w:r>
      <w:r w:rsidR="3E550440">
        <w:t xml:space="preserve"> </w:t>
      </w:r>
      <w:r w:rsidR="3E550440" w:rsidRPr="7EE24840">
        <w:rPr>
          <w:color w:val="000000" w:themeColor="text1"/>
        </w:rPr>
        <w:t>|</w:t>
      </w:r>
      <w:r w:rsidR="00A27FA9" w:rsidRPr="00A27FA9">
        <w:t xml:space="preserve"> </w:t>
      </w:r>
      <w:r w:rsidR="4842FF59" w:rsidRPr="7EE24840">
        <w:rPr>
          <w:color w:val="000000" w:themeColor="text1"/>
        </w:rPr>
        <w:t>|</w:t>
      </w:r>
      <w:r w:rsidR="4842FF59">
        <w:t xml:space="preserve"> </w:t>
      </w:r>
      <w:r w:rsidR="4842FF59" w:rsidRPr="7EE24840">
        <w:rPr>
          <w:color w:val="000000" w:themeColor="text1"/>
        </w:rPr>
        <w:t>|</w:t>
      </w:r>
      <w:r w:rsidR="4842FF59">
        <w:t xml:space="preserve"> </w:t>
      </w:r>
      <w:r w:rsidR="4842FF59" w:rsidRPr="7EE24840">
        <w:rPr>
          <w:color w:val="000000" w:themeColor="text1"/>
        </w:rPr>
        <w:t>|</w:t>
      </w:r>
      <w:r w:rsidR="4842FF59">
        <w:t xml:space="preserve"> </w:t>
      </w:r>
      <w:r w:rsidR="4842FF59" w:rsidRPr="7EE24840">
        <w:rPr>
          <w:color w:val="000000" w:themeColor="text1"/>
        </w:rPr>
        <w:t>|</w:t>
      </w:r>
      <w:r w:rsidR="4842FF59">
        <w:t xml:space="preserve"> </w:t>
      </w:r>
      <w:r w:rsidR="4842FF59" w:rsidRPr="7EE24840">
        <w:rPr>
          <w:color w:val="000000" w:themeColor="text1"/>
        </w:rPr>
        <w:t>|</w:t>
      </w:r>
      <w:r w:rsidR="00A27FA9" w:rsidRPr="00A27FA9">
        <w:t xml:space="preserve"> </w:t>
      </w:r>
      <w:r w:rsidR="57503A44" w:rsidRPr="7EE24840">
        <w:rPr>
          <w:color w:val="000000" w:themeColor="text1"/>
        </w:rPr>
        <w:t>|</w:t>
      </w:r>
      <w:r w:rsidR="57503A44">
        <w:t xml:space="preserve"> </w:t>
      </w:r>
      <w:r w:rsidR="57503A44" w:rsidRPr="7EE24840">
        <w:rPr>
          <w:color w:val="000000" w:themeColor="text1"/>
        </w:rPr>
        <w:t>|</w:t>
      </w:r>
      <w:r w:rsidR="57503A44">
        <w:t xml:space="preserve"> </w:t>
      </w:r>
      <w:r w:rsidR="57503A44" w:rsidRPr="7EE24840">
        <w:rPr>
          <w:color w:val="000000" w:themeColor="text1"/>
        </w:rPr>
        <w:t>|</w:t>
      </w:r>
      <w:r w:rsidR="57503A44">
        <w:t xml:space="preserve"> </w:t>
      </w:r>
      <w:r w:rsidR="57503A44" w:rsidRPr="7EE24840">
        <w:rPr>
          <w:color w:val="000000" w:themeColor="text1"/>
        </w:rPr>
        <w:t>|</w:t>
      </w:r>
      <w:r w:rsidR="57503A44">
        <w:t xml:space="preserve"> </w:t>
      </w:r>
      <w:r w:rsidR="57503A44" w:rsidRPr="7EE24840">
        <w:rPr>
          <w:color w:val="000000" w:themeColor="text1"/>
        </w:rPr>
        <w:t>|</w:t>
      </w:r>
      <w:r w:rsidR="00A27FA9" w:rsidRPr="00A27FA9">
        <w:t xml:space="preserve"> </w:t>
      </w:r>
      <w:r w:rsidR="0B59B1F6" w:rsidRPr="7EE24840">
        <w:rPr>
          <w:color w:val="000000" w:themeColor="text1"/>
        </w:rPr>
        <w:t>|</w:t>
      </w:r>
      <w:r w:rsidR="0B59B1F6">
        <w:t xml:space="preserve"> </w:t>
      </w:r>
      <w:r w:rsidR="0B59B1F6" w:rsidRPr="7EE24840">
        <w:rPr>
          <w:color w:val="000000" w:themeColor="text1"/>
        </w:rPr>
        <w:t>|</w:t>
      </w:r>
      <w:r w:rsidR="0B59B1F6">
        <w:t xml:space="preserve"> </w:t>
      </w:r>
      <w:r w:rsidR="0B59B1F6" w:rsidRPr="7EE24840">
        <w:rPr>
          <w:color w:val="000000" w:themeColor="text1"/>
        </w:rPr>
        <w:t>|</w:t>
      </w:r>
      <w:r w:rsidR="0B59B1F6">
        <w:t xml:space="preserve"> </w:t>
      </w:r>
      <w:r w:rsidR="0B59B1F6" w:rsidRPr="7EE24840">
        <w:rPr>
          <w:color w:val="000000" w:themeColor="text1"/>
        </w:rPr>
        <w:t>|</w:t>
      </w:r>
      <w:r w:rsidR="0B59B1F6">
        <w:t xml:space="preserve"> </w:t>
      </w:r>
      <w:r w:rsidR="0B59B1F6" w:rsidRPr="7EE24840">
        <w:rPr>
          <w:color w:val="000000" w:themeColor="text1"/>
        </w:rPr>
        <w:t>|</w:t>
      </w:r>
      <w:r w:rsidR="00A27FA9" w:rsidRPr="00A27FA9">
        <w:t xml:space="preserve"> </w:t>
      </w:r>
      <w:r w:rsidR="26224411" w:rsidRPr="7EE24840">
        <w:rPr>
          <w:color w:val="000000" w:themeColor="text1"/>
        </w:rPr>
        <w:t>|</w:t>
      </w:r>
      <w:r w:rsidR="26224411">
        <w:t xml:space="preserve"> </w:t>
      </w:r>
      <w:r w:rsidR="26224411" w:rsidRPr="7EE24840">
        <w:rPr>
          <w:color w:val="000000" w:themeColor="text1"/>
        </w:rPr>
        <w:t>|</w:t>
      </w:r>
      <w:r w:rsidR="26224411">
        <w:t xml:space="preserve"> </w:t>
      </w:r>
      <w:r w:rsidR="26224411" w:rsidRPr="7EE24840">
        <w:rPr>
          <w:color w:val="000000" w:themeColor="text1"/>
        </w:rPr>
        <w:t>|</w:t>
      </w:r>
      <w:r w:rsidR="26224411">
        <w:t xml:space="preserve"> </w:t>
      </w:r>
      <w:r w:rsidR="26224411" w:rsidRPr="7EE24840">
        <w:rPr>
          <w:color w:val="000000" w:themeColor="text1"/>
        </w:rPr>
        <w:t>|</w:t>
      </w:r>
      <w:r w:rsidR="26224411">
        <w:t xml:space="preserve"> </w:t>
      </w:r>
      <w:r w:rsidR="26224411" w:rsidRPr="7EE24840">
        <w:rPr>
          <w:color w:val="000000" w:themeColor="text1"/>
        </w:rPr>
        <w:t>|</w:t>
      </w:r>
      <w:r w:rsidR="41A56EFB" w:rsidRPr="7EE24840">
        <w:rPr>
          <w:color w:val="000000" w:themeColor="text1"/>
        </w:rPr>
        <w:t>|</w:t>
      </w:r>
      <w:r w:rsidR="41A56EFB">
        <w:t xml:space="preserve"> </w:t>
      </w:r>
      <w:r w:rsidR="41A56EFB" w:rsidRPr="7EE24840">
        <w:rPr>
          <w:color w:val="000000" w:themeColor="text1"/>
        </w:rPr>
        <w:t>|</w:t>
      </w:r>
      <w:r w:rsidR="41A56EFB">
        <w:t xml:space="preserve"> </w:t>
      </w:r>
      <w:r w:rsidR="41A56EFB" w:rsidRPr="7EE24840">
        <w:rPr>
          <w:color w:val="000000" w:themeColor="text1"/>
        </w:rPr>
        <w:t>|</w:t>
      </w:r>
      <w:r w:rsidR="41A56EFB">
        <w:t xml:space="preserve"> </w:t>
      </w:r>
      <w:r w:rsidR="41A56EFB" w:rsidRPr="7EE24840">
        <w:rPr>
          <w:color w:val="000000" w:themeColor="text1"/>
        </w:rPr>
        <w:t>|</w:t>
      </w:r>
      <w:r w:rsidR="41A56EFB">
        <w:t xml:space="preserve"> </w:t>
      </w:r>
      <w:r w:rsidR="41A56EFB" w:rsidRPr="7EE24840">
        <w:rPr>
          <w:color w:val="000000" w:themeColor="text1"/>
        </w:rPr>
        <w:t>|</w:t>
      </w:r>
      <w:r w:rsidR="3F449CEA">
        <w:t xml:space="preserve"> </w:t>
      </w:r>
      <w:r w:rsidR="00A27FA9" w:rsidRPr="7EE24840">
        <w:rPr>
          <w:vertAlign w:val="superscript"/>
        </w:rPr>
        <w:fldChar w:fldCharType="begin" w:fldLock="1"/>
      </w:r>
      <w:r w:rsidR="00A27FA9" w:rsidRPr="7EE24840">
        <w:rPr>
          <w:vertAlign w:val="superscript"/>
        </w:rPr>
        <w:instrText xml:space="preserve"> NOTEREF _Ref196732139 \h  \* MERGEFORMAT </w:instrText>
      </w:r>
      <w:r w:rsidR="00A27FA9" w:rsidRPr="7EE24840">
        <w:rPr>
          <w:vertAlign w:val="superscript"/>
        </w:rPr>
      </w:r>
      <w:r w:rsidR="00A27FA9" w:rsidRPr="7EE24840">
        <w:rPr>
          <w:vertAlign w:val="superscript"/>
        </w:rPr>
        <w:fldChar w:fldCharType="separate"/>
      </w:r>
      <w:r w:rsidR="3F449CEA" w:rsidRPr="7EE24840">
        <w:rPr>
          <w:vertAlign w:val="superscript"/>
        </w:rPr>
        <w:t>4</w:t>
      </w:r>
      <w:r w:rsidR="00A27FA9" w:rsidRPr="7EE24840">
        <w:rPr>
          <w:vertAlign w:val="superscript"/>
        </w:rPr>
        <w:fldChar w:fldCharType="end"/>
      </w:r>
    </w:p>
    <w:p w14:paraId="20D8A4C8" w14:textId="676846CD" w:rsidR="00184499" w:rsidRPr="00310498" w:rsidRDefault="29D4700D" w:rsidP="000C5173">
      <w:pPr>
        <w:pStyle w:val="3-BodyText"/>
        <w:numPr>
          <w:ilvl w:val="1"/>
          <w:numId w:val="24"/>
        </w:numPr>
        <w:spacing w:line="259" w:lineRule="auto"/>
        <w:ind w:left="1134"/>
        <w:rPr>
          <w:szCs w:val="24"/>
          <w:vertAlign w:val="superscript"/>
        </w:rPr>
      </w:pPr>
      <w:r w:rsidRPr="7EE24840">
        <w:rPr>
          <w:color w:val="000000" w:themeColor="text1"/>
        </w:rPr>
        <w:lastRenderedPageBreak/>
        <w:t>|</w:t>
      </w:r>
      <w:r w:rsidRPr="000C5173">
        <w:rPr>
          <w:color w:val="000000" w:themeColor="text1"/>
        </w:rPr>
        <w:t xml:space="preserve"> </w:t>
      </w:r>
      <w:r w:rsidRPr="7EE24840">
        <w:rPr>
          <w:color w:val="000000" w:themeColor="text1"/>
        </w:rPr>
        <w:t>|</w:t>
      </w:r>
      <w:r w:rsidRPr="000C5173">
        <w:rPr>
          <w:color w:val="000000" w:themeColor="text1"/>
        </w:rPr>
        <w:t xml:space="preserve"> </w:t>
      </w:r>
      <w:r w:rsidRPr="7EE24840">
        <w:rPr>
          <w:color w:val="000000" w:themeColor="text1"/>
        </w:rPr>
        <w:t>|</w:t>
      </w:r>
      <w:r w:rsidRPr="000C5173">
        <w:rPr>
          <w:color w:val="000000" w:themeColor="text1"/>
        </w:rPr>
        <w:t xml:space="preserve"> </w:t>
      </w:r>
      <w:r w:rsidRPr="7EE24840">
        <w:rPr>
          <w:color w:val="000000" w:themeColor="text1"/>
        </w:rPr>
        <w:t>|</w:t>
      </w:r>
      <w:r w:rsidRPr="000C5173">
        <w:rPr>
          <w:color w:val="000000" w:themeColor="text1"/>
        </w:rPr>
        <w:t xml:space="preserve"> </w:t>
      </w:r>
      <w:r w:rsidRPr="7EE24840">
        <w:rPr>
          <w:color w:val="000000" w:themeColor="text1"/>
        </w:rPr>
        <w:t>|</w:t>
      </w:r>
      <w:r w:rsidR="00A27FA9" w:rsidRPr="000C5173">
        <w:rPr>
          <w:color w:val="000000" w:themeColor="text1"/>
        </w:rPr>
        <w:t xml:space="preserve"> </w:t>
      </w:r>
      <w:r w:rsidR="084EBDE6" w:rsidRPr="7EE24840">
        <w:rPr>
          <w:color w:val="000000" w:themeColor="text1"/>
        </w:rPr>
        <w:t>|</w:t>
      </w:r>
      <w:r w:rsidR="084EBDE6" w:rsidRPr="000C5173">
        <w:rPr>
          <w:color w:val="000000" w:themeColor="text1"/>
        </w:rPr>
        <w:t xml:space="preserve"> </w:t>
      </w:r>
      <w:r w:rsidR="084EBDE6" w:rsidRPr="7EE24840">
        <w:rPr>
          <w:color w:val="000000" w:themeColor="text1"/>
        </w:rPr>
        <w:t>|</w:t>
      </w:r>
      <w:r w:rsidR="084EBDE6" w:rsidRPr="000C5173">
        <w:rPr>
          <w:color w:val="000000" w:themeColor="text1"/>
        </w:rPr>
        <w:t xml:space="preserve"> </w:t>
      </w:r>
      <w:r w:rsidR="084EBDE6" w:rsidRPr="7EE24840">
        <w:rPr>
          <w:color w:val="000000" w:themeColor="text1"/>
        </w:rPr>
        <w:t>|</w:t>
      </w:r>
      <w:r w:rsidR="084EBDE6" w:rsidRPr="000C5173">
        <w:rPr>
          <w:color w:val="000000" w:themeColor="text1"/>
        </w:rPr>
        <w:t xml:space="preserve"> </w:t>
      </w:r>
      <w:r w:rsidR="084EBDE6" w:rsidRPr="7EE24840">
        <w:rPr>
          <w:color w:val="000000" w:themeColor="text1"/>
        </w:rPr>
        <w:t>|</w:t>
      </w:r>
      <w:r w:rsidR="084EBDE6" w:rsidRPr="000C5173">
        <w:rPr>
          <w:color w:val="000000" w:themeColor="text1"/>
        </w:rPr>
        <w:t xml:space="preserve"> </w:t>
      </w:r>
      <w:r w:rsidR="084EBDE6" w:rsidRPr="7EE24840">
        <w:rPr>
          <w:color w:val="000000" w:themeColor="text1"/>
        </w:rPr>
        <w:t>|</w:t>
      </w:r>
      <w:r w:rsidR="00A27FA9" w:rsidRPr="000C5173">
        <w:rPr>
          <w:color w:val="000000" w:themeColor="text1"/>
        </w:rPr>
        <w:t xml:space="preserve"> </w:t>
      </w:r>
      <w:r w:rsidR="75D45B9E" w:rsidRPr="7EE24840">
        <w:rPr>
          <w:color w:val="000000" w:themeColor="text1"/>
        </w:rPr>
        <w:t>|</w:t>
      </w:r>
      <w:r w:rsidR="75D45B9E" w:rsidRPr="000C5173">
        <w:rPr>
          <w:color w:val="000000" w:themeColor="text1"/>
        </w:rPr>
        <w:t xml:space="preserve"> </w:t>
      </w:r>
      <w:r w:rsidR="75D45B9E" w:rsidRPr="7EE24840">
        <w:rPr>
          <w:color w:val="000000" w:themeColor="text1"/>
        </w:rPr>
        <w:t>|</w:t>
      </w:r>
      <w:r w:rsidR="75D45B9E" w:rsidRPr="000C5173">
        <w:rPr>
          <w:color w:val="000000" w:themeColor="text1"/>
        </w:rPr>
        <w:t xml:space="preserve"> </w:t>
      </w:r>
      <w:r w:rsidR="75D45B9E" w:rsidRPr="7EE24840">
        <w:rPr>
          <w:color w:val="000000" w:themeColor="text1"/>
        </w:rPr>
        <w:t>|</w:t>
      </w:r>
      <w:r w:rsidR="75D45B9E" w:rsidRPr="000C5173">
        <w:rPr>
          <w:color w:val="000000" w:themeColor="text1"/>
        </w:rPr>
        <w:t xml:space="preserve"> </w:t>
      </w:r>
      <w:r w:rsidR="75D45B9E" w:rsidRPr="7EE24840">
        <w:rPr>
          <w:color w:val="000000" w:themeColor="text1"/>
        </w:rPr>
        <w:t>|</w:t>
      </w:r>
      <w:r w:rsidR="75D45B9E" w:rsidRPr="000C5173">
        <w:rPr>
          <w:color w:val="000000" w:themeColor="text1"/>
        </w:rPr>
        <w:t xml:space="preserve"> </w:t>
      </w:r>
      <w:r w:rsidR="75D45B9E" w:rsidRPr="7EE24840">
        <w:rPr>
          <w:color w:val="000000" w:themeColor="text1"/>
        </w:rPr>
        <w:t>|</w:t>
      </w:r>
      <w:r w:rsidR="00A27FA9" w:rsidRPr="000C5173">
        <w:rPr>
          <w:color w:val="000000" w:themeColor="text1"/>
        </w:rPr>
        <w:t xml:space="preserve"> </w:t>
      </w:r>
      <w:r w:rsidR="6C7F71DC" w:rsidRPr="7EE24840">
        <w:rPr>
          <w:color w:val="000000" w:themeColor="text1"/>
        </w:rPr>
        <w:t>|</w:t>
      </w:r>
      <w:r w:rsidR="6C7F71DC" w:rsidRPr="000C5173">
        <w:rPr>
          <w:color w:val="000000" w:themeColor="text1"/>
        </w:rPr>
        <w:t xml:space="preserve"> </w:t>
      </w:r>
      <w:r w:rsidR="6C7F71DC" w:rsidRPr="7EE24840">
        <w:rPr>
          <w:color w:val="000000" w:themeColor="text1"/>
        </w:rPr>
        <w:t>|</w:t>
      </w:r>
      <w:r w:rsidR="6C7F71DC" w:rsidRPr="000C5173">
        <w:rPr>
          <w:color w:val="000000" w:themeColor="text1"/>
        </w:rPr>
        <w:t xml:space="preserve"> </w:t>
      </w:r>
      <w:r w:rsidR="6C7F71DC" w:rsidRPr="7EE24840">
        <w:rPr>
          <w:color w:val="000000" w:themeColor="text1"/>
        </w:rPr>
        <w:t>|</w:t>
      </w:r>
      <w:r w:rsidR="6C7F71DC" w:rsidRPr="000C5173">
        <w:rPr>
          <w:color w:val="000000" w:themeColor="text1"/>
        </w:rPr>
        <w:t xml:space="preserve"> </w:t>
      </w:r>
      <w:r w:rsidR="6C7F71DC" w:rsidRPr="7EE24840">
        <w:rPr>
          <w:color w:val="000000" w:themeColor="text1"/>
        </w:rPr>
        <w:t>|</w:t>
      </w:r>
      <w:r w:rsidR="6C7F71DC" w:rsidRPr="000C5173">
        <w:rPr>
          <w:color w:val="000000" w:themeColor="text1"/>
        </w:rPr>
        <w:t xml:space="preserve"> </w:t>
      </w:r>
      <w:r w:rsidR="6C7F71DC" w:rsidRPr="7EE24840">
        <w:rPr>
          <w:color w:val="000000" w:themeColor="text1"/>
        </w:rPr>
        <w:t>|</w:t>
      </w:r>
      <w:r w:rsidR="00A27FA9" w:rsidRPr="000C5173">
        <w:rPr>
          <w:color w:val="000000" w:themeColor="text1"/>
        </w:rPr>
        <w:t xml:space="preserve"> </w:t>
      </w:r>
      <w:r w:rsidR="65AC944E" w:rsidRPr="7EE24840">
        <w:rPr>
          <w:color w:val="000000" w:themeColor="text1"/>
        </w:rPr>
        <w:t>|</w:t>
      </w:r>
      <w:r w:rsidR="65AC944E" w:rsidRPr="000C5173">
        <w:rPr>
          <w:color w:val="000000" w:themeColor="text1"/>
        </w:rPr>
        <w:t xml:space="preserve"> </w:t>
      </w:r>
      <w:r w:rsidR="65AC944E" w:rsidRPr="7EE24840">
        <w:rPr>
          <w:color w:val="000000" w:themeColor="text1"/>
        </w:rPr>
        <w:t>|</w:t>
      </w:r>
      <w:r w:rsidR="65AC944E" w:rsidRPr="000C5173">
        <w:rPr>
          <w:color w:val="000000" w:themeColor="text1"/>
        </w:rPr>
        <w:t xml:space="preserve"> </w:t>
      </w:r>
      <w:r w:rsidR="65AC944E" w:rsidRPr="7EE24840">
        <w:rPr>
          <w:color w:val="000000" w:themeColor="text1"/>
        </w:rPr>
        <w:t>|</w:t>
      </w:r>
      <w:r w:rsidR="65AC944E" w:rsidRPr="000C5173">
        <w:rPr>
          <w:color w:val="000000" w:themeColor="text1"/>
        </w:rPr>
        <w:t xml:space="preserve"> </w:t>
      </w:r>
      <w:r w:rsidR="65AC944E" w:rsidRPr="7EE24840">
        <w:rPr>
          <w:color w:val="000000" w:themeColor="text1"/>
        </w:rPr>
        <w:t>|</w:t>
      </w:r>
      <w:r w:rsidR="65AC944E" w:rsidRPr="000C5173">
        <w:rPr>
          <w:color w:val="000000" w:themeColor="text1"/>
        </w:rPr>
        <w:t xml:space="preserve"> </w:t>
      </w:r>
      <w:r w:rsidR="65AC944E" w:rsidRPr="7EE24840">
        <w:rPr>
          <w:color w:val="000000" w:themeColor="text1"/>
        </w:rPr>
        <w:t>|</w:t>
      </w:r>
      <w:r w:rsidR="00A27FA9" w:rsidRPr="000C5173">
        <w:rPr>
          <w:color w:val="000000" w:themeColor="text1"/>
        </w:rPr>
        <w:t xml:space="preserve"> </w:t>
      </w:r>
      <w:r w:rsidR="240BB21E" w:rsidRPr="7EE24840">
        <w:rPr>
          <w:color w:val="000000" w:themeColor="text1"/>
        </w:rPr>
        <w:t>|</w:t>
      </w:r>
      <w:r w:rsidR="240BB21E" w:rsidRPr="000C5173">
        <w:rPr>
          <w:color w:val="000000" w:themeColor="text1"/>
        </w:rPr>
        <w:t xml:space="preserve"> </w:t>
      </w:r>
      <w:r w:rsidR="240BB21E" w:rsidRPr="7EE24840">
        <w:rPr>
          <w:color w:val="000000" w:themeColor="text1"/>
        </w:rPr>
        <w:t>|</w:t>
      </w:r>
      <w:r w:rsidR="240BB21E" w:rsidRPr="000C5173">
        <w:rPr>
          <w:color w:val="000000" w:themeColor="text1"/>
        </w:rPr>
        <w:t xml:space="preserve"> </w:t>
      </w:r>
      <w:r w:rsidR="240BB21E" w:rsidRPr="7EE24840">
        <w:rPr>
          <w:color w:val="000000" w:themeColor="text1"/>
        </w:rPr>
        <w:t>|</w:t>
      </w:r>
      <w:r w:rsidR="240BB21E" w:rsidRPr="000C5173">
        <w:rPr>
          <w:color w:val="000000" w:themeColor="text1"/>
        </w:rPr>
        <w:t xml:space="preserve"> </w:t>
      </w:r>
      <w:r w:rsidR="240BB21E" w:rsidRPr="7EE24840">
        <w:rPr>
          <w:color w:val="000000" w:themeColor="text1"/>
        </w:rPr>
        <w:t>|</w:t>
      </w:r>
      <w:r w:rsidR="240BB21E" w:rsidRPr="000C5173">
        <w:rPr>
          <w:color w:val="000000" w:themeColor="text1"/>
        </w:rPr>
        <w:t xml:space="preserve"> </w:t>
      </w:r>
      <w:r w:rsidR="240BB21E" w:rsidRPr="7EE24840">
        <w:rPr>
          <w:color w:val="000000" w:themeColor="text1"/>
        </w:rPr>
        <w:t>|</w:t>
      </w:r>
      <w:r w:rsidR="00A27FA9" w:rsidRPr="000C5173">
        <w:rPr>
          <w:color w:val="000000" w:themeColor="text1"/>
        </w:rPr>
        <w:t xml:space="preserve"> </w:t>
      </w:r>
      <w:r w:rsidR="6A6F2061" w:rsidRPr="7EE24840">
        <w:rPr>
          <w:color w:val="000000" w:themeColor="text1"/>
        </w:rPr>
        <w:t>|</w:t>
      </w:r>
      <w:r w:rsidR="6A6F2061" w:rsidRPr="000C5173">
        <w:rPr>
          <w:color w:val="000000" w:themeColor="text1"/>
        </w:rPr>
        <w:t xml:space="preserve"> </w:t>
      </w:r>
      <w:r w:rsidR="6A6F2061" w:rsidRPr="7EE24840">
        <w:rPr>
          <w:color w:val="000000" w:themeColor="text1"/>
        </w:rPr>
        <w:t>|</w:t>
      </w:r>
      <w:r w:rsidR="6A6F2061" w:rsidRPr="000C5173">
        <w:rPr>
          <w:color w:val="000000" w:themeColor="text1"/>
        </w:rPr>
        <w:t xml:space="preserve"> </w:t>
      </w:r>
      <w:r w:rsidR="6A6F2061" w:rsidRPr="7EE24840">
        <w:rPr>
          <w:color w:val="000000" w:themeColor="text1"/>
        </w:rPr>
        <w:t>|</w:t>
      </w:r>
      <w:r w:rsidR="6A6F2061" w:rsidRPr="000C5173">
        <w:rPr>
          <w:color w:val="000000" w:themeColor="text1"/>
        </w:rPr>
        <w:t xml:space="preserve"> </w:t>
      </w:r>
      <w:r w:rsidR="6A6F2061" w:rsidRPr="7EE24840">
        <w:rPr>
          <w:color w:val="000000" w:themeColor="text1"/>
        </w:rPr>
        <w:t>|</w:t>
      </w:r>
      <w:r w:rsidR="6A6F2061" w:rsidRPr="000C5173">
        <w:rPr>
          <w:color w:val="000000" w:themeColor="text1"/>
        </w:rPr>
        <w:t xml:space="preserve"> </w:t>
      </w:r>
      <w:r w:rsidR="6A6F2061" w:rsidRPr="7EE24840">
        <w:rPr>
          <w:color w:val="000000" w:themeColor="text1"/>
        </w:rPr>
        <w:t>|</w:t>
      </w:r>
      <w:r w:rsidR="00A27FA9" w:rsidRPr="000C5173">
        <w:rPr>
          <w:color w:val="000000" w:themeColor="text1"/>
        </w:rPr>
        <w:t xml:space="preserve">  </w:t>
      </w:r>
      <w:r w:rsidR="7BFBCF8B" w:rsidRPr="7EE24840">
        <w:rPr>
          <w:color w:val="000000" w:themeColor="text1"/>
        </w:rPr>
        <w:t>|</w:t>
      </w:r>
      <w:r w:rsidR="7BFBCF8B" w:rsidRPr="000C5173">
        <w:rPr>
          <w:color w:val="000000" w:themeColor="text1"/>
        </w:rPr>
        <w:t xml:space="preserve"> </w:t>
      </w:r>
      <w:r w:rsidR="7BFBCF8B" w:rsidRPr="7EE24840">
        <w:rPr>
          <w:color w:val="000000" w:themeColor="text1"/>
        </w:rPr>
        <w:t>|</w:t>
      </w:r>
      <w:r w:rsidR="7BFBCF8B" w:rsidRPr="000C5173">
        <w:rPr>
          <w:color w:val="000000" w:themeColor="text1"/>
        </w:rPr>
        <w:t xml:space="preserve"> </w:t>
      </w:r>
      <w:r w:rsidR="7BFBCF8B" w:rsidRPr="7EE24840">
        <w:rPr>
          <w:color w:val="000000" w:themeColor="text1"/>
        </w:rPr>
        <w:t>|</w:t>
      </w:r>
      <w:r w:rsidR="7BFBCF8B" w:rsidRPr="000C5173">
        <w:rPr>
          <w:color w:val="000000" w:themeColor="text1"/>
        </w:rPr>
        <w:t xml:space="preserve"> </w:t>
      </w:r>
      <w:r w:rsidR="7BFBCF8B" w:rsidRPr="7EE24840">
        <w:rPr>
          <w:color w:val="000000" w:themeColor="text1"/>
        </w:rPr>
        <w:t>|</w:t>
      </w:r>
      <w:r w:rsidR="7BFBCF8B" w:rsidRPr="000C5173">
        <w:rPr>
          <w:color w:val="000000" w:themeColor="text1"/>
        </w:rPr>
        <w:t xml:space="preserve"> </w:t>
      </w:r>
      <w:r w:rsidR="7BFBCF8B" w:rsidRPr="7EE24840">
        <w:rPr>
          <w:color w:val="000000" w:themeColor="text1"/>
        </w:rPr>
        <w:t>|</w:t>
      </w:r>
      <w:r w:rsidR="00A27FA9" w:rsidRPr="000C5173">
        <w:rPr>
          <w:color w:val="000000" w:themeColor="text1"/>
        </w:rPr>
        <w:t xml:space="preserve"> </w:t>
      </w:r>
      <w:r w:rsidR="5AFA4F64" w:rsidRPr="7EE24840">
        <w:rPr>
          <w:color w:val="000000" w:themeColor="text1"/>
        </w:rPr>
        <w:t>|</w:t>
      </w:r>
      <w:r w:rsidR="5AFA4F64" w:rsidRPr="000C5173">
        <w:rPr>
          <w:color w:val="000000" w:themeColor="text1"/>
        </w:rPr>
        <w:t xml:space="preserve"> </w:t>
      </w:r>
      <w:r w:rsidR="5AFA4F64" w:rsidRPr="7EE24840">
        <w:rPr>
          <w:color w:val="000000" w:themeColor="text1"/>
        </w:rPr>
        <w:t>|</w:t>
      </w:r>
      <w:r w:rsidR="5AFA4F64" w:rsidRPr="000C5173">
        <w:rPr>
          <w:color w:val="000000" w:themeColor="text1"/>
        </w:rPr>
        <w:t xml:space="preserve"> </w:t>
      </w:r>
      <w:r w:rsidR="5AFA4F64" w:rsidRPr="7EE24840">
        <w:rPr>
          <w:color w:val="000000" w:themeColor="text1"/>
        </w:rPr>
        <w:t>|</w:t>
      </w:r>
      <w:r w:rsidR="5AFA4F64" w:rsidRPr="000C5173">
        <w:rPr>
          <w:color w:val="000000" w:themeColor="text1"/>
        </w:rPr>
        <w:t xml:space="preserve"> </w:t>
      </w:r>
      <w:r w:rsidR="5AFA4F64" w:rsidRPr="7EE24840">
        <w:rPr>
          <w:color w:val="000000" w:themeColor="text1"/>
        </w:rPr>
        <w:t>|</w:t>
      </w:r>
      <w:r w:rsidR="5AFA4F64" w:rsidRPr="000C5173">
        <w:rPr>
          <w:color w:val="000000" w:themeColor="text1"/>
        </w:rPr>
        <w:t xml:space="preserve"> </w:t>
      </w:r>
      <w:r w:rsidR="5AFA4F64" w:rsidRPr="7EE24840">
        <w:rPr>
          <w:color w:val="000000" w:themeColor="text1"/>
        </w:rPr>
        <w:t>|</w:t>
      </w:r>
      <w:r w:rsidR="00A27FA9" w:rsidRPr="000C5173">
        <w:rPr>
          <w:color w:val="000000" w:themeColor="text1"/>
        </w:rPr>
        <w:t xml:space="preserve"> </w:t>
      </w:r>
      <w:r w:rsidR="025F362E" w:rsidRPr="7EE24840">
        <w:rPr>
          <w:color w:val="000000" w:themeColor="text1"/>
        </w:rPr>
        <w:t>|</w:t>
      </w:r>
      <w:r w:rsidR="025F362E" w:rsidRPr="000C5173">
        <w:rPr>
          <w:color w:val="000000" w:themeColor="text1"/>
        </w:rPr>
        <w:t xml:space="preserve"> </w:t>
      </w:r>
      <w:r w:rsidR="025F362E" w:rsidRPr="7EE24840">
        <w:rPr>
          <w:color w:val="000000" w:themeColor="text1"/>
        </w:rPr>
        <w:t>|</w:t>
      </w:r>
      <w:r w:rsidR="025F362E" w:rsidRPr="000C5173">
        <w:rPr>
          <w:color w:val="000000" w:themeColor="text1"/>
        </w:rPr>
        <w:t xml:space="preserve"> </w:t>
      </w:r>
      <w:r w:rsidR="025F362E" w:rsidRPr="7EE24840">
        <w:rPr>
          <w:color w:val="000000" w:themeColor="text1"/>
        </w:rPr>
        <w:t>|</w:t>
      </w:r>
      <w:r w:rsidR="025F362E" w:rsidRPr="000C5173">
        <w:rPr>
          <w:color w:val="000000" w:themeColor="text1"/>
        </w:rPr>
        <w:t xml:space="preserve"> </w:t>
      </w:r>
      <w:r w:rsidR="025F362E" w:rsidRPr="7EE24840">
        <w:rPr>
          <w:color w:val="000000" w:themeColor="text1"/>
        </w:rPr>
        <w:t>|</w:t>
      </w:r>
      <w:r w:rsidR="025F362E" w:rsidRPr="000C5173">
        <w:rPr>
          <w:color w:val="000000" w:themeColor="text1"/>
        </w:rPr>
        <w:t xml:space="preserve"> </w:t>
      </w:r>
      <w:r w:rsidR="025F362E" w:rsidRPr="7EE24840">
        <w:rPr>
          <w:color w:val="000000" w:themeColor="text1"/>
        </w:rPr>
        <w:t>|</w:t>
      </w:r>
      <w:r w:rsidR="00A27FA9" w:rsidRPr="000C5173">
        <w:rPr>
          <w:color w:val="000000" w:themeColor="text1"/>
        </w:rPr>
        <w:t xml:space="preserve"> </w:t>
      </w:r>
      <w:r w:rsidR="31C441AF" w:rsidRPr="7EE24840">
        <w:rPr>
          <w:color w:val="000000" w:themeColor="text1"/>
        </w:rPr>
        <w:t>|</w:t>
      </w:r>
      <w:r w:rsidR="31C441AF" w:rsidRPr="000C5173">
        <w:rPr>
          <w:color w:val="000000" w:themeColor="text1"/>
        </w:rPr>
        <w:t xml:space="preserve"> </w:t>
      </w:r>
      <w:r w:rsidR="31C441AF" w:rsidRPr="7EE24840">
        <w:rPr>
          <w:color w:val="000000" w:themeColor="text1"/>
        </w:rPr>
        <w:t>|</w:t>
      </w:r>
      <w:r w:rsidR="31C441AF" w:rsidRPr="000C5173">
        <w:rPr>
          <w:color w:val="000000" w:themeColor="text1"/>
        </w:rPr>
        <w:t xml:space="preserve"> </w:t>
      </w:r>
      <w:r w:rsidR="31C441AF" w:rsidRPr="7EE24840">
        <w:rPr>
          <w:color w:val="000000" w:themeColor="text1"/>
        </w:rPr>
        <w:t>|</w:t>
      </w:r>
      <w:r w:rsidR="31C441AF" w:rsidRPr="000C5173">
        <w:rPr>
          <w:color w:val="000000" w:themeColor="text1"/>
        </w:rPr>
        <w:t xml:space="preserve"> </w:t>
      </w:r>
      <w:r w:rsidR="31C441AF" w:rsidRPr="7EE24840">
        <w:rPr>
          <w:color w:val="000000" w:themeColor="text1"/>
        </w:rPr>
        <w:t>|</w:t>
      </w:r>
      <w:r w:rsidR="31C441AF" w:rsidRPr="000C5173">
        <w:rPr>
          <w:color w:val="000000" w:themeColor="text1"/>
        </w:rPr>
        <w:t xml:space="preserve"> </w:t>
      </w:r>
      <w:r w:rsidR="31C441AF" w:rsidRPr="7EE24840">
        <w:rPr>
          <w:color w:val="000000" w:themeColor="text1"/>
        </w:rPr>
        <w:t>|</w:t>
      </w:r>
      <w:r w:rsidR="00A27FA9" w:rsidRPr="000C5173">
        <w:rPr>
          <w:color w:val="000000" w:themeColor="text1"/>
        </w:rPr>
        <w:t xml:space="preserve"> </w:t>
      </w:r>
      <w:r w:rsidR="6CA4C5ED" w:rsidRPr="7EE24840">
        <w:rPr>
          <w:color w:val="000000" w:themeColor="text1"/>
        </w:rPr>
        <w:t>|</w:t>
      </w:r>
      <w:r w:rsidR="6CA4C5ED" w:rsidRPr="000C5173">
        <w:rPr>
          <w:color w:val="000000" w:themeColor="text1"/>
        </w:rPr>
        <w:t xml:space="preserve"> </w:t>
      </w:r>
      <w:r w:rsidR="6CA4C5ED" w:rsidRPr="7EE24840">
        <w:rPr>
          <w:color w:val="000000" w:themeColor="text1"/>
        </w:rPr>
        <w:t>|</w:t>
      </w:r>
      <w:r w:rsidR="6CA4C5ED" w:rsidRPr="000C5173">
        <w:rPr>
          <w:color w:val="000000" w:themeColor="text1"/>
        </w:rPr>
        <w:t xml:space="preserve"> </w:t>
      </w:r>
      <w:r w:rsidR="6CA4C5ED" w:rsidRPr="7EE24840">
        <w:rPr>
          <w:color w:val="000000" w:themeColor="text1"/>
        </w:rPr>
        <w:t>|</w:t>
      </w:r>
      <w:r w:rsidR="6CA4C5ED" w:rsidRPr="000C5173">
        <w:rPr>
          <w:color w:val="000000" w:themeColor="text1"/>
        </w:rPr>
        <w:t xml:space="preserve"> </w:t>
      </w:r>
      <w:r w:rsidR="6CA4C5ED" w:rsidRPr="7EE24840">
        <w:rPr>
          <w:color w:val="000000" w:themeColor="text1"/>
        </w:rPr>
        <w:t>|</w:t>
      </w:r>
      <w:r w:rsidR="6CA4C5ED" w:rsidRPr="000C5173">
        <w:rPr>
          <w:color w:val="000000" w:themeColor="text1"/>
        </w:rPr>
        <w:t xml:space="preserve"> </w:t>
      </w:r>
      <w:r w:rsidR="6CA4C5ED" w:rsidRPr="7EE24840">
        <w:rPr>
          <w:color w:val="000000" w:themeColor="text1"/>
        </w:rPr>
        <w:t>|</w:t>
      </w:r>
      <w:r w:rsidR="00A27FA9" w:rsidRPr="000C5173">
        <w:rPr>
          <w:color w:val="000000" w:themeColor="text1"/>
        </w:rPr>
        <w:t xml:space="preserve"> </w:t>
      </w:r>
      <w:r w:rsidR="1E55D433" w:rsidRPr="7EE24840">
        <w:rPr>
          <w:color w:val="000000" w:themeColor="text1"/>
        </w:rPr>
        <w:t>|</w:t>
      </w:r>
      <w:r w:rsidR="1E55D433" w:rsidRPr="000C5173">
        <w:rPr>
          <w:color w:val="000000" w:themeColor="text1"/>
        </w:rPr>
        <w:t xml:space="preserve"> </w:t>
      </w:r>
      <w:r w:rsidR="1E55D433" w:rsidRPr="7EE24840">
        <w:rPr>
          <w:color w:val="000000" w:themeColor="text1"/>
        </w:rPr>
        <w:t>|</w:t>
      </w:r>
      <w:r w:rsidR="1E55D433" w:rsidRPr="000C5173">
        <w:rPr>
          <w:color w:val="000000" w:themeColor="text1"/>
        </w:rPr>
        <w:t xml:space="preserve"> </w:t>
      </w:r>
      <w:r w:rsidR="1E55D433" w:rsidRPr="7EE24840">
        <w:rPr>
          <w:color w:val="000000" w:themeColor="text1"/>
        </w:rPr>
        <w:t>|</w:t>
      </w:r>
      <w:r w:rsidR="1E55D433" w:rsidRPr="000C5173">
        <w:rPr>
          <w:color w:val="000000" w:themeColor="text1"/>
        </w:rPr>
        <w:t xml:space="preserve"> </w:t>
      </w:r>
      <w:r w:rsidR="1E55D433" w:rsidRPr="7EE24840">
        <w:rPr>
          <w:color w:val="000000" w:themeColor="text1"/>
        </w:rPr>
        <w:t>|</w:t>
      </w:r>
      <w:r w:rsidR="1E55D433" w:rsidRPr="000C5173">
        <w:rPr>
          <w:color w:val="000000" w:themeColor="text1"/>
        </w:rPr>
        <w:t xml:space="preserve"> </w:t>
      </w:r>
      <w:r w:rsidR="1E55D433" w:rsidRPr="7EE24840">
        <w:rPr>
          <w:color w:val="000000" w:themeColor="text1"/>
        </w:rPr>
        <w:t>|</w:t>
      </w:r>
      <w:r w:rsidR="00A27FA9" w:rsidRPr="000C5173">
        <w:rPr>
          <w:color w:val="000000" w:themeColor="text1"/>
        </w:rPr>
        <w:t xml:space="preserve"> </w:t>
      </w:r>
      <w:r w:rsidR="07A6E63F" w:rsidRPr="7EE24840">
        <w:rPr>
          <w:color w:val="000000" w:themeColor="text1"/>
        </w:rPr>
        <w:t>|</w:t>
      </w:r>
      <w:r w:rsidR="07A6E63F" w:rsidRPr="000C5173">
        <w:rPr>
          <w:color w:val="000000" w:themeColor="text1"/>
        </w:rPr>
        <w:t xml:space="preserve"> </w:t>
      </w:r>
      <w:r w:rsidR="07A6E63F" w:rsidRPr="7EE24840">
        <w:rPr>
          <w:color w:val="000000" w:themeColor="text1"/>
        </w:rPr>
        <w:t>|</w:t>
      </w:r>
      <w:r w:rsidR="07A6E63F" w:rsidRPr="000C5173">
        <w:rPr>
          <w:color w:val="000000" w:themeColor="text1"/>
        </w:rPr>
        <w:t xml:space="preserve"> </w:t>
      </w:r>
      <w:r w:rsidR="07A6E63F" w:rsidRPr="7EE24840">
        <w:rPr>
          <w:color w:val="000000" w:themeColor="text1"/>
        </w:rPr>
        <w:t>|</w:t>
      </w:r>
      <w:r w:rsidR="07A6E63F" w:rsidRPr="000C5173">
        <w:rPr>
          <w:color w:val="000000" w:themeColor="text1"/>
        </w:rPr>
        <w:t xml:space="preserve"> </w:t>
      </w:r>
      <w:r w:rsidR="07A6E63F" w:rsidRPr="7EE24840">
        <w:rPr>
          <w:color w:val="000000" w:themeColor="text1"/>
        </w:rPr>
        <w:t>|</w:t>
      </w:r>
      <w:r w:rsidR="07A6E63F" w:rsidRPr="000C5173">
        <w:rPr>
          <w:color w:val="000000" w:themeColor="text1"/>
        </w:rPr>
        <w:t xml:space="preserve"> </w:t>
      </w:r>
      <w:r w:rsidR="07A6E63F" w:rsidRPr="7EE24840">
        <w:rPr>
          <w:color w:val="000000" w:themeColor="text1"/>
        </w:rPr>
        <w:t>|</w:t>
      </w:r>
      <w:r w:rsidR="00A27FA9" w:rsidRPr="000C5173">
        <w:rPr>
          <w:color w:val="000000" w:themeColor="text1"/>
        </w:rPr>
        <w:t xml:space="preserve"> </w:t>
      </w:r>
      <w:r w:rsidR="04E16A2D" w:rsidRPr="7EE24840">
        <w:rPr>
          <w:color w:val="000000" w:themeColor="text1"/>
        </w:rPr>
        <w:t>|</w:t>
      </w:r>
      <w:r w:rsidR="04E16A2D" w:rsidRPr="000C5173">
        <w:rPr>
          <w:color w:val="000000" w:themeColor="text1"/>
        </w:rPr>
        <w:t xml:space="preserve"> </w:t>
      </w:r>
      <w:r w:rsidR="04E16A2D" w:rsidRPr="7EE24840">
        <w:rPr>
          <w:color w:val="000000" w:themeColor="text1"/>
        </w:rPr>
        <w:t>|</w:t>
      </w:r>
      <w:r w:rsidR="04E16A2D" w:rsidRPr="000C5173">
        <w:rPr>
          <w:color w:val="000000" w:themeColor="text1"/>
        </w:rPr>
        <w:t xml:space="preserve"> </w:t>
      </w:r>
      <w:r w:rsidR="04E16A2D" w:rsidRPr="7EE24840">
        <w:rPr>
          <w:color w:val="000000" w:themeColor="text1"/>
        </w:rPr>
        <w:t>|</w:t>
      </w:r>
      <w:r w:rsidR="04E16A2D" w:rsidRPr="000C5173">
        <w:rPr>
          <w:color w:val="000000" w:themeColor="text1"/>
        </w:rPr>
        <w:t xml:space="preserve"> </w:t>
      </w:r>
      <w:r w:rsidR="04E16A2D" w:rsidRPr="7EE24840">
        <w:rPr>
          <w:color w:val="000000" w:themeColor="text1"/>
        </w:rPr>
        <w:t>|</w:t>
      </w:r>
      <w:r w:rsidR="04E16A2D" w:rsidRPr="000C5173">
        <w:rPr>
          <w:color w:val="000000" w:themeColor="text1"/>
        </w:rPr>
        <w:t xml:space="preserve"> </w:t>
      </w:r>
      <w:r w:rsidR="04E16A2D" w:rsidRPr="7EE24840">
        <w:rPr>
          <w:color w:val="000000" w:themeColor="text1"/>
        </w:rPr>
        <w:t>|</w:t>
      </w:r>
      <w:r w:rsidR="00A27FA9" w:rsidRPr="000C5173">
        <w:rPr>
          <w:color w:val="000000" w:themeColor="text1"/>
        </w:rPr>
        <w:t xml:space="preserve"> </w:t>
      </w:r>
      <w:r w:rsidR="14E2FF95" w:rsidRPr="7EE24840">
        <w:rPr>
          <w:color w:val="000000" w:themeColor="text1"/>
        </w:rPr>
        <w:t>|</w:t>
      </w:r>
      <w:r w:rsidR="14E2FF95" w:rsidRPr="000C5173">
        <w:rPr>
          <w:color w:val="000000" w:themeColor="text1"/>
        </w:rPr>
        <w:t xml:space="preserve"> </w:t>
      </w:r>
      <w:r w:rsidR="14E2FF95" w:rsidRPr="7EE24840">
        <w:rPr>
          <w:color w:val="000000" w:themeColor="text1"/>
        </w:rPr>
        <w:t>|</w:t>
      </w:r>
      <w:r w:rsidR="14E2FF95" w:rsidRPr="000C5173">
        <w:rPr>
          <w:color w:val="000000" w:themeColor="text1"/>
        </w:rPr>
        <w:t xml:space="preserve"> </w:t>
      </w:r>
      <w:r w:rsidR="14E2FF95" w:rsidRPr="7EE24840">
        <w:rPr>
          <w:color w:val="000000" w:themeColor="text1"/>
        </w:rPr>
        <w:t>|</w:t>
      </w:r>
      <w:r w:rsidR="14E2FF95" w:rsidRPr="000C5173">
        <w:rPr>
          <w:color w:val="000000" w:themeColor="text1"/>
        </w:rPr>
        <w:t xml:space="preserve"> </w:t>
      </w:r>
      <w:r w:rsidR="14E2FF95" w:rsidRPr="7EE24840">
        <w:rPr>
          <w:color w:val="000000" w:themeColor="text1"/>
        </w:rPr>
        <w:t>|</w:t>
      </w:r>
      <w:r w:rsidR="14E2FF95" w:rsidRPr="000C5173">
        <w:rPr>
          <w:color w:val="000000" w:themeColor="text1"/>
        </w:rPr>
        <w:t xml:space="preserve"> </w:t>
      </w:r>
      <w:r w:rsidR="14E2FF95" w:rsidRPr="7EE24840">
        <w:rPr>
          <w:color w:val="000000" w:themeColor="text1"/>
        </w:rPr>
        <w:t>|</w:t>
      </w:r>
      <w:r w:rsidR="006559D8">
        <w:rPr>
          <w:color w:val="000000" w:themeColor="text1"/>
        </w:rPr>
        <w:t xml:space="preserve"> </w:t>
      </w:r>
      <w:r w:rsidR="000C5173">
        <w:rPr>
          <w:rStyle w:val="FootnoteReference"/>
        </w:rPr>
        <w:footnoteReference w:id="6"/>
      </w:r>
    </w:p>
    <w:p w14:paraId="250C065D" w14:textId="737C7F2F" w:rsidR="00FB45E5" w:rsidRPr="00310498" w:rsidRDefault="00FB45E5" w:rsidP="00FB45E5">
      <w:pPr>
        <w:pStyle w:val="3-BodyText"/>
        <w:numPr>
          <w:ilvl w:val="0"/>
          <w:numId w:val="0"/>
        </w:numPr>
        <w:rPr>
          <w:u w:val="single"/>
        </w:rPr>
      </w:pPr>
      <w:r w:rsidRPr="00310498">
        <w:rPr>
          <w:u w:val="single"/>
        </w:rPr>
        <w:t>Overall survival – DUO-E trial</w:t>
      </w:r>
    </w:p>
    <w:p w14:paraId="56656ED7" w14:textId="5068819F" w:rsidR="00485DF5" w:rsidRPr="00310498" w:rsidRDefault="00485DF5" w:rsidP="00485DF5">
      <w:pPr>
        <w:pStyle w:val="3-BodyText"/>
      </w:pPr>
      <w:r w:rsidRPr="00310498">
        <w:t xml:space="preserve">At the time of the study data cut off (DCO) the OS data in the FAS were 27.7% mature across the three treatment arms (199 events/718 patients). The results for OS in the FAS are summarised in </w:t>
      </w:r>
      <w:r w:rsidR="003907A3" w:rsidRPr="00310498">
        <w:fldChar w:fldCharType="begin" w:fldLock="1"/>
      </w:r>
      <w:r w:rsidR="003907A3" w:rsidRPr="00310498">
        <w:instrText xml:space="preserve"> REF _Ref174979154 \h </w:instrText>
      </w:r>
      <w:r w:rsidR="00944CE7" w:rsidRPr="00310498">
        <w:instrText xml:space="preserve"> \* MERGEFORMAT </w:instrText>
      </w:r>
      <w:r w:rsidR="003907A3" w:rsidRPr="00310498">
        <w:fldChar w:fldCharType="separate"/>
      </w:r>
      <w:r w:rsidR="002C52D8" w:rsidRPr="00310498">
        <w:t xml:space="preserve">Table </w:t>
      </w:r>
      <w:r w:rsidR="002C52D8">
        <w:rPr>
          <w:noProof/>
        </w:rPr>
        <w:t>9</w:t>
      </w:r>
      <w:r w:rsidR="003907A3" w:rsidRPr="00310498">
        <w:fldChar w:fldCharType="end"/>
      </w:r>
      <w:r w:rsidR="003907A3" w:rsidRPr="00310498">
        <w:t xml:space="preserve"> </w:t>
      </w:r>
      <w:r w:rsidRPr="00310498">
        <w:t xml:space="preserve">and the </w:t>
      </w:r>
      <w:r w:rsidR="0074160B" w:rsidRPr="00310498">
        <w:t xml:space="preserve">KM </w:t>
      </w:r>
      <w:r w:rsidRPr="00310498">
        <w:t xml:space="preserve">curve for OS is presented in </w:t>
      </w:r>
      <w:r w:rsidR="003907A3" w:rsidRPr="00310498">
        <w:fldChar w:fldCharType="begin" w:fldLock="1"/>
      </w:r>
      <w:r w:rsidR="003907A3" w:rsidRPr="00310498">
        <w:instrText xml:space="preserve"> REF _Ref174979167 \h </w:instrText>
      </w:r>
      <w:r w:rsidR="00944CE7" w:rsidRPr="00310498">
        <w:instrText xml:space="preserve"> \* MERGEFORMAT </w:instrText>
      </w:r>
      <w:r w:rsidR="003907A3" w:rsidRPr="00310498">
        <w:fldChar w:fldCharType="separate"/>
      </w:r>
      <w:r w:rsidR="002C52D8" w:rsidRPr="00310498">
        <w:t xml:space="preserve">Figure </w:t>
      </w:r>
      <w:r w:rsidR="002C52D8">
        <w:rPr>
          <w:noProof/>
        </w:rPr>
        <w:t>5</w:t>
      </w:r>
      <w:r w:rsidR="003907A3" w:rsidRPr="00310498">
        <w:fldChar w:fldCharType="end"/>
      </w:r>
      <w:r w:rsidR="003907A3" w:rsidRPr="00310498">
        <w:t>.</w:t>
      </w:r>
    </w:p>
    <w:p w14:paraId="0C5A118A" w14:textId="14D51BC8" w:rsidR="00485DF5" w:rsidRPr="00310498" w:rsidRDefault="00485DF5" w:rsidP="0028190D">
      <w:pPr>
        <w:pStyle w:val="Caption"/>
      </w:pPr>
      <w:bookmarkStart w:id="44" w:name="_Ref174979154"/>
      <w:r w:rsidRPr="00310498">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9</w:t>
      </w:r>
      <w:r w:rsidR="00F267A0" w:rsidRPr="00310498">
        <w:rPr>
          <w:noProof/>
        </w:rPr>
        <w:fldChar w:fldCharType="end"/>
      </w:r>
      <w:bookmarkEnd w:id="44"/>
      <w:r w:rsidRPr="00310498">
        <w:t>:</w:t>
      </w:r>
      <w:r w:rsidR="00DE1FEA" w:rsidRPr="00310498">
        <w:t xml:space="preserve"> O</w:t>
      </w:r>
      <w:r w:rsidRPr="00310498">
        <w:t>S Results for all treatment arms DUO-E (FAS)</w:t>
      </w:r>
    </w:p>
    <w:tbl>
      <w:tblPr>
        <w:tblStyle w:val="AZTable"/>
        <w:tblW w:w="5000" w:type="pct"/>
        <w:tblLook w:val="04A0" w:firstRow="1" w:lastRow="0" w:firstColumn="1" w:lastColumn="0" w:noHBand="0" w:noVBand="1"/>
      </w:tblPr>
      <w:tblGrid>
        <w:gridCol w:w="3684"/>
        <w:gridCol w:w="1786"/>
        <w:gridCol w:w="1786"/>
        <w:gridCol w:w="1784"/>
      </w:tblGrid>
      <w:tr w:rsidR="00485DF5" w:rsidRPr="00310498" w14:paraId="646EE5F5" w14:textId="77777777" w:rsidTr="00E24B8A">
        <w:trPr>
          <w:cnfStyle w:val="100000000000" w:firstRow="1" w:lastRow="0" w:firstColumn="0" w:lastColumn="0" w:oddVBand="0" w:evenVBand="0" w:oddHBand="0" w:evenHBand="0" w:firstRowFirstColumn="0" w:firstRowLastColumn="0" w:lastRowFirstColumn="0" w:lastRowLastColumn="0"/>
          <w:tblHeader/>
        </w:trPr>
        <w:tc>
          <w:tcPr>
            <w:tcW w:w="2037" w:type="pct"/>
            <w:shd w:val="clear" w:color="auto" w:fill="auto"/>
          </w:tcPr>
          <w:p w14:paraId="765F9007" w14:textId="77777777" w:rsidR="00485DF5" w:rsidRPr="00310498" w:rsidRDefault="00485DF5" w:rsidP="0028190D">
            <w:pPr>
              <w:pStyle w:val="In-tableHeading"/>
              <w:rPr>
                <w:sz w:val="20"/>
                <w:szCs w:val="20"/>
                <w:lang w:val="en-AU"/>
              </w:rPr>
            </w:pPr>
            <w:r w:rsidRPr="00310498">
              <w:rPr>
                <w:sz w:val="20"/>
                <w:szCs w:val="20"/>
                <w:lang w:val="en-AU"/>
              </w:rPr>
              <w:t>Measure</w:t>
            </w:r>
          </w:p>
        </w:tc>
        <w:tc>
          <w:tcPr>
            <w:tcW w:w="988" w:type="pct"/>
            <w:shd w:val="clear" w:color="auto" w:fill="auto"/>
            <w:hideMark/>
          </w:tcPr>
          <w:p w14:paraId="4B2565E3" w14:textId="77777777" w:rsidR="00485DF5" w:rsidRPr="00310498" w:rsidRDefault="00485DF5" w:rsidP="0028190D">
            <w:pPr>
              <w:pStyle w:val="In-tableHeading"/>
              <w:jc w:val="center"/>
              <w:rPr>
                <w:sz w:val="20"/>
                <w:szCs w:val="20"/>
                <w:lang w:val="en-AU"/>
              </w:rPr>
            </w:pPr>
            <w:r w:rsidRPr="00310498">
              <w:rPr>
                <w:sz w:val="20"/>
                <w:szCs w:val="20"/>
                <w:lang w:val="en-AU"/>
              </w:rPr>
              <w:t>PC (N=241)</w:t>
            </w:r>
          </w:p>
        </w:tc>
        <w:tc>
          <w:tcPr>
            <w:tcW w:w="988" w:type="pct"/>
            <w:shd w:val="clear" w:color="auto" w:fill="auto"/>
            <w:hideMark/>
          </w:tcPr>
          <w:p w14:paraId="74C28D5A" w14:textId="77777777" w:rsidR="00485DF5" w:rsidRPr="00310498" w:rsidRDefault="00485DF5" w:rsidP="0028190D">
            <w:pPr>
              <w:pStyle w:val="In-tableHeading"/>
              <w:jc w:val="center"/>
              <w:rPr>
                <w:sz w:val="20"/>
                <w:szCs w:val="20"/>
                <w:lang w:val="en-AU"/>
              </w:rPr>
            </w:pPr>
            <w:r w:rsidRPr="00310498">
              <w:rPr>
                <w:sz w:val="20"/>
                <w:szCs w:val="20"/>
                <w:lang w:val="en-AU"/>
              </w:rPr>
              <w:t>durvalumab + PC (N=238)</w:t>
            </w:r>
          </w:p>
        </w:tc>
        <w:tc>
          <w:tcPr>
            <w:tcW w:w="987" w:type="pct"/>
            <w:shd w:val="clear" w:color="auto" w:fill="auto"/>
            <w:hideMark/>
          </w:tcPr>
          <w:p w14:paraId="66B5B85E" w14:textId="77777777" w:rsidR="00485DF5" w:rsidRPr="00310498" w:rsidRDefault="00485DF5" w:rsidP="0028190D">
            <w:pPr>
              <w:pStyle w:val="In-tableHeading"/>
              <w:jc w:val="center"/>
              <w:rPr>
                <w:sz w:val="20"/>
                <w:szCs w:val="20"/>
                <w:lang w:val="en-AU"/>
              </w:rPr>
            </w:pPr>
            <w:r w:rsidRPr="00310498">
              <w:rPr>
                <w:sz w:val="20"/>
                <w:szCs w:val="20"/>
                <w:lang w:val="en-AU"/>
              </w:rPr>
              <w:t>durvalumab + PC + olaparib (N=239)</w:t>
            </w:r>
          </w:p>
        </w:tc>
      </w:tr>
      <w:tr w:rsidR="00485DF5" w:rsidRPr="00310498" w14:paraId="7D8770CD" w14:textId="77777777" w:rsidTr="00E24B8A">
        <w:tc>
          <w:tcPr>
            <w:tcW w:w="2037" w:type="pct"/>
            <w:shd w:val="clear" w:color="auto" w:fill="auto"/>
          </w:tcPr>
          <w:p w14:paraId="0D78D2DB" w14:textId="77777777" w:rsidR="00485DF5" w:rsidRPr="00310498" w:rsidRDefault="00485DF5" w:rsidP="0028190D">
            <w:pPr>
              <w:pStyle w:val="Tabletext"/>
              <w:keepNext/>
              <w:keepLines/>
            </w:pPr>
            <w:r w:rsidRPr="00310498">
              <w:t>Deaths (%)</w:t>
            </w:r>
          </w:p>
        </w:tc>
        <w:tc>
          <w:tcPr>
            <w:tcW w:w="988" w:type="pct"/>
            <w:shd w:val="clear" w:color="auto" w:fill="auto"/>
          </w:tcPr>
          <w:p w14:paraId="6F3DCFC8" w14:textId="77777777" w:rsidR="00485DF5" w:rsidRPr="00310498" w:rsidRDefault="00485DF5" w:rsidP="0028190D">
            <w:pPr>
              <w:pStyle w:val="Tabletext"/>
              <w:keepNext/>
              <w:keepLines/>
              <w:jc w:val="center"/>
            </w:pPr>
            <w:r w:rsidRPr="00310498">
              <w:t>82 (34.0)</w:t>
            </w:r>
          </w:p>
        </w:tc>
        <w:tc>
          <w:tcPr>
            <w:tcW w:w="988" w:type="pct"/>
            <w:shd w:val="clear" w:color="auto" w:fill="auto"/>
          </w:tcPr>
          <w:p w14:paraId="31591CA6" w14:textId="77777777" w:rsidR="00485DF5" w:rsidRPr="00310498" w:rsidRDefault="00485DF5" w:rsidP="0028190D">
            <w:pPr>
              <w:pStyle w:val="Tabletext"/>
              <w:keepNext/>
              <w:keepLines/>
              <w:jc w:val="center"/>
            </w:pPr>
            <w:r w:rsidRPr="00310498">
              <w:t>65 (27.3)</w:t>
            </w:r>
          </w:p>
        </w:tc>
        <w:tc>
          <w:tcPr>
            <w:tcW w:w="987" w:type="pct"/>
            <w:shd w:val="clear" w:color="auto" w:fill="auto"/>
          </w:tcPr>
          <w:p w14:paraId="42ACE2D9" w14:textId="77777777" w:rsidR="00485DF5" w:rsidRPr="00310498" w:rsidRDefault="00485DF5" w:rsidP="0028190D">
            <w:pPr>
              <w:pStyle w:val="Tabletext"/>
              <w:keepNext/>
              <w:keepLines/>
              <w:jc w:val="center"/>
            </w:pPr>
            <w:r w:rsidRPr="00310498">
              <w:t>52.0 (21.8)</w:t>
            </w:r>
          </w:p>
        </w:tc>
      </w:tr>
      <w:tr w:rsidR="00485DF5" w:rsidRPr="00310498" w14:paraId="12A7DB45" w14:textId="77777777" w:rsidTr="00E24B8A">
        <w:tc>
          <w:tcPr>
            <w:tcW w:w="2037" w:type="pct"/>
            <w:shd w:val="clear" w:color="auto" w:fill="auto"/>
          </w:tcPr>
          <w:p w14:paraId="4FFF5DBC" w14:textId="0713634C" w:rsidR="00485DF5" w:rsidRPr="00310498" w:rsidRDefault="00485DF5" w:rsidP="0028190D">
            <w:pPr>
              <w:pStyle w:val="Tabletext"/>
              <w:keepNext/>
              <w:keepLines/>
            </w:pPr>
            <w:r w:rsidRPr="00310498">
              <w:t>Median</w:t>
            </w:r>
            <w:r w:rsidR="004A4386" w:rsidRPr="00310498">
              <w:t>,</w:t>
            </w:r>
            <w:r w:rsidR="00E958C6" w:rsidRPr="00310498">
              <w:t xml:space="preserve"> months</w:t>
            </w:r>
            <w:r w:rsidRPr="00310498">
              <w:t xml:space="preserve"> (95% CI)</w:t>
            </w:r>
          </w:p>
        </w:tc>
        <w:tc>
          <w:tcPr>
            <w:tcW w:w="988" w:type="pct"/>
            <w:shd w:val="clear" w:color="auto" w:fill="auto"/>
          </w:tcPr>
          <w:p w14:paraId="12BBD97B" w14:textId="39E6056A" w:rsidR="00485DF5" w:rsidRPr="00310498" w:rsidRDefault="00485DF5" w:rsidP="0028190D">
            <w:pPr>
              <w:pStyle w:val="Tabletext"/>
              <w:keepNext/>
              <w:keepLines/>
              <w:jc w:val="center"/>
            </w:pPr>
            <w:r w:rsidRPr="00310498">
              <w:t>25.9 (23.9</w:t>
            </w:r>
            <w:r w:rsidR="0032043A">
              <w:t xml:space="preserve">, </w:t>
            </w:r>
            <w:r w:rsidRPr="00310498">
              <w:t>NR)</w:t>
            </w:r>
          </w:p>
        </w:tc>
        <w:tc>
          <w:tcPr>
            <w:tcW w:w="988" w:type="pct"/>
            <w:shd w:val="clear" w:color="auto" w:fill="auto"/>
          </w:tcPr>
          <w:p w14:paraId="4B92F18A" w14:textId="56AA3A18" w:rsidR="00485DF5" w:rsidRPr="00310498" w:rsidRDefault="00485DF5" w:rsidP="0028190D">
            <w:pPr>
              <w:pStyle w:val="Tabletext"/>
              <w:keepNext/>
              <w:keepLines/>
              <w:jc w:val="center"/>
            </w:pPr>
            <w:r w:rsidRPr="00310498">
              <w:t>NR (NR</w:t>
            </w:r>
            <w:r w:rsidR="0032043A">
              <w:t xml:space="preserve">, </w:t>
            </w:r>
            <w:r w:rsidRPr="00310498">
              <w:t>NR)</w:t>
            </w:r>
          </w:p>
        </w:tc>
        <w:tc>
          <w:tcPr>
            <w:tcW w:w="987" w:type="pct"/>
            <w:shd w:val="clear" w:color="auto" w:fill="auto"/>
          </w:tcPr>
          <w:p w14:paraId="5F491B44" w14:textId="1EA41834" w:rsidR="00485DF5" w:rsidRPr="00310498" w:rsidRDefault="00485DF5" w:rsidP="0028190D">
            <w:pPr>
              <w:pStyle w:val="Tabletext"/>
              <w:keepNext/>
              <w:keepLines/>
              <w:jc w:val="center"/>
            </w:pPr>
            <w:r w:rsidRPr="00310498">
              <w:t>NR (NR</w:t>
            </w:r>
            <w:r w:rsidR="0032043A">
              <w:t xml:space="preserve">, </w:t>
            </w:r>
            <w:r w:rsidRPr="00310498">
              <w:t>NR)</w:t>
            </w:r>
          </w:p>
        </w:tc>
      </w:tr>
      <w:tr w:rsidR="00485DF5" w:rsidRPr="00310498" w14:paraId="0F2C71B1" w14:textId="77777777" w:rsidTr="00E24B8A">
        <w:tc>
          <w:tcPr>
            <w:tcW w:w="2037" w:type="pct"/>
            <w:shd w:val="clear" w:color="auto" w:fill="auto"/>
          </w:tcPr>
          <w:p w14:paraId="4C939831" w14:textId="77777777" w:rsidR="00485DF5" w:rsidRPr="00310498" w:rsidRDefault="00485DF5" w:rsidP="0028190D">
            <w:pPr>
              <w:pStyle w:val="Tabletext"/>
              <w:keepNext/>
              <w:keepLines/>
            </w:pPr>
            <w:r w:rsidRPr="00310498">
              <w:t>HR versus PC (95% CI)</w:t>
            </w:r>
          </w:p>
        </w:tc>
        <w:tc>
          <w:tcPr>
            <w:tcW w:w="988" w:type="pct"/>
            <w:shd w:val="clear" w:color="auto" w:fill="auto"/>
          </w:tcPr>
          <w:p w14:paraId="55427D7F" w14:textId="77777777" w:rsidR="00485DF5" w:rsidRPr="00310498" w:rsidRDefault="00485DF5" w:rsidP="0028190D">
            <w:pPr>
              <w:pStyle w:val="Tabletext"/>
              <w:keepNext/>
              <w:keepLines/>
              <w:jc w:val="center"/>
            </w:pPr>
            <w:r w:rsidRPr="00310498">
              <w:t>-</w:t>
            </w:r>
          </w:p>
        </w:tc>
        <w:tc>
          <w:tcPr>
            <w:tcW w:w="988" w:type="pct"/>
            <w:shd w:val="clear" w:color="auto" w:fill="auto"/>
          </w:tcPr>
          <w:p w14:paraId="72D547FA" w14:textId="4D725966" w:rsidR="00485DF5" w:rsidRPr="00310498" w:rsidRDefault="00485DF5" w:rsidP="0028190D">
            <w:pPr>
              <w:pStyle w:val="Tabletext"/>
              <w:keepNext/>
              <w:keepLines/>
              <w:jc w:val="center"/>
            </w:pPr>
            <w:r w:rsidRPr="00310498">
              <w:t>0.77 (0.56</w:t>
            </w:r>
            <w:r w:rsidR="0032043A">
              <w:t xml:space="preserve">, </w:t>
            </w:r>
            <w:r w:rsidRPr="00310498">
              <w:t>1.07)</w:t>
            </w:r>
          </w:p>
        </w:tc>
        <w:tc>
          <w:tcPr>
            <w:tcW w:w="987" w:type="pct"/>
            <w:shd w:val="clear" w:color="auto" w:fill="auto"/>
          </w:tcPr>
          <w:p w14:paraId="7B372FA9" w14:textId="449039E8" w:rsidR="00485DF5" w:rsidRPr="00310498" w:rsidRDefault="00485DF5" w:rsidP="0028190D">
            <w:pPr>
              <w:pStyle w:val="Tabletext"/>
              <w:keepNext/>
              <w:keepLines/>
              <w:jc w:val="center"/>
            </w:pPr>
            <w:r w:rsidRPr="00310498">
              <w:t>0.59 (0.42</w:t>
            </w:r>
            <w:r w:rsidR="0032043A">
              <w:t xml:space="preserve">, </w:t>
            </w:r>
            <w:r w:rsidRPr="00310498">
              <w:t>0.83)</w:t>
            </w:r>
          </w:p>
        </w:tc>
      </w:tr>
      <w:tr w:rsidR="00485DF5" w:rsidRPr="00310498" w14:paraId="7B8CD22B" w14:textId="77777777" w:rsidTr="00E24B8A">
        <w:tc>
          <w:tcPr>
            <w:tcW w:w="2037" w:type="pct"/>
            <w:shd w:val="clear" w:color="auto" w:fill="auto"/>
          </w:tcPr>
          <w:p w14:paraId="37123A30" w14:textId="77777777" w:rsidR="00485DF5" w:rsidRPr="00310498" w:rsidRDefault="00485DF5" w:rsidP="0028190D">
            <w:pPr>
              <w:pStyle w:val="Tabletext"/>
              <w:keepNext/>
              <w:keepLines/>
            </w:pPr>
            <w:r w:rsidRPr="00310498">
              <w:t>P value versus PC</w:t>
            </w:r>
          </w:p>
        </w:tc>
        <w:tc>
          <w:tcPr>
            <w:tcW w:w="988" w:type="pct"/>
            <w:shd w:val="clear" w:color="auto" w:fill="auto"/>
          </w:tcPr>
          <w:p w14:paraId="514F27B1" w14:textId="77777777" w:rsidR="00485DF5" w:rsidRPr="00310498" w:rsidRDefault="00485DF5" w:rsidP="0028190D">
            <w:pPr>
              <w:pStyle w:val="Tabletext"/>
              <w:keepNext/>
              <w:keepLines/>
              <w:jc w:val="center"/>
            </w:pPr>
            <w:r w:rsidRPr="00310498">
              <w:t>-</w:t>
            </w:r>
          </w:p>
        </w:tc>
        <w:tc>
          <w:tcPr>
            <w:tcW w:w="988" w:type="pct"/>
            <w:shd w:val="clear" w:color="auto" w:fill="auto"/>
          </w:tcPr>
          <w:p w14:paraId="64B28C7D" w14:textId="77777777" w:rsidR="00485DF5" w:rsidRPr="00310498" w:rsidRDefault="00485DF5" w:rsidP="0028190D">
            <w:pPr>
              <w:pStyle w:val="Tabletext"/>
              <w:keepNext/>
              <w:keepLines/>
              <w:jc w:val="center"/>
            </w:pPr>
            <w:r w:rsidRPr="00310498">
              <w:t>0.120</w:t>
            </w:r>
          </w:p>
        </w:tc>
        <w:tc>
          <w:tcPr>
            <w:tcW w:w="987" w:type="pct"/>
            <w:shd w:val="clear" w:color="auto" w:fill="auto"/>
          </w:tcPr>
          <w:p w14:paraId="30C4736C" w14:textId="77777777" w:rsidR="00485DF5" w:rsidRPr="00310498" w:rsidRDefault="00485DF5" w:rsidP="0028190D">
            <w:pPr>
              <w:pStyle w:val="Tabletext"/>
              <w:keepNext/>
              <w:keepLines/>
              <w:jc w:val="center"/>
            </w:pPr>
            <w:r w:rsidRPr="00310498">
              <w:t>0.003</w:t>
            </w:r>
          </w:p>
        </w:tc>
      </w:tr>
      <w:tr w:rsidR="00485DF5" w:rsidRPr="00310498" w14:paraId="593E3C1F" w14:textId="77777777" w:rsidTr="00E24B8A">
        <w:tc>
          <w:tcPr>
            <w:tcW w:w="2037" w:type="pct"/>
            <w:shd w:val="clear" w:color="auto" w:fill="auto"/>
          </w:tcPr>
          <w:p w14:paraId="6467B6F4" w14:textId="77777777" w:rsidR="00485DF5" w:rsidRPr="00310498" w:rsidRDefault="00485DF5" w:rsidP="0028190D">
            <w:pPr>
              <w:pStyle w:val="Tabletext"/>
              <w:keepNext/>
              <w:keepLines/>
            </w:pPr>
            <w:r w:rsidRPr="00310498">
              <w:t>HR versus durvalumab + PC (95% CI)</w:t>
            </w:r>
          </w:p>
        </w:tc>
        <w:tc>
          <w:tcPr>
            <w:tcW w:w="988" w:type="pct"/>
            <w:shd w:val="clear" w:color="auto" w:fill="auto"/>
          </w:tcPr>
          <w:p w14:paraId="79E287E1" w14:textId="77777777" w:rsidR="00485DF5" w:rsidRPr="00310498" w:rsidRDefault="00485DF5" w:rsidP="0028190D">
            <w:pPr>
              <w:pStyle w:val="Tabletext"/>
              <w:keepNext/>
              <w:keepLines/>
              <w:jc w:val="center"/>
            </w:pPr>
            <w:r w:rsidRPr="00310498">
              <w:t>-</w:t>
            </w:r>
          </w:p>
        </w:tc>
        <w:tc>
          <w:tcPr>
            <w:tcW w:w="988" w:type="pct"/>
            <w:shd w:val="clear" w:color="auto" w:fill="auto"/>
          </w:tcPr>
          <w:p w14:paraId="0283A965" w14:textId="77777777" w:rsidR="00485DF5" w:rsidRPr="00310498" w:rsidRDefault="00485DF5" w:rsidP="0028190D">
            <w:pPr>
              <w:pStyle w:val="Tabletext"/>
              <w:keepNext/>
              <w:keepLines/>
              <w:jc w:val="center"/>
            </w:pPr>
            <w:r w:rsidRPr="00310498">
              <w:t>-</w:t>
            </w:r>
          </w:p>
        </w:tc>
        <w:tc>
          <w:tcPr>
            <w:tcW w:w="987" w:type="pct"/>
            <w:shd w:val="clear" w:color="auto" w:fill="auto"/>
          </w:tcPr>
          <w:p w14:paraId="1006357A" w14:textId="4371FA54" w:rsidR="00485DF5" w:rsidRPr="00310498" w:rsidRDefault="00485DF5" w:rsidP="0028190D">
            <w:pPr>
              <w:pStyle w:val="Tabletext"/>
              <w:keepNext/>
              <w:keepLines/>
              <w:jc w:val="center"/>
            </w:pPr>
            <w:r w:rsidRPr="00310498">
              <w:t>0.77 (0.53</w:t>
            </w:r>
            <w:r w:rsidR="0032043A">
              <w:t xml:space="preserve">, </w:t>
            </w:r>
            <w:r w:rsidRPr="00310498">
              <w:t>1.10)</w:t>
            </w:r>
          </w:p>
        </w:tc>
      </w:tr>
      <w:tr w:rsidR="00485DF5" w:rsidRPr="00310498" w14:paraId="3691F9FD" w14:textId="77777777" w:rsidTr="00E24B8A">
        <w:tc>
          <w:tcPr>
            <w:tcW w:w="2037" w:type="pct"/>
            <w:shd w:val="clear" w:color="auto" w:fill="auto"/>
          </w:tcPr>
          <w:p w14:paraId="439567F3" w14:textId="77777777" w:rsidR="00485DF5" w:rsidRPr="00310498" w:rsidRDefault="00485DF5" w:rsidP="0028190D">
            <w:pPr>
              <w:pStyle w:val="Tabletext"/>
              <w:keepNext/>
              <w:keepLines/>
            </w:pPr>
            <w:r w:rsidRPr="00310498">
              <w:t>P value versus durvalumab + PC</w:t>
            </w:r>
          </w:p>
        </w:tc>
        <w:tc>
          <w:tcPr>
            <w:tcW w:w="988" w:type="pct"/>
            <w:shd w:val="clear" w:color="auto" w:fill="auto"/>
          </w:tcPr>
          <w:p w14:paraId="55C1A453" w14:textId="77777777" w:rsidR="00485DF5" w:rsidRPr="00310498" w:rsidRDefault="00485DF5" w:rsidP="0028190D">
            <w:pPr>
              <w:pStyle w:val="Tabletext"/>
              <w:keepNext/>
              <w:keepLines/>
              <w:jc w:val="center"/>
            </w:pPr>
            <w:r w:rsidRPr="00310498">
              <w:t>-</w:t>
            </w:r>
          </w:p>
        </w:tc>
        <w:tc>
          <w:tcPr>
            <w:tcW w:w="988" w:type="pct"/>
            <w:shd w:val="clear" w:color="auto" w:fill="auto"/>
          </w:tcPr>
          <w:p w14:paraId="00C9F633" w14:textId="77777777" w:rsidR="00485DF5" w:rsidRPr="00310498" w:rsidRDefault="00485DF5" w:rsidP="0028190D">
            <w:pPr>
              <w:pStyle w:val="Tabletext"/>
              <w:keepNext/>
              <w:keepLines/>
              <w:jc w:val="center"/>
            </w:pPr>
            <w:r w:rsidRPr="00310498">
              <w:t>-</w:t>
            </w:r>
          </w:p>
        </w:tc>
        <w:tc>
          <w:tcPr>
            <w:tcW w:w="987" w:type="pct"/>
            <w:shd w:val="clear" w:color="auto" w:fill="auto"/>
          </w:tcPr>
          <w:p w14:paraId="5EF6A12C" w14:textId="5C24290D" w:rsidR="00485DF5" w:rsidRPr="00310498" w:rsidRDefault="0032043A" w:rsidP="0028190D">
            <w:pPr>
              <w:pStyle w:val="Tabletext"/>
              <w:keepNext/>
              <w:keepLines/>
              <w:jc w:val="center"/>
            </w:pPr>
            <w:r>
              <w:t>NR</w:t>
            </w:r>
          </w:p>
        </w:tc>
      </w:tr>
      <w:tr w:rsidR="00485DF5" w:rsidRPr="00310498" w14:paraId="6ADB4576" w14:textId="77777777">
        <w:tc>
          <w:tcPr>
            <w:tcW w:w="5000" w:type="pct"/>
            <w:gridSpan w:val="4"/>
            <w:shd w:val="clear" w:color="auto" w:fill="auto"/>
          </w:tcPr>
          <w:p w14:paraId="19303E85" w14:textId="77777777" w:rsidR="00485DF5" w:rsidRPr="00310498" w:rsidRDefault="00485DF5" w:rsidP="0028190D">
            <w:pPr>
              <w:pStyle w:val="Tabletext"/>
              <w:keepNext/>
              <w:keepLines/>
            </w:pPr>
            <w:r w:rsidRPr="00310498">
              <w:t>Percentage of patients alive at:</w:t>
            </w:r>
          </w:p>
        </w:tc>
      </w:tr>
      <w:tr w:rsidR="00485DF5" w:rsidRPr="00310498" w14:paraId="4581692F" w14:textId="77777777" w:rsidTr="00E24B8A">
        <w:tc>
          <w:tcPr>
            <w:tcW w:w="2037" w:type="pct"/>
            <w:shd w:val="clear" w:color="auto" w:fill="auto"/>
          </w:tcPr>
          <w:p w14:paraId="7904B534" w14:textId="77777777" w:rsidR="00485DF5" w:rsidRPr="00310498" w:rsidRDefault="00485DF5" w:rsidP="0028190D">
            <w:pPr>
              <w:pStyle w:val="Tabletext"/>
              <w:keepNext/>
              <w:keepLines/>
            </w:pPr>
            <w:r w:rsidRPr="00310498">
              <w:t>6 months (95% CI)</w:t>
            </w:r>
          </w:p>
        </w:tc>
        <w:tc>
          <w:tcPr>
            <w:tcW w:w="988" w:type="pct"/>
            <w:shd w:val="clear" w:color="auto" w:fill="auto"/>
          </w:tcPr>
          <w:p w14:paraId="44A8771D" w14:textId="6A8DD651" w:rsidR="00485DF5" w:rsidRPr="00310498" w:rsidRDefault="00485DF5" w:rsidP="0028190D">
            <w:pPr>
              <w:pStyle w:val="Tabletext"/>
              <w:keepNext/>
              <w:keepLines/>
              <w:jc w:val="center"/>
            </w:pPr>
            <w:r w:rsidRPr="00310498">
              <w:t>91.2 (86.8</w:t>
            </w:r>
            <w:r w:rsidR="0032043A">
              <w:t xml:space="preserve">, </w:t>
            </w:r>
            <w:r w:rsidRPr="00310498">
              <w:t>94.2)</w:t>
            </w:r>
          </w:p>
        </w:tc>
        <w:tc>
          <w:tcPr>
            <w:tcW w:w="988" w:type="pct"/>
            <w:shd w:val="clear" w:color="auto" w:fill="auto"/>
          </w:tcPr>
          <w:p w14:paraId="0DEE6AAE" w14:textId="007C25E3" w:rsidR="00485DF5" w:rsidRPr="00310498" w:rsidRDefault="00485DF5" w:rsidP="0028190D">
            <w:pPr>
              <w:pStyle w:val="Tabletext"/>
              <w:keepNext/>
              <w:keepLines/>
              <w:jc w:val="center"/>
            </w:pPr>
            <w:r w:rsidRPr="00310498">
              <w:t>93.7 (89.7</w:t>
            </w:r>
            <w:r w:rsidR="0032043A">
              <w:t xml:space="preserve">, </w:t>
            </w:r>
            <w:r w:rsidRPr="00310498">
              <w:t>96.1)</w:t>
            </w:r>
          </w:p>
        </w:tc>
        <w:tc>
          <w:tcPr>
            <w:tcW w:w="987" w:type="pct"/>
            <w:shd w:val="clear" w:color="auto" w:fill="auto"/>
          </w:tcPr>
          <w:p w14:paraId="0E7F5235" w14:textId="15DA2356" w:rsidR="00485DF5" w:rsidRPr="00310498" w:rsidRDefault="00485DF5" w:rsidP="0028190D">
            <w:pPr>
              <w:pStyle w:val="Tabletext"/>
              <w:keepNext/>
              <w:keepLines/>
              <w:jc w:val="center"/>
            </w:pPr>
            <w:r w:rsidRPr="00310498">
              <w:t>95.8 (92.3</w:t>
            </w:r>
            <w:r w:rsidR="0032043A">
              <w:t xml:space="preserve">, </w:t>
            </w:r>
            <w:r w:rsidRPr="00310498">
              <w:t>97.7)</w:t>
            </w:r>
          </w:p>
        </w:tc>
      </w:tr>
      <w:tr w:rsidR="00485DF5" w:rsidRPr="00310498" w14:paraId="140B750D" w14:textId="77777777" w:rsidTr="00E24B8A">
        <w:tc>
          <w:tcPr>
            <w:tcW w:w="2037" w:type="pct"/>
            <w:shd w:val="clear" w:color="auto" w:fill="auto"/>
          </w:tcPr>
          <w:p w14:paraId="10AD172E" w14:textId="77777777" w:rsidR="00485DF5" w:rsidRPr="00310498" w:rsidRDefault="00485DF5" w:rsidP="0028190D">
            <w:pPr>
              <w:pStyle w:val="Tabletext"/>
              <w:keepNext/>
              <w:keepLines/>
            </w:pPr>
            <w:r w:rsidRPr="00310498">
              <w:t>12 months (95% CI)</w:t>
            </w:r>
          </w:p>
        </w:tc>
        <w:tc>
          <w:tcPr>
            <w:tcW w:w="988" w:type="pct"/>
            <w:shd w:val="clear" w:color="auto" w:fill="auto"/>
          </w:tcPr>
          <w:p w14:paraId="5B5EF0CA" w14:textId="2806AC0D" w:rsidR="00485DF5" w:rsidRPr="00310498" w:rsidRDefault="00485DF5" w:rsidP="0028190D">
            <w:pPr>
              <w:pStyle w:val="Tabletext"/>
              <w:keepNext/>
              <w:keepLines/>
              <w:jc w:val="center"/>
            </w:pPr>
            <w:r w:rsidRPr="00310498">
              <w:t>79.7 (74.0</w:t>
            </w:r>
            <w:r w:rsidR="0032043A">
              <w:t xml:space="preserve">, </w:t>
            </w:r>
            <w:r w:rsidRPr="00310498">
              <w:t>84.3)</w:t>
            </w:r>
          </w:p>
        </w:tc>
        <w:tc>
          <w:tcPr>
            <w:tcW w:w="988" w:type="pct"/>
            <w:shd w:val="clear" w:color="auto" w:fill="auto"/>
          </w:tcPr>
          <w:p w14:paraId="64484E3F" w14:textId="48E5BF87" w:rsidR="00485DF5" w:rsidRPr="00310498" w:rsidRDefault="00485DF5" w:rsidP="0028190D">
            <w:pPr>
              <w:pStyle w:val="Tabletext"/>
              <w:keepNext/>
              <w:keepLines/>
              <w:jc w:val="center"/>
            </w:pPr>
            <w:r w:rsidRPr="00310498">
              <w:t>84.2 (78.9</w:t>
            </w:r>
            <w:r w:rsidR="0032043A">
              <w:t xml:space="preserve">, </w:t>
            </w:r>
            <w:r w:rsidRPr="00310498">
              <w:t>88.3)</w:t>
            </w:r>
          </w:p>
        </w:tc>
        <w:tc>
          <w:tcPr>
            <w:tcW w:w="987" w:type="pct"/>
            <w:shd w:val="clear" w:color="auto" w:fill="auto"/>
          </w:tcPr>
          <w:p w14:paraId="44EEB10F" w14:textId="6D6D635F" w:rsidR="00485DF5" w:rsidRPr="00310498" w:rsidRDefault="00485DF5" w:rsidP="0028190D">
            <w:pPr>
              <w:pStyle w:val="Tabletext"/>
              <w:keepNext/>
              <w:keepLines/>
              <w:jc w:val="center"/>
            </w:pPr>
            <w:r w:rsidRPr="00310498">
              <w:t>87.7 (82.7</w:t>
            </w:r>
            <w:r w:rsidR="0032043A">
              <w:t xml:space="preserve">, </w:t>
            </w:r>
            <w:r w:rsidRPr="00310498">
              <w:t>91.3)</w:t>
            </w:r>
          </w:p>
        </w:tc>
      </w:tr>
      <w:tr w:rsidR="00485DF5" w:rsidRPr="00310498" w14:paraId="52057C15" w14:textId="77777777" w:rsidTr="00E24B8A">
        <w:tc>
          <w:tcPr>
            <w:tcW w:w="2037" w:type="pct"/>
            <w:shd w:val="clear" w:color="auto" w:fill="auto"/>
          </w:tcPr>
          <w:p w14:paraId="16963D15" w14:textId="77777777" w:rsidR="00485DF5" w:rsidRPr="00310498" w:rsidRDefault="00485DF5" w:rsidP="0028190D">
            <w:pPr>
              <w:pStyle w:val="Tabletext"/>
              <w:keepNext/>
              <w:keepLines/>
            </w:pPr>
            <w:r w:rsidRPr="00310498">
              <w:t>18 months (95% CI)</w:t>
            </w:r>
          </w:p>
        </w:tc>
        <w:tc>
          <w:tcPr>
            <w:tcW w:w="988" w:type="pct"/>
            <w:shd w:val="clear" w:color="auto" w:fill="auto"/>
          </w:tcPr>
          <w:p w14:paraId="1CB1FB70" w14:textId="5B283EB6" w:rsidR="00485DF5" w:rsidRPr="00310498" w:rsidRDefault="00485DF5" w:rsidP="0028190D">
            <w:pPr>
              <w:pStyle w:val="Tabletext"/>
              <w:keepNext/>
              <w:keepLines/>
              <w:jc w:val="center"/>
            </w:pPr>
            <w:r w:rsidRPr="00310498">
              <w:t>69 (62.3</w:t>
            </w:r>
            <w:r w:rsidR="0032043A">
              <w:t xml:space="preserve">, </w:t>
            </w:r>
            <w:r w:rsidRPr="00310498">
              <w:t>74.8)</w:t>
            </w:r>
          </w:p>
        </w:tc>
        <w:tc>
          <w:tcPr>
            <w:tcW w:w="988" w:type="pct"/>
            <w:shd w:val="clear" w:color="auto" w:fill="auto"/>
          </w:tcPr>
          <w:p w14:paraId="7307C2FD" w14:textId="788958CF" w:rsidR="00485DF5" w:rsidRPr="00310498" w:rsidRDefault="00485DF5" w:rsidP="0028190D">
            <w:pPr>
              <w:pStyle w:val="Tabletext"/>
              <w:keepNext/>
              <w:keepLines/>
              <w:jc w:val="center"/>
            </w:pPr>
            <w:r w:rsidRPr="00310498">
              <w:t>74.6 (68</w:t>
            </w:r>
            <w:r w:rsidR="0032043A">
              <w:t xml:space="preserve">, </w:t>
            </w:r>
            <w:r w:rsidRPr="00310498">
              <w:t>80.1)</w:t>
            </w:r>
          </w:p>
        </w:tc>
        <w:tc>
          <w:tcPr>
            <w:tcW w:w="987" w:type="pct"/>
            <w:shd w:val="clear" w:color="auto" w:fill="auto"/>
          </w:tcPr>
          <w:p w14:paraId="0BD052CF" w14:textId="732EC264" w:rsidR="00485DF5" w:rsidRPr="00310498" w:rsidRDefault="00485DF5" w:rsidP="0028190D">
            <w:pPr>
              <w:pStyle w:val="Tabletext"/>
              <w:keepNext/>
              <w:keepLines/>
              <w:jc w:val="center"/>
            </w:pPr>
            <w:r w:rsidRPr="00310498">
              <w:t>79.4 (73.2</w:t>
            </w:r>
            <w:r w:rsidR="0032043A">
              <w:t xml:space="preserve">, </w:t>
            </w:r>
            <w:r w:rsidRPr="00310498">
              <w:t>84.3)</w:t>
            </w:r>
          </w:p>
        </w:tc>
      </w:tr>
      <w:tr w:rsidR="00485DF5" w:rsidRPr="00310498" w14:paraId="33DBFB79" w14:textId="77777777" w:rsidTr="00E24B8A">
        <w:tc>
          <w:tcPr>
            <w:tcW w:w="2037" w:type="pct"/>
            <w:shd w:val="clear" w:color="auto" w:fill="auto"/>
          </w:tcPr>
          <w:p w14:paraId="377603E7" w14:textId="77777777" w:rsidR="00485DF5" w:rsidRPr="00310498" w:rsidRDefault="00485DF5" w:rsidP="0028190D">
            <w:pPr>
              <w:pStyle w:val="Tabletext"/>
              <w:keepNext/>
              <w:keepLines/>
            </w:pPr>
            <w:r w:rsidRPr="00310498">
              <w:t>Median range of follow-up in censored patients, months</w:t>
            </w:r>
          </w:p>
        </w:tc>
        <w:tc>
          <w:tcPr>
            <w:tcW w:w="988" w:type="pct"/>
            <w:shd w:val="clear" w:color="auto" w:fill="auto"/>
            <w:vAlign w:val="center"/>
          </w:tcPr>
          <w:p w14:paraId="45807954" w14:textId="77777777" w:rsidR="00485DF5" w:rsidRPr="00310498" w:rsidRDefault="00485DF5" w:rsidP="0028190D">
            <w:pPr>
              <w:pStyle w:val="Tabletext"/>
              <w:keepNext/>
              <w:keepLines/>
              <w:jc w:val="center"/>
            </w:pPr>
            <w:r w:rsidRPr="00310498">
              <w:t>18.6</w:t>
            </w:r>
          </w:p>
        </w:tc>
        <w:tc>
          <w:tcPr>
            <w:tcW w:w="988" w:type="pct"/>
            <w:shd w:val="clear" w:color="auto" w:fill="auto"/>
            <w:vAlign w:val="center"/>
          </w:tcPr>
          <w:p w14:paraId="6CBB5F22" w14:textId="77777777" w:rsidR="00485DF5" w:rsidRPr="00310498" w:rsidRDefault="00485DF5" w:rsidP="0028190D">
            <w:pPr>
              <w:pStyle w:val="Tabletext"/>
              <w:keepNext/>
              <w:keepLines/>
              <w:jc w:val="center"/>
            </w:pPr>
            <w:r w:rsidRPr="00310498">
              <w:t>18.4</w:t>
            </w:r>
          </w:p>
        </w:tc>
        <w:tc>
          <w:tcPr>
            <w:tcW w:w="987" w:type="pct"/>
            <w:shd w:val="clear" w:color="auto" w:fill="auto"/>
            <w:vAlign w:val="center"/>
          </w:tcPr>
          <w:p w14:paraId="6B3D9076" w14:textId="77777777" w:rsidR="00485DF5" w:rsidRPr="00310498" w:rsidRDefault="00485DF5" w:rsidP="0028190D">
            <w:pPr>
              <w:pStyle w:val="Tabletext"/>
              <w:keepNext/>
              <w:keepLines/>
              <w:jc w:val="center"/>
            </w:pPr>
            <w:r w:rsidRPr="00310498">
              <w:t>18.7</w:t>
            </w:r>
          </w:p>
        </w:tc>
      </w:tr>
    </w:tbl>
    <w:p w14:paraId="499BA7D0" w14:textId="77777777" w:rsidR="00E24B8A" w:rsidRPr="00310498" w:rsidRDefault="00E24B8A" w:rsidP="00D17A65">
      <w:pPr>
        <w:pStyle w:val="TableFigureFooter"/>
      </w:pPr>
      <w:r w:rsidRPr="00310498">
        <w:t>Source: Table 2.15, p80 of the submission.</w:t>
      </w:r>
    </w:p>
    <w:p w14:paraId="741D211F" w14:textId="5A19CE50" w:rsidR="00485DF5" w:rsidRPr="00310498" w:rsidRDefault="00485DF5" w:rsidP="00D17A65">
      <w:pPr>
        <w:pStyle w:val="TableFigureFooter"/>
      </w:pPr>
      <w:r w:rsidRPr="00310498">
        <w:t>CI = confidence interval; D = durvalumab; FAS = full analysis set;</w:t>
      </w:r>
      <w:r w:rsidR="004A1728" w:rsidRPr="00310498">
        <w:t xml:space="preserve"> </w:t>
      </w:r>
      <w:r w:rsidRPr="00310498">
        <w:t xml:space="preserve">HR = hazard ratio; NR = not reached; O = olaparib; OS = overall survival; </w:t>
      </w:r>
      <w:r w:rsidR="0041670E" w:rsidRPr="00310498">
        <w:t>PC = paclitaxel + carboplatin</w:t>
      </w:r>
    </w:p>
    <w:p w14:paraId="5AF3B8F5" w14:textId="7A07A8D2" w:rsidR="00485DF5" w:rsidRPr="00310498" w:rsidRDefault="00485DF5" w:rsidP="00485DF5">
      <w:pPr>
        <w:pStyle w:val="Caption"/>
      </w:pPr>
      <w:bookmarkStart w:id="45" w:name="_Ref174979167"/>
      <w:r w:rsidRPr="00310498">
        <w:t xml:space="preserve">Figure </w:t>
      </w:r>
      <w:r w:rsidR="00F267A0" w:rsidRPr="00310498">
        <w:fldChar w:fldCharType="begin" w:fldLock="1"/>
      </w:r>
      <w:r w:rsidR="00F267A0" w:rsidRPr="00310498">
        <w:instrText xml:space="preserve"> SEQ Figure \* ARABIC </w:instrText>
      </w:r>
      <w:r w:rsidR="00F267A0" w:rsidRPr="00310498">
        <w:fldChar w:fldCharType="separate"/>
      </w:r>
      <w:r w:rsidR="002C52D8">
        <w:rPr>
          <w:noProof/>
        </w:rPr>
        <w:t>5</w:t>
      </w:r>
      <w:r w:rsidR="00F267A0" w:rsidRPr="00310498">
        <w:rPr>
          <w:noProof/>
        </w:rPr>
        <w:fldChar w:fldCharType="end"/>
      </w:r>
      <w:bookmarkEnd w:id="45"/>
      <w:r w:rsidRPr="00310498">
        <w:t>:</w:t>
      </w:r>
      <w:r w:rsidRPr="00310498">
        <w:tab/>
        <w:t>Kaplan Meier Curve for OS (FAS)</w:t>
      </w:r>
    </w:p>
    <w:p w14:paraId="530B7C66" w14:textId="77777777" w:rsidR="00485DF5" w:rsidRPr="00310498" w:rsidRDefault="00485DF5" w:rsidP="00485DF5">
      <w:r w:rsidRPr="00310498">
        <w:rPr>
          <w:noProof/>
        </w:rPr>
        <w:drawing>
          <wp:inline distT="0" distB="0" distL="0" distR="0" wp14:anchorId="649B7790" wp14:editId="2A80E138">
            <wp:extent cx="5715000" cy="2437708"/>
            <wp:effectExtent l="0" t="0" r="0" b="1270"/>
            <wp:docPr id="451524609" name="Picture 451524609"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39735" name="Picture 1197439735" descr="A graph with numbers and lines&#10;&#10;Description automatically generated"/>
                    <pic:cNvPicPr/>
                  </pic:nvPicPr>
                  <pic:blipFill>
                    <a:blip r:embed="rId12"/>
                    <a:stretch>
                      <a:fillRect/>
                    </a:stretch>
                  </pic:blipFill>
                  <pic:spPr>
                    <a:xfrm>
                      <a:off x="0" y="0"/>
                      <a:ext cx="5823265" cy="2483888"/>
                    </a:xfrm>
                    <a:prstGeom prst="rect">
                      <a:avLst/>
                    </a:prstGeom>
                  </pic:spPr>
                </pic:pic>
              </a:graphicData>
            </a:graphic>
          </wp:inline>
        </w:drawing>
      </w:r>
    </w:p>
    <w:p w14:paraId="202CD4FA" w14:textId="77777777" w:rsidR="00E24B8A" w:rsidRPr="00310498" w:rsidRDefault="00E24B8A" w:rsidP="00D17A65">
      <w:pPr>
        <w:pStyle w:val="TableFigureFooter"/>
      </w:pPr>
      <w:r w:rsidRPr="00310498">
        <w:t>Source: Figure 2.9, p79 of the submission.</w:t>
      </w:r>
    </w:p>
    <w:p w14:paraId="7AB03662" w14:textId="77777777" w:rsidR="00485DF5" w:rsidRPr="00310498" w:rsidRDefault="00485DF5" w:rsidP="00D17A65">
      <w:pPr>
        <w:pStyle w:val="TableFigureFooter"/>
      </w:pPr>
      <w:r w:rsidRPr="00310498">
        <w:t>CI = confidence interval; Durva = durvalumab; FAS = full analysis set; NR = not reached; Olap = olaparib; OS = overall survival; SoC = standard of care</w:t>
      </w:r>
    </w:p>
    <w:p w14:paraId="4624CCE4" w14:textId="7280C28C" w:rsidR="00485DF5" w:rsidRPr="00310498" w:rsidRDefault="00485DF5" w:rsidP="0074160B">
      <w:pPr>
        <w:pStyle w:val="3-BodyText"/>
      </w:pPr>
      <w:r w:rsidRPr="00310498">
        <w:lastRenderedPageBreak/>
        <w:t xml:space="preserve">While the OS </w:t>
      </w:r>
      <w:r w:rsidR="0032043A">
        <w:t>hazard ratio</w:t>
      </w:r>
      <w:r w:rsidRPr="00310498">
        <w:t xml:space="preserve"> point estimate showed a numerical improvement for both the comparisons of the durvalumab + PC arm compared with the PC arm (HR </w:t>
      </w:r>
      <w:r w:rsidR="00E958C6" w:rsidRPr="00310498">
        <w:t xml:space="preserve">= </w:t>
      </w:r>
      <w:r w:rsidRPr="00310498">
        <w:t>0.77; 95% C</w:t>
      </w:r>
      <w:r w:rsidR="00E958C6" w:rsidRPr="00310498">
        <w:t>I</w:t>
      </w:r>
      <w:r w:rsidRPr="00310498">
        <w:t>: 0.56</w:t>
      </w:r>
      <w:r w:rsidR="00E958C6" w:rsidRPr="00310498">
        <w:t xml:space="preserve">, </w:t>
      </w:r>
      <w:r w:rsidRPr="00310498">
        <w:t xml:space="preserve">1.07; p = 0.120) and the durvalumab + PC + olaparib arm compared with the PC arm (HR </w:t>
      </w:r>
      <w:r w:rsidR="00E958C6" w:rsidRPr="00310498">
        <w:t xml:space="preserve">= </w:t>
      </w:r>
      <w:r w:rsidRPr="00310498">
        <w:t>0.59; 95% CI</w:t>
      </w:r>
      <w:r w:rsidR="00E958C6" w:rsidRPr="00310498">
        <w:t>:</w:t>
      </w:r>
      <w:r w:rsidRPr="00310498">
        <w:t xml:space="preserve"> 0.42</w:t>
      </w:r>
      <w:r w:rsidR="00E958C6" w:rsidRPr="00310498">
        <w:t xml:space="preserve">, </w:t>
      </w:r>
      <w:r w:rsidRPr="00310498">
        <w:t>0.83; p = 0.003), the results did not reach statistical significance as defined in the DUO-E CSR (2-sided significance level p-value stopping boundary of p &lt; 0.0011 and P&lt; 0.0006 for the comparisons, respectively).</w:t>
      </w:r>
    </w:p>
    <w:p w14:paraId="0CD52218" w14:textId="097B6313" w:rsidR="00485DF5" w:rsidRPr="00310498" w:rsidRDefault="003907A3" w:rsidP="0074160B">
      <w:pPr>
        <w:pStyle w:val="3-BodyText"/>
      </w:pPr>
      <w:r w:rsidRPr="00310498">
        <w:fldChar w:fldCharType="begin" w:fldLock="1"/>
      </w:r>
      <w:r w:rsidRPr="00310498">
        <w:instrText xml:space="preserve"> REF _Ref174979185 \h </w:instrText>
      </w:r>
      <w:r w:rsidR="00310498" w:rsidRPr="00310498">
        <w:instrText xml:space="preserve"> \* MERGEFORMAT </w:instrText>
      </w:r>
      <w:r w:rsidRPr="00310498">
        <w:fldChar w:fldCharType="separate"/>
      </w:r>
      <w:r w:rsidR="002C52D8" w:rsidRPr="00310498">
        <w:t xml:space="preserve">Table </w:t>
      </w:r>
      <w:r w:rsidR="002C52D8">
        <w:rPr>
          <w:noProof/>
        </w:rPr>
        <w:t>10</w:t>
      </w:r>
      <w:r w:rsidRPr="00310498">
        <w:fldChar w:fldCharType="end"/>
      </w:r>
      <w:r w:rsidRPr="00310498">
        <w:t xml:space="preserve"> </w:t>
      </w:r>
      <w:r w:rsidR="00485DF5" w:rsidRPr="00310498">
        <w:t xml:space="preserve">summarises the DUO-E OS results </w:t>
      </w:r>
      <w:r w:rsidR="00A46ACC" w:rsidRPr="00310498">
        <w:t xml:space="preserve">analysed </w:t>
      </w:r>
      <w:r w:rsidR="00485DF5" w:rsidRPr="00310498">
        <w:t xml:space="preserve">by MMR subgroup. </w:t>
      </w:r>
    </w:p>
    <w:p w14:paraId="6789AF55" w14:textId="6CC7A8E2" w:rsidR="00485DF5" w:rsidRPr="00310498" w:rsidRDefault="00485DF5" w:rsidP="00216E6A">
      <w:pPr>
        <w:pStyle w:val="Caption"/>
      </w:pPr>
      <w:bookmarkStart w:id="46" w:name="_Ref174979185"/>
      <w:r w:rsidRPr="00310498">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10</w:t>
      </w:r>
      <w:r w:rsidR="00F267A0" w:rsidRPr="00310498">
        <w:rPr>
          <w:noProof/>
        </w:rPr>
        <w:fldChar w:fldCharType="end"/>
      </w:r>
      <w:bookmarkEnd w:id="46"/>
      <w:r w:rsidRPr="00310498">
        <w:t>:</w:t>
      </w:r>
      <w:r w:rsidRPr="00310498">
        <w:tab/>
      </w:r>
      <w:r w:rsidR="003907A3" w:rsidRPr="00310498">
        <w:t xml:space="preserve"> </w:t>
      </w:r>
      <w:r w:rsidRPr="00310498">
        <w:t>Results for OS by MMR subgroup</w:t>
      </w:r>
    </w:p>
    <w:tbl>
      <w:tblPr>
        <w:tblStyle w:val="TableGrid"/>
        <w:tblW w:w="0" w:type="auto"/>
        <w:tblLook w:val="04A0" w:firstRow="1" w:lastRow="0" w:firstColumn="1" w:lastColumn="0" w:noHBand="0" w:noVBand="1"/>
      </w:tblPr>
      <w:tblGrid>
        <w:gridCol w:w="3114"/>
        <w:gridCol w:w="1967"/>
        <w:gridCol w:w="1967"/>
        <w:gridCol w:w="1968"/>
      </w:tblGrid>
      <w:tr w:rsidR="00485DF5" w:rsidRPr="00310498" w14:paraId="768F6BE0" w14:textId="77777777">
        <w:tc>
          <w:tcPr>
            <w:tcW w:w="3114" w:type="dxa"/>
            <w:shd w:val="clear" w:color="auto" w:fill="auto"/>
            <w:vAlign w:val="center"/>
          </w:tcPr>
          <w:p w14:paraId="28184E0F" w14:textId="77777777" w:rsidR="00485DF5" w:rsidRPr="00310498" w:rsidRDefault="00485DF5" w:rsidP="00216E6A">
            <w:pPr>
              <w:pStyle w:val="In-tableHeading"/>
              <w:rPr>
                <w:lang w:val="en-AU"/>
              </w:rPr>
            </w:pPr>
            <w:r w:rsidRPr="00310498">
              <w:rPr>
                <w:lang w:val="en-AU"/>
              </w:rPr>
              <w:t>dMMR</w:t>
            </w:r>
          </w:p>
        </w:tc>
        <w:tc>
          <w:tcPr>
            <w:tcW w:w="1967" w:type="dxa"/>
            <w:shd w:val="clear" w:color="auto" w:fill="auto"/>
            <w:vAlign w:val="center"/>
          </w:tcPr>
          <w:p w14:paraId="47776ACB" w14:textId="77777777" w:rsidR="00485DF5" w:rsidRPr="00310498" w:rsidRDefault="00485DF5" w:rsidP="00216E6A">
            <w:pPr>
              <w:pStyle w:val="In-tableHeading"/>
              <w:jc w:val="center"/>
              <w:rPr>
                <w:lang w:val="en-AU"/>
              </w:rPr>
            </w:pPr>
            <w:r w:rsidRPr="00310498">
              <w:rPr>
                <w:lang w:val="en-AU"/>
              </w:rPr>
              <w:t>PC (N=49)</w:t>
            </w:r>
          </w:p>
        </w:tc>
        <w:tc>
          <w:tcPr>
            <w:tcW w:w="1967" w:type="dxa"/>
            <w:shd w:val="clear" w:color="auto" w:fill="auto"/>
            <w:vAlign w:val="center"/>
          </w:tcPr>
          <w:p w14:paraId="4B48C350" w14:textId="77777777" w:rsidR="00485DF5" w:rsidRPr="00310498" w:rsidRDefault="00485DF5" w:rsidP="00216E6A">
            <w:pPr>
              <w:pStyle w:val="In-tableHeading"/>
              <w:jc w:val="center"/>
              <w:rPr>
                <w:lang w:val="en-AU"/>
              </w:rPr>
            </w:pPr>
            <w:r w:rsidRPr="00310498">
              <w:rPr>
                <w:lang w:val="en-AU"/>
              </w:rPr>
              <w:t>durvalumab + PC (N=46)</w:t>
            </w:r>
          </w:p>
        </w:tc>
        <w:tc>
          <w:tcPr>
            <w:tcW w:w="1968" w:type="dxa"/>
            <w:shd w:val="clear" w:color="auto" w:fill="auto"/>
            <w:vAlign w:val="center"/>
          </w:tcPr>
          <w:p w14:paraId="4179BE89" w14:textId="77777777" w:rsidR="00485DF5" w:rsidRPr="00310498" w:rsidRDefault="00485DF5" w:rsidP="00216E6A">
            <w:pPr>
              <w:pStyle w:val="In-tableHeading"/>
              <w:jc w:val="center"/>
              <w:rPr>
                <w:lang w:val="en-AU"/>
              </w:rPr>
            </w:pPr>
            <w:r w:rsidRPr="00310498">
              <w:rPr>
                <w:lang w:val="en-AU"/>
              </w:rPr>
              <w:t>durvalumab + PC + olaparib (N=48)</w:t>
            </w:r>
          </w:p>
        </w:tc>
      </w:tr>
      <w:tr w:rsidR="00485DF5" w:rsidRPr="00310498" w14:paraId="08951031" w14:textId="77777777">
        <w:tc>
          <w:tcPr>
            <w:tcW w:w="3114" w:type="dxa"/>
            <w:shd w:val="clear" w:color="auto" w:fill="auto"/>
          </w:tcPr>
          <w:p w14:paraId="772A75F8" w14:textId="77777777" w:rsidR="00485DF5" w:rsidRPr="00310498" w:rsidRDefault="00485DF5" w:rsidP="00216E6A">
            <w:pPr>
              <w:pStyle w:val="Tabletext"/>
              <w:keepNext/>
              <w:keepLines/>
            </w:pPr>
            <w:r w:rsidRPr="00310498">
              <w:t>Deaths (%)</w:t>
            </w:r>
          </w:p>
        </w:tc>
        <w:tc>
          <w:tcPr>
            <w:tcW w:w="1967" w:type="dxa"/>
            <w:shd w:val="clear" w:color="auto" w:fill="auto"/>
            <w:vAlign w:val="center"/>
          </w:tcPr>
          <w:p w14:paraId="32FCA634" w14:textId="77777777" w:rsidR="00485DF5" w:rsidRPr="00310498" w:rsidRDefault="00485DF5" w:rsidP="00216E6A">
            <w:pPr>
              <w:pStyle w:val="Tabletext"/>
              <w:keepNext/>
              <w:keepLines/>
              <w:jc w:val="center"/>
              <w:rPr>
                <w:b/>
              </w:rPr>
            </w:pPr>
            <w:r w:rsidRPr="00310498">
              <w:t>18 (36.7)</w:t>
            </w:r>
          </w:p>
        </w:tc>
        <w:tc>
          <w:tcPr>
            <w:tcW w:w="1967" w:type="dxa"/>
            <w:shd w:val="clear" w:color="auto" w:fill="auto"/>
            <w:vAlign w:val="center"/>
          </w:tcPr>
          <w:p w14:paraId="2180DD27" w14:textId="77777777" w:rsidR="00485DF5" w:rsidRPr="00310498" w:rsidRDefault="00485DF5" w:rsidP="00216E6A">
            <w:pPr>
              <w:pStyle w:val="Tabletext"/>
              <w:keepNext/>
              <w:keepLines/>
              <w:jc w:val="center"/>
              <w:rPr>
                <w:b/>
              </w:rPr>
            </w:pPr>
            <w:r w:rsidRPr="00310498">
              <w:t>7 (15.2)</w:t>
            </w:r>
          </w:p>
        </w:tc>
        <w:tc>
          <w:tcPr>
            <w:tcW w:w="1968" w:type="dxa"/>
            <w:shd w:val="clear" w:color="auto" w:fill="auto"/>
            <w:vAlign w:val="center"/>
          </w:tcPr>
          <w:p w14:paraId="67B0E6D9" w14:textId="77777777" w:rsidR="00485DF5" w:rsidRPr="00310498" w:rsidRDefault="00485DF5" w:rsidP="00216E6A">
            <w:pPr>
              <w:pStyle w:val="Tabletext"/>
              <w:keepNext/>
              <w:keepLines/>
              <w:jc w:val="center"/>
              <w:rPr>
                <w:b/>
              </w:rPr>
            </w:pPr>
            <w:r w:rsidRPr="00310498">
              <w:t>6 (12.5)</w:t>
            </w:r>
          </w:p>
        </w:tc>
      </w:tr>
      <w:tr w:rsidR="00485DF5" w:rsidRPr="00310498" w14:paraId="434941E4" w14:textId="77777777">
        <w:tc>
          <w:tcPr>
            <w:tcW w:w="3114" w:type="dxa"/>
            <w:shd w:val="clear" w:color="auto" w:fill="auto"/>
          </w:tcPr>
          <w:p w14:paraId="599AD6DB" w14:textId="77777777" w:rsidR="00485DF5" w:rsidRPr="00310498" w:rsidRDefault="00485DF5" w:rsidP="00216E6A">
            <w:pPr>
              <w:pStyle w:val="Tabletext"/>
              <w:keepNext/>
              <w:keepLines/>
            </w:pPr>
            <w:r w:rsidRPr="00310498">
              <w:t>Censored patients (%)</w:t>
            </w:r>
          </w:p>
        </w:tc>
        <w:tc>
          <w:tcPr>
            <w:tcW w:w="1967" w:type="dxa"/>
            <w:shd w:val="clear" w:color="auto" w:fill="auto"/>
            <w:vAlign w:val="center"/>
          </w:tcPr>
          <w:p w14:paraId="24316C19" w14:textId="77777777" w:rsidR="00485DF5" w:rsidRPr="00310498" w:rsidRDefault="00485DF5" w:rsidP="00216E6A">
            <w:pPr>
              <w:pStyle w:val="Tabletext"/>
              <w:keepNext/>
              <w:keepLines/>
              <w:jc w:val="center"/>
              <w:rPr>
                <w:b/>
              </w:rPr>
            </w:pPr>
            <w:r w:rsidRPr="00310498">
              <w:t>31 (63.3)</w:t>
            </w:r>
          </w:p>
        </w:tc>
        <w:tc>
          <w:tcPr>
            <w:tcW w:w="1967" w:type="dxa"/>
            <w:shd w:val="clear" w:color="auto" w:fill="auto"/>
            <w:vAlign w:val="center"/>
          </w:tcPr>
          <w:p w14:paraId="170CBB13" w14:textId="77777777" w:rsidR="00485DF5" w:rsidRPr="00310498" w:rsidRDefault="00485DF5" w:rsidP="00216E6A">
            <w:pPr>
              <w:pStyle w:val="Tabletext"/>
              <w:keepNext/>
              <w:keepLines/>
              <w:jc w:val="center"/>
              <w:rPr>
                <w:b/>
              </w:rPr>
            </w:pPr>
            <w:r w:rsidRPr="00310498">
              <w:t>39 (84.8)</w:t>
            </w:r>
          </w:p>
        </w:tc>
        <w:tc>
          <w:tcPr>
            <w:tcW w:w="1968" w:type="dxa"/>
            <w:shd w:val="clear" w:color="auto" w:fill="auto"/>
            <w:vAlign w:val="center"/>
          </w:tcPr>
          <w:p w14:paraId="5E718006" w14:textId="77777777" w:rsidR="00485DF5" w:rsidRPr="00310498" w:rsidRDefault="00485DF5" w:rsidP="00216E6A">
            <w:pPr>
              <w:pStyle w:val="Tabletext"/>
              <w:keepNext/>
              <w:keepLines/>
              <w:jc w:val="center"/>
              <w:rPr>
                <w:b/>
              </w:rPr>
            </w:pPr>
            <w:r w:rsidRPr="00310498">
              <w:t>42 (87.5)</w:t>
            </w:r>
          </w:p>
        </w:tc>
      </w:tr>
      <w:tr w:rsidR="00485DF5" w:rsidRPr="00310498" w14:paraId="2A1F4214" w14:textId="77777777">
        <w:tc>
          <w:tcPr>
            <w:tcW w:w="3114" w:type="dxa"/>
            <w:shd w:val="clear" w:color="auto" w:fill="auto"/>
          </w:tcPr>
          <w:p w14:paraId="6C71AE41" w14:textId="0A457476" w:rsidR="00485DF5" w:rsidRPr="00310498" w:rsidRDefault="00485DF5" w:rsidP="00216E6A">
            <w:pPr>
              <w:pStyle w:val="Tabletext"/>
              <w:keepNext/>
              <w:keepLines/>
            </w:pPr>
            <w:r w:rsidRPr="00310498">
              <w:t>Median</w:t>
            </w:r>
            <w:r w:rsidR="00E958C6" w:rsidRPr="00310498">
              <w:t>, months</w:t>
            </w:r>
            <w:r w:rsidRPr="00310498">
              <w:t xml:space="preserve"> (95% CI)</w:t>
            </w:r>
          </w:p>
        </w:tc>
        <w:tc>
          <w:tcPr>
            <w:tcW w:w="1967" w:type="dxa"/>
            <w:shd w:val="clear" w:color="auto" w:fill="auto"/>
            <w:vAlign w:val="center"/>
          </w:tcPr>
          <w:p w14:paraId="6036D911" w14:textId="15414BB8" w:rsidR="00485DF5" w:rsidRPr="00310498" w:rsidRDefault="00485DF5" w:rsidP="00216E6A">
            <w:pPr>
              <w:pStyle w:val="Tabletext"/>
              <w:keepNext/>
              <w:keepLines/>
              <w:jc w:val="center"/>
              <w:rPr>
                <w:b/>
              </w:rPr>
            </w:pPr>
            <w:r w:rsidRPr="00310498">
              <w:t>23.7 (16.9</w:t>
            </w:r>
            <w:r w:rsidR="0032043A">
              <w:t xml:space="preserve">, </w:t>
            </w:r>
            <w:r w:rsidRPr="00310498">
              <w:t>NR)</w:t>
            </w:r>
          </w:p>
        </w:tc>
        <w:tc>
          <w:tcPr>
            <w:tcW w:w="1967" w:type="dxa"/>
            <w:shd w:val="clear" w:color="auto" w:fill="auto"/>
            <w:vAlign w:val="center"/>
          </w:tcPr>
          <w:p w14:paraId="333238EB" w14:textId="19B2387D" w:rsidR="00485DF5" w:rsidRPr="00310498" w:rsidRDefault="00485DF5" w:rsidP="00216E6A">
            <w:pPr>
              <w:pStyle w:val="Tabletext"/>
              <w:keepNext/>
              <w:keepLines/>
              <w:jc w:val="center"/>
              <w:rPr>
                <w:b/>
              </w:rPr>
            </w:pPr>
            <w:r w:rsidRPr="00310498">
              <w:t>NR (NR</w:t>
            </w:r>
            <w:r w:rsidR="0032043A">
              <w:t xml:space="preserve">, </w:t>
            </w:r>
            <w:r w:rsidRPr="00310498">
              <w:t>NR)</w:t>
            </w:r>
          </w:p>
        </w:tc>
        <w:tc>
          <w:tcPr>
            <w:tcW w:w="1968" w:type="dxa"/>
            <w:shd w:val="clear" w:color="auto" w:fill="auto"/>
            <w:vAlign w:val="center"/>
          </w:tcPr>
          <w:p w14:paraId="28BE5DBF" w14:textId="34DD46BF" w:rsidR="00485DF5" w:rsidRPr="00310498" w:rsidRDefault="00485DF5" w:rsidP="00216E6A">
            <w:pPr>
              <w:pStyle w:val="Tabletext"/>
              <w:keepNext/>
              <w:keepLines/>
              <w:jc w:val="center"/>
              <w:rPr>
                <w:b/>
              </w:rPr>
            </w:pPr>
            <w:r w:rsidRPr="00310498">
              <w:t>NR (NR</w:t>
            </w:r>
            <w:r w:rsidR="0032043A">
              <w:t xml:space="preserve">, </w:t>
            </w:r>
            <w:r w:rsidRPr="00310498">
              <w:t>NR)</w:t>
            </w:r>
          </w:p>
        </w:tc>
      </w:tr>
      <w:tr w:rsidR="00485DF5" w:rsidRPr="00310498" w14:paraId="7D8E56E2" w14:textId="77777777">
        <w:tc>
          <w:tcPr>
            <w:tcW w:w="3114" w:type="dxa"/>
            <w:shd w:val="clear" w:color="auto" w:fill="auto"/>
          </w:tcPr>
          <w:p w14:paraId="0C36BD01" w14:textId="77777777" w:rsidR="00485DF5" w:rsidRPr="00310498" w:rsidRDefault="00485DF5" w:rsidP="00216E6A">
            <w:pPr>
              <w:pStyle w:val="Tabletext"/>
              <w:keepNext/>
              <w:keepLines/>
            </w:pPr>
            <w:r w:rsidRPr="00310498">
              <w:t xml:space="preserve">Survival rate 6 months </w:t>
            </w:r>
          </w:p>
        </w:tc>
        <w:tc>
          <w:tcPr>
            <w:tcW w:w="1967" w:type="dxa"/>
            <w:shd w:val="clear" w:color="auto" w:fill="auto"/>
            <w:vAlign w:val="center"/>
          </w:tcPr>
          <w:p w14:paraId="2AFD8AA2" w14:textId="0024E5FF" w:rsidR="00485DF5" w:rsidRPr="00310498" w:rsidRDefault="00485DF5" w:rsidP="00216E6A">
            <w:pPr>
              <w:pStyle w:val="Tabletext"/>
              <w:keepNext/>
              <w:keepLines/>
              <w:jc w:val="center"/>
              <w:rPr>
                <w:b/>
              </w:rPr>
            </w:pPr>
            <w:r w:rsidRPr="00310498">
              <w:t>85.3% (71.5</w:t>
            </w:r>
            <w:r w:rsidR="0032043A">
              <w:t xml:space="preserve">, </w:t>
            </w:r>
            <w:r w:rsidRPr="00310498">
              <w:t>92.7)</w:t>
            </w:r>
          </w:p>
        </w:tc>
        <w:tc>
          <w:tcPr>
            <w:tcW w:w="1967" w:type="dxa"/>
            <w:shd w:val="clear" w:color="auto" w:fill="auto"/>
            <w:vAlign w:val="center"/>
          </w:tcPr>
          <w:p w14:paraId="5BBC3653" w14:textId="33D78C1E" w:rsidR="00485DF5" w:rsidRPr="00310498" w:rsidRDefault="00485DF5" w:rsidP="00216E6A">
            <w:pPr>
              <w:pStyle w:val="Tabletext"/>
              <w:keepNext/>
              <w:keepLines/>
              <w:jc w:val="center"/>
              <w:rPr>
                <w:b/>
              </w:rPr>
            </w:pPr>
            <w:r w:rsidRPr="00310498">
              <w:t>95.7% (83.7</w:t>
            </w:r>
            <w:r w:rsidR="0032043A">
              <w:t xml:space="preserve">, </w:t>
            </w:r>
            <w:r w:rsidRPr="00310498">
              <w:t>98.9)</w:t>
            </w:r>
          </w:p>
        </w:tc>
        <w:tc>
          <w:tcPr>
            <w:tcW w:w="1968" w:type="dxa"/>
            <w:shd w:val="clear" w:color="auto" w:fill="auto"/>
            <w:vAlign w:val="center"/>
          </w:tcPr>
          <w:p w14:paraId="5E7D074F" w14:textId="717E4064" w:rsidR="00485DF5" w:rsidRPr="00310498" w:rsidRDefault="00485DF5" w:rsidP="00216E6A">
            <w:pPr>
              <w:pStyle w:val="Tabletext"/>
              <w:keepNext/>
              <w:keepLines/>
              <w:jc w:val="center"/>
              <w:rPr>
                <w:b/>
              </w:rPr>
            </w:pPr>
            <w:r w:rsidRPr="00310498">
              <w:t>95.7% (84.0</w:t>
            </w:r>
            <w:r w:rsidR="0032043A">
              <w:t xml:space="preserve">, </w:t>
            </w:r>
            <w:r w:rsidRPr="00310498">
              <w:t>98.9)</w:t>
            </w:r>
          </w:p>
        </w:tc>
      </w:tr>
      <w:tr w:rsidR="00485DF5" w:rsidRPr="00310498" w14:paraId="4CA820D1" w14:textId="77777777">
        <w:tc>
          <w:tcPr>
            <w:tcW w:w="3114" w:type="dxa"/>
            <w:shd w:val="clear" w:color="auto" w:fill="auto"/>
          </w:tcPr>
          <w:p w14:paraId="58A81F99" w14:textId="77777777" w:rsidR="00485DF5" w:rsidRPr="00310498" w:rsidRDefault="00485DF5" w:rsidP="00216E6A">
            <w:pPr>
              <w:pStyle w:val="Tabletext"/>
              <w:keepNext/>
              <w:keepLines/>
            </w:pPr>
            <w:r w:rsidRPr="00310498">
              <w:t>Survival rate 12 months</w:t>
            </w:r>
          </w:p>
        </w:tc>
        <w:tc>
          <w:tcPr>
            <w:tcW w:w="1967" w:type="dxa"/>
            <w:shd w:val="clear" w:color="auto" w:fill="auto"/>
            <w:vAlign w:val="center"/>
          </w:tcPr>
          <w:p w14:paraId="44D12864" w14:textId="51E9D9A8" w:rsidR="00485DF5" w:rsidRPr="00310498" w:rsidRDefault="00485DF5" w:rsidP="00216E6A">
            <w:pPr>
              <w:pStyle w:val="Tabletext"/>
              <w:keepNext/>
              <w:keepLines/>
              <w:jc w:val="center"/>
              <w:rPr>
                <w:b/>
              </w:rPr>
            </w:pPr>
            <w:r w:rsidRPr="00310498">
              <w:t>74.4 (59.4</w:t>
            </w:r>
            <w:r w:rsidR="0032043A">
              <w:t xml:space="preserve">, </w:t>
            </w:r>
            <w:r w:rsidRPr="00310498">
              <w:t>84.6)</w:t>
            </w:r>
          </w:p>
        </w:tc>
        <w:tc>
          <w:tcPr>
            <w:tcW w:w="1967" w:type="dxa"/>
            <w:shd w:val="clear" w:color="auto" w:fill="auto"/>
            <w:vAlign w:val="center"/>
          </w:tcPr>
          <w:p w14:paraId="27076F2D" w14:textId="6A1D694D" w:rsidR="00485DF5" w:rsidRPr="00310498" w:rsidRDefault="00485DF5" w:rsidP="00216E6A">
            <w:pPr>
              <w:pStyle w:val="Tabletext"/>
              <w:keepNext/>
              <w:keepLines/>
              <w:jc w:val="center"/>
              <w:rPr>
                <w:b/>
              </w:rPr>
            </w:pPr>
            <w:r w:rsidRPr="00310498">
              <w:t>91.2 (78.2</w:t>
            </w:r>
            <w:r w:rsidR="0032043A">
              <w:t xml:space="preserve">, </w:t>
            </w:r>
            <w:r w:rsidRPr="00310498">
              <w:t>96.6)</w:t>
            </w:r>
          </w:p>
        </w:tc>
        <w:tc>
          <w:tcPr>
            <w:tcW w:w="1968" w:type="dxa"/>
            <w:shd w:val="clear" w:color="auto" w:fill="auto"/>
            <w:vAlign w:val="center"/>
          </w:tcPr>
          <w:p w14:paraId="6340EBEF" w14:textId="28F8AF64" w:rsidR="00485DF5" w:rsidRPr="00310498" w:rsidRDefault="00485DF5" w:rsidP="00216E6A">
            <w:pPr>
              <w:pStyle w:val="Tabletext"/>
              <w:keepNext/>
              <w:keepLines/>
              <w:jc w:val="center"/>
              <w:rPr>
                <w:b/>
              </w:rPr>
            </w:pPr>
            <w:r w:rsidRPr="00310498">
              <w:t>89.2 (7.06</w:t>
            </w:r>
            <w:r w:rsidR="0032043A">
              <w:t xml:space="preserve">, </w:t>
            </w:r>
            <w:r w:rsidRPr="00310498">
              <w:t>95.4)</w:t>
            </w:r>
          </w:p>
        </w:tc>
      </w:tr>
      <w:tr w:rsidR="00485DF5" w:rsidRPr="00310498" w14:paraId="5B00817A" w14:textId="77777777">
        <w:tc>
          <w:tcPr>
            <w:tcW w:w="3114" w:type="dxa"/>
            <w:shd w:val="clear" w:color="auto" w:fill="auto"/>
          </w:tcPr>
          <w:p w14:paraId="68FFC877" w14:textId="77777777" w:rsidR="00485DF5" w:rsidRPr="00310498" w:rsidRDefault="00485DF5" w:rsidP="00216E6A">
            <w:pPr>
              <w:pStyle w:val="Tabletext"/>
              <w:keepNext/>
              <w:keepLines/>
            </w:pPr>
            <w:r w:rsidRPr="00310498">
              <w:t>Survival rate 18 months</w:t>
            </w:r>
          </w:p>
        </w:tc>
        <w:tc>
          <w:tcPr>
            <w:tcW w:w="1967" w:type="dxa"/>
            <w:shd w:val="clear" w:color="auto" w:fill="auto"/>
            <w:vAlign w:val="center"/>
          </w:tcPr>
          <w:p w14:paraId="37BA7591" w14:textId="2C02F60B" w:rsidR="00485DF5" w:rsidRPr="00310498" w:rsidRDefault="00485DF5" w:rsidP="00216E6A">
            <w:pPr>
              <w:pStyle w:val="Tabletext"/>
              <w:keepNext/>
              <w:keepLines/>
              <w:jc w:val="center"/>
              <w:rPr>
                <w:b/>
              </w:rPr>
            </w:pPr>
            <w:r w:rsidRPr="00310498">
              <w:t>65.8 (49.4</w:t>
            </w:r>
            <w:r w:rsidR="0032043A">
              <w:t xml:space="preserve">, </w:t>
            </w:r>
            <w:r w:rsidRPr="00310498">
              <w:t>78)</w:t>
            </w:r>
          </w:p>
        </w:tc>
        <w:tc>
          <w:tcPr>
            <w:tcW w:w="1967" w:type="dxa"/>
            <w:shd w:val="clear" w:color="auto" w:fill="auto"/>
            <w:vAlign w:val="center"/>
          </w:tcPr>
          <w:p w14:paraId="073D0A94" w14:textId="159A024F" w:rsidR="00485DF5" w:rsidRPr="00310498" w:rsidRDefault="00485DF5" w:rsidP="00216E6A">
            <w:pPr>
              <w:pStyle w:val="Tabletext"/>
              <w:keepNext/>
              <w:keepLines/>
              <w:jc w:val="center"/>
              <w:rPr>
                <w:b/>
              </w:rPr>
            </w:pPr>
            <w:r w:rsidRPr="00310498">
              <w:t>86.1 (71.5</w:t>
            </w:r>
            <w:r w:rsidR="0032043A">
              <w:t xml:space="preserve">, </w:t>
            </w:r>
            <w:r w:rsidRPr="00310498">
              <w:t>93.6)</w:t>
            </w:r>
          </w:p>
        </w:tc>
        <w:tc>
          <w:tcPr>
            <w:tcW w:w="1968" w:type="dxa"/>
            <w:shd w:val="clear" w:color="auto" w:fill="auto"/>
            <w:vAlign w:val="center"/>
          </w:tcPr>
          <w:p w14:paraId="4BCB8D82" w14:textId="5D17FCF7" w:rsidR="00485DF5" w:rsidRPr="00310498" w:rsidRDefault="00485DF5" w:rsidP="00216E6A">
            <w:pPr>
              <w:pStyle w:val="Tabletext"/>
              <w:keepNext/>
              <w:keepLines/>
              <w:jc w:val="center"/>
              <w:rPr>
                <w:b/>
              </w:rPr>
            </w:pPr>
            <w:r w:rsidRPr="00310498">
              <w:t>89.2 (76.0</w:t>
            </w:r>
            <w:r w:rsidR="0032043A">
              <w:t xml:space="preserve">, </w:t>
            </w:r>
            <w:r w:rsidRPr="00310498">
              <w:t>95.4)</w:t>
            </w:r>
          </w:p>
        </w:tc>
      </w:tr>
      <w:tr w:rsidR="00485DF5" w:rsidRPr="00310498" w14:paraId="62A60E76" w14:textId="77777777">
        <w:tc>
          <w:tcPr>
            <w:tcW w:w="3114" w:type="dxa"/>
            <w:shd w:val="clear" w:color="auto" w:fill="auto"/>
          </w:tcPr>
          <w:p w14:paraId="3D740993" w14:textId="77777777" w:rsidR="00485DF5" w:rsidRPr="00310498" w:rsidRDefault="00485DF5" w:rsidP="00216E6A">
            <w:pPr>
              <w:pStyle w:val="Tabletext"/>
              <w:keepNext/>
              <w:keepLines/>
            </w:pPr>
            <w:r w:rsidRPr="00310498">
              <w:t>HR vs PC</w:t>
            </w:r>
          </w:p>
        </w:tc>
        <w:tc>
          <w:tcPr>
            <w:tcW w:w="1967" w:type="dxa"/>
            <w:shd w:val="clear" w:color="auto" w:fill="auto"/>
            <w:vAlign w:val="center"/>
          </w:tcPr>
          <w:p w14:paraId="27A02798" w14:textId="77777777" w:rsidR="00485DF5" w:rsidRPr="00310498" w:rsidRDefault="00485DF5" w:rsidP="00216E6A">
            <w:pPr>
              <w:pStyle w:val="Tabletext"/>
              <w:keepNext/>
              <w:keepLines/>
              <w:jc w:val="center"/>
            </w:pPr>
            <w:r w:rsidRPr="00310498">
              <w:t>-</w:t>
            </w:r>
          </w:p>
        </w:tc>
        <w:tc>
          <w:tcPr>
            <w:tcW w:w="1967" w:type="dxa"/>
            <w:shd w:val="clear" w:color="auto" w:fill="auto"/>
            <w:vAlign w:val="center"/>
          </w:tcPr>
          <w:p w14:paraId="461BA7DE" w14:textId="70A902B5" w:rsidR="00485DF5" w:rsidRPr="00310498" w:rsidRDefault="00485DF5" w:rsidP="00216E6A">
            <w:pPr>
              <w:pStyle w:val="Tabletext"/>
              <w:keepNext/>
              <w:keepLines/>
              <w:jc w:val="center"/>
              <w:rPr>
                <w:b/>
              </w:rPr>
            </w:pPr>
            <w:r w:rsidRPr="00310498">
              <w:t>0.34 (0.13</w:t>
            </w:r>
            <w:r w:rsidR="0032043A">
              <w:t xml:space="preserve">, </w:t>
            </w:r>
            <w:r w:rsidRPr="00310498">
              <w:t>0.79)</w:t>
            </w:r>
          </w:p>
        </w:tc>
        <w:tc>
          <w:tcPr>
            <w:tcW w:w="1968" w:type="dxa"/>
            <w:shd w:val="clear" w:color="auto" w:fill="auto"/>
            <w:vAlign w:val="center"/>
          </w:tcPr>
          <w:p w14:paraId="2E03CB96" w14:textId="0FADD545" w:rsidR="00485DF5" w:rsidRPr="00310498" w:rsidRDefault="00485DF5" w:rsidP="00216E6A">
            <w:pPr>
              <w:pStyle w:val="Tabletext"/>
              <w:keepNext/>
              <w:keepLines/>
              <w:jc w:val="center"/>
              <w:rPr>
                <w:b/>
              </w:rPr>
            </w:pPr>
            <w:r w:rsidRPr="00310498">
              <w:t>0.28 (0.10</w:t>
            </w:r>
            <w:r w:rsidR="0032043A">
              <w:t xml:space="preserve">, </w:t>
            </w:r>
            <w:r w:rsidRPr="00310498">
              <w:t>0.68)</w:t>
            </w:r>
          </w:p>
        </w:tc>
      </w:tr>
      <w:tr w:rsidR="00485DF5" w:rsidRPr="00310498" w14:paraId="7E2029A5" w14:textId="77777777">
        <w:tc>
          <w:tcPr>
            <w:tcW w:w="3114" w:type="dxa"/>
            <w:shd w:val="clear" w:color="auto" w:fill="auto"/>
          </w:tcPr>
          <w:p w14:paraId="17859DF6" w14:textId="77777777" w:rsidR="00485DF5" w:rsidRPr="00310498" w:rsidRDefault="00485DF5" w:rsidP="00216E6A">
            <w:pPr>
              <w:pStyle w:val="Tabletext"/>
              <w:keepNext/>
              <w:keepLines/>
            </w:pPr>
            <w:r w:rsidRPr="00310498">
              <w:t>HR vs durvalumab + PC</w:t>
            </w:r>
          </w:p>
        </w:tc>
        <w:tc>
          <w:tcPr>
            <w:tcW w:w="1967" w:type="dxa"/>
            <w:shd w:val="clear" w:color="auto" w:fill="auto"/>
            <w:vAlign w:val="center"/>
          </w:tcPr>
          <w:p w14:paraId="7C0998B7" w14:textId="77777777" w:rsidR="00485DF5" w:rsidRPr="00310498" w:rsidRDefault="00485DF5" w:rsidP="00216E6A">
            <w:pPr>
              <w:pStyle w:val="Tabletext"/>
              <w:keepNext/>
              <w:keepLines/>
              <w:jc w:val="center"/>
            </w:pPr>
            <w:r w:rsidRPr="00310498">
              <w:t>-</w:t>
            </w:r>
          </w:p>
        </w:tc>
        <w:tc>
          <w:tcPr>
            <w:tcW w:w="1967" w:type="dxa"/>
            <w:shd w:val="clear" w:color="auto" w:fill="auto"/>
            <w:vAlign w:val="center"/>
          </w:tcPr>
          <w:p w14:paraId="1734A715" w14:textId="77777777" w:rsidR="00485DF5" w:rsidRPr="00310498" w:rsidRDefault="00485DF5" w:rsidP="00216E6A">
            <w:pPr>
              <w:pStyle w:val="Tabletext"/>
              <w:keepNext/>
              <w:keepLines/>
              <w:jc w:val="center"/>
            </w:pPr>
            <w:r w:rsidRPr="00310498">
              <w:t>-</w:t>
            </w:r>
          </w:p>
        </w:tc>
        <w:tc>
          <w:tcPr>
            <w:tcW w:w="1968" w:type="dxa"/>
            <w:shd w:val="clear" w:color="auto" w:fill="auto"/>
            <w:vAlign w:val="center"/>
          </w:tcPr>
          <w:p w14:paraId="59FA9B2E" w14:textId="30E3A427" w:rsidR="00485DF5" w:rsidRPr="00310498" w:rsidRDefault="00485DF5" w:rsidP="00216E6A">
            <w:pPr>
              <w:pStyle w:val="Tabletext"/>
              <w:keepNext/>
              <w:keepLines/>
              <w:jc w:val="center"/>
              <w:rPr>
                <w:b/>
              </w:rPr>
            </w:pPr>
            <w:r w:rsidRPr="00310498">
              <w:t>0.84 (0.27</w:t>
            </w:r>
            <w:r w:rsidR="0032043A">
              <w:t xml:space="preserve">, </w:t>
            </w:r>
            <w:r w:rsidRPr="00310498">
              <w:t>2.52)</w:t>
            </w:r>
          </w:p>
        </w:tc>
      </w:tr>
      <w:tr w:rsidR="00485DF5" w:rsidRPr="00310498" w14:paraId="3EEA5EBC" w14:textId="77777777">
        <w:tc>
          <w:tcPr>
            <w:tcW w:w="3114" w:type="dxa"/>
            <w:shd w:val="clear" w:color="auto" w:fill="auto"/>
          </w:tcPr>
          <w:p w14:paraId="32EA9B66" w14:textId="77777777" w:rsidR="00485DF5" w:rsidRPr="00310498" w:rsidRDefault="00485DF5" w:rsidP="00216E6A">
            <w:pPr>
              <w:pStyle w:val="Tabletext"/>
              <w:keepNext/>
              <w:keepLines/>
            </w:pPr>
            <w:r w:rsidRPr="00310498">
              <w:t>Median duration of follow-up, months</w:t>
            </w:r>
          </w:p>
        </w:tc>
        <w:tc>
          <w:tcPr>
            <w:tcW w:w="1967" w:type="dxa"/>
            <w:shd w:val="clear" w:color="auto" w:fill="auto"/>
            <w:vAlign w:val="center"/>
          </w:tcPr>
          <w:p w14:paraId="6D5866A7" w14:textId="77777777" w:rsidR="00485DF5" w:rsidRPr="00310498" w:rsidRDefault="00485DF5" w:rsidP="00216E6A">
            <w:pPr>
              <w:pStyle w:val="Tabletext"/>
              <w:keepNext/>
              <w:keepLines/>
              <w:jc w:val="center"/>
            </w:pPr>
            <w:r w:rsidRPr="00310498">
              <w:t>18.4</w:t>
            </w:r>
          </w:p>
        </w:tc>
        <w:tc>
          <w:tcPr>
            <w:tcW w:w="1967" w:type="dxa"/>
            <w:shd w:val="clear" w:color="auto" w:fill="auto"/>
            <w:vAlign w:val="center"/>
          </w:tcPr>
          <w:p w14:paraId="73670342" w14:textId="77777777" w:rsidR="00485DF5" w:rsidRPr="00310498" w:rsidRDefault="00485DF5" w:rsidP="00216E6A">
            <w:pPr>
              <w:pStyle w:val="Tabletext"/>
              <w:keepNext/>
              <w:keepLines/>
              <w:jc w:val="center"/>
            </w:pPr>
            <w:r w:rsidRPr="00310498">
              <w:t>19.1</w:t>
            </w:r>
          </w:p>
        </w:tc>
        <w:tc>
          <w:tcPr>
            <w:tcW w:w="1968" w:type="dxa"/>
            <w:shd w:val="clear" w:color="auto" w:fill="auto"/>
            <w:vAlign w:val="center"/>
          </w:tcPr>
          <w:p w14:paraId="51F4FF13" w14:textId="77777777" w:rsidR="00485DF5" w:rsidRPr="00310498" w:rsidRDefault="00485DF5" w:rsidP="00216E6A">
            <w:pPr>
              <w:pStyle w:val="Tabletext"/>
              <w:keepNext/>
              <w:keepLines/>
              <w:jc w:val="center"/>
            </w:pPr>
            <w:r w:rsidRPr="00310498">
              <w:t>19.9</w:t>
            </w:r>
          </w:p>
        </w:tc>
      </w:tr>
      <w:tr w:rsidR="00485DF5" w:rsidRPr="00310498" w14:paraId="28583AAD" w14:textId="77777777">
        <w:tc>
          <w:tcPr>
            <w:tcW w:w="3114" w:type="dxa"/>
            <w:shd w:val="clear" w:color="auto" w:fill="auto"/>
            <w:vAlign w:val="center"/>
          </w:tcPr>
          <w:p w14:paraId="40411C2D" w14:textId="77777777" w:rsidR="00485DF5" w:rsidRPr="00310498" w:rsidRDefault="00485DF5" w:rsidP="00216E6A">
            <w:pPr>
              <w:pStyle w:val="In-tableHeading"/>
              <w:rPr>
                <w:lang w:val="en-AU"/>
              </w:rPr>
            </w:pPr>
            <w:r w:rsidRPr="00310498">
              <w:rPr>
                <w:lang w:val="en-AU"/>
              </w:rPr>
              <w:t>pMMR</w:t>
            </w:r>
          </w:p>
        </w:tc>
        <w:tc>
          <w:tcPr>
            <w:tcW w:w="1967" w:type="dxa"/>
            <w:shd w:val="clear" w:color="auto" w:fill="auto"/>
            <w:vAlign w:val="center"/>
          </w:tcPr>
          <w:p w14:paraId="1CE2C7F0" w14:textId="77777777" w:rsidR="00485DF5" w:rsidRPr="00310498" w:rsidRDefault="00485DF5" w:rsidP="00216E6A">
            <w:pPr>
              <w:pStyle w:val="In-tableHeading"/>
              <w:jc w:val="center"/>
              <w:rPr>
                <w:lang w:val="en-AU"/>
              </w:rPr>
            </w:pPr>
            <w:r w:rsidRPr="00310498">
              <w:rPr>
                <w:lang w:val="en-AU"/>
              </w:rPr>
              <w:t>PC (N=192)</w:t>
            </w:r>
          </w:p>
        </w:tc>
        <w:tc>
          <w:tcPr>
            <w:tcW w:w="1967" w:type="dxa"/>
            <w:shd w:val="clear" w:color="auto" w:fill="auto"/>
            <w:vAlign w:val="center"/>
          </w:tcPr>
          <w:p w14:paraId="431CF0A5" w14:textId="77777777" w:rsidR="00485DF5" w:rsidRPr="00310498" w:rsidRDefault="00485DF5" w:rsidP="00216E6A">
            <w:pPr>
              <w:pStyle w:val="In-tableHeading"/>
              <w:jc w:val="center"/>
              <w:rPr>
                <w:lang w:val="en-AU"/>
              </w:rPr>
            </w:pPr>
            <w:r w:rsidRPr="00310498">
              <w:rPr>
                <w:lang w:val="en-AU"/>
              </w:rPr>
              <w:t>durvalumab + PC (N=192)</w:t>
            </w:r>
          </w:p>
        </w:tc>
        <w:tc>
          <w:tcPr>
            <w:tcW w:w="1968" w:type="dxa"/>
            <w:shd w:val="clear" w:color="auto" w:fill="auto"/>
            <w:vAlign w:val="center"/>
          </w:tcPr>
          <w:p w14:paraId="4848B518" w14:textId="77777777" w:rsidR="00485DF5" w:rsidRPr="00310498" w:rsidRDefault="00485DF5" w:rsidP="00216E6A">
            <w:pPr>
              <w:pStyle w:val="In-tableHeading"/>
              <w:jc w:val="center"/>
              <w:rPr>
                <w:lang w:val="en-AU"/>
              </w:rPr>
            </w:pPr>
            <w:r w:rsidRPr="00310498">
              <w:rPr>
                <w:lang w:val="en-AU"/>
              </w:rPr>
              <w:t>durvalumab + PC + olaparib (N=191)</w:t>
            </w:r>
          </w:p>
        </w:tc>
      </w:tr>
      <w:tr w:rsidR="00485DF5" w:rsidRPr="00310498" w14:paraId="350588A7" w14:textId="77777777">
        <w:tc>
          <w:tcPr>
            <w:tcW w:w="3114" w:type="dxa"/>
            <w:shd w:val="clear" w:color="auto" w:fill="auto"/>
          </w:tcPr>
          <w:p w14:paraId="5BCFDA55" w14:textId="77777777" w:rsidR="00485DF5" w:rsidRPr="00310498" w:rsidRDefault="00485DF5" w:rsidP="00216E6A">
            <w:pPr>
              <w:pStyle w:val="Tabletext"/>
              <w:keepNext/>
              <w:keepLines/>
            </w:pPr>
            <w:r w:rsidRPr="00310498">
              <w:t>Deaths (%)</w:t>
            </w:r>
          </w:p>
        </w:tc>
        <w:tc>
          <w:tcPr>
            <w:tcW w:w="1967" w:type="dxa"/>
            <w:shd w:val="clear" w:color="auto" w:fill="auto"/>
            <w:vAlign w:val="center"/>
          </w:tcPr>
          <w:p w14:paraId="4FF7E6C3" w14:textId="77777777" w:rsidR="00485DF5" w:rsidRPr="00310498" w:rsidRDefault="00485DF5" w:rsidP="00216E6A">
            <w:pPr>
              <w:pStyle w:val="Tabletext"/>
              <w:keepNext/>
              <w:keepLines/>
              <w:jc w:val="center"/>
              <w:rPr>
                <w:b/>
                <w:bCs/>
              </w:rPr>
            </w:pPr>
            <w:r w:rsidRPr="00310498">
              <w:t>64 (33.3)</w:t>
            </w:r>
          </w:p>
        </w:tc>
        <w:tc>
          <w:tcPr>
            <w:tcW w:w="1967" w:type="dxa"/>
            <w:shd w:val="clear" w:color="auto" w:fill="auto"/>
            <w:vAlign w:val="center"/>
          </w:tcPr>
          <w:p w14:paraId="745CB8A7" w14:textId="77777777" w:rsidR="00485DF5" w:rsidRPr="00310498" w:rsidRDefault="00485DF5" w:rsidP="00216E6A">
            <w:pPr>
              <w:pStyle w:val="Tabletext"/>
              <w:keepNext/>
              <w:keepLines/>
              <w:jc w:val="center"/>
              <w:rPr>
                <w:b/>
                <w:bCs/>
              </w:rPr>
            </w:pPr>
            <w:r w:rsidRPr="00310498">
              <w:t>58 (30.2)</w:t>
            </w:r>
          </w:p>
        </w:tc>
        <w:tc>
          <w:tcPr>
            <w:tcW w:w="1968" w:type="dxa"/>
            <w:shd w:val="clear" w:color="auto" w:fill="auto"/>
            <w:vAlign w:val="center"/>
          </w:tcPr>
          <w:p w14:paraId="2424DB80" w14:textId="77777777" w:rsidR="00485DF5" w:rsidRPr="00310498" w:rsidRDefault="00485DF5" w:rsidP="00216E6A">
            <w:pPr>
              <w:pStyle w:val="Tabletext"/>
              <w:keepNext/>
              <w:keepLines/>
              <w:jc w:val="center"/>
              <w:rPr>
                <w:b/>
                <w:bCs/>
              </w:rPr>
            </w:pPr>
            <w:r w:rsidRPr="00310498">
              <w:t>46 (24.1)</w:t>
            </w:r>
          </w:p>
        </w:tc>
      </w:tr>
      <w:tr w:rsidR="00485DF5" w:rsidRPr="00310498" w14:paraId="1483BAE3" w14:textId="77777777">
        <w:tc>
          <w:tcPr>
            <w:tcW w:w="3114" w:type="dxa"/>
            <w:shd w:val="clear" w:color="auto" w:fill="auto"/>
          </w:tcPr>
          <w:p w14:paraId="30584FA0" w14:textId="77777777" w:rsidR="00485DF5" w:rsidRPr="00310498" w:rsidRDefault="00485DF5" w:rsidP="00216E6A">
            <w:pPr>
              <w:pStyle w:val="Tabletext"/>
              <w:keepNext/>
              <w:keepLines/>
            </w:pPr>
            <w:r w:rsidRPr="00310498">
              <w:t>Censored patients (%)</w:t>
            </w:r>
          </w:p>
        </w:tc>
        <w:tc>
          <w:tcPr>
            <w:tcW w:w="1967" w:type="dxa"/>
            <w:shd w:val="clear" w:color="auto" w:fill="auto"/>
            <w:vAlign w:val="center"/>
          </w:tcPr>
          <w:p w14:paraId="46F3889D" w14:textId="77777777" w:rsidR="00485DF5" w:rsidRPr="00310498" w:rsidRDefault="00485DF5" w:rsidP="00216E6A">
            <w:pPr>
              <w:pStyle w:val="Tabletext"/>
              <w:keepNext/>
              <w:keepLines/>
              <w:jc w:val="center"/>
              <w:rPr>
                <w:b/>
                <w:bCs/>
              </w:rPr>
            </w:pPr>
            <w:r w:rsidRPr="00310498">
              <w:t>128 (66.7)</w:t>
            </w:r>
          </w:p>
        </w:tc>
        <w:tc>
          <w:tcPr>
            <w:tcW w:w="1967" w:type="dxa"/>
            <w:shd w:val="clear" w:color="auto" w:fill="auto"/>
            <w:vAlign w:val="center"/>
          </w:tcPr>
          <w:p w14:paraId="07CCC090" w14:textId="77777777" w:rsidR="00485DF5" w:rsidRPr="00310498" w:rsidRDefault="00485DF5" w:rsidP="00216E6A">
            <w:pPr>
              <w:pStyle w:val="Tabletext"/>
              <w:keepNext/>
              <w:keepLines/>
              <w:jc w:val="center"/>
              <w:rPr>
                <w:b/>
                <w:bCs/>
              </w:rPr>
            </w:pPr>
            <w:r w:rsidRPr="00310498">
              <w:t>134 (69.8)</w:t>
            </w:r>
          </w:p>
        </w:tc>
        <w:tc>
          <w:tcPr>
            <w:tcW w:w="1968" w:type="dxa"/>
            <w:shd w:val="clear" w:color="auto" w:fill="auto"/>
            <w:vAlign w:val="center"/>
          </w:tcPr>
          <w:p w14:paraId="5503F967" w14:textId="77777777" w:rsidR="00485DF5" w:rsidRPr="00310498" w:rsidRDefault="00485DF5" w:rsidP="00216E6A">
            <w:pPr>
              <w:pStyle w:val="Tabletext"/>
              <w:keepNext/>
              <w:keepLines/>
              <w:jc w:val="center"/>
              <w:rPr>
                <w:b/>
                <w:bCs/>
              </w:rPr>
            </w:pPr>
            <w:r w:rsidRPr="00310498">
              <w:t>145 (75.9)</w:t>
            </w:r>
          </w:p>
        </w:tc>
      </w:tr>
      <w:tr w:rsidR="00485DF5" w:rsidRPr="00310498" w14:paraId="73EDCD77" w14:textId="77777777">
        <w:tc>
          <w:tcPr>
            <w:tcW w:w="3114" w:type="dxa"/>
            <w:shd w:val="clear" w:color="auto" w:fill="auto"/>
          </w:tcPr>
          <w:p w14:paraId="1CA56178" w14:textId="57713693" w:rsidR="00485DF5" w:rsidRPr="00310498" w:rsidRDefault="00485DF5" w:rsidP="00216E6A">
            <w:pPr>
              <w:pStyle w:val="Tabletext"/>
              <w:keepNext/>
              <w:keepLines/>
            </w:pPr>
            <w:r w:rsidRPr="00310498">
              <w:t>Median</w:t>
            </w:r>
            <w:r w:rsidR="00E958C6" w:rsidRPr="00310498">
              <w:t>, months</w:t>
            </w:r>
            <w:r w:rsidRPr="00310498">
              <w:t xml:space="preserve"> (95% CI)</w:t>
            </w:r>
          </w:p>
        </w:tc>
        <w:tc>
          <w:tcPr>
            <w:tcW w:w="1967" w:type="dxa"/>
            <w:shd w:val="clear" w:color="auto" w:fill="auto"/>
            <w:vAlign w:val="center"/>
          </w:tcPr>
          <w:p w14:paraId="0F990B9E" w14:textId="714A2303" w:rsidR="00485DF5" w:rsidRPr="00310498" w:rsidRDefault="00485DF5" w:rsidP="00216E6A">
            <w:pPr>
              <w:pStyle w:val="Tabletext"/>
              <w:keepNext/>
              <w:keepLines/>
              <w:jc w:val="center"/>
              <w:rPr>
                <w:b/>
                <w:bCs/>
              </w:rPr>
            </w:pPr>
            <w:r w:rsidRPr="00310498">
              <w:t>25.9 (25.1</w:t>
            </w:r>
            <w:r w:rsidR="0032043A">
              <w:t xml:space="preserve">, </w:t>
            </w:r>
            <w:r w:rsidRPr="00310498">
              <w:t>NR)</w:t>
            </w:r>
          </w:p>
        </w:tc>
        <w:tc>
          <w:tcPr>
            <w:tcW w:w="1967" w:type="dxa"/>
            <w:shd w:val="clear" w:color="auto" w:fill="auto"/>
            <w:vAlign w:val="center"/>
          </w:tcPr>
          <w:p w14:paraId="7D5F69C3" w14:textId="3E2635AF" w:rsidR="00485DF5" w:rsidRPr="00310498" w:rsidRDefault="00485DF5" w:rsidP="00216E6A">
            <w:pPr>
              <w:pStyle w:val="Tabletext"/>
              <w:keepNext/>
              <w:keepLines/>
              <w:jc w:val="center"/>
              <w:rPr>
                <w:b/>
                <w:bCs/>
              </w:rPr>
            </w:pPr>
            <w:r w:rsidRPr="00310498">
              <w:t>NR (NR</w:t>
            </w:r>
            <w:r w:rsidR="0032043A">
              <w:t xml:space="preserve">, </w:t>
            </w:r>
            <w:r w:rsidRPr="00310498">
              <w:t>NR)</w:t>
            </w:r>
          </w:p>
        </w:tc>
        <w:tc>
          <w:tcPr>
            <w:tcW w:w="1968" w:type="dxa"/>
            <w:shd w:val="clear" w:color="auto" w:fill="auto"/>
            <w:vAlign w:val="center"/>
          </w:tcPr>
          <w:p w14:paraId="506954FA" w14:textId="6C49DDE0" w:rsidR="00485DF5" w:rsidRPr="00310498" w:rsidRDefault="00485DF5" w:rsidP="00216E6A">
            <w:pPr>
              <w:pStyle w:val="Tabletext"/>
              <w:keepNext/>
              <w:keepLines/>
              <w:jc w:val="center"/>
              <w:rPr>
                <w:b/>
                <w:bCs/>
              </w:rPr>
            </w:pPr>
            <w:r w:rsidRPr="00310498">
              <w:t>NR (NR</w:t>
            </w:r>
            <w:r w:rsidR="0032043A">
              <w:t xml:space="preserve">, </w:t>
            </w:r>
            <w:r w:rsidRPr="00310498">
              <w:t>NR)</w:t>
            </w:r>
          </w:p>
        </w:tc>
      </w:tr>
      <w:tr w:rsidR="00485DF5" w:rsidRPr="00310498" w14:paraId="2CD37ADA" w14:textId="77777777">
        <w:tc>
          <w:tcPr>
            <w:tcW w:w="3114" w:type="dxa"/>
            <w:shd w:val="clear" w:color="auto" w:fill="auto"/>
          </w:tcPr>
          <w:p w14:paraId="04F0357C" w14:textId="6A116F29" w:rsidR="00485DF5" w:rsidRPr="00310498" w:rsidRDefault="00485DF5" w:rsidP="00216E6A">
            <w:pPr>
              <w:pStyle w:val="Tabletext"/>
              <w:keepNext/>
              <w:keepLines/>
            </w:pPr>
            <w:r w:rsidRPr="00310498">
              <w:t>Survival rate 6 m</w:t>
            </w:r>
            <w:r w:rsidR="006D443D" w:rsidRPr="00310498">
              <w:t>on</w:t>
            </w:r>
            <w:r w:rsidRPr="00310498">
              <w:t xml:space="preserve">ths </w:t>
            </w:r>
          </w:p>
        </w:tc>
        <w:tc>
          <w:tcPr>
            <w:tcW w:w="1967" w:type="dxa"/>
            <w:shd w:val="clear" w:color="auto" w:fill="auto"/>
            <w:vAlign w:val="center"/>
          </w:tcPr>
          <w:p w14:paraId="0E409537" w14:textId="2836AB54" w:rsidR="00485DF5" w:rsidRPr="00310498" w:rsidRDefault="00485DF5" w:rsidP="00216E6A">
            <w:pPr>
              <w:pStyle w:val="Tabletext"/>
              <w:keepNext/>
              <w:keepLines/>
              <w:jc w:val="center"/>
              <w:rPr>
                <w:b/>
                <w:bCs/>
              </w:rPr>
            </w:pPr>
            <w:r w:rsidRPr="00310498">
              <w:t>92.7 (87.9</w:t>
            </w:r>
            <w:r w:rsidR="0032043A">
              <w:t xml:space="preserve">, </w:t>
            </w:r>
            <w:r w:rsidRPr="00310498">
              <w:t>95.6)</w:t>
            </w:r>
          </w:p>
        </w:tc>
        <w:tc>
          <w:tcPr>
            <w:tcW w:w="1967" w:type="dxa"/>
            <w:shd w:val="clear" w:color="auto" w:fill="auto"/>
            <w:vAlign w:val="center"/>
          </w:tcPr>
          <w:p w14:paraId="5EA9172D" w14:textId="5FEDC951" w:rsidR="00485DF5" w:rsidRPr="00310498" w:rsidRDefault="00485DF5" w:rsidP="00216E6A">
            <w:pPr>
              <w:pStyle w:val="Tabletext"/>
              <w:keepNext/>
              <w:keepLines/>
              <w:jc w:val="center"/>
              <w:rPr>
                <w:b/>
                <w:bCs/>
              </w:rPr>
            </w:pPr>
            <w:r w:rsidRPr="00310498">
              <w:t>93.2 (88.6</w:t>
            </w:r>
            <w:r w:rsidR="0032043A">
              <w:t xml:space="preserve">, </w:t>
            </w:r>
            <w:r w:rsidRPr="00310498">
              <w:t>96.0)</w:t>
            </w:r>
          </w:p>
        </w:tc>
        <w:tc>
          <w:tcPr>
            <w:tcW w:w="1968" w:type="dxa"/>
            <w:shd w:val="clear" w:color="auto" w:fill="auto"/>
            <w:vAlign w:val="center"/>
          </w:tcPr>
          <w:p w14:paraId="17EAFC08" w14:textId="5C117738" w:rsidR="00485DF5" w:rsidRPr="00310498" w:rsidRDefault="00485DF5" w:rsidP="00216E6A">
            <w:pPr>
              <w:pStyle w:val="Tabletext"/>
              <w:keepNext/>
              <w:keepLines/>
              <w:jc w:val="center"/>
              <w:rPr>
                <w:b/>
                <w:bCs/>
              </w:rPr>
            </w:pPr>
            <w:r w:rsidRPr="00310498">
              <w:t>95.8 (91.8</w:t>
            </w:r>
            <w:r w:rsidR="0032043A">
              <w:t xml:space="preserve">, </w:t>
            </w:r>
            <w:r w:rsidRPr="00310498">
              <w:t>97.9)</w:t>
            </w:r>
          </w:p>
        </w:tc>
      </w:tr>
      <w:tr w:rsidR="00485DF5" w:rsidRPr="00310498" w14:paraId="3ADC5A29" w14:textId="77777777">
        <w:tc>
          <w:tcPr>
            <w:tcW w:w="3114" w:type="dxa"/>
            <w:shd w:val="clear" w:color="auto" w:fill="auto"/>
          </w:tcPr>
          <w:p w14:paraId="481CBCA9" w14:textId="24E74F0E" w:rsidR="00485DF5" w:rsidRPr="00310498" w:rsidRDefault="00485DF5" w:rsidP="00216E6A">
            <w:pPr>
              <w:pStyle w:val="Tabletext"/>
              <w:keepNext/>
              <w:keepLines/>
            </w:pPr>
            <w:r w:rsidRPr="00310498">
              <w:t>Survival rate 12 m</w:t>
            </w:r>
            <w:r w:rsidR="006D443D" w:rsidRPr="00310498">
              <w:t>on</w:t>
            </w:r>
            <w:r w:rsidRPr="00310498">
              <w:t>ths</w:t>
            </w:r>
          </w:p>
        </w:tc>
        <w:tc>
          <w:tcPr>
            <w:tcW w:w="1967" w:type="dxa"/>
            <w:shd w:val="clear" w:color="auto" w:fill="auto"/>
            <w:vAlign w:val="center"/>
          </w:tcPr>
          <w:p w14:paraId="117E7378" w14:textId="40EF3A26" w:rsidR="00485DF5" w:rsidRPr="00310498" w:rsidRDefault="00485DF5" w:rsidP="00216E6A">
            <w:pPr>
              <w:pStyle w:val="Tabletext"/>
              <w:keepNext/>
              <w:keepLines/>
              <w:jc w:val="center"/>
              <w:rPr>
                <w:b/>
                <w:bCs/>
              </w:rPr>
            </w:pPr>
            <w:r w:rsidRPr="00310498">
              <w:t>81.0 (74.6</w:t>
            </w:r>
            <w:r w:rsidR="0032043A">
              <w:t xml:space="preserve">, </w:t>
            </w:r>
            <w:r w:rsidRPr="00310498">
              <w:t>85.9)</w:t>
            </w:r>
          </w:p>
        </w:tc>
        <w:tc>
          <w:tcPr>
            <w:tcW w:w="1967" w:type="dxa"/>
            <w:shd w:val="clear" w:color="auto" w:fill="auto"/>
            <w:vAlign w:val="center"/>
          </w:tcPr>
          <w:p w14:paraId="3B206E6D" w14:textId="4A44B350" w:rsidR="00485DF5" w:rsidRPr="00310498" w:rsidRDefault="00485DF5" w:rsidP="00216E6A">
            <w:pPr>
              <w:pStyle w:val="Tabletext"/>
              <w:keepNext/>
              <w:keepLines/>
              <w:jc w:val="center"/>
              <w:rPr>
                <w:b/>
                <w:bCs/>
              </w:rPr>
            </w:pPr>
            <w:r w:rsidRPr="00310498">
              <w:t>82.5 (76.3</w:t>
            </w:r>
            <w:r w:rsidR="0032043A">
              <w:t xml:space="preserve">, </w:t>
            </w:r>
            <w:r w:rsidRPr="00310498">
              <w:t>87.2)</w:t>
            </w:r>
          </w:p>
        </w:tc>
        <w:tc>
          <w:tcPr>
            <w:tcW w:w="1968" w:type="dxa"/>
            <w:shd w:val="clear" w:color="auto" w:fill="auto"/>
            <w:vAlign w:val="center"/>
          </w:tcPr>
          <w:p w14:paraId="66392F66" w14:textId="778A716D" w:rsidR="00485DF5" w:rsidRPr="00310498" w:rsidRDefault="00485DF5" w:rsidP="00216E6A">
            <w:pPr>
              <w:pStyle w:val="Tabletext"/>
              <w:keepNext/>
              <w:keepLines/>
              <w:jc w:val="center"/>
              <w:rPr>
                <w:b/>
                <w:bCs/>
              </w:rPr>
            </w:pPr>
            <w:r w:rsidRPr="00310498">
              <w:t>87.3 (81.7</w:t>
            </w:r>
            <w:r w:rsidR="0032043A">
              <w:t xml:space="preserve">, </w:t>
            </w:r>
            <w:r w:rsidRPr="00310498">
              <w:t>91.3)</w:t>
            </w:r>
          </w:p>
        </w:tc>
      </w:tr>
      <w:tr w:rsidR="00485DF5" w:rsidRPr="00310498" w14:paraId="3ACA84BA" w14:textId="77777777">
        <w:tc>
          <w:tcPr>
            <w:tcW w:w="3114" w:type="dxa"/>
            <w:shd w:val="clear" w:color="auto" w:fill="auto"/>
          </w:tcPr>
          <w:p w14:paraId="327BA545" w14:textId="77777777" w:rsidR="00485DF5" w:rsidRPr="00310498" w:rsidRDefault="00485DF5" w:rsidP="00216E6A">
            <w:pPr>
              <w:pStyle w:val="Tabletext"/>
              <w:keepNext/>
              <w:keepLines/>
            </w:pPr>
            <w:r w:rsidRPr="00310498">
              <w:t>Survival rate 18 months</w:t>
            </w:r>
          </w:p>
        </w:tc>
        <w:tc>
          <w:tcPr>
            <w:tcW w:w="1967" w:type="dxa"/>
            <w:shd w:val="clear" w:color="auto" w:fill="auto"/>
            <w:vAlign w:val="center"/>
          </w:tcPr>
          <w:p w14:paraId="4C8021C1" w14:textId="3D349E99" w:rsidR="00485DF5" w:rsidRPr="00310498" w:rsidRDefault="00485DF5" w:rsidP="00216E6A">
            <w:pPr>
              <w:pStyle w:val="Tabletext"/>
              <w:keepNext/>
              <w:keepLines/>
              <w:jc w:val="center"/>
              <w:rPr>
                <w:b/>
                <w:bCs/>
              </w:rPr>
            </w:pPr>
            <w:r w:rsidRPr="00310498">
              <w:t>69.9 (62.3</w:t>
            </w:r>
            <w:r w:rsidR="0032043A">
              <w:t xml:space="preserve">, </w:t>
            </w:r>
            <w:r w:rsidRPr="00310498">
              <w:t>76.2)</w:t>
            </w:r>
          </w:p>
        </w:tc>
        <w:tc>
          <w:tcPr>
            <w:tcW w:w="1967" w:type="dxa"/>
            <w:shd w:val="clear" w:color="auto" w:fill="auto"/>
            <w:vAlign w:val="center"/>
          </w:tcPr>
          <w:p w14:paraId="6A9BD336" w14:textId="57060C6E" w:rsidR="00485DF5" w:rsidRPr="00310498" w:rsidRDefault="00485DF5" w:rsidP="00216E6A">
            <w:pPr>
              <w:pStyle w:val="Tabletext"/>
              <w:keepNext/>
              <w:keepLines/>
              <w:jc w:val="center"/>
            </w:pPr>
            <w:r w:rsidRPr="00310498">
              <w:t>71.7 (64.0</w:t>
            </w:r>
            <w:r w:rsidR="0032043A">
              <w:t xml:space="preserve">, </w:t>
            </w:r>
            <w:r w:rsidRPr="00310498">
              <w:t>78.1)</w:t>
            </w:r>
          </w:p>
        </w:tc>
        <w:tc>
          <w:tcPr>
            <w:tcW w:w="1968" w:type="dxa"/>
            <w:shd w:val="clear" w:color="auto" w:fill="auto"/>
            <w:vAlign w:val="center"/>
          </w:tcPr>
          <w:p w14:paraId="7702A03F" w14:textId="72171DCE" w:rsidR="00485DF5" w:rsidRPr="00310498" w:rsidRDefault="00485DF5" w:rsidP="00216E6A">
            <w:pPr>
              <w:pStyle w:val="Tabletext"/>
              <w:keepNext/>
              <w:keepLines/>
              <w:jc w:val="center"/>
              <w:rPr>
                <w:b/>
                <w:bCs/>
              </w:rPr>
            </w:pPr>
            <w:r w:rsidRPr="00310498">
              <w:t>76.9 (69.5</w:t>
            </w:r>
            <w:r w:rsidR="0032043A">
              <w:t xml:space="preserve">, </w:t>
            </w:r>
            <w:r w:rsidRPr="00310498">
              <w:t>82.7)</w:t>
            </w:r>
          </w:p>
        </w:tc>
      </w:tr>
      <w:tr w:rsidR="00485DF5" w:rsidRPr="00310498" w14:paraId="656BBA79" w14:textId="77777777">
        <w:tc>
          <w:tcPr>
            <w:tcW w:w="3114" w:type="dxa"/>
            <w:shd w:val="clear" w:color="auto" w:fill="auto"/>
          </w:tcPr>
          <w:p w14:paraId="0652A685" w14:textId="77777777" w:rsidR="00485DF5" w:rsidRPr="00310498" w:rsidRDefault="00485DF5" w:rsidP="00216E6A">
            <w:pPr>
              <w:pStyle w:val="Tabletext"/>
              <w:keepNext/>
              <w:keepLines/>
            </w:pPr>
            <w:r w:rsidRPr="00310498">
              <w:t>HR vs PC</w:t>
            </w:r>
          </w:p>
        </w:tc>
        <w:tc>
          <w:tcPr>
            <w:tcW w:w="1967" w:type="dxa"/>
            <w:shd w:val="clear" w:color="auto" w:fill="auto"/>
            <w:vAlign w:val="center"/>
          </w:tcPr>
          <w:p w14:paraId="2BCAF2B7" w14:textId="77777777" w:rsidR="00485DF5" w:rsidRPr="00310498" w:rsidRDefault="00485DF5" w:rsidP="00216E6A">
            <w:pPr>
              <w:pStyle w:val="Tabletext"/>
              <w:keepNext/>
              <w:keepLines/>
              <w:jc w:val="center"/>
            </w:pPr>
            <w:r w:rsidRPr="00310498">
              <w:t>-</w:t>
            </w:r>
          </w:p>
        </w:tc>
        <w:tc>
          <w:tcPr>
            <w:tcW w:w="1967" w:type="dxa"/>
            <w:shd w:val="clear" w:color="auto" w:fill="auto"/>
            <w:vAlign w:val="center"/>
          </w:tcPr>
          <w:p w14:paraId="23CE2B60" w14:textId="5256CDBB" w:rsidR="00485DF5" w:rsidRPr="00310498" w:rsidRDefault="00485DF5" w:rsidP="00216E6A">
            <w:pPr>
              <w:pStyle w:val="Tabletext"/>
              <w:keepNext/>
              <w:keepLines/>
              <w:jc w:val="center"/>
              <w:rPr>
                <w:b/>
                <w:bCs/>
              </w:rPr>
            </w:pPr>
            <w:r w:rsidRPr="00310498">
              <w:t>0.91 (0.64</w:t>
            </w:r>
            <w:r w:rsidR="0032043A">
              <w:t xml:space="preserve">, </w:t>
            </w:r>
            <w:r w:rsidRPr="00310498">
              <w:t>1.30)</w:t>
            </w:r>
          </w:p>
        </w:tc>
        <w:tc>
          <w:tcPr>
            <w:tcW w:w="1968" w:type="dxa"/>
            <w:shd w:val="clear" w:color="auto" w:fill="auto"/>
            <w:vAlign w:val="center"/>
          </w:tcPr>
          <w:p w14:paraId="3762D3FF" w14:textId="46425BD2" w:rsidR="00485DF5" w:rsidRPr="00310498" w:rsidRDefault="00485DF5" w:rsidP="00216E6A">
            <w:pPr>
              <w:pStyle w:val="Tabletext"/>
              <w:keepNext/>
              <w:keepLines/>
              <w:jc w:val="center"/>
              <w:rPr>
                <w:b/>
                <w:bCs/>
              </w:rPr>
            </w:pPr>
            <w:r w:rsidRPr="00310498">
              <w:t>0.69 (0.47</w:t>
            </w:r>
            <w:r w:rsidR="0032043A">
              <w:t xml:space="preserve">, </w:t>
            </w:r>
            <w:r w:rsidRPr="00310498">
              <w:t>1.00)</w:t>
            </w:r>
          </w:p>
        </w:tc>
      </w:tr>
      <w:tr w:rsidR="00485DF5" w:rsidRPr="00310498" w14:paraId="4A02270B" w14:textId="77777777">
        <w:tc>
          <w:tcPr>
            <w:tcW w:w="3114" w:type="dxa"/>
            <w:shd w:val="clear" w:color="auto" w:fill="auto"/>
          </w:tcPr>
          <w:p w14:paraId="70DD8FD1" w14:textId="77777777" w:rsidR="00485DF5" w:rsidRPr="00310498" w:rsidRDefault="00485DF5" w:rsidP="00216E6A">
            <w:pPr>
              <w:pStyle w:val="Tabletext"/>
              <w:keepNext/>
              <w:keepLines/>
            </w:pPr>
            <w:r w:rsidRPr="00310498">
              <w:t>HR vs durvalumab + PC</w:t>
            </w:r>
          </w:p>
        </w:tc>
        <w:tc>
          <w:tcPr>
            <w:tcW w:w="1967" w:type="dxa"/>
            <w:shd w:val="clear" w:color="auto" w:fill="auto"/>
            <w:vAlign w:val="center"/>
          </w:tcPr>
          <w:p w14:paraId="7EE33949" w14:textId="77777777" w:rsidR="00485DF5" w:rsidRPr="00310498" w:rsidRDefault="00485DF5" w:rsidP="00216E6A">
            <w:pPr>
              <w:pStyle w:val="Tabletext"/>
              <w:keepNext/>
              <w:keepLines/>
              <w:jc w:val="center"/>
            </w:pPr>
            <w:r w:rsidRPr="00310498">
              <w:t>-</w:t>
            </w:r>
          </w:p>
        </w:tc>
        <w:tc>
          <w:tcPr>
            <w:tcW w:w="1967" w:type="dxa"/>
            <w:shd w:val="clear" w:color="auto" w:fill="auto"/>
            <w:vAlign w:val="center"/>
          </w:tcPr>
          <w:p w14:paraId="6E19A92B" w14:textId="77777777" w:rsidR="00485DF5" w:rsidRPr="00310498" w:rsidRDefault="00485DF5" w:rsidP="00216E6A">
            <w:pPr>
              <w:pStyle w:val="Tabletext"/>
              <w:keepNext/>
              <w:keepLines/>
              <w:jc w:val="center"/>
            </w:pPr>
            <w:r w:rsidRPr="00310498">
              <w:t>-</w:t>
            </w:r>
          </w:p>
        </w:tc>
        <w:tc>
          <w:tcPr>
            <w:tcW w:w="1968" w:type="dxa"/>
            <w:shd w:val="clear" w:color="auto" w:fill="auto"/>
            <w:vAlign w:val="center"/>
          </w:tcPr>
          <w:p w14:paraId="697BB601" w14:textId="5A6FA96D" w:rsidR="00485DF5" w:rsidRPr="00310498" w:rsidRDefault="00485DF5" w:rsidP="00216E6A">
            <w:pPr>
              <w:pStyle w:val="Tabletext"/>
              <w:keepNext/>
              <w:keepLines/>
              <w:jc w:val="center"/>
              <w:rPr>
                <w:b/>
                <w:bCs/>
              </w:rPr>
            </w:pPr>
            <w:r w:rsidRPr="00310498">
              <w:t>0.75 (0.51</w:t>
            </w:r>
            <w:r w:rsidR="0032043A">
              <w:t xml:space="preserve">, </w:t>
            </w:r>
            <w:r w:rsidRPr="00310498">
              <w:t>1.11)</w:t>
            </w:r>
          </w:p>
        </w:tc>
      </w:tr>
      <w:tr w:rsidR="00485DF5" w:rsidRPr="00310498" w14:paraId="09FAF21C" w14:textId="77777777">
        <w:tc>
          <w:tcPr>
            <w:tcW w:w="3114" w:type="dxa"/>
            <w:shd w:val="clear" w:color="auto" w:fill="auto"/>
          </w:tcPr>
          <w:p w14:paraId="4FA0B34D" w14:textId="77777777" w:rsidR="00485DF5" w:rsidRPr="00310498" w:rsidRDefault="00485DF5" w:rsidP="00216E6A">
            <w:pPr>
              <w:pStyle w:val="Tabletext"/>
              <w:keepNext/>
              <w:keepLines/>
            </w:pPr>
            <w:r w:rsidRPr="00310498">
              <w:t>Median duration of follow-up, months</w:t>
            </w:r>
          </w:p>
        </w:tc>
        <w:tc>
          <w:tcPr>
            <w:tcW w:w="1967" w:type="dxa"/>
            <w:shd w:val="clear" w:color="auto" w:fill="auto"/>
            <w:vAlign w:val="center"/>
          </w:tcPr>
          <w:p w14:paraId="630B76CC" w14:textId="77777777" w:rsidR="00485DF5" w:rsidRPr="00310498" w:rsidRDefault="00485DF5" w:rsidP="00216E6A">
            <w:pPr>
              <w:pStyle w:val="Tabletext"/>
              <w:keepNext/>
              <w:keepLines/>
              <w:jc w:val="center"/>
            </w:pPr>
            <w:r w:rsidRPr="00310498">
              <w:t>18.6</w:t>
            </w:r>
          </w:p>
        </w:tc>
        <w:tc>
          <w:tcPr>
            <w:tcW w:w="1967" w:type="dxa"/>
            <w:shd w:val="clear" w:color="auto" w:fill="auto"/>
            <w:vAlign w:val="center"/>
          </w:tcPr>
          <w:p w14:paraId="49D96A8B" w14:textId="77777777" w:rsidR="00485DF5" w:rsidRPr="00310498" w:rsidRDefault="00485DF5" w:rsidP="00216E6A">
            <w:pPr>
              <w:pStyle w:val="Tabletext"/>
              <w:keepNext/>
              <w:keepLines/>
              <w:jc w:val="center"/>
            </w:pPr>
            <w:r w:rsidRPr="00310498">
              <w:t>18.2</w:t>
            </w:r>
          </w:p>
        </w:tc>
        <w:tc>
          <w:tcPr>
            <w:tcW w:w="1968" w:type="dxa"/>
            <w:shd w:val="clear" w:color="auto" w:fill="auto"/>
            <w:vAlign w:val="center"/>
          </w:tcPr>
          <w:p w14:paraId="34D928B2" w14:textId="77777777" w:rsidR="00485DF5" w:rsidRPr="00310498" w:rsidRDefault="00485DF5" w:rsidP="00216E6A">
            <w:pPr>
              <w:pStyle w:val="Tabletext"/>
              <w:keepNext/>
              <w:keepLines/>
              <w:jc w:val="center"/>
            </w:pPr>
            <w:r w:rsidRPr="00310498">
              <w:t>18.4</w:t>
            </w:r>
          </w:p>
        </w:tc>
      </w:tr>
    </w:tbl>
    <w:p w14:paraId="7F779313" w14:textId="77777777" w:rsidR="00E24B8A" w:rsidRPr="00310498" w:rsidRDefault="00E24B8A" w:rsidP="005074AF">
      <w:pPr>
        <w:pStyle w:val="TableFigureFooter"/>
        <w:keepNext/>
      </w:pPr>
      <w:r w:rsidRPr="00310498">
        <w:t xml:space="preserve">Source: Table 2.25, p100 of the submission. </w:t>
      </w:r>
    </w:p>
    <w:p w14:paraId="7B26CD8C" w14:textId="0B73CE42" w:rsidR="00485DF5" w:rsidRPr="00310498" w:rsidRDefault="00485DF5" w:rsidP="00D17A65">
      <w:pPr>
        <w:pStyle w:val="TableFigureFooter"/>
      </w:pPr>
      <w:r w:rsidRPr="00310498">
        <w:t xml:space="preserve">dMMR = </w:t>
      </w:r>
      <w:r w:rsidR="00BB2BCF" w:rsidRPr="00310498">
        <w:t xml:space="preserve">deficient </w:t>
      </w:r>
      <w:r w:rsidRPr="00310498">
        <w:t xml:space="preserve">mismatch repair; HR = hazard ratio; MMR = mismatch repair; NR = not reached; OS = overall survival; </w:t>
      </w:r>
      <w:r w:rsidR="0041670E" w:rsidRPr="00310498">
        <w:t>PC = paclitaxel + carboplatin</w:t>
      </w:r>
      <w:r w:rsidRPr="00310498">
        <w:t xml:space="preserve">; pMMR = </w:t>
      </w:r>
      <w:r w:rsidR="00BB2BCF" w:rsidRPr="00310498">
        <w:t xml:space="preserve">proficient </w:t>
      </w:r>
      <w:r w:rsidRPr="00310498">
        <w:t xml:space="preserve">mismatch repair </w:t>
      </w:r>
    </w:p>
    <w:p w14:paraId="49C18F6C" w14:textId="6217A007" w:rsidR="00485DF5" w:rsidRPr="00310498" w:rsidRDefault="00485DF5" w:rsidP="00485DF5">
      <w:pPr>
        <w:pStyle w:val="3-BodyText"/>
      </w:pPr>
      <w:r w:rsidRPr="00310498">
        <w:t xml:space="preserve">The submission claimed that the </w:t>
      </w:r>
      <w:r w:rsidR="0032043A">
        <w:t>hazard ratios</w:t>
      </w:r>
      <w:r w:rsidRPr="00310498">
        <w:t xml:space="preserve"> for the comparisons of </w:t>
      </w:r>
      <w:r w:rsidR="0074160B" w:rsidRPr="00310498">
        <w:t xml:space="preserve">durvalumab + PC and durvalumab + PC + olaparib </w:t>
      </w:r>
      <w:r w:rsidRPr="00310498">
        <w:t>versus PC were consistent with the results for PFS, with the patients with pMMR EC deriving benefit from the addition of olaparib in the maintenance phase of therapy</w:t>
      </w:r>
      <w:r w:rsidR="00C914F9" w:rsidRPr="00310498">
        <w:t>;</w:t>
      </w:r>
      <w:r w:rsidRPr="00310498">
        <w:t xml:space="preserve"> however</w:t>
      </w:r>
      <w:r w:rsidR="00C914F9" w:rsidRPr="00310498">
        <w:t>,</w:t>
      </w:r>
      <w:r w:rsidRPr="00310498">
        <w:t xml:space="preserve"> none of these differences were assessed for statistical significance. </w:t>
      </w:r>
      <w:r w:rsidR="00F17737" w:rsidRPr="00310498">
        <w:t xml:space="preserve">In </w:t>
      </w:r>
      <w:r w:rsidRPr="00310498">
        <w:t>dMMR</w:t>
      </w:r>
      <w:r w:rsidR="00F17737" w:rsidRPr="00310498">
        <w:t xml:space="preserve"> EC patients</w:t>
      </w:r>
      <w:r w:rsidRPr="00310498">
        <w:t xml:space="preserve">, both comparisons for each of the durvalumab-containing arms compared to PC had a 95% CI upper limit of less than </w:t>
      </w:r>
      <w:r w:rsidR="005B018F" w:rsidRPr="00310498">
        <w:t>1.</w:t>
      </w:r>
      <w:r w:rsidRPr="00310498">
        <w:t xml:space="preserve">0, but these results </w:t>
      </w:r>
      <w:r w:rsidR="00264B99" w:rsidRPr="00310498">
        <w:t xml:space="preserve">were </w:t>
      </w:r>
      <w:r w:rsidRPr="00310498">
        <w:t xml:space="preserve">not considered to be of statistical significance as they </w:t>
      </w:r>
      <w:r w:rsidR="00264B99" w:rsidRPr="00310498">
        <w:t xml:space="preserve">were </w:t>
      </w:r>
      <w:r w:rsidRPr="00310498">
        <w:t xml:space="preserve">subsets of the OS ITT analysis for which the results did not reach statistical significance. Moreover, the number of patients and events in the dMMR EC subgroup were small and therefore </w:t>
      </w:r>
      <w:r w:rsidR="0054501C" w:rsidRPr="00310498">
        <w:t xml:space="preserve">the analyses were </w:t>
      </w:r>
      <w:r w:rsidRPr="00310498">
        <w:t>associated with higher uncertainty.</w:t>
      </w:r>
    </w:p>
    <w:p w14:paraId="21A7F3E9" w14:textId="148CF2D7" w:rsidR="00485DF5" w:rsidRPr="00310498" w:rsidRDefault="00485DF5" w:rsidP="00485DF5">
      <w:pPr>
        <w:pStyle w:val="3-BodyText"/>
      </w:pPr>
      <w:r w:rsidRPr="00310498">
        <w:t xml:space="preserve">The submission did not present subgroup analyses for OS by </w:t>
      </w:r>
      <w:r w:rsidRPr="7EE24840">
        <w:rPr>
          <w:i/>
          <w:iCs/>
        </w:rPr>
        <w:t>BRCAm</w:t>
      </w:r>
      <w:r w:rsidRPr="00310498">
        <w:t xml:space="preserve"> status. However, the TGA </w:t>
      </w:r>
      <w:r w:rsidR="00A31376" w:rsidRPr="00310498">
        <w:t>CER</w:t>
      </w:r>
      <w:r w:rsidR="00A01A20">
        <w:t xml:space="preserve"> </w:t>
      </w:r>
      <w:r w:rsidRPr="00310498">
        <w:t xml:space="preserve">(round </w:t>
      </w:r>
      <w:r w:rsidR="00FB45E5" w:rsidRPr="00310498">
        <w:t>2</w:t>
      </w:r>
      <w:r w:rsidRPr="00310498">
        <w:t>) noted that based on the dMMR subgroup of the FAS, for non-</w:t>
      </w:r>
      <w:r w:rsidR="00631F06" w:rsidRPr="00310498">
        <w:lastRenderedPageBreak/>
        <w:t xml:space="preserve">tumour </w:t>
      </w:r>
      <w:r w:rsidRPr="7EE24840">
        <w:rPr>
          <w:i/>
          <w:iCs/>
        </w:rPr>
        <w:t xml:space="preserve">BRCAm </w:t>
      </w:r>
      <w:r w:rsidR="00A01A20">
        <w:t>patient</w:t>
      </w:r>
      <w:r w:rsidRPr="00310498">
        <w:t xml:space="preserve">s, and </w:t>
      </w:r>
      <w:r w:rsidR="00A01A20">
        <w:t>patient</w:t>
      </w:r>
      <w:r w:rsidR="00A01A20" w:rsidRPr="00310498">
        <w:t xml:space="preserve">s </w:t>
      </w:r>
      <w:r w:rsidRPr="00310498">
        <w:t>in the FAS for whom the t</w:t>
      </w:r>
      <w:r w:rsidR="00631F06" w:rsidRPr="00310498">
        <w:t xml:space="preserve">umour </w:t>
      </w:r>
      <w:r w:rsidRPr="7EE24840">
        <w:rPr>
          <w:i/>
          <w:iCs/>
        </w:rPr>
        <w:t>BRCAm</w:t>
      </w:r>
      <w:r w:rsidRPr="00310498">
        <w:t xml:space="preserve"> status was unknown</w:t>
      </w:r>
      <w:r w:rsidRPr="00196C37">
        <w:t>,</w:t>
      </w:r>
      <w:r w:rsidR="00A27FA9" w:rsidRPr="00A27FA9">
        <w:t xml:space="preserve"> </w:t>
      </w:r>
      <w:r w:rsidR="12EA5264" w:rsidRPr="7EE24840">
        <w:rPr>
          <w:color w:val="000000" w:themeColor="text1"/>
        </w:rPr>
        <w:t>|</w:t>
      </w:r>
      <w:r w:rsidR="2A5F4E34" w:rsidRPr="00A27FA9">
        <w:t xml:space="preserve"> </w:t>
      </w:r>
      <w:r w:rsidR="2A5F4E34" w:rsidRPr="7EE24840">
        <w:rPr>
          <w:color w:val="000000" w:themeColor="text1"/>
        </w:rPr>
        <w:t>|</w:t>
      </w:r>
      <w:r w:rsidR="00A27FA9" w:rsidRPr="00A27FA9">
        <w:t xml:space="preserve"> </w:t>
      </w:r>
      <w:r w:rsidR="44DDB029" w:rsidRPr="7EE24840">
        <w:rPr>
          <w:color w:val="000000" w:themeColor="text1"/>
        </w:rPr>
        <w:t>|</w:t>
      </w:r>
      <w:r w:rsidR="00A27FA9" w:rsidRPr="00A27FA9">
        <w:t xml:space="preserve"> </w:t>
      </w:r>
      <w:r w:rsidR="6BAD701A" w:rsidRPr="7EE24840">
        <w:rPr>
          <w:color w:val="000000" w:themeColor="text1"/>
        </w:rPr>
        <w:t>|</w:t>
      </w:r>
      <w:r w:rsidR="00A27FA9" w:rsidRPr="00A27FA9">
        <w:t xml:space="preserve"> </w:t>
      </w:r>
      <w:r w:rsidR="6B95C899" w:rsidRPr="7EE24840">
        <w:rPr>
          <w:color w:val="000000" w:themeColor="text1"/>
        </w:rPr>
        <w:t>|</w:t>
      </w:r>
      <w:r w:rsidR="00A27FA9" w:rsidRPr="00A27FA9">
        <w:t xml:space="preserve"> </w:t>
      </w:r>
      <w:r w:rsidR="58A0698B" w:rsidRPr="7EE24840">
        <w:rPr>
          <w:color w:val="000000" w:themeColor="text1"/>
        </w:rPr>
        <w:t>|</w:t>
      </w:r>
      <w:r w:rsidR="00A27FA9" w:rsidRPr="00A27FA9">
        <w:t xml:space="preserve"> </w:t>
      </w:r>
      <w:r w:rsidR="061604F3" w:rsidRPr="7EE24840">
        <w:rPr>
          <w:color w:val="000000" w:themeColor="text1"/>
        </w:rPr>
        <w:t>|</w:t>
      </w:r>
      <w:r w:rsidR="00A27FA9" w:rsidRPr="00A27FA9">
        <w:t xml:space="preserve"> </w:t>
      </w:r>
      <w:r w:rsidR="1BD4AEB9" w:rsidRPr="7EE24840">
        <w:rPr>
          <w:color w:val="000000" w:themeColor="text1"/>
        </w:rPr>
        <w:t>|</w:t>
      </w:r>
      <w:r w:rsidR="00A27FA9" w:rsidRPr="00A27FA9">
        <w:t xml:space="preserve"> </w:t>
      </w:r>
      <w:r w:rsidR="14CB66B4" w:rsidRPr="7EE24840">
        <w:rPr>
          <w:color w:val="000000" w:themeColor="text1"/>
        </w:rPr>
        <w:t>|</w:t>
      </w:r>
      <w:r w:rsidR="00A27FA9" w:rsidRPr="00A27FA9">
        <w:t xml:space="preserve"> </w:t>
      </w:r>
      <w:r w:rsidR="138FACFE" w:rsidRPr="7EE24840">
        <w:rPr>
          <w:color w:val="000000" w:themeColor="text1"/>
        </w:rPr>
        <w:t>|</w:t>
      </w:r>
      <w:r w:rsidR="00A27FA9" w:rsidRPr="00A27FA9">
        <w:t xml:space="preserve"> </w:t>
      </w:r>
      <w:r w:rsidR="3C32FE96" w:rsidRPr="7EE24840">
        <w:rPr>
          <w:color w:val="000000" w:themeColor="text1"/>
        </w:rPr>
        <w:t>|</w:t>
      </w:r>
      <w:r w:rsidR="3C32FE96">
        <w:t xml:space="preserve"> </w:t>
      </w:r>
      <w:r w:rsidR="3C32FE96" w:rsidRPr="7EE24840">
        <w:rPr>
          <w:color w:val="000000" w:themeColor="text1"/>
        </w:rPr>
        <w:t>|</w:t>
      </w:r>
      <w:r w:rsidR="3C32FE96">
        <w:t xml:space="preserve"> </w:t>
      </w:r>
      <w:r w:rsidR="3C32FE96" w:rsidRPr="7EE24840">
        <w:rPr>
          <w:color w:val="000000" w:themeColor="text1"/>
        </w:rPr>
        <w:t>|</w:t>
      </w:r>
      <w:r w:rsidR="3C32FE96">
        <w:t xml:space="preserve"> </w:t>
      </w:r>
      <w:r w:rsidR="3C32FE96" w:rsidRPr="7EE24840">
        <w:rPr>
          <w:color w:val="000000" w:themeColor="text1"/>
        </w:rPr>
        <w:t>|</w:t>
      </w:r>
      <w:r w:rsidR="3C32FE96">
        <w:t xml:space="preserve"> </w:t>
      </w:r>
      <w:r w:rsidR="3C32FE96" w:rsidRPr="7EE24840">
        <w:rPr>
          <w:color w:val="000000" w:themeColor="text1"/>
        </w:rPr>
        <w:t>|</w:t>
      </w:r>
      <w:r w:rsidR="00A27FA9" w:rsidRPr="00A27FA9">
        <w:t xml:space="preserve"> </w:t>
      </w:r>
      <w:r w:rsidR="49F693FD" w:rsidRPr="7EE24840">
        <w:rPr>
          <w:color w:val="000000" w:themeColor="text1"/>
        </w:rPr>
        <w:t>|</w:t>
      </w:r>
      <w:r w:rsidR="49F693FD">
        <w:t xml:space="preserve"> </w:t>
      </w:r>
      <w:r w:rsidR="49F693FD" w:rsidRPr="7EE24840">
        <w:rPr>
          <w:color w:val="000000" w:themeColor="text1"/>
        </w:rPr>
        <w:t>|</w:t>
      </w:r>
      <w:r w:rsidR="49F693FD">
        <w:t xml:space="preserve"> </w:t>
      </w:r>
      <w:r w:rsidR="49F693FD" w:rsidRPr="7EE24840">
        <w:rPr>
          <w:color w:val="000000" w:themeColor="text1"/>
        </w:rPr>
        <w:t>|</w:t>
      </w:r>
      <w:r w:rsidR="49F693FD">
        <w:t xml:space="preserve"> </w:t>
      </w:r>
      <w:r w:rsidR="49F693FD" w:rsidRPr="7EE24840">
        <w:rPr>
          <w:color w:val="000000" w:themeColor="text1"/>
        </w:rPr>
        <w:t>|</w:t>
      </w:r>
      <w:r w:rsidR="49F693FD">
        <w:t xml:space="preserve"> </w:t>
      </w:r>
      <w:r w:rsidR="7A079773" w:rsidRPr="7EE24840">
        <w:rPr>
          <w:color w:val="000000" w:themeColor="text1"/>
        </w:rPr>
        <w:t>|</w:t>
      </w:r>
      <w:r w:rsidR="7A079773">
        <w:t xml:space="preserve"> </w:t>
      </w:r>
      <w:r w:rsidR="7A079773" w:rsidRPr="7EE24840">
        <w:rPr>
          <w:color w:val="000000" w:themeColor="text1"/>
        </w:rPr>
        <w:t>|</w:t>
      </w:r>
      <w:r w:rsidR="7A079773">
        <w:t xml:space="preserve"> </w:t>
      </w:r>
      <w:r w:rsidR="7A079773" w:rsidRPr="7EE24840">
        <w:rPr>
          <w:color w:val="000000" w:themeColor="text1"/>
        </w:rPr>
        <w:t>|</w:t>
      </w:r>
      <w:r w:rsidR="7A079773">
        <w:t xml:space="preserve"> </w:t>
      </w:r>
      <w:r w:rsidR="7A079773" w:rsidRPr="7EE24840">
        <w:rPr>
          <w:color w:val="000000" w:themeColor="text1"/>
        </w:rPr>
        <w:t>|</w:t>
      </w:r>
      <w:r w:rsidR="7A079773">
        <w:t xml:space="preserve"> </w:t>
      </w:r>
      <w:r w:rsidR="748510A1" w:rsidRPr="7EE24840">
        <w:rPr>
          <w:color w:val="000000" w:themeColor="text1"/>
        </w:rPr>
        <w:t>|</w:t>
      </w:r>
      <w:r w:rsidR="748510A1">
        <w:t xml:space="preserve"> </w:t>
      </w:r>
      <w:r w:rsidR="748510A1" w:rsidRPr="7EE24840">
        <w:rPr>
          <w:color w:val="000000" w:themeColor="text1"/>
        </w:rPr>
        <w:t>|</w:t>
      </w:r>
      <w:r w:rsidR="748510A1">
        <w:t xml:space="preserve"> </w:t>
      </w:r>
      <w:r w:rsidR="748510A1" w:rsidRPr="7EE24840">
        <w:rPr>
          <w:color w:val="000000" w:themeColor="text1"/>
        </w:rPr>
        <w:t>|</w:t>
      </w:r>
      <w:r w:rsidR="748510A1">
        <w:t xml:space="preserve"> </w:t>
      </w:r>
      <w:r w:rsidR="748510A1" w:rsidRPr="7EE24840">
        <w:rPr>
          <w:color w:val="000000" w:themeColor="text1"/>
        </w:rPr>
        <w:t>|</w:t>
      </w:r>
      <w:r w:rsidR="748510A1">
        <w:t xml:space="preserve"> </w:t>
      </w:r>
      <w:r w:rsidR="748510A1" w:rsidRPr="7EE24840">
        <w:rPr>
          <w:color w:val="000000" w:themeColor="text1"/>
        </w:rPr>
        <w:t>|</w:t>
      </w:r>
      <w:r w:rsidRPr="00310498">
        <w:t xml:space="preserve"> </w:t>
      </w:r>
      <w:r w:rsidR="00105983">
        <w:rPr>
          <w:rStyle w:val="FootnoteReference"/>
        </w:rPr>
        <w:footnoteReference w:id="7"/>
      </w:r>
    </w:p>
    <w:p w14:paraId="5F41077A" w14:textId="21E09AD4" w:rsidR="00127988" w:rsidRPr="00310498" w:rsidRDefault="00485DF5" w:rsidP="00B16129">
      <w:pPr>
        <w:pStyle w:val="3-BodyText"/>
      </w:pPr>
      <w:r w:rsidRPr="00310498">
        <w:t xml:space="preserve">At the DCO, </w:t>
      </w:r>
      <w:r w:rsidR="009F2EE7" w:rsidRPr="00310498">
        <w:t>for the outcome second disease progression or death (PFS2)</w:t>
      </w:r>
      <w:r w:rsidR="00127988" w:rsidRPr="00310498">
        <w:t>:</w:t>
      </w:r>
    </w:p>
    <w:p w14:paraId="7715D455" w14:textId="7E0E35E7" w:rsidR="009F2EE7" w:rsidRPr="00310498" w:rsidRDefault="00485DF5" w:rsidP="003E1068">
      <w:pPr>
        <w:pStyle w:val="3-BodyText"/>
        <w:numPr>
          <w:ilvl w:val="0"/>
          <w:numId w:val="12"/>
        </w:numPr>
        <w:ind w:left="1080"/>
      </w:pPr>
      <w:r w:rsidRPr="00310498">
        <w:t xml:space="preserve">245 PFS2 events </w:t>
      </w:r>
      <w:r w:rsidR="00127988" w:rsidRPr="00310498">
        <w:t xml:space="preserve">were reported in the FAS </w:t>
      </w:r>
      <w:r w:rsidRPr="00310498">
        <w:t>(34.1% maturity)</w:t>
      </w:r>
      <w:r w:rsidR="009F2EE7" w:rsidRPr="00310498">
        <w:t>;</w:t>
      </w:r>
    </w:p>
    <w:p w14:paraId="07CE18E6" w14:textId="0236E2DF" w:rsidR="009F2EE7" w:rsidRPr="00310498" w:rsidRDefault="00485DF5" w:rsidP="003E1068">
      <w:pPr>
        <w:pStyle w:val="3-BodyText"/>
        <w:numPr>
          <w:ilvl w:val="0"/>
          <w:numId w:val="12"/>
        </w:numPr>
        <w:ind w:left="1080"/>
      </w:pPr>
      <w:r w:rsidRPr="00310498">
        <w:t xml:space="preserve">PFS2 events has occurred in 35.7% of patients in the durvalumab + PC arm compared with 39.8% of patients in the PC arm (HR </w:t>
      </w:r>
      <w:r w:rsidR="005B018F" w:rsidRPr="00310498">
        <w:t xml:space="preserve">= </w:t>
      </w:r>
      <w:r w:rsidRPr="00310498">
        <w:t>0.80, 95% CI</w:t>
      </w:r>
      <w:r w:rsidR="005B018F" w:rsidRPr="00310498">
        <w:t>:</w:t>
      </w:r>
      <w:r w:rsidRPr="00310498">
        <w:t xml:space="preserve"> 0.59</w:t>
      </w:r>
      <w:r w:rsidR="005B018F" w:rsidRPr="00310498">
        <w:t xml:space="preserve">, </w:t>
      </w:r>
      <w:r w:rsidRPr="00310498">
        <w:t xml:space="preserve">1.07) and 26.8% of patients in the durvalumab + PC + olaparib arm (HR </w:t>
      </w:r>
      <w:r w:rsidR="005B018F" w:rsidRPr="00310498">
        <w:t xml:space="preserve">= </w:t>
      </w:r>
      <w:r w:rsidRPr="00310498">
        <w:t>0.55, 95% CI</w:t>
      </w:r>
      <w:r w:rsidR="005B018F" w:rsidRPr="00310498">
        <w:t>:</w:t>
      </w:r>
      <w:r w:rsidRPr="00310498">
        <w:t xml:space="preserve"> 0.40</w:t>
      </w:r>
      <w:r w:rsidR="005B018F" w:rsidRPr="00310498">
        <w:t xml:space="preserve">, </w:t>
      </w:r>
      <w:r w:rsidRPr="00310498">
        <w:t>0.76 versus PC)</w:t>
      </w:r>
      <w:r w:rsidR="00317A8E" w:rsidRPr="00310498">
        <w:t>; and</w:t>
      </w:r>
    </w:p>
    <w:p w14:paraId="0A657D7E" w14:textId="306EC8F5" w:rsidR="003313D9" w:rsidRPr="00310498" w:rsidRDefault="00485DF5" w:rsidP="003E1068">
      <w:pPr>
        <w:pStyle w:val="3-BodyText"/>
        <w:numPr>
          <w:ilvl w:val="0"/>
          <w:numId w:val="12"/>
        </w:numPr>
        <w:ind w:left="1080"/>
      </w:pPr>
      <w:r w:rsidRPr="00310498">
        <w:t>The median PFS2 for patients in the PC arm was 19.1 months versus 22.2 months in durvalumab + PC arm and not yet reached in the durvalumab + PC + olaparib arm.</w:t>
      </w:r>
    </w:p>
    <w:p w14:paraId="17E5AD6A" w14:textId="75BAE694" w:rsidR="00FB45E5" w:rsidRPr="00310498" w:rsidRDefault="00FB45E5" w:rsidP="00FB45E5">
      <w:pPr>
        <w:pStyle w:val="3-BodyText"/>
        <w:numPr>
          <w:ilvl w:val="0"/>
          <w:numId w:val="0"/>
        </w:numPr>
        <w:ind w:left="720" w:hanging="720"/>
        <w:rPr>
          <w:u w:val="single"/>
        </w:rPr>
      </w:pPr>
      <w:r w:rsidRPr="00310498">
        <w:rPr>
          <w:u w:val="single"/>
        </w:rPr>
        <w:t>Other outcomes – DUO-E</w:t>
      </w:r>
    </w:p>
    <w:p w14:paraId="1327C166" w14:textId="5837CADB" w:rsidR="00E14031" w:rsidRPr="00310498" w:rsidRDefault="00E14031" w:rsidP="00B45E01">
      <w:pPr>
        <w:pStyle w:val="3-BodyText"/>
      </w:pPr>
      <w:r w:rsidRPr="00310498">
        <w:t>The submission also presented other outcomes from DUO-E. Briefly:</w:t>
      </w:r>
    </w:p>
    <w:p w14:paraId="348E2276" w14:textId="77777777" w:rsidR="0037301B" w:rsidRPr="00310498" w:rsidRDefault="00B5623C" w:rsidP="003E1068">
      <w:pPr>
        <w:pStyle w:val="3-BodyText"/>
        <w:numPr>
          <w:ilvl w:val="0"/>
          <w:numId w:val="12"/>
        </w:numPr>
        <w:ind w:left="1080"/>
      </w:pPr>
      <w:r w:rsidRPr="00310498">
        <w:t>Time to second progression (PFS2) was generally longer in durvalumab + PC and durvalumab + PC + olaparib compared to PC</w:t>
      </w:r>
      <w:r w:rsidR="0037301B" w:rsidRPr="00310498">
        <w:t xml:space="preserve"> in both dMMR and pMMR subgroups;</w:t>
      </w:r>
    </w:p>
    <w:p w14:paraId="70772083" w14:textId="77259DF4" w:rsidR="00E14031" w:rsidRPr="00310498" w:rsidRDefault="0037301B" w:rsidP="003E1068">
      <w:pPr>
        <w:pStyle w:val="3-BodyText"/>
        <w:numPr>
          <w:ilvl w:val="0"/>
          <w:numId w:val="12"/>
        </w:numPr>
        <w:ind w:left="1080"/>
      </w:pPr>
      <w:r w:rsidRPr="00310498">
        <w:t xml:space="preserve">Objective response rate (ORR) was assessed in the 81.3% of patients (584/718) with measurable disease at baseline. </w:t>
      </w:r>
      <w:r w:rsidR="00546BD9" w:rsidRPr="00310498">
        <w:t>ORR favoured durvalumab + PC and durvalumab + PC + olaparib compared to PC but the 95% for the estimated odds ratios all included the null;</w:t>
      </w:r>
    </w:p>
    <w:p w14:paraId="53B734AA" w14:textId="5F770CFA" w:rsidR="00546BD9" w:rsidRPr="00310498" w:rsidRDefault="00546BD9" w:rsidP="003E1068">
      <w:pPr>
        <w:pStyle w:val="3-BodyText"/>
        <w:numPr>
          <w:ilvl w:val="0"/>
          <w:numId w:val="12"/>
        </w:numPr>
        <w:ind w:left="1080"/>
      </w:pPr>
      <w:r w:rsidRPr="00310498">
        <w:t xml:space="preserve">In the FAS, median duration of response was 7.7 months in the PC arm, 13.1 months in the durvalumab + PC arm and 21.3 months in the durvalumab + PC + olaparib arm, with the same median time to onset of response across all treatment arms (2.1 months). </w:t>
      </w:r>
      <w:r w:rsidR="000966BF" w:rsidRPr="00310498">
        <w:t>Median duration of response appeared to be longer in all treatment arms in dMMR compared to pMMR.</w:t>
      </w:r>
    </w:p>
    <w:p w14:paraId="7CBBD7AB" w14:textId="7CE21F2E" w:rsidR="00485DF5" w:rsidRPr="00310498" w:rsidRDefault="00485DF5" w:rsidP="00485DF5">
      <w:pPr>
        <w:pStyle w:val="3-BodyText"/>
      </w:pPr>
      <w:r w:rsidRPr="00310498">
        <w:t xml:space="preserve">Results for the DUO-E patient reported outcomes (PROs) were not available by MMR status. In the economic model, </w:t>
      </w:r>
      <w:r w:rsidR="00BC10DA" w:rsidRPr="00310498">
        <w:t xml:space="preserve">which included only pMMR EC patients, </w:t>
      </w:r>
      <w:r w:rsidRPr="00310498">
        <w:t>utilities were applied based on the different health states.</w:t>
      </w:r>
      <w:r w:rsidR="0087320E" w:rsidRPr="00310498">
        <w:t xml:space="preserve"> </w:t>
      </w:r>
    </w:p>
    <w:p w14:paraId="7E24D07C" w14:textId="5C027490" w:rsidR="00FB45E5" w:rsidRPr="00310498" w:rsidRDefault="00FB45E5" w:rsidP="00FB45E5">
      <w:pPr>
        <w:pStyle w:val="3-BodyText"/>
        <w:numPr>
          <w:ilvl w:val="0"/>
          <w:numId w:val="0"/>
        </w:numPr>
        <w:rPr>
          <w:u w:val="single"/>
        </w:rPr>
      </w:pPr>
      <w:r w:rsidRPr="00310498">
        <w:rPr>
          <w:u w:val="single"/>
        </w:rPr>
        <w:t>Indirect treatment comparison</w:t>
      </w:r>
    </w:p>
    <w:p w14:paraId="2FD822A8" w14:textId="56AE0BD4" w:rsidR="00485DF5" w:rsidRPr="00310498" w:rsidRDefault="001578B2" w:rsidP="00485DF5">
      <w:pPr>
        <w:pStyle w:val="3-BodyText"/>
      </w:pPr>
      <w:bookmarkStart w:id="47" w:name="_Ref182471045"/>
      <w:r w:rsidRPr="00310498">
        <w:t xml:space="preserve">As discussed in paragraph </w:t>
      </w:r>
      <w:r w:rsidRPr="00310498">
        <w:fldChar w:fldCharType="begin" w:fldLock="1"/>
      </w:r>
      <w:r w:rsidRPr="00310498">
        <w:instrText xml:space="preserve"> REF _Ref174978801 \r \h </w:instrText>
      </w:r>
      <w:r w:rsidR="00944CE7" w:rsidRPr="00310498">
        <w:instrText xml:space="preserve"> \* MERGEFORMAT </w:instrText>
      </w:r>
      <w:r w:rsidRPr="00310498">
        <w:fldChar w:fldCharType="separate"/>
      </w:r>
      <w:r w:rsidR="00A0075B">
        <w:t>6.6</w:t>
      </w:r>
      <w:r w:rsidRPr="00310498">
        <w:fldChar w:fldCharType="end"/>
      </w:r>
      <w:r w:rsidRPr="00310498">
        <w:t>, t</w:t>
      </w:r>
      <w:r w:rsidR="00485DF5" w:rsidRPr="00310498">
        <w:t xml:space="preserve">o support the comparison of durvalumab </w:t>
      </w:r>
      <w:r w:rsidRPr="00310498">
        <w:t xml:space="preserve">+ PC </w:t>
      </w:r>
      <w:r w:rsidR="00485DF5" w:rsidRPr="00310498">
        <w:t xml:space="preserve">and dostarlimab </w:t>
      </w:r>
      <w:r w:rsidRPr="00310498">
        <w:t xml:space="preserve">+ PC </w:t>
      </w:r>
      <w:r w:rsidR="00485DF5" w:rsidRPr="00310498">
        <w:t xml:space="preserve">in patients with dMMR EC, the submission presented three ITCs, using data from DUO-E for durvalumab and RUBY for dostarlimab </w:t>
      </w:r>
      <w:r w:rsidR="002816DC" w:rsidRPr="00310498">
        <w:t>using</w:t>
      </w:r>
      <w:r w:rsidR="00485DF5" w:rsidRPr="00310498">
        <w:t xml:space="preserve"> PC </w:t>
      </w:r>
      <w:r w:rsidR="002816DC" w:rsidRPr="00310498">
        <w:t>as</w:t>
      </w:r>
      <w:r w:rsidR="00485DF5" w:rsidRPr="00310498">
        <w:t xml:space="preserve"> the common comparator:</w:t>
      </w:r>
      <w:bookmarkEnd w:id="47"/>
    </w:p>
    <w:p w14:paraId="11B64154" w14:textId="53C1ACAB" w:rsidR="00485DF5" w:rsidRPr="00310498" w:rsidRDefault="00485DF5" w:rsidP="00074DE2">
      <w:pPr>
        <w:pStyle w:val="ListParagraph"/>
        <w:ind w:left="1134"/>
        <w:jc w:val="both"/>
      </w:pPr>
      <w:r w:rsidRPr="00310498">
        <w:lastRenderedPageBreak/>
        <w:t xml:space="preserve">ITC 1: Unadjusted </w:t>
      </w:r>
      <w:r w:rsidR="002816DC" w:rsidRPr="00310498">
        <w:t>I</w:t>
      </w:r>
      <w:r w:rsidRPr="00310498">
        <w:t xml:space="preserve">TC using data for dMMR EC </w:t>
      </w:r>
      <w:r w:rsidR="005D6C42" w:rsidRPr="00310498">
        <w:t xml:space="preserve">patients </w:t>
      </w:r>
      <w:r w:rsidRPr="00310498">
        <w:t xml:space="preserve">from DUO-E </w:t>
      </w:r>
      <w:r w:rsidR="005D6C42" w:rsidRPr="00310498">
        <w:t>and</w:t>
      </w:r>
      <w:r w:rsidRPr="00310498">
        <w:t xml:space="preserve"> dMMR and/or MSI-H data from RUBY (OS and PFS</w:t>
      </w:r>
      <w:r w:rsidR="005D6C42" w:rsidRPr="00310498">
        <w:t xml:space="preserve"> assessed</w:t>
      </w:r>
      <w:r w:rsidRPr="00310498">
        <w:t>).</w:t>
      </w:r>
    </w:p>
    <w:p w14:paraId="17F4F322" w14:textId="5C9368E3" w:rsidR="00485DF5" w:rsidRPr="00310498" w:rsidRDefault="00485DF5" w:rsidP="00074DE2">
      <w:pPr>
        <w:pStyle w:val="ListParagraph"/>
        <w:ind w:left="1134"/>
        <w:jc w:val="both"/>
      </w:pPr>
      <w:r w:rsidRPr="00310498">
        <w:t>ITC 2: Unadjusted ITC including patients with dMMR and/or MSI-H in both DUO-E and RUBY (OS and PFS</w:t>
      </w:r>
      <w:r w:rsidR="005D6C42" w:rsidRPr="00310498">
        <w:t xml:space="preserve"> assessed</w:t>
      </w:r>
      <w:r w:rsidRPr="00310498">
        <w:t xml:space="preserve">). Whilst the PBS restriction for dostarlimab is specifically for dMMR patients, RUBY recruited patients </w:t>
      </w:r>
      <w:r w:rsidR="005D6C42" w:rsidRPr="00310498">
        <w:t>using either</w:t>
      </w:r>
      <w:r w:rsidRPr="00310498">
        <w:t xml:space="preserve"> MSI status or IHC for MMR status. To address this difference, DUO-E samples were retrospectively retested for MSI status, and MSI-H patients without dMMR were identified (n=12), thereby increasing the DUO-E sample size from 95 to 107 patients. While this method resulted in identifying both dMMR and MSI-H patients for DUO-E in line with RUBY, these patient populations </w:t>
      </w:r>
      <w:r w:rsidR="003B7034" w:rsidRPr="00310498">
        <w:t xml:space="preserve">were </w:t>
      </w:r>
      <w:r w:rsidRPr="00310498">
        <w:t>inconsistent with the dostarlimab PBS restriction and the proposed durvalumab restriction due to the inclusion of MSI-H patients. It was also unadjusted for differences in the trial patient populations.</w:t>
      </w:r>
    </w:p>
    <w:p w14:paraId="2B201AFF" w14:textId="395CF283" w:rsidR="00485DF5" w:rsidRPr="00310498" w:rsidRDefault="00485DF5" w:rsidP="0083431C">
      <w:pPr>
        <w:pStyle w:val="ListParagraph"/>
        <w:ind w:left="1134"/>
        <w:jc w:val="both"/>
      </w:pPr>
      <w:r w:rsidRPr="00310498">
        <w:t xml:space="preserve">ITC 3: Matching-adjusted indirect comparison (MAIC) </w:t>
      </w:r>
      <w:r w:rsidR="005D6C42" w:rsidRPr="00310498">
        <w:t xml:space="preserve">was conducted </w:t>
      </w:r>
      <w:r w:rsidRPr="00310498">
        <w:t>as for ITC 2 but further adjusted for differences found across DUO-E and RUBY baseline characteristics with respect to patients from the Asian region and with Stage III v</w:t>
      </w:r>
      <w:r w:rsidR="0032043A">
        <w:t>ersu</w:t>
      </w:r>
      <w:r w:rsidRPr="00310498">
        <w:t>s Stage IV newly diagnosed advanced or metastatic disease (</w:t>
      </w:r>
      <w:r w:rsidR="000D23FB" w:rsidRPr="00310498">
        <w:t xml:space="preserve">only </w:t>
      </w:r>
      <w:r w:rsidRPr="00310498">
        <w:t xml:space="preserve">PFS </w:t>
      </w:r>
      <w:r w:rsidR="000D23FB" w:rsidRPr="00310498">
        <w:t>assessed</w:t>
      </w:r>
      <w:r w:rsidRPr="00310498">
        <w:t>).</w:t>
      </w:r>
    </w:p>
    <w:p w14:paraId="777B0E63" w14:textId="1568536C" w:rsidR="00184499" w:rsidRPr="00310498" w:rsidRDefault="00EE4C00" w:rsidP="00827CAD">
      <w:pPr>
        <w:pStyle w:val="3-BodyText"/>
      </w:pPr>
      <w:r w:rsidRPr="00310498">
        <w:t>In ITC</w:t>
      </w:r>
      <w:r w:rsidR="0032043A">
        <w:t xml:space="preserve"> </w:t>
      </w:r>
      <w:r w:rsidRPr="00310498">
        <w:t xml:space="preserve">3, </w:t>
      </w:r>
      <w:r w:rsidR="0083431C" w:rsidRPr="00310498">
        <w:t>t</w:t>
      </w:r>
      <w:r w:rsidRPr="00310498">
        <w:t>o determine whether matching had minimised differences, the baseline characteristics of the durvalumab + PC and PC arms before and after matching were summarised and compared against the published baseline data for RUBY (</w:t>
      </w:r>
      <w:r w:rsidRPr="00310498">
        <w:fldChar w:fldCharType="begin" w:fldLock="1"/>
      </w:r>
      <w:r w:rsidRPr="00310498">
        <w:instrText xml:space="preserve"> REF _Ref174979710 \h </w:instrText>
      </w:r>
      <w:r w:rsidR="00944CE7" w:rsidRPr="00310498">
        <w:instrText xml:space="preserve"> \* MERGEFORMAT </w:instrText>
      </w:r>
      <w:r w:rsidRPr="00310498">
        <w:fldChar w:fldCharType="separate"/>
      </w:r>
      <w:r w:rsidR="002C52D8" w:rsidRPr="00310498">
        <w:t xml:space="preserve">Table </w:t>
      </w:r>
      <w:r w:rsidR="002C52D8">
        <w:rPr>
          <w:noProof/>
        </w:rPr>
        <w:t>11</w:t>
      </w:r>
      <w:r w:rsidRPr="00310498">
        <w:fldChar w:fldCharType="end"/>
      </w:r>
      <w:r w:rsidRPr="00310498">
        <w:t>). The weights estimated in the MAIC were summarised using summary statistics and histogram plots. The histogram of weights was inspected to identify the presence of extreme weights (indicating that the MAIC is influenced by the outcomes of a small number of patients). The effective sample size (ESS) was calculated to approximate the sample size required to obtain a similar level of precision as the weighted data. (A low ESS may indicate a lack of overlap in the matching populations and/or the overmatching of characteristics across studies.)</w:t>
      </w:r>
      <w:r w:rsidR="00322049" w:rsidRPr="00310498">
        <w:t xml:space="preserve"> </w:t>
      </w:r>
      <w:r w:rsidR="002A2BD0" w:rsidRPr="00310498">
        <w:t>T</w:t>
      </w:r>
      <w:r w:rsidR="00322049" w:rsidRPr="00310498">
        <w:t>he submission</w:t>
      </w:r>
      <w:r w:rsidR="006D4C9B" w:rsidRPr="00310498">
        <w:t xml:space="preserve"> stated that</w:t>
      </w:r>
      <w:r w:rsidR="00AB30D7" w:rsidRPr="00310498">
        <w:t xml:space="preserve"> ITC</w:t>
      </w:r>
      <w:r w:rsidR="0032043A">
        <w:t xml:space="preserve"> </w:t>
      </w:r>
      <w:r w:rsidR="00AB30D7" w:rsidRPr="00310498">
        <w:t xml:space="preserve">3 </w:t>
      </w:r>
      <w:r w:rsidR="000A5554" w:rsidRPr="00310498">
        <w:t xml:space="preserve">included </w:t>
      </w:r>
      <w:r w:rsidR="00AB30D7" w:rsidRPr="00310498">
        <w:t>adjust</w:t>
      </w:r>
      <w:r w:rsidR="000A5554" w:rsidRPr="00310498">
        <w:t>ment</w:t>
      </w:r>
      <w:r w:rsidR="00AB30D7" w:rsidRPr="00310498">
        <w:t xml:space="preserve"> for </w:t>
      </w:r>
      <w:r w:rsidR="000A5554" w:rsidRPr="00310498">
        <w:t xml:space="preserve">the </w:t>
      </w:r>
      <w:r w:rsidR="003D56B5" w:rsidRPr="00310498">
        <w:t xml:space="preserve">main </w:t>
      </w:r>
      <w:r w:rsidR="00AB30D7" w:rsidRPr="00310498">
        <w:t xml:space="preserve">differences </w:t>
      </w:r>
      <w:r w:rsidR="003D56B5" w:rsidRPr="00310498">
        <w:t xml:space="preserve">in baseline characteristics identified </w:t>
      </w:r>
      <w:r w:rsidR="00AB30D7" w:rsidRPr="00310498">
        <w:t>between DUO-E and RUBY</w:t>
      </w:r>
      <w:r w:rsidR="002A2BD0" w:rsidRPr="00310498">
        <w:t>, which were the</w:t>
      </w:r>
      <w:r w:rsidR="003D56B5" w:rsidRPr="00310498">
        <w:t xml:space="preserve"> </w:t>
      </w:r>
      <w:r w:rsidR="007F76E1" w:rsidRPr="00310498">
        <w:t xml:space="preserve">proportion of patients in the Asian region and </w:t>
      </w:r>
      <w:r w:rsidR="007000E2" w:rsidRPr="00310498">
        <w:t>EC disease stage</w:t>
      </w:r>
      <w:r w:rsidR="002A2BD0" w:rsidRPr="00310498">
        <w:t xml:space="preserve">. </w:t>
      </w:r>
      <w:r w:rsidR="00184499" w:rsidRPr="00310498">
        <w:t xml:space="preserve">The PSCR </w:t>
      </w:r>
      <w:r w:rsidR="002A2BD0" w:rsidRPr="00310498">
        <w:t>outlined</w:t>
      </w:r>
      <w:r w:rsidR="0068141C" w:rsidRPr="00310498">
        <w:t xml:space="preserve"> </w:t>
      </w:r>
      <w:r w:rsidR="00184499" w:rsidRPr="00310498">
        <w:t xml:space="preserve">that this </w:t>
      </w:r>
      <w:r w:rsidR="002A2BD0" w:rsidRPr="00310498">
        <w:t>adjustment</w:t>
      </w:r>
      <w:r w:rsidR="00184499" w:rsidRPr="00310498">
        <w:t xml:space="preserve"> resulted in different post-weighting values for non-matched characteristics (i</w:t>
      </w:r>
      <w:r w:rsidR="00FB45E5" w:rsidRPr="00310498">
        <w:t>.</w:t>
      </w:r>
      <w:r w:rsidR="00184499" w:rsidRPr="00310498">
        <w:t>e</w:t>
      </w:r>
      <w:r w:rsidR="00FB45E5" w:rsidRPr="00310498">
        <w:t>.</w:t>
      </w:r>
      <w:r w:rsidR="00184499" w:rsidRPr="00310498">
        <w:t xml:space="preserve"> for age group, ECOG status, histological type and race), with some characteristics where the value </w:t>
      </w:r>
      <w:r w:rsidR="002A2BD0" w:rsidRPr="00310498">
        <w:t>wa</w:t>
      </w:r>
      <w:r w:rsidR="00184499" w:rsidRPr="00310498">
        <w:t xml:space="preserve">s more closely matched to RUBY and others where the value </w:t>
      </w:r>
      <w:r w:rsidR="002A2BD0" w:rsidRPr="00310498">
        <w:t>wa</w:t>
      </w:r>
      <w:r w:rsidR="00184499" w:rsidRPr="00310498">
        <w:t xml:space="preserve">s not. An example of the latter was histologic subtype where serous histology in DUO-E increased from 3.7% to 4.1% compared with RUBY 1.7%. </w:t>
      </w:r>
    </w:p>
    <w:p w14:paraId="1BB955DD" w14:textId="509879AD" w:rsidR="00EE4C00" w:rsidRPr="00310498" w:rsidRDefault="00EE4C00" w:rsidP="00932C0A">
      <w:pPr>
        <w:pStyle w:val="Caption"/>
        <w:spacing w:before="0"/>
      </w:pPr>
      <w:bookmarkStart w:id="48" w:name="_Ref174979710"/>
      <w:r w:rsidRPr="00310498">
        <w:lastRenderedPageBreak/>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11</w:t>
      </w:r>
      <w:r w:rsidR="00F267A0" w:rsidRPr="00310498">
        <w:rPr>
          <w:noProof/>
        </w:rPr>
        <w:fldChar w:fldCharType="end"/>
      </w:r>
      <w:bookmarkEnd w:id="48"/>
      <w:r w:rsidRPr="00310498">
        <w:t>: DUO-E (pre and post weighting)</w:t>
      </w:r>
      <w:r w:rsidRPr="00310498">
        <w:rPr>
          <w:b w:val="0"/>
          <w:bCs w:val="0"/>
          <w:vertAlign w:val="superscript"/>
        </w:rPr>
        <w:t xml:space="preserve"> </w:t>
      </w:r>
      <w:r w:rsidRPr="00310498">
        <w:t>and RUBY baseline characteristics for dMMR/MSI-H populations in ITC</w:t>
      </w:r>
      <w:r w:rsidR="00A767ED" w:rsidRPr="00310498">
        <w:t xml:space="preserve"> </w:t>
      </w:r>
      <w:r w:rsidRPr="00310498">
        <w:t>3</w:t>
      </w:r>
    </w:p>
    <w:tbl>
      <w:tblPr>
        <w:tblStyle w:val="SummaryTable1"/>
        <w:tblW w:w="4987" w:type="pct"/>
        <w:tblInd w:w="0" w:type="dxa"/>
        <w:tblLook w:val="0600" w:firstRow="0" w:lastRow="0" w:firstColumn="0" w:lastColumn="0" w:noHBand="1" w:noVBand="1"/>
      </w:tblPr>
      <w:tblGrid>
        <w:gridCol w:w="1697"/>
        <w:gridCol w:w="3118"/>
        <w:gridCol w:w="1417"/>
        <w:gridCol w:w="1403"/>
        <w:gridCol w:w="1381"/>
      </w:tblGrid>
      <w:tr w:rsidR="00EE4C00" w:rsidRPr="00310498" w14:paraId="59C85FE4" w14:textId="77777777" w:rsidTr="00EE4C00">
        <w:trPr>
          <w:trHeight w:val="20"/>
        </w:trPr>
        <w:tc>
          <w:tcPr>
            <w:tcW w:w="941" w:type="pct"/>
            <w:vMerge w:val="restart"/>
            <w:shd w:val="clear" w:color="auto" w:fill="auto"/>
            <w:vAlign w:val="center"/>
          </w:tcPr>
          <w:p w14:paraId="301FB90E" w14:textId="77777777" w:rsidR="00EE4C00" w:rsidRPr="00310498" w:rsidRDefault="00EE4C00" w:rsidP="00EE4C00">
            <w:pPr>
              <w:keepNext/>
              <w:keepLines/>
              <w:jc w:val="left"/>
              <w:rPr>
                <w:rFonts w:ascii="Arial Narrow" w:hAnsi="Arial Narrow"/>
                <w:b/>
                <w:bCs/>
                <w:sz w:val="20"/>
                <w:szCs w:val="20"/>
                <w:lang w:val="en-AU"/>
              </w:rPr>
            </w:pPr>
            <w:r w:rsidRPr="00310498">
              <w:rPr>
                <w:rFonts w:ascii="Arial Narrow" w:hAnsi="Arial Narrow"/>
                <w:b/>
                <w:bCs/>
                <w:sz w:val="20"/>
                <w:szCs w:val="20"/>
                <w:lang w:val="en-AU"/>
              </w:rPr>
              <w:t>Variable</w:t>
            </w:r>
          </w:p>
        </w:tc>
        <w:tc>
          <w:tcPr>
            <w:tcW w:w="1729" w:type="pct"/>
            <w:vMerge w:val="restart"/>
            <w:shd w:val="clear" w:color="auto" w:fill="auto"/>
            <w:vAlign w:val="center"/>
          </w:tcPr>
          <w:p w14:paraId="4C0B29A6" w14:textId="77777777" w:rsidR="00EE4C00" w:rsidRPr="00310498" w:rsidRDefault="00EE4C00" w:rsidP="00EE4C00">
            <w:pPr>
              <w:keepNext/>
              <w:keepLines/>
              <w:jc w:val="center"/>
              <w:rPr>
                <w:rFonts w:ascii="Arial Narrow" w:hAnsi="Arial Narrow"/>
                <w:b/>
                <w:bCs/>
                <w:sz w:val="20"/>
                <w:szCs w:val="20"/>
                <w:lang w:val="en-AU"/>
              </w:rPr>
            </w:pPr>
            <w:r w:rsidRPr="00310498">
              <w:rPr>
                <w:rFonts w:ascii="Arial Narrow" w:hAnsi="Arial Narrow"/>
                <w:b/>
                <w:bCs/>
                <w:sz w:val="20"/>
                <w:szCs w:val="20"/>
                <w:lang w:val="en-AU"/>
              </w:rPr>
              <w:t>Subgroups</w:t>
            </w:r>
          </w:p>
        </w:tc>
        <w:tc>
          <w:tcPr>
            <w:tcW w:w="1564" w:type="pct"/>
            <w:gridSpan w:val="2"/>
            <w:shd w:val="clear" w:color="auto" w:fill="auto"/>
            <w:vAlign w:val="center"/>
          </w:tcPr>
          <w:p w14:paraId="63499DCB" w14:textId="345377AB" w:rsidR="00EE4C00" w:rsidRPr="00310498" w:rsidRDefault="00EE4C00" w:rsidP="00EE4C00">
            <w:pPr>
              <w:keepNext/>
              <w:keepLines/>
              <w:jc w:val="center"/>
              <w:rPr>
                <w:rFonts w:ascii="Arial Narrow" w:hAnsi="Arial Narrow"/>
                <w:b/>
                <w:bCs/>
                <w:sz w:val="20"/>
                <w:szCs w:val="20"/>
                <w:lang w:val="en-AU"/>
              </w:rPr>
            </w:pPr>
            <w:r w:rsidRPr="00310498">
              <w:rPr>
                <w:rFonts w:ascii="Arial Narrow" w:hAnsi="Arial Narrow"/>
                <w:b/>
                <w:bCs/>
                <w:sz w:val="20"/>
                <w:szCs w:val="20"/>
                <w:lang w:val="en-AU"/>
              </w:rPr>
              <w:t>DUO-E</w:t>
            </w:r>
          </w:p>
        </w:tc>
        <w:tc>
          <w:tcPr>
            <w:tcW w:w="766" w:type="pct"/>
            <w:shd w:val="clear" w:color="auto" w:fill="auto"/>
            <w:vAlign w:val="center"/>
          </w:tcPr>
          <w:p w14:paraId="1A376272" w14:textId="77777777" w:rsidR="00EE4C00" w:rsidRPr="00310498" w:rsidRDefault="00EE4C00" w:rsidP="00EE4C00">
            <w:pPr>
              <w:keepNext/>
              <w:keepLines/>
              <w:jc w:val="center"/>
              <w:rPr>
                <w:rFonts w:ascii="Arial Narrow" w:hAnsi="Arial Narrow"/>
                <w:b/>
                <w:bCs/>
                <w:sz w:val="20"/>
                <w:szCs w:val="20"/>
                <w:lang w:val="en-AU"/>
              </w:rPr>
            </w:pPr>
            <w:r w:rsidRPr="00310498">
              <w:rPr>
                <w:rFonts w:ascii="Arial Narrow" w:hAnsi="Arial Narrow"/>
                <w:b/>
                <w:bCs/>
                <w:sz w:val="20"/>
                <w:szCs w:val="20"/>
                <w:lang w:val="en-AU"/>
              </w:rPr>
              <w:t>RUBY</w:t>
            </w:r>
          </w:p>
        </w:tc>
      </w:tr>
      <w:tr w:rsidR="00EE4C00" w:rsidRPr="00310498" w14:paraId="19403A8A" w14:textId="77777777" w:rsidTr="00EE4C00">
        <w:trPr>
          <w:trHeight w:val="20"/>
        </w:trPr>
        <w:tc>
          <w:tcPr>
            <w:tcW w:w="941" w:type="pct"/>
            <w:vMerge/>
            <w:shd w:val="clear" w:color="auto" w:fill="auto"/>
            <w:vAlign w:val="center"/>
            <w:hideMark/>
          </w:tcPr>
          <w:p w14:paraId="77139BAC" w14:textId="77777777" w:rsidR="00EE4C00" w:rsidRPr="00310498" w:rsidRDefault="00EE4C00" w:rsidP="00EE4C00">
            <w:pPr>
              <w:keepNext/>
              <w:keepLines/>
              <w:jc w:val="left"/>
              <w:rPr>
                <w:rFonts w:ascii="Arial Narrow" w:hAnsi="Arial Narrow"/>
                <w:b/>
                <w:bCs/>
                <w:sz w:val="20"/>
                <w:szCs w:val="20"/>
                <w:lang w:val="en-AU"/>
              </w:rPr>
            </w:pPr>
          </w:p>
        </w:tc>
        <w:tc>
          <w:tcPr>
            <w:tcW w:w="1729" w:type="pct"/>
            <w:vMerge/>
            <w:shd w:val="clear" w:color="auto" w:fill="auto"/>
            <w:hideMark/>
          </w:tcPr>
          <w:p w14:paraId="4647FA43" w14:textId="77777777" w:rsidR="00EE4C00" w:rsidRPr="00310498" w:rsidRDefault="00EE4C00" w:rsidP="00EE4C00">
            <w:pPr>
              <w:keepNext/>
              <w:keepLines/>
              <w:rPr>
                <w:rFonts w:ascii="Arial Narrow" w:hAnsi="Arial Narrow"/>
                <w:b/>
                <w:bCs/>
                <w:sz w:val="20"/>
                <w:szCs w:val="20"/>
                <w:lang w:val="en-AU"/>
              </w:rPr>
            </w:pPr>
          </w:p>
        </w:tc>
        <w:tc>
          <w:tcPr>
            <w:tcW w:w="786" w:type="pct"/>
            <w:shd w:val="clear" w:color="auto" w:fill="auto"/>
            <w:vAlign w:val="center"/>
            <w:hideMark/>
          </w:tcPr>
          <w:p w14:paraId="5258C204" w14:textId="77777777" w:rsidR="00EE4C00" w:rsidRPr="00310498" w:rsidRDefault="00EE4C00" w:rsidP="00EE4C00">
            <w:pPr>
              <w:keepNext/>
              <w:keepLines/>
              <w:jc w:val="center"/>
              <w:rPr>
                <w:rFonts w:ascii="Arial Narrow" w:hAnsi="Arial Narrow"/>
                <w:b/>
                <w:bCs/>
                <w:sz w:val="20"/>
                <w:szCs w:val="20"/>
                <w:lang w:val="en-AU"/>
              </w:rPr>
            </w:pPr>
            <w:r w:rsidRPr="00310498">
              <w:rPr>
                <w:rFonts w:ascii="Arial Narrow" w:hAnsi="Arial Narrow"/>
                <w:b/>
                <w:bCs/>
                <w:sz w:val="20"/>
                <w:szCs w:val="20"/>
                <w:lang w:val="en-AU"/>
              </w:rPr>
              <w:t>Pre-weighting</w:t>
            </w:r>
          </w:p>
        </w:tc>
        <w:tc>
          <w:tcPr>
            <w:tcW w:w="778" w:type="pct"/>
            <w:shd w:val="clear" w:color="auto" w:fill="auto"/>
            <w:vAlign w:val="center"/>
            <w:hideMark/>
          </w:tcPr>
          <w:p w14:paraId="3217FFF3" w14:textId="77777777" w:rsidR="00EE4C00" w:rsidRPr="00310498" w:rsidRDefault="00EE4C00" w:rsidP="00EE4C00">
            <w:pPr>
              <w:keepNext/>
              <w:keepLines/>
              <w:jc w:val="center"/>
              <w:rPr>
                <w:rFonts w:ascii="Arial Narrow" w:hAnsi="Arial Narrow"/>
                <w:b/>
                <w:bCs/>
                <w:sz w:val="20"/>
                <w:szCs w:val="20"/>
                <w:lang w:val="en-AU"/>
              </w:rPr>
            </w:pPr>
            <w:r w:rsidRPr="00310498">
              <w:rPr>
                <w:rFonts w:ascii="Arial Narrow" w:hAnsi="Arial Narrow"/>
                <w:b/>
                <w:bCs/>
                <w:sz w:val="20"/>
                <w:szCs w:val="20"/>
                <w:lang w:val="en-AU"/>
              </w:rPr>
              <w:t>Post-weighting</w:t>
            </w:r>
          </w:p>
        </w:tc>
        <w:tc>
          <w:tcPr>
            <w:tcW w:w="766" w:type="pct"/>
            <w:shd w:val="clear" w:color="auto" w:fill="auto"/>
            <w:vAlign w:val="center"/>
            <w:hideMark/>
          </w:tcPr>
          <w:p w14:paraId="5DC2E7B7" w14:textId="0F940D9A" w:rsidR="00EE4C00" w:rsidRPr="00310498" w:rsidRDefault="0030341A" w:rsidP="00EE4C00">
            <w:pPr>
              <w:keepNext/>
              <w:keepLines/>
              <w:jc w:val="center"/>
              <w:rPr>
                <w:rFonts w:ascii="Arial Narrow" w:hAnsi="Arial Narrow"/>
                <w:b/>
                <w:bCs/>
                <w:sz w:val="20"/>
                <w:szCs w:val="20"/>
                <w:lang w:val="en-AU"/>
              </w:rPr>
            </w:pPr>
            <w:r w:rsidRPr="00310498">
              <w:rPr>
                <w:rFonts w:ascii="Arial Narrow" w:hAnsi="Arial Narrow"/>
                <w:b/>
                <w:bCs/>
                <w:sz w:val="20"/>
                <w:szCs w:val="20"/>
                <w:lang w:val="en-AU"/>
              </w:rPr>
              <w:t>-</w:t>
            </w:r>
          </w:p>
        </w:tc>
      </w:tr>
      <w:tr w:rsidR="00EE4C00" w:rsidRPr="00310498" w14:paraId="54033624" w14:textId="77777777" w:rsidTr="00EE4C00">
        <w:trPr>
          <w:trHeight w:val="20"/>
        </w:trPr>
        <w:tc>
          <w:tcPr>
            <w:tcW w:w="941" w:type="pct"/>
            <w:vMerge w:val="restart"/>
            <w:shd w:val="clear" w:color="auto" w:fill="auto"/>
            <w:vAlign w:val="center"/>
            <w:hideMark/>
          </w:tcPr>
          <w:p w14:paraId="5012788E" w14:textId="77777777" w:rsidR="00EE4C00" w:rsidRPr="00310498" w:rsidRDefault="00EE4C00" w:rsidP="00EE4C00">
            <w:pPr>
              <w:keepNext/>
              <w:keepLines/>
              <w:jc w:val="left"/>
              <w:rPr>
                <w:rFonts w:ascii="Arial Narrow" w:hAnsi="Arial Narrow"/>
                <w:sz w:val="20"/>
                <w:szCs w:val="20"/>
                <w:lang w:val="en-AU"/>
              </w:rPr>
            </w:pPr>
            <w:r w:rsidRPr="00310498">
              <w:rPr>
                <w:rFonts w:ascii="Arial Narrow" w:hAnsi="Arial Narrow"/>
                <w:sz w:val="20"/>
                <w:szCs w:val="20"/>
                <w:lang w:val="en-AU"/>
              </w:rPr>
              <w:t>Age group (years)</w:t>
            </w:r>
          </w:p>
        </w:tc>
        <w:tc>
          <w:tcPr>
            <w:tcW w:w="1729" w:type="pct"/>
            <w:shd w:val="clear" w:color="auto" w:fill="auto"/>
            <w:hideMark/>
          </w:tcPr>
          <w:p w14:paraId="6FA7B0CE"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&lt;65</w:t>
            </w:r>
          </w:p>
        </w:tc>
        <w:tc>
          <w:tcPr>
            <w:tcW w:w="786" w:type="pct"/>
            <w:shd w:val="clear" w:color="auto" w:fill="auto"/>
            <w:vAlign w:val="center"/>
            <w:hideMark/>
          </w:tcPr>
          <w:p w14:paraId="0F36CB25"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55.1%</w:t>
            </w:r>
          </w:p>
        </w:tc>
        <w:tc>
          <w:tcPr>
            <w:tcW w:w="778" w:type="pct"/>
            <w:shd w:val="clear" w:color="auto" w:fill="auto"/>
            <w:vAlign w:val="center"/>
            <w:hideMark/>
          </w:tcPr>
          <w:p w14:paraId="441C0B1B"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47.9%</w:t>
            </w:r>
          </w:p>
        </w:tc>
        <w:tc>
          <w:tcPr>
            <w:tcW w:w="766" w:type="pct"/>
            <w:shd w:val="clear" w:color="auto" w:fill="auto"/>
            <w:vAlign w:val="center"/>
            <w:hideMark/>
          </w:tcPr>
          <w:p w14:paraId="02E2DB49"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50.8%</w:t>
            </w:r>
          </w:p>
        </w:tc>
      </w:tr>
      <w:tr w:rsidR="00EE4C00" w:rsidRPr="00310498" w14:paraId="5056FFEB" w14:textId="77777777" w:rsidTr="00EE4C00">
        <w:trPr>
          <w:trHeight w:val="20"/>
        </w:trPr>
        <w:tc>
          <w:tcPr>
            <w:tcW w:w="941" w:type="pct"/>
            <w:vMerge/>
            <w:shd w:val="clear" w:color="auto" w:fill="auto"/>
            <w:vAlign w:val="center"/>
            <w:hideMark/>
          </w:tcPr>
          <w:p w14:paraId="1A40ECE2"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47CC5080"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&gt;=65</w:t>
            </w:r>
          </w:p>
        </w:tc>
        <w:tc>
          <w:tcPr>
            <w:tcW w:w="786" w:type="pct"/>
            <w:shd w:val="clear" w:color="auto" w:fill="auto"/>
            <w:vAlign w:val="center"/>
            <w:hideMark/>
          </w:tcPr>
          <w:p w14:paraId="04391366"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44.9%</w:t>
            </w:r>
          </w:p>
        </w:tc>
        <w:tc>
          <w:tcPr>
            <w:tcW w:w="778" w:type="pct"/>
            <w:shd w:val="clear" w:color="auto" w:fill="auto"/>
            <w:vAlign w:val="center"/>
            <w:hideMark/>
          </w:tcPr>
          <w:p w14:paraId="1CA9DBD1"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52.1%</w:t>
            </w:r>
          </w:p>
        </w:tc>
        <w:tc>
          <w:tcPr>
            <w:tcW w:w="766" w:type="pct"/>
            <w:shd w:val="clear" w:color="auto" w:fill="auto"/>
            <w:vAlign w:val="center"/>
            <w:hideMark/>
          </w:tcPr>
          <w:p w14:paraId="3B629766"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49.2%</w:t>
            </w:r>
          </w:p>
        </w:tc>
      </w:tr>
      <w:tr w:rsidR="00EE4C00" w:rsidRPr="00310498" w14:paraId="11C527C8" w14:textId="77777777" w:rsidTr="00EE4C00">
        <w:trPr>
          <w:trHeight w:val="20"/>
        </w:trPr>
        <w:tc>
          <w:tcPr>
            <w:tcW w:w="941" w:type="pct"/>
            <w:vMerge w:val="restart"/>
            <w:shd w:val="clear" w:color="auto" w:fill="auto"/>
            <w:vAlign w:val="center"/>
            <w:hideMark/>
          </w:tcPr>
          <w:p w14:paraId="34A4A85F" w14:textId="77777777" w:rsidR="00EE4C00" w:rsidRPr="00310498" w:rsidRDefault="00EE4C00" w:rsidP="00EE4C00">
            <w:pPr>
              <w:keepNext/>
              <w:keepLines/>
              <w:jc w:val="left"/>
              <w:rPr>
                <w:rFonts w:ascii="Arial Narrow" w:hAnsi="Arial Narrow"/>
                <w:sz w:val="20"/>
                <w:szCs w:val="20"/>
                <w:lang w:val="en-AU"/>
              </w:rPr>
            </w:pPr>
            <w:r w:rsidRPr="00310498">
              <w:rPr>
                <w:rFonts w:ascii="Arial Narrow" w:hAnsi="Arial Narrow"/>
                <w:sz w:val="20"/>
                <w:szCs w:val="20"/>
                <w:lang w:val="en-AU"/>
              </w:rPr>
              <w:t>Disease status</w:t>
            </w:r>
          </w:p>
        </w:tc>
        <w:tc>
          <w:tcPr>
            <w:tcW w:w="1729" w:type="pct"/>
            <w:shd w:val="clear" w:color="auto" w:fill="auto"/>
            <w:hideMark/>
          </w:tcPr>
          <w:p w14:paraId="2BDC21B9"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Primary stage III</w:t>
            </w:r>
          </w:p>
        </w:tc>
        <w:tc>
          <w:tcPr>
            <w:tcW w:w="786" w:type="pct"/>
            <w:shd w:val="clear" w:color="auto" w:fill="auto"/>
            <w:vAlign w:val="center"/>
            <w:hideMark/>
          </w:tcPr>
          <w:p w14:paraId="37068E8C"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9.3%</w:t>
            </w:r>
          </w:p>
        </w:tc>
        <w:tc>
          <w:tcPr>
            <w:tcW w:w="778" w:type="pct"/>
            <w:shd w:val="clear" w:color="auto" w:fill="auto"/>
            <w:vAlign w:val="center"/>
            <w:hideMark/>
          </w:tcPr>
          <w:p w14:paraId="1197709F"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20.3%</w:t>
            </w:r>
          </w:p>
        </w:tc>
        <w:tc>
          <w:tcPr>
            <w:tcW w:w="766" w:type="pct"/>
            <w:shd w:val="clear" w:color="auto" w:fill="auto"/>
            <w:vAlign w:val="center"/>
            <w:hideMark/>
          </w:tcPr>
          <w:p w14:paraId="79C83C7B"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20.3%</w:t>
            </w:r>
          </w:p>
        </w:tc>
      </w:tr>
      <w:tr w:rsidR="00EE4C00" w:rsidRPr="00310498" w14:paraId="78783AEA" w14:textId="77777777" w:rsidTr="00EE4C00">
        <w:trPr>
          <w:trHeight w:val="20"/>
        </w:trPr>
        <w:tc>
          <w:tcPr>
            <w:tcW w:w="941" w:type="pct"/>
            <w:vMerge/>
            <w:shd w:val="clear" w:color="auto" w:fill="auto"/>
            <w:vAlign w:val="center"/>
            <w:hideMark/>
          </w:tcPr>
          <w:p w14:paraId="5393E91D"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6C62E5FC"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Primary stage IV</w:t>
            </w:r>
          </w:p>
        </w:tc>
        <w:tc>
          <w:tcPr>
            <w:tcW w:w="786" w:type="pct"/>
            <w:shd w:val="clear" w:color="auto" w:fill="auto"/>
            <w:vAlign w:val="center"/>
            <w:hideMark/>
          </w:tcPr>
          <w:p w14:paraId="291DD654"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40.2%</w:t>
            </w:r>
          </w:p>
        </w:tc>
        <w:tc>
          <w:tcPr>
            <w:tcW w:w="778" w:type="pct"/>
            <w:shd w:val="clear" w:color="auto" w:fill="auto"/>
            <w:vAlign w:val="center"/>
            <w:hideMark/>
          </w:tcPr>
          <w:p w14:paraId="78B43000"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29.7%</w:t>
            </w:r>
          </w:p>
        </w:tc>
        <w:tc>
          <w:tcPr>
            <w:tcW w:w="766" w:type="pct"/>
            <w:shd w:val="clear" w:color="auto" w:fill="auto"/>
            <w:vAlign w:val="center"/>
            <w:hideMark/>
          </w:tcPr>
          <w:p w14:paraId="33A267E3"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29.7%</w:t>
            </w:r>
          </w:p>
        </w:tc>
      </w:tr>
      <w:tr w:rsidR="00EE4C00" w:rsidRPr="00310498" w14:paraId="265921F2" w14:textId="77777777" w:rsidTr="00EE4C00">
        <w:trPr>
          <w:trHeight w:val="20"/>
        </w:trPr>
        <w:tc>
          <w:tcPr>
            <w:tcW w:w="941" w:type="pct"/>
            <w:vMerge/>
            <w:shd w:val="clear" w:color="auto" w:fill="auto"/>
            <w:vAlign w:val="center"/>
            <w:hideMark/>
          </w:tcPr>
          <w:p w14:paraId="37791FD7"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3CC74642"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Recurrent</w:t>
            </w:r>
          </w:p>
        </w:tc>
        <w:tc>
          <w:tcPr>
            <w:tcW w:w="786" w:type="pct"/>
            <w:shd w:val="clear" w:color="auto" w:fill="auto"/>
            <w:vAlign w:val="center"/>
            <w:hideMark/>
          </w:tcPr>
          <w:p w14:paraId="43DF32EF"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50.5%</w:t>
            </w:r>
          </w:p>
        </w:tc>
        <w:tc>
          <w:tcPr>
            <w:tcW w:w="778" w:type="pct"/>
            <w:shd w:val="clear" w:color="auto" w:fill="auto"/>
            <w:vAlign w:val="center"/>
            <w:hideMark/>
          </w:tcPr>
          <w:p w14:paraId="64B1D64F"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50.0%</w:t>
            </w:r>
          </w:p>
        </w:tc>
        <w:tc>
          <w:tcPr>
            <w:tcW w:w="766" w:type="pct"/>
            <w:shd w:val="clear" w:color="auto" w:fill="auto"/>
            <w:vAlign w:val="center"/>
            <w:hideMark/>
          </w:tcPr>
          <w:p w14:paraId="15778C96"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50.0%</w:t>
            </w:r>
          </w:p>
        </w:tc>
      </w:tr>
      <w:tr w:rsidR="00EE4C00" w:rsidRPr="00310498" w14:paraId="6A66B2E3" w14:textId="77777777" w:rsidTr="00EE4C00">
        <w:trPr>
          <w:trHeight w:val="20"/>
        </w:trPr>
        <w:tc>
          <w:tcPr>
            <w:tcW w:w="941" w:type="pct"/>
            <w:vMerge w:val="restart"/>
            <w:shd w:val="clear" w:color="auto" w:fill="auto"/>
            <w:vAlign w:val="center"/>
            <w:hideMark/>
          </w:tcPr>
          <w:p w14:paraId="44781762" w14:textId="77777777" w:rsidR="00EE4C00" w:rsidRPr="00310498" w:rsidRDefault="00EE4C00" w:rsidP="00EE4C00">
            <w:pPr>
              <w:keepNext/>
              <w:keepLines/>
              <w:jc w:val="left"/>
              <w:rPr>
                <w:rFonts w:ascii="Arial Narrow" w:hAnsi="Arial Narrow"/>
                <w:sz w:val="20"/>
                <w:szCs w:val="20"/>
                <w:lang w:val="en-AU"/>
              </w:rPr>
            </w:pPr>
            <w:r w:rsidRPr="00310498">
              <w:rPr>
                <w:rFonts w:ascii="Arial Narrow" w:hAnsi="Arial Narrow"/>
                <w:sz w:val="20"/>
                <w:szCs w:val="20"/>
                <w:lang w:val="en-AU"/>
              </w:rPr>
              <w:t>ECOG performance status</w:t>
            </w:r>
          </w:p>
        </w:tc>
        <w:tc>
          <w:tcPr>
            <w:tcW w:w="1729" w:type="pct"/>
            <w:shd w:val="clear" w:color="auto" w:fill="auto"/>
            <w:hideMark/>
          </w:tcPr>
          <w:p w14:paraId="4E25D59B"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(0) Normal activity</w:t>
            </w:r>
          </w:p>
        </w:tc>
        <w:tc>
          <w:tcPr>
            <w:tcW w:w="786" w:type="pct"/>
            <w:shd w:val="clear" w:color="auto" w:fill="auto"/>
            <w:vAlign w:val="center"/>
            <w:hideMark/>
          </w:tcPr>
          <w:p w14:paraId="1C806E55"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57.0%</w:t>
            </w:r>
          </w:p>
        </w:tc>
        <w:tc>
          <w:tcPr>
            <w:tcW w:w="778" w:type="pct"/>
            <w:shd w:val="clear" w:color="auto" w:fill="auto"/>
            <w:vAlign w:val="center"/>
            <w:hideMark/>
          </w:tcPr>
          <w:p w14:paraId="06157040"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58.3%</w:t>
            </w:r>
          </w:p>
        </w:tc>
        <w:tc>
          <w:tcPr>
            <w:tcW w:w="766" w:type="pct"/>
            <w:shd w:val="clear" w:color="auto" w:fill="auto"/>
            <w:vAlign w:val="center"/>
            <w:hideMark/>
          </w:tcPr>
          <w:p w14:paraId="7F7FF1A8"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56.8%</w:t>
            </w:r>
          </w:p>
        </w:tc>
      </w:tr>
      <w:tr w:rsidR="00EE4C00" w:rsidRPr="00310498" w14:paraId="62052A21" w14:textId="77777777" w:rsidTr="00EE4C00">
        <w:trPr>
          <w:trHeight w:val="20"/>
        </w:trPr>
        <w:tc>
          <w:tcPr>
            <w:tcW w:w="941" w:type="pct"/>
            <w:vMerge/>
            <w:shd w:val="clear" w:color="auto" w:fill="auto"/>
            <w:vAlign w:val="center"/>
            <w:hideMark/>
          </w:tcPr>
          <w:p w14:paraId="00E9AE39"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1FCD6892"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(1) Restricted activity</w:t>
            </w:r>
          </w:p>
        </w:tc>
        <w:tc>
          <w:tcPr>
            <w:tcW w:w="786" w:type="pct"/>
            <w:shd w:val="clear" w:color="auto" w:fill="auto"/>
            <w:vAlign w:val="center"/>
            <w:hideMark/>
          </w:tcPr>
          <w:p w14:paraId="263174CB"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43.0%</w:t>
            </w:r>
          </w:p>
        </w:tc>
        <w:tc>
          <w:tcPr>
            <w:tcW w:w="778" w:type="pct"/>
            <w:shd w:val="clear" w:color="auto" w:fill="auto"/>
            <w:vAlign w:val="center"/>
            <w:hideMark/>
          </w:tcPr>
          <w:p w14:paraId="525A6739"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41.7%</w:t>
            </w:r>
          </w:p>
        </w:tc>
        <w:tc>
          <w:tcPr>
            <w:tcW w:w="766" w:type="pct"/>
            <w:shd w:val="clear" w:color="auto" w:fill="auto"/>
            <w:vAlign w:val="center"/>
            <w:hideMark/>
          </w:tcPr>
          <w:p w14:paraId="7136E53C"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42.4%</w:t>
            </w:r>
          </w:p>
        </w:tc>
      </w:tr>
      <w:tr w:rsidR="00EE4C00" w:rsidRPr="00310498" w14:paraId="36A4FB80" w14:textId="77777777" w:rsidTr="00EE4C00">
        <w:trPr>
          <w:trHeight w:val="20"/>
        </w:trPr>
        <w:tc>
          <w:tcPr>
            <w:tcW w:w="941" w:type="pct"/>
            <w:vMerge w:val="restart"/>
            <w:shd w:val="clear" w:color="auto" w:fill="auto"/>
            <w:vAlign w:val="center"/>
            <w:hideMark/>
          </w:tcPr>
          <w:p w14:paraId="7B2E0D39" w14:textId="77777777" w:rsidR="00EE4C00" w:rsidRPr="00310498" w:rsidRDefault="00EE4C00" w:rsidP="00EE4C00">
            <w:pPr>
              <w:keepNext/>
              <w:keepLines/>
              <w:jc w:val="left"/>
              <w:rPr>
                <w:rFonts w:ascii="Arial Narrow" w:hAnsi="Arial Narrow"/>
                <w:sz w:val="20"/>
                <w:szCs w:val="20"/>
                <w:lang w:val="en-AU"/>
              </w:rPr>
            </w:pPr>
            <w:r w:rsidRPr="00310498">
              <w:rPr>
                <w:rFonts w:ascii="Arial Narrow" w:hAnsi="Arial Narrow"/>
                <w:sz w:val="20"/>
                <w:szCs w:val="20"/>
                <w:lang w:val="en-AU"/>
              </w:rPr>
              <w:t>Histologic type</w:t>
            </w:r>
          </w:p>
        </w:tc>
        <w:tc>
          <w:tcPr>
            <w:tcW w:w="1729" w:type="pct"/>
            <w:shd w:val="clear" w:color="auto" w:fill="auto"/>
            <w:hideMark/>
          </w:tcPr>
          <w:p w14:paraId="30BE50B9"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Endometrioid</w:t>
            </w:r>
          </w:p>
        </w:tc>
        <w:tc>
          <w:tcPr>
            <w:tcW w:w="786" w:type="pct"/>
            <w:shd w:val="clear" w:color="auto" w:fill="auto"/>
            <w:vAlign w:val="center"/>
            <w:hideMark/>
          </w:tcPr>
          <w:p w14:paraId="102B9D5B"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78.5%</w:t>
            </w:r>
          </w:p>
        </w:tc>
        <w:tc>
          <w:tcPr>
            <w:tcW w:w="778" w:type="pct"/>
            <w:shd w:val="clear" w:color="auto" w:fill="auto"/>
            <w:vAlign w:val="center"/>
            <w:hideMark/>
          </w:tcPr>
          <w:p w14:paraId="74405EDB"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82.1%</w:t>
            </w:r>
          </w:p>
        </w:tc>
        <w:tc>
          <w:tcPr>
            <w:tcW w:w="766" w:type="pct"/>
            <w:shd w:val="clear" w:color="auto" w:fill="auto"/>
            <w:vAlign w:val="center"/>
            <w:hideMark/>
          </w:tcPr>
          <w:p w14:paraId="6483FD9A"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84.7%</w:t>
            </w:r>
          </w:p>
        </w:tc>
      </w:tr>
      <w:tr w:rsidR="00EE4C00" w:rsidRPr="00310498" w14:paraId="4BE62D81" w14:textId="77777777" w:rsidTr="00EE4C00">
        <w:trPr>
          <w:trHeight w:val="20"/>
        </w:trPr>
        <w:tc>
          <w:tcPr>
            <w:tcW w:w="941" w:type="pct"/>
            <w:vMerge/>
            <w:shd w:val="clear" w:color="auto" w:fill="auto"/>
            <w:vAlign w:val="center"/>
            <w:hideMark/>
          </w:tcPr>
          <w:p w14:paraId="72512F52"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2F91441E"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Serous</w:t>
            </w:r>
          </w:p>
        </w:tc>
        <w:tc>
          <w:tcPr>
            <w:tcW w:w="786" w:type="pct"/>
            <w:shd w:val="clear" w:color="auto" w:fill="auto"/>
            <w:vAlign w:val="center"/>
            <w:hideMark/>
          </w:tcPr>
          <w:p w14:paraId="72EEF8F4"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3.7%</w:t>
            </w:r>
          </w:p>
        </w:tc>
        <w:tc>
          <w:tcPr>
            <w:tcW w:w="778" w:type="pct"/>
            <w:shd w:val="clear" w:color="auto" w:fill="auto"/>
            <w:vAlign w:val="center"/>
            <w:hideMark/>
          </w:tcPr>
          <w:p w14:paraId="54D1A279"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4.1%</w:t>
            </w:r>
          </w:p>
        </w:tc>
        <w:tc>
          <w:tcPr>
            <w:tcW w:w="766" w:type="pct"/>
            <w:shd w:val="clear" w:color="auto" w:fill="auto"/>
            <w:vAlign w:val="center"/>
            <w:hideMark/>
          </w:tcPr>
          <w:p w14:paraId="0952E349"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1.7%</w:t>
            </w:r>
          </w:p>
        </w:tc>
      </w:tr>
      <w:tr w:rsidR="00EE4C00" w:rsidRPr="00310498" w14:paraId="06C1010B" w14:textId="77777777" w:rsidTr="00EE4C00">
        <w:trPr>
          <w:trHeight w:val="20"/>
        </w:trPr>
        <w:tc>
          <w:tcPr>
            <w:tcW w:w="941" w:type="pct"/>
            <w:vMerge/>
            <w:shd w:val="clear" w:color="auto" w:fill="auto"/>
            <w:vAlign w:val="center"/>
            <w:hideMark/>
          </w:tcPr>
          <w:p w14:paraId="586C7A5D"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549F2D15"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Other</w:t>
            </w:r>
          </w:p>
        </w:tc>
        <w:tc>
          <w:tcPr>
            <w:tcW w:w="786" w:type="pct"/>
            <w:shd w:val="clear" w:color="auto" w:fill="auto"/>
            <w:vAlign w:val="center"/>
            <w:hideMark/>
          </w:tcPr>
          <w:p w14:paraId="79915CA9"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17.8%</w:t>
            </w:r>
          </w:p>
        </w:tc>
        <w:tc>
          <w:tcPr>
            <w:tcW w:w="778" w:type="pct"/>
            <w:shd w:val="clear" w:color="auto" w:fill="auto"/>
            <w:vAlign w:val="center"/>
            <w:hideMark/>
          </w:tcPr>
          <w:p w14:paraId="589CBE06"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13.8%</w:t>
            </w:r>
          </w:p>
        </w:tc>
        <w:tc>
          <w:tcPr>
            <w:tcW w:w="766" w:type="pct"/>
            <w:shd w:val="clear" w:color="auto" w:fill="auto"/>
            <w:vAlign w:val="center"/>
            <w:hideMark/>
          </w:tcPr>
          <w:p w14:paraId="1032C51F"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13.6%</w:t>
            </w:r>
          </w:p>
        </w:tc>
      </w:tr>
      <w:tr w:rsidR="00EE4C00" w:rsidRPr="00310498" w14:paraId="23F9DBBE" w14:textId="77777777" w:rsidTr="00EE4C00">
        <w:trPr>
          <w:trHeight w:val="20"/>
        </w:trPr>
        <w:tc>
          <w:tcPr>
            <w:tcW w:w="941" w:type="pct"/>
            <w:vMerge w:val="restart"/>
            <w:shd w:val="clear" w:color="auto" w:fill="auto"/>
            <w:vAlign w:val="center"/>
            <w:hideMark/>
          </w:tcPr>
          <w:p w14:paraId="3551C11D" w14:textId="77777777" w:rsidR="00EE4C00" w:rsidRPr="00310498" w:rsidRDefault="00EE4C00" w:rsidP="00EE4C00">
            <w:pPr>
              <w:keepNext/>
              <w:keepLines/>
              <w:jc w:val="left"/>
              <w:rPr>
                <w:rFonts w:ascii="Arial Narrow" w:hAnsi="Arial Narrow"/>
                <w:sz w:val="20"/>
                <w:szCs w:val="20"/>
                <w:lang w:val="en-AU"/>
              </w:rPr>
            </w:pPr>
            <w:r w:rsidRPr="00310498">
              <w:rPr>
                <w:rFonts w:ascii="Arial Narrow" w:hAnsi="Arial Narrow"/>
                <w:sz w:val="20"/>
                <w:szCs w:val="20"/>
                <w:lang w:val="en-AU"/>
              </w:rPr>
              <w:t>Race</w:t>
            </w:r>
          </w:p>
        </w:tc>
        <w:tc>
          <w:tcPr>
            <w:tcW w:w="1729" w:type="pct"/>
            <w:shd w:val="clear" w:color="auto" w:fill="auto"/>
            <w:hideMark/>
          </w:tcPr>
          <w:p w14:paraId="1C6A3F44"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American Indian or Alaska Native</w:t>
            </w:r>
          </w:p>
        </w:tc>
        <w:tc>
          <w:tcPr>
            <w:tcW w:w="786" w:type="pct"/>
            <w:shd w:val="clear" w:color="auto" w:fill="auto"/>
            <w:vAlign w:val="center"/>
            <w:hideMark/>
          </w:tcPr>
          <w:p w14:paraId="3309E35A"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0.9%</w:t>
            </w:r>
          </w:p>
        </w:tc>
        <w:tc>
          <w:tcPr>
            <w:tcW w:w="778" w:type="pct"/>
            <w:shd w:val="clear" w:color="auto" w:fill="auto"/>
            <w:vAlign w:val="center"/>
            <w:hideMark/>
          </w:tcPr>
          <w:p w14:paraId="1D63D0C2"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2.9%</w:t>
            </w:r>
          </w:p>
        </w:tc>
        <w:tc>
          <w:tcPr>
            <w:tcW w:w="766" w:type="pct"/>
            <w:shd w:val="clear" w:color="auto" w:fill="auto"/>
            <w:vAlign w:val="center"/>
            <w:hideMark/>
          </w:tcPr>
          <w:p w14:paraId="194C6CE2"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0.8%</w:t>
            </w:r>
          </w:p>
        </w:tc>
      </w:tr>
      <w:tr w:rsidR="00EE4C00" w:rsidRPr="00310498" w14:paraId="42764FE5" w14:textId="77777777" w:rsidTr="00EE4C00">
        <w:trPr>
          <w:trHeight w:val="20"/>
        </w:trPr>
        <w:tc>
          <w:tcPr>
            <w:tcW w:w="941" w:type="pct"/>
            <w:vMerge/>
            <w:shd w:val="clear" w:color="auto" w:fill="auto"/>
            <w:vAlign w:val="center"/>
            <w:hideMark/>
          </w:tcPr>
          <w:p w14:paraId="436FBFFF"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3125676A"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Asian</w:t>
            </w:r>
          </w:p>
        </w:tc>
        <w:tc>
          <w:tcPr>
            <w:tcW w:w="786" w:type="pct"/>
            <w:shd w:val="clear" w:color="auto" w:fill="auto"/>
            <w:vAlign w:val="center"/>
            <w:hideMark/>
          </w:tcPr>
          <w:p w14:paraId="02FD15D1"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27.1%</w:t>
            </w:r>
          </w:p>
        </w:tc>
        <w:tc>
          <w:tcPr>
            <w:tcW w:w="778" w:type="pct"/>
            <w:shd w:val="clear" w:color="auto" w:fill="auto"/>
            <w:vAlign w:val="center"/>
            <w:hideMark/>
          </w:tcPr>
          <w:p w14:paraId="423AB144"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1.2%</w:t>
            </w:r>
          </w:p>
        </w:tc>
        <w:tc>
          <w:tcPr>
            <w:tcW w:w="766" w:type="pct"/>
            <w:shd w:val="clear" w:color="auto" w:fill="auto"/>
            <w:vAlign w:val="center"/>
            <w:hideMark/>
          </w:tcPr>
          <w:p w14:paraId="60AF5C57"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1.7%</w:t>
            </w:r>
          </w:p>
        </w:tc>
      </w:tr>
      <w:tr w:rsidR="00EE4C00" w:rsidRPr="00310498" w14:paraId="27339F09" w14:textId="77777777" w:rsidTr="00EE4C00">
        <w:trPr>
          <w:trHeight w:val="20"/>
        </w:trPr>
        <w:tc>
          <w:tcPr>
            <w:tcW w:w="941" w:type="pct"/>
            <w:vMerge/>
            <w:shd w:val="clear" w:color="auto" w:fill="auto"/>
            <w:vAlign w:val="center"/>
            <w:hideMark/>
          </w:tcPr>
          <w:p w14:paraId="4FE3D94F"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731492B9"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Black or African American</w:t>
            </w:r>
          </w:p>
        </w:tc>
        <w:tc>
          <w:tcPr>
            <w:tcW w:w="786" w:type="pct"/>
            <w:shd w:val="clear" w:color="auto" w:fill="auto"/>
            <w:vAlign w:val="center"/>
            <w:hideMark/>
          </w:tcPr>
          <w:p w14:paraId="774DBA0A"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1.9%</w:t>
            </w:r>
          </w:p>
        </w:tc>
        <w:tc>
          <w:tcPr>
            <w:tcW w:w="778" w:type="pct"/>
            <w:shd w:val="clear" w:color="auto" w:fill="auto"/>
            <w:vAlign w:val="center"/>
            <w:hideMark/>
          </w:tcPr>
          <w:p w14:paraId="7BE71521"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4.1%</w:t>
            </w:r>
          </w:p>
        </w:tc>
        <w:tc>
          <w:tcPr>
            <w:tcW w:w="766" w:type="pct"/>
            <w:shd w:val="clear" w:color="auto" w:fill="auto"/>
            <w:vAlign w:val="center"/>
            <w:hideMark/>
          </w:tcPr>
          <w:p w14:paraId="6B228ACC"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8.5%</w:t>
            </w:r>
          </w:p>
        </w:tc>
      </w:tr>
      <w:tr w:rsidR="00EE4C00" w:rsidRPr="00310498" w14:paraId="5DFA4651" w14:textId="77777777" w:rsidTr="00EE4C00">
        <w:trPr>
          <w:trHeight w:val="20"/>
        </w:trPr>
        <w:tc>
          <w:tcPr>
            <w:tcW w:w="941" w:type="pct"/>
            <w:vMerge/>
            <w:shd w:val="clear" w:color="auto" w:fill="auto"/>
            <w:vAlign w:val="center"/>
            <w:hideMark/>
          </w:tcPr>
          <w:p w14:paraId="0268D78B"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0B21969D"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Not reported</w:t>
            </w:r>
          </w:p>
        </w:tc>
        <w:tc>
          <w:tcPr>
            <w:tcW w:w="786" w:type="pct"/>
            <w:shd w:val="clear" w:color="auto" w:fill="auto"/>
            <w:vAlign w:val="center"/>
            <w:hideMark/>
          </w:tcPr>
          <w:p w14:paraId="229BB179"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3.7%</w:t>
            </w:r>
          </w:p>
        </w:tc>
        <w:tc>
          <w:tcPr>
            <w:tcW w:w="778" w:type="pct"/>
            <w:shd w:val="clear" w:color="auto" w:fill="auto"/>
            <w:vAlign w:val="center"/>
            <w:hideMark/>
          </w:tcPr>
          <w:p w14:paraId="49F42E69"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4.1%</w:t>
            </w:r>
          </w:p>
        </w:tc>
        <w:tc>
          <w:tcPr>
            <w:tcW w:w="766" w:type="pct"/>
            <w:shd w:val="clear" w:color="auto" w:fill="auto"/>
            <w:vAlign w:val="center"/>
            <w:hideMark/>
          </w:tcPr>
          <w:p w14:paraId="37A55D55"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3.4%</w:t>
            </w:r>
          </w:p>
        </w:tc>
      </w:tr>
      <w:tr w:rsidR="00EE4C00" w:rsidRPr="00310498" w14:paraId="1372B69E" w14:textId="77777777" w:rsidTr="00EE4C00">
        <w:trPr>
          <w:trHeight w:val="20"/>
        </w:trPr>
        <w:tc>
          <w:tcPr>
            <w:tcW w:w="941" w:type="pct"/>
            <w:vMerge/>
            <w:shd w:val="clear" w:color="auto" w:fill="auto"/>
            <w:vAlign w:val="center"/>
            <w:hideMark/>
          </w:tcPr>
          <w:p w14:paraId="6568735B"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731E5368"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Other</w:t>
            </w:r>
          </w:p>
        </w:tc>
        <w:tc>
          <w:tcPr>
            <w:tcW w:w="786" w:type="pct"/>
            <w:shd w:val="clear" w:color="auto" w:fill="auto"/>
            <w:vAlign w:val="center"/>
            <w:hideMark/>
          </w:tcPr>
          <w:p w14:paraId="6D72A574"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2.8%</w:t>
            </w:r>
          </w:p>
        </w:tc>
        <w:tc>
          <w:tcPr>
            <w:tcW w:w="778" w:type="pct"/>
            <w:shd w:val="clear" w:color="auto" w:fill="auto"/>
            <w:vAlign w:val="center"/>
            <w:hideMark/>
          </w:tcPr>
          <w:p w14:paraId="624249E6"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5.1%</w:t>
            </w:r>
          </w:p>
        </w:tc>
        <w:tc>
          <w:tcPr>
            <w:tcW w:w="766" w:type="pct"/>
            <w:shd w:val="clear" w:color="auto" w:fill="auto"/>
            <w:vAlign w:val="center"/>
            <w:hideMark/>
          </w:tcPr>
          <w:p w14:paraId="2419F903"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0.0%</w:t>
            </w:r>
          </w:p>
        </w:tc>
      </w:tr>
      <w:tr w:rsidR="00EE4C00" w:rsidRPr="00310498" w14:paraId="1F02012B" w14:textId="77777777" w:rsidTr="00EE4C00">
        <w:trPr>
          <w:trHeight w:val="20"/>
        </w:trPr>
        <w:tc>
          <w:tcPr>
            <w:tcW w:w="941" w:type="pct"/>
            <w:vMerge/>
            <w:shd w:val="clear" w:color="auto" w:fill="auto"/>
            <w:vAlign w:val="center"/>
            <w:hideMark/>
          </w:tcPr>
          <w:p w14:paraId="32D48CAA" w14:textId="77777777" w:rsidR="00EE4C00" w:rsidRPr="00310498" w:rsidRDefault="00EE4C00" w:rsidP="00EE4C00">
            <w:pPr>
              <w:keepNext/>
              <w:keepLines/>
              <w:jc w:val="left"/>
              <w:rPr>
                <w:rFonts w:ascii="Arial Narrow" w:hAnsi="Arial Narrow"/>
                <w:sz w:val="20"/>
                <w:szCs w:val="20"/>
                <w:lang w:val="en-AU"/>
              </w:rPr>
            </w:pPr>
          </w:p>
        </w:tc>
        <w:tc>
          <w:tcPr>
            <w:tcW w:w="1729" w:type="pct"/>
            <w:shd w:val="clear" w:color="auto" w:fill="auto"/>
            <w:hideMark/>
          </w:tcPr>
          <w:p w14:paraId="1F251141" w14:textId="77777777" w:rsidR="00EE4C00" w:rsidRPr="00310498" w:rsidRDefault="00EE4C00" w:rsidP="00EE4C00">
            <w:pPr>
              <w:keepNext/>
              <w:keepLines/>
              <w:rPr>
                <w:rFonts w:ascii="Arial Narrow" w:hAnsi="Arial Narrow"/>
                <w:sz w:val="20"/>
                <w:szCs w:val="20"/>
                <w:lang w:val="en-AU"/>
              </w:rPr>
            </w:pPr>
            <w:r w:rsidRPr="00310498">
              <w:rPr>
                <w:rFonts w:ascii="Arial Narrow" w:hAnsi="Arial Narrow"/>
                <w:sz w:val="20"/>
                <w:szCs w:val="20"/>
                <w:lang w:val="en-AU"/>
              </w:rPr>
              <w:t>White</w:t>
            </w:r>
          </w:p>
        </w:tc>
        <w:tc>
          <w:tcPr>
            <w:tcW w:w="786" w:type="pct"/>
            <w:shd w:val="clear" w:color="auto" w:fill="auto"/>
            <w:vAlign w:val="center"/>
            <w:hideMark/>
          </w:tcPr>
          <w:p w14:paraId="6C13A6A1"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63.6%</w:t>
            </w:r>
          </w:p>
        </w:tc>
        <w:tc>
          <w:tcPr>
            <w:tcW w:w="778" w:type="pct"/>
            <w:shd w:val="clear" w:color="auto" w:fill="auto"/>
            <w:vAlign w:val="center"/>
            <w:hideMark/>
          </w:tcPr>
          <w:p w14:paraId="48EC5B49"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82.6%</w:t>
            </w:r>
          </w:p>
        </w:tc>
        <w:tc>
          <w:tcPr>
            <w:tcW w:w="766" w:type="pct"/>
            <w:shd w:val="clear" w:color="auto" w:fill="auto"/>
            <w:vAlign w:val="center"/>
            <w:hideMark/>
          </w:tcPr>
          <w:p w14:paraId="2E76CF78" w14:textId="77777777" w:rsidR="00EE4C00" w:rsidRPr="00310498" w:rsidRDefault="00EE4C00" w:rsidP="00EE4C00">
            <w:pPr>
              <w:keepNext/>
              <w:keepLines/>
              <w:jc w:val="center"/>
              <w:rPr>
                <w:rFonts w:ascii="Arial Narrow" w:hAnsi="Arial Narrow"/>
                <w:sz w:val="20"/>
                <w:szCs w:val="20"/>
                <w:lang w:val="en-AU"/>
              </w:rPr>
            </w:pPr>
            <w:r w:rsidRPr="00310498">
              <w:rPr>
                <w:rFonts w:ascii="Arial Narrow" w:hAnsi="Arial Narrow"/>
                <w:sz w:val="20"/>
                <w:szCs w:val="20"/>
                <w:lang w:val="en-AU"/>
              </w:rPr>
              <w:t>84.7%</w:t>
            </w:r>
          </w:p>
        </w:tc>
      </w:tr>
    </w:tbl>
    <w:p w14:paraId="0C44B272" w14:textId="77777777" w:rsidR="00E24B8A" w:rsidRPr="00310498" w:rsidRDefault="00E24B8A" w:rsidP="00E24B8A">
      <w:pPr>
        <w:pStyle w:val="FooterTableFigure"/>
        <w:keepNext/>
        <w:keepLines/>
      </w:pPr>
      <w:r w:rsidRPr="00310498">
        <w:t>Source: Table 2.35, p110 of the submission</w:t>
      </w:r>
    </w:p>
    <w:p w14:paraId="2AF3888B" w14:textId="05D2894E" w:rsidR="00EE4C00" w:rsidRPr="00310498" w:rsidRDefault="00EE4C00" w:rsidP="00EE4C00">
      <w:pPr>
        <w:pStyle w:val="FooterTableFigure"/>
        <w:keepNext/>
        <w:keepLines/>
      </w:pPr>
      <w:r w:rsidRPr="00310498">
        <w:t>dMMR = deficient mismatch repair; ECOG = Eastern Cooperative Oncology Group; MSI-H = microsatellite instability high</w:t>
      </w:r>
    </w:p>
    <w:p w14:paraId="5BC9FFA1" w14:textId="77777777" w:rsidR="00EE4C00" w:rsidRPr="00310498" w:rsidRDefault="00EE4C00" w:rsidP="00EE4C00">
      <w:pPr>
        <w:pStyle w:val="FooterTableFigure"/>
        <w:keepNext/>
        <w:keepLines/>
      </w:pPr>
      <w:r w:rsidRPr="00310498">
        <w:t>a Data for DUO-E was listed as ‘data on file’ in the submission and therefore could not be independently verified.</w:t>
      </w:r>
    </w:p>
    <w:p w14:paraId="6F60BA19" w14:textId="77777777" w:rsidR="00EE4C00" w:rsidRPr="00310498" w:rsidRDefault="00EE4C00" w:rsidP="00932C0A">
      <w:pPr>
        <w:pStyle w:val="FooterTableFigure"/>
        <w:keepLines/>
      </w:pPr>
      <w:r w:rsidRPr="00310498">
        <w:t>Data for RUBY could not be found in the source listed in the submission (Mirza 2023, Table 1) and therefore this data could not be independently verified.</w:t>
      </w:r>
    </w:p>
    <w:p w14:paraId="268A5A1C" w14:textId="5E550B35" w:rsidR="00FB45E5" w:rsidRPr="00310498" w:rsidRDefault="00EE4C00" w:rsidP="00FB45E5">
      <w:pPr>
        <w:pStyle w:val="3-BodyText"/>
      </w:pPr>
      <w:r w:rsidRPr="00310498">
        <w:t>In the base case analysis, the ESS for both trial arms was 67.4 (63.0%), compared to the original sample size for the two relevant trial arms (n=107), indicating a reasonable loss of information from matching, due to the differences in the trials. Th</w:t>
      </w:r>
      <w:r w:rsidR="006A77B1" w:rsidRPr="00310498">
        <w:t>ese</w:t>
      </w:r>
      <w:r w:rsidRPr="00310498">
        <w:t xml:space="preserve"> </w:t>
      </w:r>
      <w:r w:rsidR="006A77B1" w:rsidRPr="00310498">
        <w:t>reduced sample sizes</w:t>
      </w:r>
      <w:r w:rsidRPr="00310498">
        <w:t xml:space="preserve"> further increas</w:t>
      </w:r>
      <w:r w:rsidR="006A77B1" w:rsidRPr="00310498">
        <w:t>ed</w:t>
      </w:r>
      <w:r w:rsidRPr="00310498">
        <w:t xml:space="preserve"> the uncertainty of results. The most notable differences were that the proportion of Asian patients had decreased from 27.1% to 1.2% and the proportion of white patients had increased from 63.7% to 82.6%. The submission claimed that after matching, there was minimal difference in the baseline characteristics of patients between DUO-E and RUBY. </w:t>
      </w:r>
      <w:r w:rsidR="00AC77F3" w:rsidRPr="00310498">
        <w:t xml:space="preserve">The evaluation </w:t>
      </w:r>
      <w:r w:rsidR="00D5253A" w:rsidRPr="00310498">
        <w:t>considered</w:t>
      </w:r>
      <w:r w:rsidR="00AC77F3" w:rsidRPr="00310498">
        <w:t xml:space="preserve"> that m</w:t>
      </w:r>
      <w:r w:rsidRPr="00310498">
        <w:t>atching based on region may not be appropriate as this implies that, like durvalumab + PC in DUO-E, the treatment effect for dostarlimab + PC also differed by region in RUBY</w:t>
      </w:r>
      <w:r w:rsidR="00DE4532" w:rsidRPr="00310498">
        <w:t>;</w:t>
      </w:r>
      <w:r w:rsidRPr="00310498">
        <w:t xml:space="preserve"> an assumption which </w:t>
      </w:r>
      <w:r w:rsidR="00DE4532" w:rsidRPr="00310498">
        <w:t xml:space="preserve">was </w:t>
      </w:r>
      <w:r w:rsidR="008E77F3" w:rsidRPr="00310498">
        <w:t xml:space="preserve">not </w:t>
      </w:r>
      <w:r w:rsidR="00DE4532" w:rsidRPr="00310498">
        <w:t xml:space="preserve">supported by </w:t>
      </w:r>
      <w:r w:rsidR="008E77F3" w:rsidRPr="00310498">
        <w:t xml:space="preserve">any evidence presented in </w:t>
      </w:r>
      <w:r w:rsidRPr="00310498">
        <w:t xml:space="preserve">the submission. By assigning a zero weight to all Asian patients in DUO-E, the benefits for durvalumab + PC may be overestimated and the MAIC may be biased in favour of durvalumab + PC. </w:t>
      </w:r>
      <w:r w:rsidR="00184499" w:rsidRPr="00310498">
        <w:t xml:space="preserve">The PSCR </w:t>
      </w:r>
      <w:r w:rsidR="00FB45E5" w:rsidRPr="00310498">
        <w:t>stated</w:t>
      </w:r>
      <w:r w:rsidR="00184499" w:rsidRPr="00310498">
        <w:t xml:space="preserve"> that</w:t>
      </w:r>
      <w:r w:rsidR="00FB45E5" w:rsidRPr="00310498">
        <w:t xml:space="preserve"> </w:t>
      </w:r>
      <w:r w:rsidR="00184499" w:rsidRPr="00310498">
        <w:t>the Asian region was matched in the MAIC because 27.1% of patients in DUO-E were recruited from the Asian region versus 1.7% in RUBY</w:t>
      </w:r>
      <w:r w:rsidR="008E77F3" w:rsidRPr="00310498">
        <w:t>,</w:t>
      </w:r>
      <w:r w:rsidR="00184499" w:rsidRPr="00310498">
        <w:t xml:space="preserve"> and that the treatment effect of durvalumab + PC in dMMR patients in DUO-E </w:t>
      </w:r>
      <w:r w:rsidR="00FB45E5" w:rsidRPr="00310498">
        <w:t xml:space="preserve">was </w:t>
      </w:r>
      <w:r w:rsidR="00184499" w:rsidRPr="00310498">
        <w:t>slightly better in patients from the Asian region versus patients in rest of world</w:t>
      </w:r>
      <w:r w:rsidR="00FB45E5" w:rsidRPr="00310498">
        <w:t>.</w:t>
      </w:r>
      <w:r w:rsidR="00184499" w:rsidRPr="00310498">
        <w:t xml:space="preserve"> </w:t>
      </w:r>
      <w:r w:rsidR="00FB45E5" w:rsidRPr="00310498">
        <w:t xml:space="preserve">The PSCR stated that </w:t>
      </w:r>
      <w:r w:rsidR="00184499" w:rsidRPr="00310498">
        <w:t xml:space="preserve">this information was </w:t>
      </w:r>
      <w:r w:rsidR="00FB45E5" w:rsidRPr="00310498">
        <w:t>un</w:t>
      </w:r>
      <w:r w:rsidR="00184499" w:rsidRPr="00310498">
        <w:t>known for dostarlimab + PC</w:t>
      </w:r>
      <w:r w:rsidR="00FB45E5" w:rsidRPr="00310498">
        <w:t xml:space="preserve">, but that </w:t>
      </w:r>
      <w:r w:rsidR="00184499" w:rsidRPr="00310498">
        <w:t>adjusting for Asian region patients in the dMMR population could potentially bias against durvalumab + PC.</w:t>
      </w:r>
    </w:p>
    <w:p w14:paraId="6858492D" w14:textId="7F9BDA33" w:rsidR="00B66717" w:rsidRPr="00310498" w:rsidRDefault="00FB45E5" w:rsidP="00B66717">
      <w:pPr>
        <w:pStyle w:val="3-BodyText"/>
      </w:pPr>
      <w:r w:rsidRPr="00310498">
        <w:t>The PSCR stated that disease</w:t>
      </w:r>
      <w:r w:rsidR="00184499" w:rsidRPr="00310498">
        <w:t xml:space="preserve"> stage was matched </w:t>
      </w:r>
      <w:r w:rsidRPr="00310498">
        <w:t>because</w:t>
      </w:r>
      <w:r w:rsidR="00184499" w:rsidRPr="00310498">
        <w:t xml:space="preserve"> 9.3% of patients in DUO-E had Stage III EC versus 20.3% in RUBY</w:t>
      </w:r>
      <w:r w:rsidRPr="00310498">
        <w:t xml:space="preserve">. The PSCR stated that </w:t>
      </w:r>
      <w:r w:rsidR="00184499" w:rsidRPr="00310498">
        <w:t xml:space="preserve">the treatment effect of dostarlimab + PC in the RUBY trial was lower in patients with </w:t>
      </w:r>
      <w:r w:rsidR="009C2578" w:rsidRPr="00310498">
        <w:t xml:space="preserve">stage </w:t>
      </w:r>
      <w:r w:rsidR="00184499" w:rsidRPr="00310498">
        <w:t xml:space="preserve">III versus </w:t>
      </w:r>
      <w:r w:rsidR="009C2578" w:rsidRPr="00310498">
        <w:t xml:space="preserve">stage </w:t>
      </w:r>
      <w:r w:rsidR="00184499" w:rsidRPr="00310498">
        <w:t xml:space="preserve">IV </w:t>
      </w:r>
      <w:r w:rsidR="00184499" w:rsidRPr="00310498">
        <w:lastRenderedPageBreak/>
        <w:t>disease</w:t>
      </w:r>
      <w:r w:rsidRPr="00310498">
        <w:t xml:space="preserve">. Therefore, </w:t>
      </w:r>
      <w:r w:rsidR="00184499" w:rsidRPr="00310498">
        <w:t xml:space="preserve">by adjusting for disease stage in the MAIC, the results could theoretically be biased towards dostarlimab + PC if the same treatment effect difference was not observed for durvalumab + PC in </w:t>
      </w:r>
      <w:r w:rsidR="009C2578" w:rsidRPr="00310498">
        <w:t xml:space="preserve">stage </w:t>
      </w:r>
      <w:r w:rsidR="00184499" w:rsidRPr="00310498">
        <w:t xml:space="preserve">III versus </w:t>
      </w:r>
      <w:r w:rsidR="009C2578" w:rsidRPr="00310498">
        <w:t xml:space="preserve">stage </w:t>
      </w:r>
      <w:r w:rsidR="00184499" w:rsidRPr="00310498">
        <w:t>IV disease. The</w:t>
      </w:r>
      <w:r w:rsidRPr="00310498">
        <w:t xml:space="preserve"> PSCR noted that</w:t>
      </w:r>
      <w:r w:rsidR="00184499" w:rsidRPr="00310498">
        <w:t xml:space="preserve"> results by </w:t>
      </w:r>
      <w:r w:rsidR="009C2578" w:rsidRPr="00310498">
        <w:t xml:space="preserve">stage </w:t>
      </w:r>
      <w:r w:rsidR="00184499" w:rsidRPr="00310498">
        <w:t>III v</w:t>
      </w:r>
      <w:r w:rsidRPr="00310498">
        <w:t>ersu</w:t>
      </w:r>
      <w:r w:rsidR="00184499" w:rsidRPr="00310498">
        <w:t xml:space="preserve">s </w:t>
      </w:r>
      <w:r w:rsidR="009C2578" w:rsidRPr="00310498">
        <w:t xml:space="preserve">stage </w:t>
      </w:r>
      <w:r w:rsidR="00184499" w:rsidRPr="00310498">
        <w:t xml:space="preserve">IV </w:t>
      </w:r>
      <w:r w:rsidRPr="00310498">
        <w:t>from</w:t>
      </w:r>
      <w:r w:rsidR="00184499" w:rsidRPr="00310498">
        <w:t xml:space="preserve"> DUO-E </w:t>
      </w:r>
      <w:r w:rsidRPr="00310498">
        <w:t>were not</w:t>
      </w:r>
      <w:r w:rsidR="00184499" w:rsidRPr="00310498">
        <w:t xml:space="preserve"> analysed due to the very small number of patients in DUO-E with </w:t>
      </w:r>
      <w:r w:rsidR="009C2578" w:rsidRPr="00310498">
        <w:t xml:space="preserve">stage </w:t>
      </w:r>
      <w:r w:rsidR="00184499" w:rsidRPr="00310498">
        <w:t>III disease.</w:t>
      </w:r>
      <w:r w:rsidRPr="00310498">
        <w:t xml:space="preserve"> </w:t>
      </w:r>
      <w:r w:rsidR="00B66717" w:rsidRPr="00310498">
        <w:t xml:space="preserve">The submission also noted that the PFS results in the investigational arms were very similar but the curves for the common comparator (PC) </w:t>
      </w:r>
      <w:r w:rsidR="00771134" w:rsidRPr="00310498">
        <w:t xml:space="preserve">demonstrated </w:t>
      </w:r>
      <w:r w:rsidR="00B66717" w:rsidRPr="00310498">
        <w:t>that the control arm of RUBY performed worse than the control arm in DUO</w:t>
      </w:r>
      <w:r w:rsidR="00B66717" w:rsidRPr="00310498">
        <w:rPr>
          <w:rFonts w:cstheme="minorHAnsi"/>
        </w:rPr>
        <w:t>−</w:t>
      </w:r>
      <w:r w:rsidR="00B66717" w:rsidRPr="00310498">
        <w:t xml:space="preserve">E. </w:t>
      </w:r>
      <w:r w:rsidRPr="00310498">
        <w:t>The ESC noted that t</w:t>
      </w:r>
      <w:r w:rsidR="00B66717" w:rsidRPr="00310498">
        <w:t xml:space="preserve">his was a key transitivity issue between the trials and further increased the uncertainty with the ITCs. It was unclear whether the adjustments in the MAIC improved or exacerbated this transitivity issue. </w:t>
      </w:r>
    </w:p>
    <w:p w14:paraId="09B87298" w14:textId="59F286E7" w:rsidR="00485DF5" w:rsidRPr="00310498" w:rsidRDefault="00A767ED">
      <w:pPr>
        <w:pStyle w:val="3-BodyText"/>
      </w:pPr>
      <w:r w:rsidRPr="00310498">
        <w:fldChar w:fldCharType="begin" w:fldLock="1"/>
      </w:r>
      <w:r w:rsidRPr="00310498">
        <w:instrText xml:space="preserve"> REF _Ref176203440 \h </w:instrText>
      </w:r>
      <w:r w:rsidR="00944CE7" w:rsidRPr="00310498">
        <w:instrText xml:space="preserve"> \* MERGEFORMAT </w:instrText>
      </w:r>
      <w:r w:rsidRPr="00310498">
        <w:fldChar w:fldCharType="separate"/>
      </w:r>
      <w:r w:rsidR="002C52D8" w:rsidRPr="00310498">
        <w:t xml:space="preserve">Table </w:t>
      </w:r>
      <w:r w:rsidR="002C52D8">
        <w:rPr>
          <w:noProof/>
        </w:rPr>
        <w:t>12</w:t>
      </w:r>
      <w:r w:rsidRPr="00310498">
        <w:fldChar w:fldCharType="end"/>
      </w:r>
      <w:r w:rsidRPr="00310498">
        <w:t xml:space="preserve"> </w:t>
      </w:r>
      <w:r w:rsidR="00485DF5" w:rsidRPr="00310498">
        <w:t>present</w:t>
      </w:r>
      <w:r w:rsidR="00F267A0" w:rsidRPr="00310498">
        <w:t>s</w:t>
      </w:r>
      <w:r w:rsidR="00485DF5" w:rsidRPr="00310498">
        <w:t xml:space="preserve"> results for ITC</w:t>
      </w:r>
      <w:r w:rsidR="00EE4C00" w:rsidRPr="00310498">
        <w:t xml:space="preserve"> </w:t>
      </w:r>
      <w:r w:rsidR="00485DF5" w:rsidRPr="00310498">
        <w:t>1</w:t>
      </w:r>
      <w:r w:rsidR="00CA4427" w:rsidRPr="00310498">
        <w:t>, ITC 2 and ITC 3</w:t>
      </w:r>
      <w:r w:rsidR="00485DF5" w:rsidRPr="00310498">
        <w:t>.</w:t>
      </w:r>
    </w:p>
    <w:p w14:paraId="1A646556" w14:textId="28689D6A" w:rsidR="000F5B70" w:rsidRPr="00310498" w:rsidRDefault="00A767ED" w:rsidP="006802F4">
      <w:pPr>
        <w:pStyle w:val="Caption"/>
      </w:pPr>
      <w:bookmarkStart w:id="49" w:name="_Ref176203440"/>
      <w:r w:rsidRPr="00310498">
        <w:lastRenderedPageBreak/>
        <w:t xml:space="preserve">Table </w:t>
      </w:r>
      <w:r w:rsidRPr="00310498">
        <w:fldChar w:fldCharType="begin" w:fldLock="1"/>
      </w:r>
      <w:r w:rsidRPr="00310498">
        <w:instrText xml:space="preserve"> SEQ Table \* ARABIC </w:instrText>
      </w:r>
      <w:r w:rsidRPr="00310498">
        <w:fldChar w:fldCharType="separate"/>
      </w:r>
      <w:r w:rsidR="002C52D8">
        <w:rPr>
          <w:noProof/>
        </w:rPr>
        <w:t>12</w:t>
      </w:r>
      <w:r w:rsidRPr="00310498">
        <w:fldChar w:fldCharType="end"/>
      </w:r>
      <w:bookmarkEnd w:id="49"/>
      <w:r w:rsidR="000F5B70" w:rsidRPr="00310498">
        <w:t xml:space="preserve">: Summary of results </w:t>
      </w:r>
      <w:r w:rsidRPr="00310498">
        <w:t xml:space="preserve">for </w:t>
      </w:r>
      <w:r w:rsidR="000F5B70" w:rsidRPr="00310498">
        <w:t>ITC1</w:t>
      </w:r>
      <w:r w:rsidRPr="00310498">
        <w:t>, ITC 2 and ITC 3</w:t>
      </w:r>
    </w:p>
    <w:tbl>
      <w:tblPr>
        <w:tblStyle w:val="TableGrid"/>
        <w:tblW w:w="5000" w:type="pct"/>
        <w:tblLook w:val="04A0" w:firstRow="1" w:lastRow="0" w:firstColumn="1" w:lastColumn="0" w:noHBand="0" w:noVBand="1"/>
      </w:tblPr>
      <w:tblGrid>
        <w:gridCol w:w="3123"/>
        <w:gridCol w:w="1484"/>
        <w:gridCol w:w="188"/>
        <w:gridCol w:w="1296"/>
        <w:gridCol w:w="24"/>
        <w:gridCol w:w="1441"/>
        <w:gridCol w:w="9"/>
        <w:gridCol w:w="58"/>
        <w:gridCol w:w="1417"/>
      </w:tblGrid>
      <w:tr w:rsidR="00BB40D8" w:rsidRPr="00310498" w14:paraId="7BE9C491" w14:textId="77777777" w:rsidTr="00827CAD">
        <w:trPr>
          <w:trHeight w:val="20"/>
        </w:trPr>
        <w:tc>
          <w:tcPr>
            <w:tcW w:w="1727" w:type="pct"/>
            <w:vMerge w:val="restart"/>
            <w:shd w:val="clear" w:color="auto" w:fill="auto"/>
            <w:tcMar>
              <w:left w:w="40" w:type="dxa"/>
              <w:right w:w="40" w:type="dxa"/>
            </w:tcMar>
            <w:vAlign w:val="center"/>
          </w:tcPr>
          <w:p w14:paraId="18904A91" w14:textId="77777777" w:rsidR="000F5B70" w:rsidRPr="00310498" w:rsidRDefault="000F5B70" w:rsidP="006802F4">
            <w:pPr>
              <w:keepNext/>
              <w:keepLines/>
              <w:jc w:val="left"/>
              <w:rPr>
                <w:rFonts w:ascii="Arial Narrow" w:hAnsi="Arial Narrow"/>
                <w:b/>
                <w:bCs/>
                <w:sz w:val="20"/>
                <w:szCs w:val="20"/>
              </w:rPr>
            </w:pPr>
          </w:p>
        </w:tc>
        <w:tc>
          <w:tcPr>
            <w:tcW w:w="1642" w:type="pct"/>
            <w:gridSpan w:val="3"/>
            <w:shd w:val="clear" w:color="auto" w:fill="auto"/>
            <w:tcMar>
              <w:left w:w="40" w:type="dxa"/>
              <w:right w:w="40" w:type="dxa"/>
            </w:tcMar>
            <w:vAlign w:val="center"/>
          </w:tcPr>
          <w:p w14:paraId="72896A99" w14:textId="77777777" w:rsidR="000F5B70" w:rsidRPr="00310498" w:rsidRDefault="000F5B70" w:rsidP="006802F4">
            <w:pPr>
              <w:pStyle w:val="TableHeading0"/>
              <w:widowControl/>
              <w:spacing w:before="0" w:after="0" w:line="240" w:lineRule="auto"/>
              <w:jc w:val="center"/>
              <w:rPr>
                <w:iCs w:val="0"/>
                <w:sz w:val="20"/>
              </w:rPr>
            </w:pPr>
            <w:r w:rsidRPr="00310498">
              <w:rPr>
                <w:iCs w:val="0"/>
                <w:sz w:val="20"/>
              </w:rPr>
              <w:t xml:space="preserve">DUO-E </w:t>
            </w:r>
          </w:p>
        </w:tc>
        <w:tc>
          <w:tcPr>
            <w:tcW w:w="1631" w:type="pct"/>
            <w:gridSpan w:val="5"/>
            <w:shd w:val="clear" w:color="auto" w:fill="auto"/>
            <w:tcMar>
              <w:left w:w="40" w:type="dxa"/>
              <w:right w:w="40" w:type="dxa"/>
            </w:tcMar>
            <w:vAlign w:val="center"/>
          </w:tcPr>
          <w:p w14:paraId="1CCB6C31" w14:textId="77777777" w:rsidR="000F5B70" w:rsidRPr="00310498" w:rsidRDefault="000F5B70" w:rsidP="006802F4">
            <w:pPr>
              <w:pStyle w:val="TableHeading0"/>
              <w:widowControl/>
              <w:spacing w:before="0" w:after="0" w:line="240" w:lineRule="auto"/>
              <w:jc w:val="center"/>
              <w:rPr>
                <w:iCs w:val="0"/>
                <w:sz w:val="20"/>
              </w:rPr>
            </w:pPr>
            <w:r w:rsidRPr="00310498">
              <w:rPr>
                <w:iCs w:val="0"/>
                <w:sz w:val="20"/>
              </w:rPr>
              <w:t>RUBY</w:t>
            </w:r>
          </w:p>
        </w:tc>
      </w:tr>
      <w:tr w:rsidR="00BB40D8" w:rsidRPr="00310498" w14:paraId="4A9545ED" w14:textId="77777777" w:rsidTr="00827CAD">
        <w:trPr>
          <w:trHeight w:val="20"/>
        </w:trPr>
        <w:tc>
          <w:tcPr>
            <w:tcW w:w="1727" w:type="pct"/>
            <w:vMerge/>
            <w:shd w:val="clear" w:color="auto" w:fill="auto"/>
            <w:tcMar>
              <w:left w:w="40" w:type="dxa"/>
              <w:right w:w="40" w:type="dxa"/>
            </w:tcMar>
            <w:vAlign w:val="center"/>
          </w:tcPr>
          <w:p w14:paraId="49DCBBCF" w14:textId="77777777" w:rsidR="000F5B70" w:rsidRPr="00310498" w:rsidRDefault="000F5B70" w:rsidP="006802F4">
            <w:pPr>
              <w:keepNext/>
              <w:keepLines/>
              <w:jc w:val="left"/>
              <w:rPr>
                <w:rFonts w:ascii="Arial Narrow" w:hAnsi="Arial Narrow"/>
                <w:b/>
                <w:bCs/>
                <w:sz w:val="20"/>
                <w:szCs w:val="20"/>
              </w:rPr>
            </w:pPr>
          </w:p>
        </w:tc>
        <w:tc>
          <w:tcPr>
            <w:tcW w:w="925" w:type="pct"/>
            <w:gridSpan w:val="2"/>
            <w:shd w:val="clear" w:color="auto" w:fill="auto"/>
            <w:tcMar>
              <w:left w:w="40" w:type="dxa"/>
              <w:right w:w="40" w:type="dxa"/>
            </w:tcMar>
            <w:vAlign w:val="center"/>
          </w:tcPr>
          <w:p w14:paraId="341DD2AF" w14:textId="77777777" w:rsidR="000F5B70" w:rsidRPr="00310498" w:rsidRDefault="000F5B70" w:rsidP="006802F4">
            <w:pPr>
              <w:pStyle w:val="TableHeading0"/>
              <w:widowControl/>
              <w:spacing w:before="0" w:after="0" w:line="240" w:lineRule="auto"/>
              <w:jc w:val="center"/>
              <w:rPr>
                <w:iCs w:val="0"/>
                <w:sz w:val="20"/>
              </w:rPr>
            </w:pPr>
            <w:r w:rsidRPr="00310498">
              <w:rPr>
                <w:iCs w:val="0"/>
                <w:sz w:val="20"/>
              </w:rPr>
              <w:t>durvalumab + PC</w:t>
            </w:r>
          </w:p>
        </w:tc>
        <w:tc>
          <w:tcPr>
            <w:tcW w:w="717" w:type="pct"/>
            <w:shd w:val="clear" w:color="auto" w:fill="auto"/>
            <w:tcMar>
              <w:left w:w="40" w:type="dxa"/>
              <w:right w:w="40" w:type="dxa"/>
            </w:tcMar>
            <w:vAlign w:val="center"/>
          </w:tcPr>
          <w:p w14:paraId="77285F49" w14:textId="77777777" w:rsidR="000F5B70" w:rsidRPr="00310498" w:rsidRDefault="000F5B70" w:rsidP="006802F4">
            <w:pPr>
              <w:pStyle w:val="TableHeading0"/>
              <w:widowControl/>
              <w:spacing w:before="0" w:after="0" w:line="240" w:lineRule="auto"/>
              <w:jc w:val="center"/>
              <w:rPr>
                <w:iCs w:val="0"/>
                <w:sz w:val="20"/>
              </w:rPr>
            </w:pPr>
            <w:r w:rsidRPr="00310498">
              <w:rPr>
                <w:iCs w:val="0"/>
                <w:sz w:val="20"/>
              </w:rPr>
              <w:t>PC</w:t>
            </w:r>
          </w:p>
        </w:tc>
        <w:tc>
          <w:tcPr>
            <w:tcW w:w="810" w:type="pct"/>
            <w:gridSpan w:val="2"/>
            <w:shd w:val="clear" w:color="auto" w:fill="auto"/>
            <w:tcMar>
              <w:left w:w="40" w:type="dxa"/>
              <w:right w:w="40" w:type="dxa"/>
            </w:tcMar>
            <w:vAlign w:val="center"/>
          </w:tcPr>
          <w:p w14:paraId="62DC59F2" w14:textId="77777777" w:rsidR="000F5B70" w:rsidRPr="00310498" w:rsidRDefault="000F5B70" w:rsidP="006802F4">
            <w:pPr>
              <w:pStyle w:val="TableHeading0"/>
              <w:widowControl/>
              <w:spacing w:before="0" w:after="0" w:line="240" w:lineRule="auto"/>
              <w:jc w:val="center"/>
              <w:rPr>
                <w:iCs w:val="0"/>
                <w:sz w:val="20"/>
              </w:rPr>
            </w:pPr>
            <w:r w:rsidRPr="00310498">
              <w:rPr>
                <w:iCs w:val="0"/>
                <w:sz w:val="20"/>
              </w:rPr>
              <w:t>dostarlimab + PC</w:t>
            </w:r>
          </w:p>
        </w:tc>
        <w:tc>
          <w:tcPr>
            <w:tcW w:w="821" w:type="pct"/>
            <w:gridSpan w:val="3"/>
            <w:shd w:val="clear" w:color="auto" w:fill="auto"/>
            <w:tcMar>
              <w:left w:w="40" w:type="dxa"/>
              <w:right w:w="40" w:type="dxa"/>
            </w:tcMar>
            <w:vAlign w:val="center"/>
          </w:tcPr>
          <w:p w14:paraId="3A737E71" w14:textId="77777777" w:rsidR="000F5B70" w:rsidRPr="00310498" w:rsidRDefault="000F5B70" w:rsidP="006802F4">
            <w:pPr>
              <w:pStyle w:val="TableHeading0"/>
              <w:widowControl/>
              <w:spacing w:before="0" w:after="0" w:line="240" w:lineRule="auto"/>
              <w:jc w:val="center"/>
              <w:rPr>
                <w:iCs w:val="0"/>
                <w:sz w:val="20"/>
              </w:rPr>
            </w:pPr>
            <w:r w:rsidRPr="00310498">
              <w:rPr>
                <w:iCs w:val="0"/>
                <w:sz w:val="20"/>
              </w:rPr>
              <w:t>PC</w:t>
            </w:r>
          </w:p>
        </w:tc>
      </w:tr>
      <w:tr w:rsidR="00BB40D8" w:rsidRPr="00310498" w14:paraId="67EE3C45" w14:textId="77777777" w:rsidTr="00827CAD">
        <w:trPr>
          <w:trHeight w:val="20"/>
        </w:trPr>
        <w:tc>
          <w:tcPr>
            <w:tcW w:w="5000" w:type="pct"/>
            <w:gridSpan w:val="9"/>
            <w:shd w:val="clear" w:color="auto" w:fill="auto"/>
            <w:tcMar>
              <w:left w:w="40" w:type="dxa"/>
              <w:right w:w="40" w:type="dxa"/>
            </w:tcMar>
            <w:vAlign w:val="center"/>
          </w:tcPr>
          <w:p w14:paraId="0C19AA5B" w14:textId="77777777" w:rsidR="000F5B70" w:rsidRPr="00310498" w:rsidRDefault="000F5B70" w:rsidP="006802F4">
            <w:pPr>
              <w:pStyle w:val="TableText0"/>
              <w:widowControl/>
              <w:rPr>
                <w:b/>
                <w:iCs w:val="0"/>
                <w:sz w:val="20"/>
                <w:szCs w:val="20"/>
              </w:rPr>
            </w:pPr>
            <w:r w:rsidRPr="00310498">
              <w:rPr>
                <w:b/>
                <w:iCs w:val="0"/>
                <w:sz w:val="20"/>
              </w:rPr>
              <w:t>ITC 1 (Unadjusted ITC)</w:t>
            </w:r>
          </w:p>
        </w:tc>
      </w:tr>
      <w:tr w:rsidR="00BB40D8" w:rsidRPr="00310498" w14:paraId="1E36D98F" w14:textId="77777777" w:rsidTr="00827CAD">
        <w:trPr>
          <w:trHeight w:val="20"/>
        </w:trPr>
        <w:tc>
          <w:tcPr>
            <w:tcW w:w="1727" w:type="pct"/>
            <w:shd w:val="clear" w:color="auto" w:fill="auto"/>
            <w:tcMar>
              <w:left w:w="40" w:type="dxa"/>
              <w:right w:w="40" w:type="dxa"/>
            </w:tcMar>
            <w:vAlign w:val="center"/>
          </w:tcPr>
          <w:p w14:paraId="2666C2B3" w14:textId="77777777" w:rsidR="000F5B70" w:rsidRPr="00310498" w:rsidRDefault="000F5B70" w:rsidP="006802F4">
            <w:pPr>
              <w:pStyle w:val="TableText0"/>
              <w:widowControl/>
              <w:rPr>
                <w:iCs w:val="0"/>
                <w:sz w:val="20"/>
                <w:szCs w:val="20"/>
              </w:rPr>
            </w:pPr>
            <w:r w:rsidRPr="00310498">
              <w:rPr>
                <w:iCs w:val="0"/>
                <w:sz w:val="20"/>
              </w:rPr>
              <w:t>Number of patients</w:t>
            </w:r>
            <w:r w:rsidRPr="00310498">
              <w:rPr>
                <w:iCs w:val="0"/>
                <w:sz w:val="20"/>
                <w:szCs w:val="20"/>
              </w:rPr>
              <w:t>, n</w:t>
            </w:r>
          </w:p>
        </w:tc>
        <w:tc>
          <w:tcPr>
            <w:tcW w:w="925" w:type="pct"/>
            <w:gridSpan w:val="2"/>
            <w:shd w:val="clear" w:color="auto" w:fill="auto"/>
            <w:tcMar>
              <w:left w:w="40" w:type="dxa"/>
              <w:right w:w="40" w:type="dxa"/>
            </w:tcMar>
            <w:vAlign w:val="center"/>
          </w:tcPr>
          <w:p w14:paraId="4F481CFA" w14:textId="77777777" w:rsidR="000F5B70" w:rsidRPr="00310498" w:rsidRDefault="000F5B70" w:rsidP="006802F4">
            <w:pPr>
              <w:pStyle w:val="TableText0"/>
              <w:widowControl/>
              <w:jc w:val="center"/>
              <w:rPr>
                <w:iCs w:val="0"/>
                <w:sz w:val="20"/>
                <w:szCs w:val="20"/>
              </w:rPr>
            </w:pPr>
            <w:r w:rsidRPr="00310498">
              <w:rPr>
                <w:iCs w:val="0"/>
                <w:sz w:val="20"/>
              </w:rPr>
              <w:t>46</w:t>
            </w:r>
          </w:p>
        </w:tc>
        <w:tc>
          <w:tcPr>
            <w:tcW w:w="717" w:type="pct"/>
            <w:shd w:val="clear" w:color="auto" w:fill="auto"/>
            <w:tcMar>
              <w:left w:w="40" w:type="dxa"/>
              <w:right w:w="40" w:type="dxa"/>
            </w:tcMar>
            <w:vAlign w:val="center"/>
          </w:tcPr>
          <w:p w14:paraId="1C8C7565" w14:textId="77777777" w:rsidR="000F5B70" w:rsidRPr="00310498" w:rsidRDefault="000F5B70" w:rsidP="006802F4">
            <w:pPr>
              <w:pStyle w:val="TableText0"/>
              <w:widowControl/>
              <w:jc w:val="center"/>
              <w:rPr>
                <w:iCs w:val="0"/>
                <w:sz w:val="20"/>
                <w:szCs w:val="20"/>
              </w:rPr>
            </w:pPr>
            <w:r w:rsidRPr="00310498">
              <w:rPr>
                <w:iCs w:val="0"/>
                <w:sz w:val="20"/>
              </w:rPr>
              <w:t>49</w:t>
            </w:r>
          </w:p>
        </w:tc>
        <w:tc>
          <w:tcPr>
            <w:tcW w:w="810" w:type="pct"/>
            <w:gridSpan w:val="2"/>
            <w:shd w:val="clear" w:color="auto" w:fill="auto"/>
            <w:tcMar>
              <w:left w:w="40" w:type="dxa"/>
              <w:right w:w="40" w:type="dxa"/>
            </w:tcMar>
            <w:vAlign w:val="center"/>
          </w:tcPr>
          <w:p w14:paraId="53805D9C" w14:textId="77777777" w:rsidR="000F5B70" w:rsidRPr="00310498" w:rsidRDefault="000F5B70" w:rsidP="006802F4">
            <w:pPr>
              <w:pStyle w:val="TableText0"/>
              <w:widowControl/>
              <w:jc w:val="center"/>
              <w:rPr>
                <w:iCs w:val="0"/>
                <w:sz w:val="20"/>
                <w:szCs w:val="20"/>
              </w:rPr>
            </w:pPr>
            <w:r w:rsidRPr="00310498">
              <w:rPr>
                <w:iCs w:val="0"/>
                <w:sz w:val="20"/>
              </w:rPr>
              <w:t>53</w:t>
            </w:r>
          </w:p>
        </w:tc>
        <w:tc>
          <w:tcPr>
            <w:tcW w:w="821" w:type="pct"/>
            <w:gridSpan w:val="3"/>
            <w:shd w:val="clear" w:color="auto" w:fill="auto"/>
            <w:tcMar>
              <w:left w:w="40" w:type="dxa"/>
              <w:right w:w="40" w:type="dxa"/>
            </w:tcMar>
            <w:vAlign w:val="center"/>
          </w:tcPr>
          <w:p w14:paraId="7E94132B" w14:textId="77777777" w:rsidR="000F5B70" w:rsidRPr="00310498" w:rsidRDefault="000F5B70" w:rsidP="006802F4">
            <w:pPr>
              <w:pStyle w:val="TableText0"/>
              <w:widowControl/>
              <w:jc w:val="center"/>
              <w:rPr>
                <w:iCs w:val="0"/>
                <w:sz w:val="20"/>
                <w:szCs w:val="20"/>
              </w:rPr>
            </w:pPr>
            <w:r w:rsidRPr="00310498">
              <w:rPr>
                <w:iCs w:val="0"/>
                <w:sz w:val="20"/>
              </w:rPr>
              <w:t>65</w:t>
            </w:r>
          </w:p>
        </w:tc>
      </w:tr>
      <w:tr w:rsidR="00BB40D8" w:rsidRPr="00310498" w14:paraId="26B6F960" w14:textId="77777777" w:rsidTr="00827CAD">
        <w:trPr>
          <w:trHeight w:val="20"/>
        </w:trPr>
        <w:tc>
          <w:tcPr>
            <w:tcW w:w="5000" w:type="pct"/>
            <w:gridSpan w:val="9"/>
            <w:shd w:val="clear" w:color="auto" w:fill="auto"/>
            <w:tcMar>
              <w:left w:w="40" w:type="dxa"/>
              <w:right w:w="40" w:type="dxa"/>
            </w:tcMar>
            <w:vAlign w:val="center"/>
          </w:tcPr>
          <w:p w14:paraId="33DC78F4" w14:textId="77777777" w:rsidR="000F5B70" w:rsidRPr="00310498" w:rsidRDefault="000F5B70" w:rsidP="006802F4">
            <w:pPr>
              <w:pStyle w:val="TableText0"/>
              <w:widowControl/>
              <w:rPr>
                <w:b/>
                <w:iCs w:val="0"/>
                <w:sz w:val="20"/>
                <w:szCs w:val="20"/>
              </w:rPr>
            </w:pPr>
            <w:r w:rsidRPr="00310498">
              <w:rPr>
                <w:b/>
                <w:iCs w:val="0"/>
                <w:sz w:val="20"/>
              </w:rPr>
              <w:t>OS</w:t>
            </w:r>
          </w:p>
        </w:tc>
      </w:tr>
      <w:tr w:rsidR="00BB40D8" w:rsidRPr="00310498" w14:paraId="79C62C45" w14:textId="77777777" w:rsidTr="00827CAD">
        <w:trPr>
          <w:trHeight w:val="20"/>
        </w:trPr>
        <w:tc>
          <w:tcPr>
            <w:tcW w:w="1727" w:type="pct"/>
            <w:shd w:val="clear" w:color="auto" w:fill="auto"/>
            <w:tcMar>
              <w:left w:w="40" w:type="dxa"/>
              <w:right w:w="40" w:type="dxa"/>
            </w:tcMar>
            <w:vAlign w:val="center"/>
          </w:tcPr>
          <w:p w14:paraId="560B1FA8" w14:textId="77777777" w:rsidR="000F5B70" w:rsidRPr="00310498" w:rsidRDefault="000F5B70" w:rsidP="006802F4">
            <w:pPr>
              <w:pStyle w:val="TableText0"/>
              <w:widowControl/>
              <w:rPr>
                <w:iCs w:val="0"/>
                <w:sz w:val="20"/>
                <w:szCs w:val="20"/>
              </w:rPr>
            </w:pPr>
            <w:r w:rsidRPr="00310498">
              <w:rPr>
                <w:iCs w:val="0"/>
                <w:sz w:val="20"/>
                <w:szCs w:val="20"/>
              </w:rPr>
              <w:t>Events, n (%)</w:t>
            </w:r>
          </w:p>
        </w:tc>
        <w:tc>
          <w:tcPr>
            <w:tcW w:w="925" w:type="pct"/>
            <w:gridSpan w:val="2"/>
            <w:shd w:val="clear" w:color="auto" w:fill="auto"/>
            <w:tcMar>
              <w:left w:w="40" w:type="dxa"/>
              <w:right w:w="40" w:type="dxa"/>
            </w:tcMar>
            <w:vAlign w:val="center"/>
          </w:tcPr>
          <w:p w14:paraId="03CA58EF" w14:textId="77777777" w:rsidR="000F5B70" w:rsidRPr="00310498" w:rsidRDefault="000F5B70" w:rsidP="006802F4">
            <w:pPr>
              <w:pStyle w:val="TableText0"/>
              <w:widowControl/>
              <w:jc w:val="center"/>
              <w:rPr>
                <w:iCs w:val="0"/>
                <w:sz w:val="20"/>
                <w:szCs w:val="20"/>
              </w:rPr>
            </w:pPr>
            <w:r w:rsidRPr="00310498">
              <w:rPr>
                <w:iCs w:val="0"/>
                <w:sz w:val="20"/>
                <w:szCs w:val="20"/>
              </w:rPr>
              <w:t>7 (15.2)</w:t>
            </w:r>
          </w:p>
        </w:tc>
        <w:tc>
          <w:tcPr>
            <w:tcW w:w="717" w:type="pct"/>
            <w:shd w:val="clear" w:color="auto" w:fill="auto"/>
            <w:tcMar>
              <w:left w:w="40" w:type="dxa"/>
              <w:right w:w="40" w:type="dxa"/>
            </w:tcMar>
            <w:vAlign w:val="center"/>
          </w:tcPr>
          <w:p w14:paraId="04C287B1" w14:textId="77777777" w:rsidR="000F5B70" w:rsidRPr="00310498" w:rsidRDefault="000F5B70" w:rsidP="006802F4">
            <w:pPr>
              <w:pStyle w:val="TableText0"/>
              <w:widowControl/>
              <w:jc w:val="center"/>
              <w:rPr>
                <w:iCs w:val="0"/>
                <w:sz w:val="20"/>
                <w:szCs w:val="20"/>
              </w:rPr>
            </w:pPr>
            <w:r w:rsidRPr="00310498">
              <w:rPr>
                <w:iCs w:val="0"/>
                <w:sz w:val="20"/>
                <w:szCs w:val="20"/>
              </w:rPr>
              <w:t>18 (36.7)</w:t>
            </w:r>
          </w:p>
        </w:tc>
        <w:tc>
          <w:tcPr>
            <w:tcW w:w="810" w:type="pct"/>
            <w:gridSpan w:val="2"/>
            <w:shd w:val="clear" w:color="auto" w:fill="auto"/>
            <w:tcMar>
              <w:left w:w="40" w:type="dxa"/>
              <w:right w:w="40" w:type="dxa"/>
            </w:tcMar>
            <w:vAlign w:val="center"/>
          </w:tcPr>
          <w:p w14:paraId="35DC53FD" w14:textId="77777777" w:rsidR="000F5B70" w:rsidRPr="00310498" w:rsidRDefault="000F5B70" w:rsidP="006802F4">
            <w:pPr>
              <w:pStyle w:val="TableText0"/>
              <w:widowControl/>
              <w:jc w:val="center"/>
              <w:rPr>
                <w:iCs w:val="0"/>
                <w:sz w:val="20"/>
                <w:szCs w:val="20"/>
              </w:rPr>
            </w:pPr>
            <w:r w:rsidRPr="00310498">
              <w:rPr>
                <w:iCs w:val="0"/>
                <w:sz w:val="20"/>
                <w:szCs w:val="20"/>
              </w:rPr>
              <w:t>7 (13.2)</w:t>
            </w:r>
          </w:p>
        </w:tc>
        <w:tc>
          <w:tcPr>
            <w:tcW w:w="821" w:type="pct"/>
            <w:gridSpan w:val="3"/>
            <w:shd w:val="clear" w:color="auto" w:fill="auto"/>
            <w:tcMar>
              <w:left w:w="40" w:type="dxa"/>
              <w:right w:w="40" w:type="dxa"/>
            </w:tcMar>
            <w:vAlign w:val="center"/>
          </w:tcPr>
          <w:p w14:paraId="608EDDB6" w14:textId="77777777" w:rsidR="000F5B70" w:rsidRPr="00310498" w:rsidRDefault="000F5B70" w:rsidP="006802F4">
            <w:pPr>
              <w:pStyle w:val="TableText0"/>
              <w:widowControl/>
              <w:jc w:val="center"/>
              <w:rPr>
                <w:iCs w:val="0"/>
                <w:sz w:val="20"/>
                <w:szCs w:val="20"/>
              </w:rPr>
            </w:pPr>
            <w:r w:rsidRPr="00310498">
              <w:rPr>
                <w:iCs w:val="0"/>
                <w:sz w:val="20"/>
                <w:szCs w:val="20"/>
              </w:rPr>
              <w:t>24 (36.9)</w:t>
            </w:r>
          </w:p>
        </w:tc>
      </w:tr>
      <w:tr w:rsidR="00BB40D8" w:rsidRPr="00310498" w14:paraId="29065B30" w14:textId="77777777" w:rsidTr="00827CAD">
        <w:trPr>
          <w:trHeight w:val="20"/>
        </w:trPr>
        <w:tc>
          <w:tcPr>
            <w:tcW w:w="1727" w:type="pct"/>
            <w:shd w:val="clear" w:color="auto" w:fill="auto"/>
            <w:tcMar>
              <w:left w:w="40" w:type="dxa"/>
              <w:right w:w="40" w:type="dxa"/>
            </w:tcMar>
            <w:vAlign w:val="center"/>
          </w:tcPr>
          <w:p w14:paraId="1ABEA4A7" w14:textId="77777777" w:rsidR="000F5B70" w:rsidRPr="00310498" w:rsidRDefault="000F5B70" w:rsidP="006802F4">
            <w:pPr>
              <w:pStyle w:val="TableText0"/>
              <w:widowControl/>
              <w:rPr>
                <w:iCs w:val="0"/>
                <w:sz w:val="20"/>
                <w:szCs w:val="20"/>
              </w:rPr>
            </w:pPr>
            <w:r w:rsidRPr="00310498">
              <w:rPr>
                <w:iCs w:val="0"/>
                <w:sz w:val="20"/>
                <w:szCs w:val="20"/>
              </w:rPr>
              <w:t>HR (95% CI)</w:t>
            </w:r>
          </w:p>
        </w:tc>
        <w:tc>
          <w:tcPr>
            <w:tcW w:w="1642" w:type="pct"/>
            <w:gridSpan w:val="3"/>
            <w:shd w:val="clear" w:color="auto" w:fill="auto"/>
            <w:tcMar>
              <w:left w:w="40" w:type="dxa"/>
              <w:right w:w="40" w:type="dxa"/>
            </w:tcMar>
            <w:vAlign w:val="center"/>
          </w:tcPr>
          <w:p w14:paraId="1EBF4E12" w14:textId="77777777" w:rsidR="000F5B70" w:rsidRPr="00310498" w:rsidRDefault="000F5B70" w:rsidP="006802F4">
            <w:pPr>
              <w:pStyle w:val="TableText0"/>
              <w:widowControl/>
              <w:jc w:val="center"/>
              <w:rPr>
                <w:iCs w:val="0"/>
                <w:sz w:val="20"/>
                <w:szCs w:val="20"/>
              </w:rPr>
            </w:pPr>
            <w:r w:rsidRPr="00310498">
              <w:rPr>
                <w:iCs w:val="0"/>
                <w:sz w:val="20"/>
                <w:szCs w:val="20"/>
              </w:rPr>
              <w:t>0.34 (0.13, 0.79)</w:t>
            </w:r>
          </w:p>
        </w:tc>
        <w:tc>
          <w:tcPr>
            <w:tcW w:w="1631" w:type="pct"/>
            <w:gridSpan w:val="5"/>
            <w:shd w:val="clear" w:color="auto" w:fill="auto"/>
            <w:tcMar>
              <w:left w:w="40" w:type="dxa"/>
              <w:right w:w="40" w:type="dxa"/>
            </w:tcMar>
            <w:vAlign w:val="center"/>
          </w:tcPr>
          <w:p w14:paraId="2C22D33E" w14:textId="77777777" w:rsidR="000F5B70" w:rsidRPr="00310498" w:rsidRDefault="000F5B70" w:rsidP="006802F4">
            <w:pPr>
              <w:pStyle w:val="TableText0"/>
              <w:widowControl/>
              <w:jc w:val="center"/>
              <w:rPr>
                <w:iCs w:val="0"/>
                <w:sz w:val="20"/>
                <w:szCs w:val="20"/>
              </w:rPr>
            </w:pPr>
            <w:r w:rsidRPr="00310498">
              <w:rPr>
                <w:iCs w:val="0"/>
                <w:sz w:val="20"/>
                <w:szCs w:val="20"/>
              </w:rPr>
              <w:t>0.30 (0.13, 0.70)</w:t>
            </w:r>
          </w:p>
        </w:tc>
      </w:tr>
      <w:tr w:rsidR="00BB40D8" w:rsidRPr="00310498" w14:paraId="4CA26EC1" w14:textId="77777777" w:rsidTr="00827CAD">
        <w:trPr>
          <w:trHeight w:val="20"/>
        </w:trPr>
        <w:tc>
          <w:tcPr>
            <w:tcW w:w="1727" w:type="pct"/>
            <w:shd w:val="clear" w:color="auto" w:fill="auto"/>
            <w:tcMar>
              <w:left w:w="40" w:type="dxa"/>
              <w:right w:w="40" w:type="dxa"/>
            </w:tcMar>
            <w:vAlign w:val="center"/>
          </w:tcPr>
          <w:p w14:paraId="06295A20" w14:textId="77777777" w:rsidR="000F5B70" w:rsidRPr="00310498" w:rsidRDefault="000F5B70" w:rsidP="006802F4">
            <w:pPr>
              <w:pStyle w:val="TableText0"/>
              <w:widowControl/>
              <w:rPr>
                <w:iCs w:val="0"/>
                <w:sz w:val="20"/>
                <w:szCs w:val="20"/>
              </w:rPr>
            </w:pPr>
            <w:r w:rsidRPr="00310498">
              <w:rPr>
                <w:iCs w:val="0"/>
                <w:sz w:val="20"/>
                <w:szCs w:val="20"/>
              </w:rPr>
              <w:t>ITC of durvalumab + PC vs dostarlimab + PC, HR (95% CI), p-value</w:t>
            </w:r>
          </w:p>
        </w:tc>
        <w:tc>
          <w:tcPr>
            <w:tcW w:w="3273" w:type="pct"/>
            <w:gridSpan w:val="8"/>
            <w:shd w:val="clear" w:color="auto" w:fill="auto"/>
            <w:tcMar>
              <w:left w:w="40" w:type="dxa"/>
              <w:right w:w="40" w:type="dxa"/>
            </w:tcMar>
            <w:vAlign w:val="center"/>
          </w:tcPr>
          <w:p w14:paraId="7B732688" w14:textId="77777777" w:rsidR="000F5B70" w:rsidRPr="00310498" w:rsidRDefault="000F5B70" w:rsidP="006802F4">
            <w:pPr>
              <w:pStyle w:val="TableText0"/>
              <w:widowControl/>
              <w:jc w:val="center"/>
              <w:rPr>
                <w:iCs w:val="0"/>
                <w:sz w:val="20"/>
                <w:szCs w:val="20"/>
              </w:rPr>
            </w:pPr>
            <w:r w:rsidRPr="00310498">
              <w:rPr>
                <w:iCs w:val="0"/>
                <w:sz w:val="20"/>
                <w:szCs w:val="20"/>
              </w:rPr>
              <w:t>1.13 (0.33, 3.89); p=0.8424</w:t>
            </w:r>
          </w:p>
        </w:tc>
      </w:tr>
      <w:tr w:rsidR="00BB40D8" w:rsidRPr="00310498" w14:paraId="572EDC3B" w14:textId="77777777" w:rsidTr="00827CAD">
        <w:trPr>
          <w:trHeight w:val="20"/>
        </w:trPr>
        <w:tc>
          <w:tcPr>
            <w:tcW w:w="5000" w:type="pct"/>
            <w:gridSpan w:val="9"/>
            <w:shd w:val="clear" w:color="auto" w:fill="auto"/>
            <w:tcMar>
              <w:left w:w="40" w:type="dxa"/>
              <w:right w:w="40" w:type="dxa"/>
            </w:tcMar>
            <w:vAlign w:val="center"/>
          </w:tcPr>
          <w:p w14:paraId="3623F9C8" w14:textId="77777777" w:rsidR="000F5B70" w:rsidRPr="00310498" w:rsidRDefault="000F5B70" w:rsidP="006802F4">
            <w:pPr>
              <w:pStyle w:val="TableText0"/>
              <w:widowControl/>
              <w:rPr>
                <w:b/>
                <w:iCs w:val="0"/>
                <w:sz w:val="20"/>
                <w:szCs w:val="20"/>
              </w:rPr>
            </w:pPr>
            <w:r w:rsidRPr="00310498">
              <w:rPr>
                <w:b/>
                <w:iCs w:val="0"/>
                <w:sz w:val="20"/>
                <w:szCs w:val="20"/>
              </w:rPr>
              <w:t>PFS</w:t>
            </w:r>
          </w:p>
        </w:tc>
      </w:tr>
      <w:tr w:rsidR="00BB40D8" w:rsidRPr="00310498" w14:paraId="4E68DEC2" w14:textId="77777777" w:rsidTr="00827CAD">
        <w:trPr>
          <w:trHeight w:val="20"/>
        </w:trPr>
        <w:tc>
          <w:tcPr>
            <w:tcW w:w="1727" w:type="pct"/>
            <w:shd w:val="clear" w:color="auto" w:fill="auto"/>
            <w:tcMar>
              <w:left w:w="40" w:type="dxa"/>
              <w:right w:w="40" w:type="dxa"/>
            </w:tcMar>
            <w:vAlign w:val="center"/>
          </w:tcPr>
          <w:p w14:paraId="2A10A5CA" w14:textId="77777777" w:rsidR="000F5B70" w:rsidRPr="00310498" w:rsidRDefault="000F5B70" w:rsidP="006802F4">
            <w:pPr>
              <w:pStyle w:val="TableText0"/>
              <w:widowControl/>
              <w:rPr>
                <w:iCs w:val="0"/>
                <w:sz w:val="20"/>
                <w:szCs w:val="20"/>
              </w:rPr>
            </w:pPr>
            <w:r w:rsidRPr="00310498">
              <w:rPr>
                <w:iCs w:val="0"/>
                <w:sz w:val="20"/>
                <w:szCs w:val="20"/>
              </w:rPr>
              <w:t>Events, n (%)</w:t>
            </w:r>
          </w:p>
        </w:tc>
        <w:tc>
          <w:tcPr>
            <w:tcW w:w="925" w:type="pct"/>
            <w:gridSpan w:val="2"/>
            <w:shd w:val="clear" w:color="auto" w:fill="auto"/>
            <w:tcMar>
              <w:left w:w="40" w:type="dxa"/>
              <w:right w:w="40" w:type="dxa"/>
            </w:tcMar>
            <w:vAlign w:val="center"/>
          </w:tcPr>
          <w:p w14:paraId="5BB4F878" w14:textId="77777777" w:rsidR="000F5B70" w:rsidRPr="00310498" w:rsidRDefault="000F5B70" w:rsidP="006802F4">
            <w:pPr>
              <w:pStyle w:val="TableText0"/>
              <w:widowControl/>
              <w:jc w:val="center"/>
              <w:rPr>
                <w:iCs w:val="0"/>
                <w:sz w:val="20"/>
                <w:szCs w:val="20"/>
              </w:rPr>
            </w:pPr>
            <w:r w:rsidRPr="00310498">
              <w:rPr>
                <w:iCs w:val="0"/>
                <w:sz w:val="20"/>
                <w:szCs w:val="20"/>
              </w:rPr>
              <w:t>15 (32.6)</w:t>
            </w:r>
          </w:p>
        </w:tc>
        <w:tc>
          <w:tcPr>
            <w:tcW w:w="717" w:type="pct"/>
            <w:shd w:val="clear" w:color="auto" w:fill="auto"/>
            <w:tcMar>
              <w:left w:w="40" w:type="dxa"/>
              <w:right w:w="40" w:type="dxa"/>
            </w:tcMar>
            <w:vAlign w:val="center"/>
          </w:tcPr>
          <w:p w14:paraId="48ACF560" w14:textId="77777777" w:rsidR="000F5B70" w:rsidRPr="00310498" w:rsidRDefault="000F5B70" w:rsidP="006802F4">
            <w:pPr>
              <w:pStyle w:val="TableText0"/>
              <w:widowControl/>
              <w:jc w:val="center"/>
              <w:rPr>
                <w:iCs w:val="0"/>
                <w:sz w:val="20"/>
                <w:szCs w:val="20"/>
              </w:rPr>
            </w:pPr>
            <w:r w:rsidRPr="00310498">
              <w:rPr>
                <w:iCs w:val="0"/>
                <w:sz w:val="20"/>
                <w:szCs w:val="20"/>
              </w:rPr>
              <w:t>25 (51.0)</w:t>
            </w:r>
          </w:p>
        </w:tc>
        <w:tc>
          <w:tcPr>
            <w:tcW w:w="810" w:type="pct"/>
            <w:gridSpan w:val="2"/>
            <w:shd w:val="clear" w:color="auto" w:fill="auto"/>
            <w:tcMar>
              <w:left w:w="40" w:type="dxa"/>
              <w:right w:w="40" w:type="dxa"/>
            </w:tcMar>
            <w:vAlign w:val="center"/>
          </w:tcPr>
          <w:p w14:paraId="2E4E3F4A" w14:textId="77777777" w:rsidR="000F5B70" w:rsidRPr="00310498" w:rsidRDefault="000F5B70" w:rsidP="006802F4">
            <w:pPr>
              <w:pStyle w:val="TableText0"/>
              <w:widowControl/>
              <w:jc w:val="center"/>
              <w:rPr>
                <w:iCs w:val="0"/>
                <w:sz w:val="20"/>
                <w:szCs w:val="20"/>
              </w:rPr>
            </w:pPr>
            <w:r w:rsidRPr="00310498">
              <w:rPr>
                <w:iCs w:val="0"/>
                <w:sz w:val="20"/>
                <w:szCs w:val="20"/>
              </w:rPr>
              <w:t>19 (35.8)</w:t>
            </w:r>
          </w:p>
        </w:tc>
        <w:tc>
          <w:tcPr>
            <w:tcW w:w="821" w:type="pct"/>
            <w:gridSpan w:val="3"/>
            <w:shd w:val="clear" w:color="auto" w:fill="auto"/>
            <w:tcMar>
              <w:left w:w="40" w:type="dxa"/>
              <w:right w:w="40" w:type="dxa"/>
            </w:tcMar>
            <w:vAlign w:val="center"/>
          </w:tcPr>
          <w:p w14:paraId="0ADEC471" w14:textId="77777777" w:rsidR="000F5B70" w:rsidRPr="00310498" w:rsidRDefault="000F5B70" w:rsidP="006802F4">
            <w:pPr>
              <w:pStyle w:val="TableText0"/>
              <w:widowControl/>
              <w:jc w:val="center"/>
              <w:rPr>
                <w:iCs w:val="0"/>
                <w:sz w:val="20"/>
                <w:szCs w:val="20"/>
              </w:rPr>
            </w:pPr>
            <w:r w:rsidRPr="00310498">
              <w:rPr>
                <w:iCs w:val="0"/>
                <w:sz w:val="20"/>
                <w:szCs w:val="20"/>
              </w:rPr>
              <w:t>47 (72.3)</w:t>
            </w:r>
          </w:p>
        </w:tc>
      </w:tr>
      <w:tr w:rsidR="00BB40D8" w:rsidRPr="00310498" w14:paraId="6846A33C" w14:textId="77777777" w:rsidTr="00827CAD">
        <w:trPr>
          <w:trHeight w:val="20"/>
        </w:trPr>
        <w:tc>
          <w:tcPr>
            <w:tcW w:w="1727" w:type="pct"/>
            <w:shd w:val="clear" w:color="auto" w:fill="auto"/>
            <w:tcMar>
              <w:left w:w="40" w:type="dxa"/>
              <w:right w:w="40" w:type="dxa"/>
            </w:tcMar>
            <w:vAlign w:val="center"/>
          </w:tcPr>
          <w:p w14:paraId="1502FC6F" w14:textId="77777777" w:rsidR="000F5B70" w:rsidRPr="00310498" w:rsidRDefault="000F5B70" w:rsidP="006802F4">
            <w:pPr>
              <w:pStyle w:val="TableText0"/>
              <w:widowControl/>
              <w:rPr>
                <w:iCs w:val="0"/>
                <w:sz w:val="20"/>
                <w:szCs w:val="20"/>
              </w:rPr>
            </w:pPr>
            <w:r w:rsidRPr="00310498">
              <w:rPr>
                <w:iCs w:val="0"/>
                <w:sz w:val="20"/>
                <w:szCs w:val="20"/>
              </w:rPr>
              <w:t>HR (95% CI); p-value</w:t>
            </w:r>
          </w:p>
        </w:tc>
        <w:tc>
          <w:tcPr>
            <w:tcW w:w="1642" w:type="pct"/>
            <w:gridSpan w:val="3"/>
            <w:shd w:val="clear" w:color="auto" w:fill="auto"/>
            <w:tcMar>
              <w:left w:w="40" w:type="dxa"/>
              <w:right w:w="40" w:type="dxa"/>
            </w:tcMar>
            <w:vAlign w:val="center"/>
          </w:tcPr>
          <w:p w14:paraId="2E9AFCDA" w14:textId="77777777" w:rsidR="000F5B70" w:rsidRPr="00310498" w:rsidRDefault="000F5B70" w:rsidP="006802F4">
            <w:pPr>
              <w:pStyle w:val="TableText0"/>
              <w:widowControl/>
              <w:jc w:val="center"/>
              <w:rPr>
                <w:iCs w:val="0"/>
                <w:sz w:val="20"/>
                <w:szCs w:val="20"/>
              </w:rPr>
            </w:pPr>
            <w:r w:rsidRPr="00310498">
              <w:rPr>
                <w:iCs w:val="0"/>
                <w:sz w:val="20"/>
                <w:szCs w:val="20"/>
              </w:rPr>
              <w:t>0.42 (0.22, 0.80); NR</w:t>
            </w:r>
          </w:p>
        </w:tc>
        <w:tc>
          <w:tcPr>
            <w:tcW w:w="1631" w:type="pct"/>
            <w:gridSpan w:val="5"/>
            <w:shd w:val="clear" w:color="auto" w:fill="auto"/>
            <w:tcMar>
              <w:left w:w="40" w:type="dxa"/>
              <w:right w:w="40" w:type="dxa"/>
            </w:tcMar>
            <w:vAlign w:val="center"/>
          </w:tcPr>
          <w:p w14:paraId="0AE2F876" w14:textId="77777777" w:rsidR="000F5B70" w:rsidRPr="00310498" w:rsidRDefault="000F5B70" w:rsidP="006802F4">
            <w:pPr>
              <w:pStyle w:val="TableText0"/>
              <w:widowControl/>
              <w:jc w:val="center"/>
              <w:rPr>
                <w:iCs w:val="0"/>
                <w:sz w:val="20"/>
                <w:szCs w:val="20"/>
              </w:rPr>
            </w:pPr>
            <w:r w:rsidRPr="00310498">
              <w:rPr>
                <w:iCs w:val="0"/>
                <w:sz w:val="20"/>
                <w:szCs w:val="20"/>
              </w:rPr>
              <w:t>0.28 (0.16, 0.50); p&lt;0.001</w:t>
            </w:r>
          </w:p>
        </w:tc>
      </w:tr>
      <w:tr w:rsidR="00BB40D8" w:rsidRPr="00310498" w14:paraId="1DBD2566" w14:textId="77777777" w:rsidTr="00827CAD">
        <w:trPr>
          <w:trHeight w:val="20"/>
        </w:trPr>
        <w:tc>
          <w:tcPr>
            <w:tcW w:w="1727" w:type="pct"/>
            <w:shd w:val="clear" w:color="auto" w:fill="auto"/>
            <w:tcMar>
              <w:left w:w="40" w:type="dxa"/>
              <w:right w:w="40" w:type="dxa"/>
            </w:tcMar>
            <w:vAlign w:val="center"/>
          </w:tcPr>
          <w:p w14:paraId="1E2FE5CE" w14:textId="77777777" w:rsidR="000F5B70" w:rsidRPr="00310498" w:rsidRDefault="000F5B70" w:rsidP="006802F4">
            <w:pPr>
              <w:pStyle w:val="TableText0"/>
              <w:widowControl/>
              <w:rPr>
                <w:iCs w:val="0"/>
                <w:sz w:val="20"/>
                <w:szCs w:val="20"/>
              </w:rPr>
            </w:pPr>
            <w:r w:rsidRPr="00310498">
              <w:rPr>
                <w:iCs w:val="0"/>
                <w:sz w:val="20"/>
                <w:szCs w:val="20"/>
              </w:rPr>
              <w:t>ITC of durvalumab + PC vs dostarlimab + PC, HR (95% CI), p-value</w:t>
            </w:r>
          </w:p>
        </w:tc>
        <w:tc>
          <w:tcPr>
            <w:tcW w:w="3273" w:type="pct"/>
            <w:gridSpan w:val="8"/>
            <w:shd w:val="clear" w:color="auto" w:fill="auto"/>
            <w:tcMar>
              <w:left w:w="40" w:type="dxa"/>
              <w:right w:w="40" w:type="dxa"/>
            </w:tcMar>
            <w:vAlign w:val="center"/>
          </w:tcPr>
          <w:p w14:paraId="2E8FD645" w14:textId="322D4174" w:rsidR="000F5B70" w:rsidRPr="00310498" w:rsidRDefault="000F5B70" w:rsidP="006802F4">
            <w:pPr>
              <w:pStyle w:val="TableText0"/>
              <w:widowControl/>
              <w:jc w:val="center"/>
              <w:rPr>
                <w:iCs w:val="0"/>
                <w:sz w:val="20"/>
                <w:szCs w:val="20"/>
              </w:rPr>
            </w:pPr>
            <w:r w:rsidRPr="00310498">
              <w:rPr>
                <w:iCs w:val="0"/>
                <w:sz w:val="20"/>
                <w:szCs w:val="20"/>
              </w:rPr>
              <w:t>1.50 (0.634, 3.548); p=0.3560</w:t>
            </w:r>
            <w:r w:rsidR="00183966">
              <w:rPr>
                <w:iCs w:val="0"/>
                <w:sz w:val="20"/>
                <w:szCs w:val="20"/>
              </w:rPr>
              <w:t>*</w:t>
            </w:r>
          </w:p>
        </w:tc>
      </w:tr>
      <w:tr w:rsidR="00BB40D8" w:rsidRPr="00310498" w14:paraId="34C8E91B" w14:textId="77777777" w:rsidTr="00827CAD">
        <w:trPr>
          <w:trHeight w:val="148"/>
        </w:trPr>
        <w:tc>
          <w:tcPr>
            <w:tcW w:w="5000" w:type="pct"/>
            <w:gridSpan w:val="9"/>
            <w:shd w:val="clear" w:color="auto" w:fill="auto"/>
            <w:tcMar>
              <w:left w:w="40" w:type="dxa"/>
              <w:right w:w="40" w:type="dxa"/>
            </w:tcMar>
            <w:vAlign w:val="center"/>
          </w:tcPr>
          <w:p w14:paraId="4C2D9D06" w14:textId="77777777" w:rsidR="000F5B70" w:rsidRPr="00310498" w:rsidRDefault="000F5B70" w:rsidP="006802F4">
            <w:pPr>
              <w:pStyle w:val="TableText0"/>
              <w:widowControl/>
              <w:rPr>
                <w:b/>
                <w:iCs w:val="0"/>
                <w:sz w:val="20"/>
                <w:szCs w:val="20"/>
              </w:rPr>
            </w:pPr>
            <w:r w:rsidRPr="00310498">
              <w:rPr>
                <w:b/>
                <w:iCs w:val="0"/>
                <w:sz w:val="20"/>
              </w:rPr>
              <w:t>ITC 2 (ITC results in the dMMR/MSI-H population)</w:t>
            </w:r>
          </w:p>
        </w:tc>
      </w:tr>
      <w:tr w:rsidR="00BB40D8" w:rsidRPr="00310498" w14:paraId="7124EDB3" w14:textId="77777777" w:rsidTr="00827CAD">
        <w:trPr>
          <w:trHeight w:val="20"/>
        </w:trPr>
        <w:tc>
          <w:tcPr>
            <w:tcW w:w="1727" w:type="pct"/>
            <w:shd w:val="clear" w:color="auto" w:fill="auto"/>
            <w:tcMar>
              <w:left w:w="40" w:type="dxa"/>
              <w:right w:w="40" w:type="dxa"/>
            </w:tcMar>
            <w:vAlign w:val="center"/>
          </w:tcPr>
          <w:p w14:paraId="1A3CCB5E" w14:textId="77777777" w:rsidR="000F5B70" w:rsidRPr="00310498" w:rsidRDefault="000F5B70" w:rsidP="006802F4">
            <w:pPr>
              <w:pStyle w:val="TableText0"/>
              <w:widowControl/>
              <w:rPr>
                <w:iCs w:val="0"/>
                <w:sz w:val="20"/>
                <w:szCs w:val="20"/>
              </w:rPr>
            </w:pPr>
            <w:r w:rsidRPr="00310498">
              <w:rPr>
                <w:iCs w:val="0"/>
                <w:sz w:val="20"/>
              </w:rPr>
              <w:t>Number of patients</w:t>
            </w:r>
            <w:r w:rsidRPr="00310498">
              <w:rPr>
                <w:iCs w:val="0"/>
                <w:sz w:val="20"/>
                <w:szCs w:val="20"/>
              </w:rPr>
              <w:t>, n</w:t>
            </w:r>
            <w:r w:rsidRPr="00310498">
              <w:rPr>
                <w:b/>
                <w:iCs w:val="0"/>
                <w:sz w:val="20"/>
              </w:rPr>
              <w:t xml:space="preserve"> </w:t>
            </w:r>
            <w:r w:rsidRPr="00310498">
              <w:rPr>
                <w:b/>
                <w:iCs w:val="0"/>
                <w:sz w:val="20"/>
                <w:vertAlign w:val="superscript"/>
              </w:rPr>
              <w:t>a</w:t>
            </w:r>
          </w:p>
        </w:tc>
        <w:tc>
          <w:tcPr>
            <w:tcW w:w="821" w:type="pct"/>
            <w:shd w:val="clear" w:color="auto" w:fill="auto"/>
            <w:tcMar>
              <w:left w:w="40" w:type="dxa"/>
              <w:right w:w="40" w:type="dxa"/>
            </w:tcMar>
            <w:vAlign w:val="center"/>
          </w:tcPr>
          <w:p w14:paraId="2952A566" w14:textId="77777777" w:rsidR="000F5B70" w:rsidRPr="00310498" w:rsidRDefault="000F5B70" w:rsidP="006802F4">
            <w:pPr>
              <w:pStyle w:val="TableText0"/>
              <w:widowControl/>
              <w:jc w:val="center"/>
              <w:rPr>
                <w:iCs w:val="0"/>
                <w:sz w:val="20"/>
                <w:szCs w:val="20"/>
                <w:lang w:eastAsia="en-AU"/>
              </w:rPr>
            </w:pPr>
            <w:r w:rsidRPr="00310498">
              <w:rPr>
                <w:iCs w:val="0"/>
                <w:sz w:val="20"/>
              </w:rPr>
              <w:t>55</w:t>
            </w:r>
          </w:p>
        </w:tc>
        <w:tc>
          <w:tcPr>
            <w:tcW w:w="821" w:type="pct"/>
            <w:gridSpan w:val="2"/>
            <w:shd w:val="clear" w:color="auto" w:fill="auto"/>
            <w:vAlign w:val="center"/>
          </w:tcPr>
          <w:p w14:paraId="62A00222" w14:textId="77777777" w:rsidR="000F5B70" w:rsidRPr="00310498" w:rsidRDefault="000F5B70" w:rsidP="006802F4">
            <w:pPr>
              <w:pStyle w:val="TableText0"/>
              <w:widowControl/>
              <w:jc w:val="center"/>
              <w:rPr>
                <w:iCs w:val="0"/>
                <w:sz w:val="20"/>
                <w:szCs w:val="20"/>
              </w:rPr>
            </w:pPr>
            <w:r w:rsidRPr="00310498">
              <w:rPr>
                <w:iCs w:val="0"/>
                <w:sz w:val="20"/>
              </w:rPr>
              <w:t>52</w:t>
            </w:r>
          </w:p>
        </w:tc>
        <w:tc>
          <w:tcPr>
            <w:tcW w:w="815" w:type="pct"/>
            <w:gridSpan w:val="3"/>
            <w:shd w:val="clear" w:color="auto" w:fill="auto"/>
            <w:tcMar>
              <w:left w:w="40" w:type="dxa"/>
              <w:right w:w="40" w:type="dxa"/>
            </w:tcMar>
            <w:vAlign w:val="center"/>
          </w:tcPr>
          <w:p w14:paraId="2F7EC884" w14:textId="77777777" w:rsidR="000F5B70" w:rsidRPr="00310498" w:rsidRDefault="000F5B70" w:rsidP="006802F4">
            <w:pPr>
              <w:pStyle w:val="TableText0"/>
              <w:widowControl/>
              <w:jc w:val="center"/>
              <w:rPr>
                <w:iCs w:val="0"/>
                <w:sz w:val="20"/>
                <w:szCs w:val="20"/>
                <w:lang w:eastAsia="en-AU"/>
              </w:rPr>
            </w:pPr>
            <w:r w:rsidRPr="00310498">
              <w:rPr>
                <w:iCs w:val="0"/>
                <w:sz w:val="20"/>
              </w:rPr>
              <w:t>53</w:t>
            </w:r>
          </w:p>
        </w:tc>
        <w:tc>
          <w:tcPr>
            <w:tcW w:w="816" w:type="pct"/>
            <w:gridSpan w:val="2"/>
            <w:shd w:val="clear" w:color="auto" w:fill="auto"/>
            <w:vAlign w:val="center"/>
          </w:tcPr>
          <w:p w14:paraId="2DDF3497" w14:textId="77777777" w:rsidR="000F5B70" w:rsidRPr="00310498" w:rsidRDefault="000F5B70" w:rsidP="006802F4">
            <w:pPr>
              <w:pStyle w:val="TableText0"/>
              <w:widowControl/>
              <w:jc w:val="center"/>
              <w:rPr>
                <w:iCs w:val="0"/>
                <w:sz w:val="20"/>
                <w:szCs w:val="20"/>
              </w:rPr>
            </w:pPr>
            <w:r w:rsidRPr="00310498">
              <w:rPr>
                <w:iCs w:val="0"/>
                <w:sz w:val="20"/>
              </w:rPr>
              <w:t>65</w:t>
            </w:r>
          </w:p>
        </w:tc>
      </w:tr>
      <w:tr w:rsidR="00BB40D8" w:rsidRPr="00310498" w14:paraId="4C85B860" w14:textId="77777777" w:rsidTr="00827CAD">
        <w:trPr>
          <w:trHeight w:val="148"/>
        </w:trPr>
        <w:tc>
          <w:tcPr>
            <w:tcW w:w="5000" w:type="pct"/>
            <w:gridSpan w:val="9"/>
            <w:shd w:val="clear" w:color="auto" w:fill="auto"/>
            <w:tcMar>
              <w:left w:w="40" w:type="dxa"/>
              <w:right w:w="40" w:type="dxa"/>
            </w:tcMar>
            <w:vAlign w:val="center"/>
          </w:tcPr>
          <w:p w14:paraId="513E4D34" w14:textId="77777777" w:rsidR="000F5B70" w:rsidRPr="00310498" w:rsidRDefault="000F5B70" w:rsidP="006802F4">
            <w:pPr>
              <w:pStyle w:val="TableText0"/>
              <w:widowControl/>
              <w:rPr>
                <w:b/>
                <w:iCs w:val="0"/>
                <w:sz w:val="20"/>
                <w:szCs w:val="20"/>
              </w:rPr>
            </w:pPr>
            <w:r w:rsidRPr="00310498">
              <w:rPr>
                <w:b/>
                <w:iCs w:val="0"/>
                <w:sz w:val="20"/>
              </w:rPr>
              <w:t>OS</w:t>
            </w:r>
          </w:p>
        </w:tc>
      </w:tr>
      <w:tr w:rsidR="00BB40D8" w:rsidRPr="00310498" w14:paraId="648D5DBF" w14:textId="77777777" w:rsidTr="00827CAD">
        <w:trPr>
          <w:trHeight w:val="155"/>
        </w:trPr>
        <w:tc>
          <w:tcPr>
            <w:tcW w:w="1727" w:type="pct"/>
            <w:tcMar>
              <w:left w:w="40" w:type="dxa"/>
              <w:right w:w="40" w:type="dxa"/>
            </w:tcMar>
            <w:vAlign w:val="center"/>
          </w:tcPr>
          <w:p w14:paraId="3D622501" w14:textId="77777777" w:rsidR="000F5B70" w:rsidRPr="00310498" w:rsidRDefault="000F5B70" w:rsidP="006802F4">
            <w:pPr>
              <w:pStyle w:val="TableText0"/>
              <w:widowControl/>
              <w:rPr>
                <w:iCs w:val="0"/>
                <w:sz w:val="20"/>
                <w:szCs w:val="20"/>
              </w:rPr>
            </w:pPr>
            <w:r w:rsidRPr="00310498">
              <w:rPr>
                <w:iCs w:val="0"/>
                <w:sz w:val="20"/>
                <w:szCs w:val="20"/>
              </w:rPr>
              <w:t>Events, n (%)</w:t>
            </w:r>
          </w:p>
        </w:tc>
        <w:tc>
          <w:tcPr>
            <w:tcW w:w="925" w:type="pct"/>
            <w:gridSpan w:val="2"/>
            <w:tcMar>
              <w:left w:w="40" w:type="dxa"/>
              <w:right w:w="40" w:type="dxa"/>
            </w:tcMar>
            <w:vAlign w:val="center"/>
          </w:tcPr>
          <w:p w14:paraId="7932636A" w14:textId="77777777" w:rsidR="000F5B70" w:rsidRPr="00310498" w:rsidRDefault="000F5B70" w:rsidP="006802F4">
            <w:pPr>
              <w:pStyle w:val="TableText0"/>
              <w:widowControl/>
              <w:jc w:val="center"/>
              <w:rPr>
                <w:iCs w:val="0"/>
                <w:sz w:val="20"/>
                <w:szCs w:val="20"/>
              </w:rPr>
            </w:pPr>
            <w:r w:rsidRPr="00310498">
              <w:rPr>
                <w:iCs w:val="0"/>
                <w:sz w:val="20"/>
                <w:szCs w:val="20"/>
              </w:rPr>
              <w:t>8 (14.5%)</w:t>
            </w:r>
          </w:p>
        </w:tc>
        <w:tc>
          <w:tcPr>
            <w:tcW w:w="730" w:type="pct"/>
            <w:gridSpan w:val="2"/>
            <w:tcMar>
              <w:left w:w="40" w:type="dxa"/>
              <w:right w:w="40" w:type="dxa"/>
            </w:tcMar>
            <w:vAlign w:val="center"/>
          </w:tcPr>
          <w:p w14:paraId="1D1CC15C" w14:textId="77777777" w:rsidR="000F5B70" w:rsidRPr="00310498" w:rsidRDefault="000F5B70" w:rsidP="006802F4">
            <w:pPr>
              <w:pStyle w:val="TableText0"/>
              <w:widowControl/>
              <w:jc w:val="center"/>
              <w:rPr>
                <w:iCs w:val="0"/>
                <w:sz w:val="20"/>
                <w:szCs w:val="20"/>
              </w:rPr>
            </w:pPr>
            <w:r w:rsidRPr="00310498">
              <w:rPr>
                <w:iCs w:val="0"/>
                <w:sz w:val="20"/>
                <w:szCs w:val="20"/>
              </w:rPr>
              <w:t>21 (40.4%)</w:t>
            </w:r>
          </w:p>
        </w:tc>
        <w:tc>
          <w:tcPr>
            <w:tcW w:w="834" w:type="pct"/>
            <w:gridSpan w:val="3"/>
            <w:tcMar>
              <w:left w:w="40" w:type="dxa"/>
              <w:right w:w="40" w:type="dxa"/>
            </w:tcMar>
            <w:vAlign w:val="center"/>
          </w:tcPr>
          <w:p w14:paraId="7332B6F8" w14:textId="77777777" w:rsidR="000F5B70" w:rsidRPr="00310498" w:rsidRDefault="000F5B70" w:rsidP="006802F4">
            <w:pPr>
              <w:pStyle w:val="TableText0"/>
              <w:widowControl/>
              <w:jc w:val="center"/>
              <w:rPr>
                <w:iCs w:val="0"/>
                <w:sz w:val="20"/>
                <w:szCs w:val="20"/>
              </w:rPr>
            </w:pPr>
            <w:r w:rsidRPr="00310498">
              <w:rPr>
                <w:iCs w:val="0"/>
                <w:sz w:val="20"/>
                <w:szCs w:val="20"/>
              </w:rPr>
              <w:t>7 (13.2%)</w:t>
            </w:r>
          </w:p>
        </w:tc>
        <w:tc>
          <w:tcPr>
            <w:tcW w:w="784" w:type="pct"/>
            <w:tcMar>
              <w:left w:w="40" w:type="dxa"/>
              <w:right w:w="40" w:type="dxa"/>
            </w:tcMar>
            <w:vAlign w:val="center"/>
          </w:tcPr>
          <w:p w14:paraId="7BA22C0B" w14:textId="77777777" w:rsidR="000F5B70" w:rsidRPr="00310498" w:rsidRDefault="000F5B70" w:rsidP="006802F4">
            <w:pPr>
              <w:pStyle w:val="TableText0"/>
              <w:widowControl/>
              <w:jc w:val="center"/>
              <w:rPr>
                <w:iCs w:val="0"/>
                <w:sz w:val="20"/>
                <w:szCs w:val="20"/>
              </w:rPr>
            </w:pPr>
            <w:r w:rsidRPr="00310498">
              <w:rPr>
                <w:iCs w:val="0"/>
                <w:sz w:val="20"/>
                <w:szCs w:val="20"/>
              </w:rPr>
              <w:t>24 (36.9%)</w:t>
            </w:r>
          </w:p>
        </w:tc>
      </w:tr>
      <w:tr w:rsidR="00BB40D8" w:rsidRPr="00310498" w14:paraId="293D4023" w14:textId="77777777" w:rsidTr="00827CAD">
        <w:trPr>
          <w:trHeight w:val="170"/>
        </w:trPr>
        <w:tc>
          <w:tcPr>
            <w:tcW w:w="1727" w:type="pct"/>
            <w:tcMar>
              <w:left w:w="40" w:type="dxa"/>
              <w:right w:w="40" w:type="dxa"/>
            </w:tcMar>
            <w:vAlign w:val="center"/>
          </w:tcPr>
          <w:p w14:paraId="3EA73B95" w14:textId="77777777" w:rsidR="000F5B70" w:rsidRPr="00310498" w:rsidRDefault="000F5B70" w:rsidP="006802F4">
            <w:pPr>
              <w:pStyle w:val="TableText0"/>
              <w:widowControl/>
              <w:rPr>
                <w:iCs w:val="0"/>
                <w:sz w:val="20"/>
                <w:szCs w:val="20"/>
              </w:rPr>
            </w:pPr>
            <w:r w:rsidRPr="00310498">
              <w:rPr>
                <w:iCs w:val="0"/>
                <w:sz w:val="20"/>
                <w:szCs w:val="20"/>
              </w:rPr>
              <w:t>HR (95% CI)</w:t>
            </w:r>
          </w:p>
        </w:tc>
        <w:tc>
          <w:tcPr>
            <w:tcW w:w="1655" w:type="pct"/>
            <w:gridSpan w:val="4"/>
            <w:tcMar>
              <w:left w:w="40" w:type="dxa"/>
              <w:right w:w="40" w:type="dxa"/>
            </w:tcMar>
            <w:vAlign w:val="center"/>
          </w:tcPr>
          <w:p w14:paraId="30A59C4B" w14:textId="1CC7EA7F" w:rsidR="000F5B70" w:rsidRPr="00310498" w:rsidRDefault="000F5B70" w:rsidP="006802F4">
            <w:pPr>
              <w:pStyle w:val="TableText0"/>
              <w:widowControl/>
              <w:jc w:val="center"/>
              <w:rPr>
                <w:iCs w:val="0"/>
                <w:sz w:val="20"/>
                <w:szCs w:val="20"/>
              </w:rPr>
            </w:pPr>
            <w:r w:rsidRPr="00310498">
              <w:rPr>
                <w:iCs w:val="0"/>
                <w:sz w:val="20"/>
                <w:szCs w:val="20"/>
              </w:rPr>
              <w:t>0.30 (0.12</w:t>
            </w:r>
            <w:r w:rsidR="0032043A">
              <w:rPr>
                <w:iCs w:val="0"/>
                <w:sz w:val="20"/>
                <w:szCs w:val="20"/>
              </w:rPr>
              <w:t xml:space="preserve">, </w:t>
            </w:r>
            <w:r w:rsidRPr="00310498">
              <w:rPr>
                <w:iCs w:val="0"/>
                <w:sz w:val="20"/>
                <w:szCs w:val="20"/>
              </w:rPr>
              <w:t>0.65)</w:t>
            </w:r>
          </w:p>
        </w:tc>
        <w:tc>
          <w:tcPr>
            <w:tcW w:w="1618" w:type="pct"/>
            <w:gridSpan w:val="4"/>
            <w:tcMar>
              <w:left w:w="40" w:type="dxa"/>
              <w:right w:w="40" w:type="dxa"/>
            </w:tcMar>
            <w:vAlign w:val="center"/>
          </w:tcPr>
          <w:p w14:paraId="5C69C8EE" w14:textId="2F045176" w:rsidR="000F5B70" w:rsidRPr="00310498" w:rsidRDefault="000F5B70" w:rsidP="006802F4">
            <w:pPr>
              <w:pStyle w:val="TableText0"/>
              <w:widowControl/>
              <w:jc w:val="center"/>
              <w:rPr>
                <w:iCs w:val="0"/>
                <w:sz w:val="20"/>
                <w:szCs w:val="20"/>
              </w:rPr>
            </w:pPr>
            <w:r w:rsidRPr="00310498">
              <w:rPr>
                <w:iCs w:val="0"/>
                <w:sz w:val="20"/>
                <w:szCs w:val="20"/>
              </w:rPr>
              <w:t>0.30 (0.13</w:t>
            </w:r>
            <w:r w:rsidR="0032043A">
              <w:rPr>
                <w:iCs w:val="0"/>
                <w:sz w:val="20"/>
                <w:szCs w:val="20"/>
              </w:rPr>
              <w:t xml:space="preserve">, </w:t>
            </w:r>
            <w:r w:rsidRPr="00310498">
              <w:rPr>
                <w:iCs w:val="0"/>
                <w:sz w:val="20"/>
                <w:szCs w:val="20"/>
              </w:rPr>
              <w:t>0.70)</w:t>
            </w:r>
          </w:p>
        </w:tc>
      </w:tr>
      <w:tr w:rsidR="00BB40D8" w:rsidRPr="00310498" w14:paraId="232457D3" w14:textId="77777777" w:rsidTr="00827CAD">
        <w:trPr>
          <w:trHeight w:val="298"/>
        </w:trPr>
        <w:tc>
          <w:tcPr>
            <w:tcW w:w="1727" w:type="pct"/>
            <w:tcMar>
              <w:left w:w="40" w:type="dxa"/>
              <w:right w:w="40" w:type="dxa"/>
            </w:tcMar>
            <w:vAlign w:val="center"/>
          </w:tcPr>
          <w:p w14:paraId="0EC43A9F" w14:textId="77777777" w:rsidR="000F5B70" w:rsidRPr="00310498" w:rsidRDefault="000F5B70" w:rsidP="006802F4">
            <w:pPr>
              <w:pStyle w:val="TableText0"/>
              <w:widowControl/>
              <w:rPr>
                <w:iCs w:val="0"/>
                <w:sz w:val="20"/>
                <w:szCs w:val="20"/>
              </w:rPr>
            </w:pPr>
            <w:r w:rsidRPr="00310498">
              <w:rPr>
                <w:iCs w:val="0"/>
                <w:sz w:val="20"/>
                <w:szCs w:val="20"/>
              </w:rPr>
              <w:t>ITC of durvalumab + PC vs dostarlimab + PC, HR (95% CI), p-value</w:t>
            </w:r>
          </w:p>
        </w:tc>
        <w:tc>
          <w:tcPr>
            <w:tcW w:w="3273" w:type="pct"/>
            <w:gridSpan w:val="8"/>
            <w:tcMar>
              <w:left w:w="40" w:type="dxa"/>
              <w:right w:w="40" w:type="dxa"/>
            </w:tcMar>
            <w:vAlign w:val="center"/>
          </w:tcPr>
          <w:p w14:paraId="1909AAD9" w14:textId="0949A18C" w:rsidR="000F5B70" w:rsidRPr="00310498" w:rsidRDefault="000F5B70" w:rsidP="006802F4">
            <w:pPr>
              <w:pStyle w:val="TableText0"/>
              <w:widowControl/>
              <w:jc w:val="center"/>
              <w:rPr>
                <w:iCs w:val="0"/>
                <w:sz w:val="20"/>
                <w:szCs w:val="20"/>
              </w:rPr>
            </w:pPr>
            <w:r w:rsidRPr="00310498">
              <w:rPr>
                <w:iCs w:val="0"/>
                <w:sz w:val="20"/>
                <w:szCs w:val="20"/>
              </w:rPr>
              <w:t>1.00 (0.31-3.23)</w:t>
            </w:r>
            <w:r w:rsidRPr="00310498">
              <w:rPr>
                <w:iCs w:val="0"/>
                <w:sz w:val="20"/>
              </w:rPr>
              <w:t>;</w:t>
            </w:r>
            <w:r w:rsidRPr="00310498">
              <w:rPr>
                <w:iCs w:val="0"/>
                <w:sz w:val="20"/>
                <w:szCs w:val="20"/>
              </w:rPr>
              <w:t xml:space="preserve"> p=1.0000</w:t>
            </w:r>
            <w:r w:rsidR="00183966">
              <w:rPr>
                <w:iCs w:val="0"/>
                <w:sz w:val="20"/>
                <w:szCs w:val="20"/>
              </w:rPr>
              <w:t>*</w:t>
            </w:r>
          </w:p>
        </w:tc>
      </w:tr>
      <w:tr w:rsidR="00BB40D8" w:rsidRPr="00310498" w14:paraId="67312D95" w14:textId="77777777" w:rsidTr="00827CAD">
        <w:trPr>
          <w:trHeight w:val="56"/>
        </w:trPr>
        <w:tc>
          <w:tcPr>
            <w:tcW w:w="5000" w:type="pct"/>
            <w:gridSpan w:val="9"/>
            <w:shd w:val="clear" w:color="auto" w:fill="auto"/>
            <w:tcMar>
              <w:left w:w="40" w:type="dxa"/>
              <w:right w:w="40" w:type="dxa"/>
            </w:tcMar>
            <w:vAlign w:val="center"/>
          </w:tcPr>
          <w:p w14:paraId="54A61B13" w14:textId="77777777" w:rsidR="000F5B70" w:rsidRPr="00310498" w:rsidRDefault="000F5B70" w:rsidP="006802F4">
            <w:pPr>
              <w:pStyle w:val="TableText0"/>
              <w:widowControl/>
              <w:rPr>
                <w:b/>
                <w:iCs w:val="0"/>
                <w:sz w:val="20"/>
                <w:szCs w:val="20"/>
              </w:rPr>
            </w:pPr>
            <w:r w:rsidRPr="00310498">
              <w:rPr>
                <w:b/>
                <w:iCs w:val="0"/>
                <w:sz w:val="20"/>
                <w:szCs w:val="20"/>
              </w:rPr>
              <w:t>PFS</w:t>
            </w:r>
          </w:p>
        </w:tc>
      </w:tr>
      <w:tr w:rsidR="00BB40D8" w:rsidRPr="00310498" w14:paraId="57F7B01F" w14:textId="77777777" w:rsidTr="00827CAD">
        <w:trPr>
          <w:trHeight w:val="85"/>
        </w:trPr>
        <w:tc>
          <w:tcPr>
            <w:tcW w:w="1727" w:type="pct"/>
            <w:tcMar>
              <w:left w:w="40" w:type="dxa"/>
              <w:right w:w="40" w:type="dxa"/>
            </w:tcMar>
            <w:vAlign w:val="center"/>
          </w:tcPr>
          <w:p w14:paraId="0197A837" w14:textId="77777777" w:rsidR="000F5B70" w:rsidRPr="00310498" w:rsidRDefault="000F5B70" w:rsidP="006802F4">
            <w:pPr>
              <w:pStyle w:val="TableText0"/>
              <w:widowControl/>
              <w:rPr>
                <w:iCs w:val="0"/>
                <w:sz w:val="20"/>
                <w:szCs w:val="20"/>
              </w:rPr>
            </w:pPr>
            <w:r w:rsidRPr="00310498">
              <w:rPr>
                <w:iCs w:val="0"/>
                <w:sz w:val="20"/>
                <w:szCs w:val="20"/>
              </w:rPr>
              <w:t>Events, n (%)</w:t>
            </w:r>
          </w:p>
        </w:tc>
        <w:tc>
          <w:tcPr>
            <w:tcW w:w="925" w:type="pct"/>
            <w:gridSpan w:val="2"/>
            <w:tcMar>
              <w:left w:w="40" w:type="dxa"/>
              <w:right w:w="40" w:type="dxa"/>
            </w:tcMar>
            <w:vAlign w:val="center"/>
          </w:tcPr>
          <w:p w14:paraId="321D097E" w14:textId="77777777" w:rsidR="000F5B70" w:rsidRPr="00310498" w:rsidRDefault="000F5B70" w:rsidP="006802F4">
            <w:pPr>
              <w:pStyle w:val="TableText0"/>
              <w:widowControl/>
              <w:jc w:val="center"/>
              <w:rPr>
                <w:iCs w:val="0"/>
                <w:sz w:val="20"/>
                <w:szCs w:val="20"/>
              </w:rPr>
            </w:pPr>
            <w:r w:rsidRPr="00310498">
              <w:rPr>
                <w:iCs w:val="0"/>
                <w:sz w:val="20"/>
                <w:szCs w:val="20"/>
              </w:rPr>
              <w:t>17 (30.9%)</w:t>
            </w:r>
          </w:p>
        </w:tc>
        <w:tc>
          <w:tcPr>
            <w:tcW w:w="730" w:type="pct"/>
            <w:gridSpan w:val="2"/>
            <w:tcMar>
              <w:left w:w="40" w:type="dxa"/>
              <w:right w:w="40" w:type="dxa"/>
            </w:tcMar>
            <w:vAlign w:val="center"/>
          </w:tcPr>
          <w:p w14:paraId="1F01F381" w14:textId="77777777" w:rsidR="000F5B70" w:rsidRPr="00310498" w:rsidRDefault="000F5B70" w:rsidP="006802F4">
            <w:pPr>
              <w:pStyle w:val="TableText0"/>
              <w:widowControl/>
              <w:jc w:val="center"/>
              <w:rPr>
                <w:iCs w:val="0"/>
                <w:sz w:val="20"/>
                <w:szCs w:val="20"/>
              </w:rPr>
            </w:pPr>
            <w:r w:rsidRPr="00310498">
              <w:rPr>
                <w:iCs w:val="0"/>
                <w:sz w:val="20"/>
                <w:szCs w:val="20"/>
              </w:rPr>
              <w:t>28 (53.8%)</w:t>
            </w:r>
          </w:p>
        </w:tc>
        <w:tc>
          <w:tcPr>
            <w:tcW w:w="834" w:type="pct"/>
            <w:gridSpan w:val="3"/>
            <w:tcMar>
              <w:left w:w="40" w:type="dxa"/>
              <w:right w:w="40" w:type="dxa"/>
            </w:tcMar>
            <w:vAlign w:val="center"/>
          </w:tcPr>
          <w:p w14:paraId="28E75AD8" w14:textId="77777777" w:rsidR="000F5B70" w:rsidRPr="00310498" w:rsidRDefault="000F5B70" w:rsidP="006802F4">
            <w:pPr>
              <w:pStyle w:val="TableText0"/>
              <w:widowControl/>
              <w:jc w:val="center"/>
              <w:rPr>
                <w:iCs w:val="0"/>
                <w:sz w:val="20"/>
                <w:szCs w:val="20"/>
              </w:rPr>
            </w:pPr>
            <w:r w:rsidRPr="00310498">
              <w:rPr>
                <w:iCs w:val="0"/>
                <w:sz w:val="20"/>
                <w:szCs w:val="20"/>
              </w:rPr>
              <w:t>19 (35.8%)</w:t>
            </w:r>
          </w:p>
        </w:tc>
        <w:tc>
          <w:tcPr>
            <w:tcW w:w="784" w:type="pct"/>
            <w:tcMar>
              <w:left w:w="40" w:type="dxa"/>
              <w:right w:w="40" w:type="dxa"/>
            </w:tcMar>
            <w:vAlign w:val="center"/>
          </w:tcPr>
          <w:p w14:paraId="4E94CA6D" w14:textId="77777777" w:rsidR="000F5B70" w:rsidRPr="00310498" w:rsidRDefault="000F5B70" w:rsidP="006802F4">
            <w:pPr>
              <w:pStyle w:val="TableText0"/>
              <w:widowControl/>
              <w:jc w:val="center"/>
              <w:rPr>
                <w:iCs w:val="0"/>
                <w:sz w:val="20"/>
                <w:szCs w:val="20"/>
              </w:rPr>
            </w:pPr>
            <w:r w:rsidRPr="00310498">
              <w:rPr>
                <w:iCs w:val="0"/>
                <w:sz w:val="20"/>
                <w:szCs w:val="20"/>
              </w:rPr>
              <w:t>47 (72.3%)</w:t>
            </w:r>
          </w:p>
        </w:tc>
      </w:tr>
      <w:tr w:rsidR="00BB40D8" w:rsidRPr="00310498" w14:paraId="281B11B3" w14:textId="77777777" w:rsidTr="00827CAD">
        <w:trPr>
          <w:trHeight w:val="117"/>
        </w:trPr>
        <w:tc>
          <w:tcPr>
            <w:tcW w:w="1727" w:type="pct"/>
            <w:tcMar>
              <w:left w:w="40" w:type="dxa"/>
              <w:right w:w="40" w:type="dxa"/>
            </w:tcMar>
            <w:vAlign w:val="center"/>
          </w:tcPr>
          <w:p w14:paraId="0BA4D777" w14:textId="77777777" w:rsidR="000F5B70" w:rsidRPr="00310498" w:rsidRDefault="000F5B70" w:rsidP="006802F4">
            <w:pPr>
              <w:pStyle w:val="TableText0"/>
              <w:widowControl/>
              <w:rPr>
                <w:iCs w:val="0"/>
                <w:sz w:val="20"/>
                <w:szCs w:val="20"/>
              </w:rPr>
            </w:pPr>
            <w:r w:rsidRPr="00310498">
              <w:rPr>
                <w:iCs w:val="0"/>
                <w:sz w:val="20"/>
                <w:szCs w:val="20"/>
              </w:rPr>
              <w:t>HR (95% CI); p-value</w:t>
            </w:r>
          </w:p>
        </w:tc>
        <w:tc>
          <w:tcPr>
            <w:tcW w:w="1655" w:type="pct"/>
            <w:gridSpan w:val="4"/>
            <w:tcMar>
              <w:left w:w="40" w:type="dxa"/>
              <w:right w:w="40" w:type="dxa"/>
            </w:tcMar>
            <w:vAlign w:val="center"/>
          </w:tcPr>
          <w:p w14:paraId="4DEAA8CD" w14:textId="357C8664" w:rsidR="000F5B70" w:rsidRPr="00310498" w:rsidRDefault="000F5B70" w:rsidP="006802F4">
            <w:pPr>
              <w:pStyle w:val="TableText0"/>
              <w:widowControl/>
              <w:jc w:val="center"/>
              <w:rPr>
                <w:iCs w:val="0"/>
                <w:sz w:val="20"/>
                <w:szCs w:val="20"/>
              </w:rPr>
            </w:pPr>
            <w:r w:rsidRPr="00310498">
              <w:rPr>
                <w:iCs w:val="0"/>
                <w:sz w:val="20"/>
                <w:szCs w:val="20"/>
              </w:rPr>
              <w:t>0.37 (0.20</w:t>
            </w:r>
            <w:r w:rsidR="0032043A">
              <w:rPr>
                <w:iCs w:val="0"/>
                <w:sz w:val="20"/>
                <w:szCs w:val="20"/>
              </w:rPr>
              <w:t xml:space="preserve">, </w:t>
            </w:r>
            <w:r w:rsidRPr="00310498">
              <w:rPr>
                <w:iCs w:val="0"/>
                <w:sz w:val="20"/>
                <w:szCs w:val="20"/>
              </w:rPr>
              <w:t>0.67)</w:t>
            </w:r>
          </w:p>
        </w:tc>
        <w:tc>
          <w:tcPr>
            <w:tcW w:w="1618" w:type="pct"/>
            <w:gridSpan w:val="4"/>
            <w:tcMar>
              <w:left w:w="40" w:type="dxa"/>
              <w:right w:w="40" w:type="dxa"/>
            </w:tcMar>
            <w:vAlign w:val="center"/>
          </w:tcPr>
          <w:p w14:paraId="3E5A9FA2" w14:textId="20ECDF9F" w:rsidR="000F5B70" w:rsidRPr="00310498" w:rsidRDefault="000F5B70" w:rsidP="006802F4">
            <w:pPr>
              <w:pStyle w:val="TableText0"/>
              <w:widowControl/>
              <w:jc w:val="center"/>
              <w:rPr>
                <w:iCs w:val="0"/>
                <w:sz w:val="20"/>
                <w:szCs w:val="20"/>
              </w:rPr>
            </w:pPr>
            <w:r w:rsidRPr="00310498">
              <w:rPr>
                <w:iCs w:val="0"/>
                <w:sz w:val="20"/>
                <w:szCs w:val="20"/>
              </w:rPr>
              <w:t>0.28 (0.16</w:t>
            </w:r>
            <w:r w:rsidR="0032043A">
              <w:rPr>
                <w:iCs w:val="0"/>
                <w:sz w:val="20"/>
                <w:szCs w:val="20"/>
              </w:rPr>
              <w:t xml:space="preserve">, </w:t>
            </w:r>
            <w:r w:rsidRPr="00310498">
              <w:rPr>
                <w:iCs w:val="0"/>
                <w:sz w:val="20"/>
                <w:szCs w:val="20"/>
              </w:rPr>
              <w:t>0.50)</w:t>
            </w:r>
          </w:p>
        </w:tc>
      </w:tr>
      <w:tr w:rsidR="00BB40D8" w:rsidRPr="00310498" w14:paraId="7240FABC" w14:textId="77777777" w:rsidTr="00827CAD">
        <w:trPr>
          <w:trHeight w:val="298"/>
        </w:trPr>
        <w:tc>
          <w:tcPr>
            <w:tcW w:w="1727" w:type="pct"/>
            <w:tcMar>
              <w:left w:w="40" w:type="dxa"/>
              <w:right w:w="40" w:type="dxa"/>
            </w:tcMar>
            <w:vAlign w:val="center"/>
          </w:tcPr>
          <w:p w14:paraId="761C23EC" w14:textId="77777777" w:rsidR="000F5B70" w:rsidRPr="00310498" w:rsidRDefault="000F5B70" w:rsidP="006802F4">
            <w:pPr>
              <w:pStyle w:val="TableText0"/>
              <w:widowControl/>
              <w:rPr>
                <w:iCs w:val="0"/>
                <w:sz w:val="20"/>
                <w:szCs w:val="20"/>
              </w:rPr>
            </w:pPr>
            <w:r w:rsidRPr="00310498">
              <w:rPr>
                <w:iCs w:val="0"/>
                <w:sz w:val="20"/>
                <w:szCs w:val="20"/>
              </w:rPr>
              <w:t>ITC of durvalumab + PC vs dostarlimab + PC, HR (95% CI), p-value</w:t>
            </w:r>
          </w:p>
        </w:tc>
        <w:tc>
          <w:tcPr>
            <w:tcW w:w="3273" w:type="pct"/>
            <w:gridSpan w:val="8"/>
            <w:tcMar>
              <w:left w:w="40" w:type="dxa"/>
              <w:right w:w="40" w:type="dxa"/>
            </w:tcMar>
            <w:vAlign w:val="center"/>
          </w:tcPr>
          <w:p w14:paraId="309AFD8F" w14:textId="7270BAE6" w:rsidR="000F5B70" w:rsidRPr="00310498" w:rsidRDefault="000F5B70" w:rsidP="006802F4">
            <w:pPr>
              <w:pStyle w:val="TableText0"/>
              <w:widowControl/>
              <w:jc w:val="center"/>
              <w:rPr>
                <w:iCs w:val="0"/>
                <w:sz w:val="20"/>
                <w:szCs w:val="20"/>
              </w:rPr>
            </w:pPr>
            <w:r w:rsidRPr="00310498">
              <w:rPr>
                <w:iCs w:val="0"/>
                <w:sz w:val="20"/>
                <w:szCs w:val="20"/>
              </w:rPr>
              <w:t>1.32 (0.57</w:t>
            </w:r>
            <w:r w:rsidRPr="00310498">
              <w:rPr>
                <w:iCs w:val="0"/>
                <w:sz w:val="20"/>
              </w:rPr>
              <w:t xml:space="preserve">, </w:t>
            </w:r>
            <w:r w:rsidRPr="00310498">
              <w:rPr>
                <w:iCs w:val="0"/>
                <w:sz w:val="20"/>
                <w:szCs w:val="20"/>
              </w:rPr>
              <w:t>3.04) p=0.5108</w:t>
            </w:r>
            <w:r w:rsidR="00183966">
              <w:rPr>
                <w:iCs w:val="0"/>
                <w:sz w:val="20"/>
                <w:szCs w:val="20"/>
              </w:rPr>
              <w:t>*</w:t>
            </w:r>
          </w:p>
        </w:tc>
      </w:tr>
      <w:tr w:rsidR="00BB40D8" w:rsidRPr="00310498" w14:paraId="45E06C87" w14:textId="77777777" w:rsidTr="00827CAD">
        <w:trPr>
          <w:trHeight w:val="185"/>
        </w:trPr>
        <w:tc>
          <w:tcPr>
            <w:tcW w:w="5000" w:type="pct"/>
            <w:gridSpan w:val="9"/>
            <w:tcMar>
              <w:left w:w="40" w:type="dxa"/>
              <w:right w:w="40" w:type="dxa"/>
            </w:tcMar>
            <w:vAlign w:val="center"/>
          </w:tcPr>
          <w:p w14:paraId="674EFF4B" w14:textId="77777777" w:rsidR="000F5B70" w:rsidRPr="00310498" w:rsidRDefault="000F5B70" w:rsidP="006802F4">
            <w:pPr>
              <w:pStyle w:val="TableText0"/>
              <w:widowControl/>
              <w:rPr>
                <w:b/>
                <w:iCs w:val="0"/>
                <w:sz w:val="20"/>
                <w:szCs w:val="20"/>
              </w:rPr>
            </w:pPr>
            <w:r w:rsidRPr="00310498">
              <w:rPr>
                <w:b/>
                <w:iCs w:val="0"/>
                <w:sz w:val="20"/>
              </w:rPr>
              <w:t xml:space="preserve">ITC 3 (MAIC results for PFS in the dMMR/MSI-H population) </w:t>
            </w:r>
            <w:r w:rsidRPr="00310498">
              <w:rPr>
                <w:b/>
                <w:iCs w:val="0"/>
                <w:sz w:val="20"/>
                <w:vertAlign w:val="superscript"/>
              </w:rPr>
              <w:t>b</w:t>
            </w:r>
          </w:p>
        </w:tc>
      </w:tr>
      <w:tr w:rsidR="00BB40D8" w:rsidRPr="00310498" w14:paraId="70EBE02D" w14:textId="77777777" w:rsidTr="00827CAD">
        <w:trPr>
          <w:trHeight w:val="89"/>
        </w:trPr>
        <w:tc>
          <w:tcPr>
            <w:tcW w:w="1727" w:type="pct"/>
            <w:tcMar>
              <w:left w:w="40" w:type="dxa"/>
              <w:right w:w="40" w:type="dxa"/>
            </w:tcMar>
            <w:vAlign w:val="center"/>
          </w:tcPr>
          <w:p w14:paraId="39A2CBB6" w14:textId="77777777" w:rsidR="000F5B70" w:rsidRPr="00310498" w:rsidRDefault="000F5B70" w:rsidP="006802F4">
            <w:pPr>
              <w:pStyle w:val="TableText0"/>
              <w:widowControl/>
              <w:rPr>
                <w:iCs w:val="0"/>
                <w:sz w:val="20"/>
                <w:szCs w:val="20"/>
              </w:rPr>
            </w:pPr>
            <w:r w:rsidRPr="00310498">
              <w:rPr>
                <w:iCs w:val="0"/>
                <w:sz w:val="20"/>
                <w:szCs w:val="20"/>
              </w:rPr>
              <w:t>ITC of durvalumab + PC vs dostarlimab + PC, HR (95% CI), p-value</w:t>
            </w:r>
          </w:p>
        </w:tc>
        <w:tc>
          <w:tcPr>
            <w:tcW w:w="3273" w:type="pct"/>
            <w:gridSpan w:val="8"/>
            <w:tcMar>
              <w:left w:w="40" w:type="dxa"/>
              <w:right w:w="40" w:type="dxa"/>
            </w:tcMar>
            <w:vAlign w:val="center"/>
          </w:tcPr>
          <w:p w14:paraId="356DE3C1" w14:textId="3F3129B2" w:rsidR="000F5B70" w:rsidRPr="00310498" w:rsidRDefault="000F5B70" w:rsidP="006802F4">
            <w:pPr>
              <w:pStyle w:val="TableText0"/>
              <w:widowControl/>
              <w:jc w:val="center"/>
              <w:rPr>
                <w:iCs w:val="0"/>
                <w:sz w:val="20"/>
                <w:szCs w:val="20"/>
              </w:rPr>
            </w:pPr>
            <w:r w:rsidRPr="00310498">
              <w:rPr>
                <w:iCs w:val="0"/>
                <w:sz w:val="20"/>
              </w:rPr>
              <w:t>1.05 (0.41, 2.68); NR</w:t>
            </w:r>
            <w:r w:rsidR="00183966">
              <w:rPr>
                <w:iCs w:val="0"/>
                <w:sz w:val="20"/>
              </w:rPr>
              <w:t>*</w:t>
            </w:r>
          </w:p>
        </w:tc>
      </w:tr>
    </w:tbl>
    <w:p w14:paraId="62B12651" w14:textId="77777777" w:rsidR="00E24B8A" w:rsidRPr="00310498" w:rsidRDefault="00E24B8A" w:rsidP="006802F4">
      <w:pPr>
        <w:pStyle w:val="FooterTableFigure"/>
        <w:keepNext/>
        <w:keepLines/>
      </w:pPr>
      <w:r w:rsidRPr="00310498">
        <w:t>Source: Tables 2.32 and 2.33, Figures 2.19, 2.21 and 2.23, p113-117 of the submission.</w:t>
      </w:r>
    </w:p>
    <w:p w14:paraId="1A18F53E" w14:textId="2B6C8607" w:rsidR="000F5B70" w:rsidRPr="00310498" w:rsidRDefault="000F5B70" w:rsidP="006802F4">
      <w:pPr>
        <w:pStyle w:val="FooterTableFigure"/>
        <w:keepNext/>
        <w:keepLines/>
      </w:pPr>
      <w:r w:rsidRPr="00310498">
        <w:t xml:space="preserve">CI = confidence interval; dMMR = deficient mismatch repair; FU = follow up; HR = hazard ratio; ITC = indirect treatment comparison; MAIC = matching-adjusted indirect comparisons; MSI-H = microsatellite </w:t>
      </w:r>
      <w:r w:rsidR="00BB2BCF" w:rsidRPr="00310498">
        <w:t xml:space="preserve">instability </w:t>
      </w:r>
      <w:r w:rsidRPr="00310498">
        <w:t>high; MSS-H = microsatellite stable high; NR = not reported; OS = overall survival; PC = paclitaxel + carboplatin; PFS = progression free survival</w:t>
      </w:r>
    </w:p>
    <w:p w14:paraId="4A850B5D" w14:textId="77777777" w:rsidR="000F5B70" w:rsidRPr="00310498" w:rsidRDefault="000F5B70" w:rsidP="006802F4">
      <w:pPr>
        <w:pStyle w:val="FooterTableFigure"/>
        <w:keepNext/>
        <w:keepLines/>
      </w:pPr>
      <w:r w:rsidRPr="00310498">
        <w:t xml:space="preserve">a ITC 2 included both dMMR and MSI-H patients which increased the DUO-E sample size from 95 to 107 (95 patients were dMMR and an additional 12 were MSI-H). Patient numbers could not be independently verified as these details were not provided in ‘Attachment 2.10_ITC’ to the submission. </w:t>
      </w:r>
    </w:p>
    <w:p w14:paraId="6D11BF55" w14:textId="464BEB4D" w:rsidR="000F5B70" w:rsidRDefault="000F5B70" w:rsidP="006802F4">
      <w:pPr>
        <w:pStyle w:val="FooterTableFigure"/>
        <w:keepNext/>
        <w:keepLines/>
      </w:pPr>
      <w:r w:rsidRPr="00310498">
        <w:t>b The number of patient</w:t>
      </w:r>
      <w:r w:rsidR="00C0184F" w:rsidRPr="00310498">
        <w:t>s</w:t>
      </w:r>
      <w:r w:rsidRPr="00310498">
        <w:t xml:space="preserve"> included in the MAIC was not provided in the submission and ITC 3 results were referenced as ‘data on file’. The submission (p116) claimed that in the base case analysis, the effective sample size (ESS) for both trial arms was 67.4 (63.0%), compared to the original sample size for the two relevant trial arms (n=107), indicating a reasonable loss of information from matching, due to the differences in the trials. The submission (p112) claimed that OS was not tested in the MAIC given it would be subject to a high degree of uncertainty due to the immaturity of the OS data in both trials and the small number of events observed in both investigational treatment arms (n=7 in DUO-E).</w:t>
      </w:r>
    </w:p>
    <w:p w14:paraId="5D539E7C" w14:textId="446C34EB" w:rsidR="009F6C85" w:rsidRPr="0091742D" w:rsidRDefault="009F6C85" w:rsidP="00932C0A">
      <w:pPr>
        <w:pStyle w:val="FooterTableFigure"/>
        <w:keepLines/>
        <w:rPr>
          <w:i/>
          <w:iCs/>
        </w:rPr>
      </w:pPr>
      <w:r w:rsidRPr="0091742D">
        <w:rPr>
          <w:i/>
          <w:iCs/>
        </w:rPr>
        <w:t xml:space="preserve">Note that </w:t>
      </w:r>
      <w:r w:rsidR="0091742D" w:rsidRPr="0091742D">
        <w:rPr>
          <w:i/>
          <w:iCs/>
        </w:rPr>
        <w:t>results denoted by (*)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79567940" w14:textId="155FFD5F" w:rsidR="00485DF5" w:rsidRPr="00310498" w:rsidRDefault="00485DF5" w:rsidP="00485DF5">
      <w:pPr>
        <w:pStyle w:val="3-BodyText"/>
      </w:pPr>
      <w:bookmarkStart w:id="50" w:name="_Ref175841308"/>
      <w:r w:rsidRPr="00310498">
        <w:t xml:space="preserve">The submission claimed that the results from each of the ITCs demonstrate that durvalumab is non-inferior to dostarlimab in terms of efficacy for patients with dMMR and/or MSI-H EC and that the HR for the differences in PFS and OS shifted closer to 1 as the populations were more closely matched. </w:t>
      </w:r>
      <w:r w:rsidR="00AC77F3" w:rsidRPr="00310498">
        <w:t xml:space="preserve">The </w:t>
      </w:r>
      <w:r w:rsidR="00FB45E5" w:rsidRPr="00310498">
        <w:t>ESC noted that this was uncertain as</w:t>
      </w:r>
      <w:r w:rsidRPr="00310498">
        <w:t>:</w:t>
      </w:r>
      <w:bookmarkEnd w:id="50"/>
    </w:p>
    <w:p w14:paraId="0576789A" w14:textId="028ECB89" w:rsidR="00485DF5" w:rsidRPr="00310498" w:rsidRDefault="005D6C42" w:rsidP="00B66717">
      <w:pPr>
        <w:pStyle w:val="ListParagraph"/>
        <w:ind w:left="1134"/>
        <w:jc w:val="both"/>
      </w:pPr>
      <w:r w:rsidRPr="00310498">
        <w:t>N</w:t>
      </w:r>
      <w:r w:rsidR="00485DF5" w:rsidRPr="00310498">
        <w:t>o non-inferiority margin was nominated</w:t>
      </w:r>
      <w:r w:rsidR="00B66717" w:rsidRPr="00310498">
        <w:t xml:space="preserve">. The PBAC guidelines (v5.0) (p39) specified that a lack of a statistically significant difference between the proposed </w:t>
      </w:r>
      <w:r w:rsidR="00B66717" w:rsidRPr="00310498">
        <w:lastRenderedPageBreak/>
        <w:t xml:space="preserve">medicine and the comparator does not adequately establish non-inferiority. This </w:t>
      </w:r>
      <w:r w:rsidR="00106512" w:rsidRPr="00310498">
        <w:t>is</w:t>
      </w:r>
      <w:r w:rsidR="00B66717" w:rsidRPr="00310498">
        <w:t xml:space="preserve"> </w:t>
      </w:r>
      <w:r w:rsidR="00485DF5" w:rsidRPr="00310498">
        <w:t xml:space="preserve">especially </w:t>
      </w:r>
      <w:r w:rsidR="00B66717" w:rsidRPr="00310498">
        <w:t xml:space="preserve">true </w:t>
      </w:r>
      <w:r w:rsidR="00485DF5" w:rsidRPr="00310498">
        <w:t>in an ITC in which confidence intervals are likely wide and biased towards the null;</w:t>
      </w:r>
    </w:p>
    <w:p w14:paraId="2CFD523C" w14:textId="36BA0E5A" w:rsidR="00485DF5" w:rsidRPr="00310498" w:rsidRDefault="00485DF5" w:rsidP="00B66717">
      <w:pPr>
        <w:pStyle w:val="ListParagraph"/>
        <w:ind w:left="1134"/>
        <w:jc w:val="both"/>
      </w:pPr>
      <w:r w:rsidRPr="00310498">
        <w:t xml:space="preserve">As noted by the submission, PFS in the common comparator </w:t>
      </w:r>
      <w:r w:rsidR="002A2BD0" w:rsidRPr="00310498">
        <w:t xml:space="preserve">arm </w:t>
      </w:r>
      <w:r w:rsidRPr="00310498">
        <w:t xml:space="preserve">differed between the trials and </w:t>
      </w:r>
      <w:r w:rsidR="00106512" w:rsidRPr="00310498">
        <w:t xml:space="preserve">was </w:t>
      </w:r>
      <w:r w:rsidRPr="00310498">
        <w:t xml:space="preserve">a key transitivity issue. The submission did not present the </w:t>
      </w:r>
      <w:r w:rsidR="006D71DB" w:rsidRPr="00310498">
        <w:t xml:space="preserve">PFS </w:t>
      </w:r>
      <w:r w:rsidRPr="00310498">
        <w:t xml:space="preserve">results of the common comparator in the MAIC to demonstrate whether the matching </w:t>
      </w:r>
      <w:r w:rsidR="00B66717" w:rsidRPr="00310498">
        <w:t xml:space="preserve">improved or exacerbated </w:t>
      </w:r>
      <w:r w:rsidRPr="00310498">
        <w:t>this transitivity issue;</w:t>
      </w:r>
    </w:p>
    <w:p w14:paraId="0D489AAC" w14:textId="6BBF2604" w:rsidR="00485DF5" w:rsidRPr="00310498" w:rsidRDefault="00485DF5" w:rsidP="00B66717">
      <w:pPr>
        <w:pStyle w:val="ListParagraph"/>
        <w:ind w:left="1134"/>
        <w:jc w:val="both"/>
      </w:pPr>
      <w:r w:rsidRPr="00310498">
        <w:t xml:space="preserve">When the RUBY trial was considered by the PBAC during the most recent evaluation of dostarlimab, the PBAC found the </w:t>
      </w:r>
      <w:r w:rsidR="00B66717" w:rsidRPr="00310498">
        <w:t xml:space="preserve">results from the </w:t>
      </w:r>
      <w:r w:rsidRPr="00310498">
        <w:t xml:space="preserve">dMMR population </w:t>
      </w:r>
      <w:r w:rsidR="00D5253A" w:rsidRPr="00310498">
        <w:t xml:space="preserve">were </w:t>
      </w:r>
      <w:r w:rsidRPr="00310498">
        <w:t>prone to a higher risk of bias given the smaller sample size (23.9% of the all-comers population, n=118) and RUBY was not powered for the outcome of OS in this subgroup (paragraphs 6.7 and 6.8, dostarlimab PSD, November 2023 PBAC meeting). Consequently, the ITC conducted using the dMMR/MSI-H subpopulations from DUO-E and RUBY would be associated with a high risk of bias;</w:t>
      </w:r>
      <w:r w:rsidR="00FB45E5" w:rsidRPr="00310498">
        <w:t xml:space="preserve"> and</w:t>
      </w:r>
    </w:p>
    <w:p w14:paraId="356267EA" w14:textId="40007C5F" w:rsidR="00485DF5" w:rsidRPr="00310498" w:rsidRDefault="00485DF5" w:rsidP="00590B67">
      <w:pPr>
        <w:pStyle w:val="ListParagraph"/>
        <w:ind w:left="1134"/>
        <w:jc w:val="both"/>
      </w:pPr>
      <w:r w:rsidRPr="00310498">
        <w:t>The results of the MAIC were highly uncertain as the already small sample size in dMMR/MSI-H patients was further reduced from the matching due to the exclusion of Asian patients from DUO-E. Further, matching based on region may not be appropriate as it was unknown whether dostarlimab would have different PFS in Asian and non</w:t>
      </w:r>
      <w:r w:rsidR="00467DC6" w:rsidRPr="00310498">
        <w:t>-</w:t>
      </w:r>
      <w:r w:rsidRPr="00310498">
        <w:t>Asian patients. If there was no difference in dostarlimab response between Asian and non</w:t>
      </w:r>
      <w:r w:rsidR="00467DC6" w:rsidRPr="00310498">
        <w:t>-</w:t>
      </w:r>
      <w:r w:rsidRPr="00310498">
        <w:t>Asian patients (unlike durvalumab + PC in which response was worse in Asians), then by assigning a zero weight to all Asian patients in DUO-E, the benefits for durvalumab + PC may be overestimated and the MAIC may be biased in favour of durvalumab + PC</w:t>
      </w:r>
      <w:r w:rsidR="00FB45E5" w:rsidRPr="00310498">
        <w:t>.</w:t>
      </w:r>
    </w:p>
    <w:p w14:paraId="118FA980" w14:textId="77777777" w:rsidR="0087320E" w:rsidRPr="00A0075B" w:rsidRDefault="0087320E" w:rsidP="00F267A0">
      <w:pPr>
        <w:pStyle w:val="4-SubsectionHeading"/>
        <w:rPr>
          <w:iCs/>
        </w:rPr>
      </w:pPr>
      <w:bookmarkStart w:id="51" w:name="_Toc174923385"/>
      <w:bookmarkStart w:id="52" w:name="_Toc176785108"/>
      <w:r w:rsidRPr="00A0075B">
        <w:rPr>
          <w:iCs/>
        </w:rPr>
        <w:t>Comparative harms</w:t>
      </w:r>
      <w:bookmarkEnd w:id="51"/>
      <w:bookmarkEnd w:id="52"/>
    </w:p>
    <w:p w14:paraId="4F665EA7" w14:textId="4EAFD7B5" w:rsidR="0087320E" w:rsidRPr="00310498" w:rsidRDefault="0087320E" w:rsidP="00B66717">
      <w:pPr>
        <w:pStyle w:val="3-BodyText"/>
      </w:pPr>
      <w:r w:rsidRPr="00310498">
        <w:t xml:space="preserve">The DUO-E safety analysis set (SAS) included all randomised patients who received at least one dose of study drug. </w:t>
      </w:r>
      <w:r w:rsidR="00B66717" w:rsidRPr="00310498">
        <w:fldChar w:fldCharType="begin" w:fldLock="1"/>
      </w:r>
      <w:r w:rsidR="00B66717" w:rsidRPr="00310498">
        <w:instrText xml:space="preserve"> REF _Ref174980195 \h </w:instrText>
      </w:r>
      <w:r w:rsidR="00310498" w:rsidRPr="00310498">
        <w:instrText xml:space="preserve"> \* MERGEFORMAT </w:instrText>
      </w:r>
      <w:r w:rsidR="00B66717" w:rsidRPr="00310498">
        <w:fldChar w:fldCharType="separate"/>
      </w:r>
      <w:r w:rsidR="002C52D8" w:rsidRPr="00310498">
        <w:t xml:space="preserve">Table </w:t>
      </w:r>
      <w:r w:rsidR="002C52D8">
        <w:rPr>
          <w:noProof/>
        </w:rPr>
        <w:t>13</w:t>
      </w:r>
      <w:r w:rsidR="00B66717" w:rsidRPr="00310498">
        <w:fldChar w:fldCharType="end"/>
      </w:r>
      <w:r w:rsidR="004618C9" w:rsidRPr="00310498">
        <w:t xml:space="preserve"> </w:t>
      </w:r>
      <w:r w:rsidRPr="00310498">
        <w:t xml:space="preserve">provides an overall summary of DUO-E </w:t>
      </w:r>
      <w:r w:rsidR="00B66717" w:rsidRPr="00310498">
        <w:t>adverse events (</w:t>
      </w:r>
      <w:r w:rsidRPr="00310498">
        <w:t>AEs</w:t>
      </w:r>
      <w:r w:rsidR="00B66717" w:rsidRPr="00310498">
        <w:t>)</w:t>
      </w:r>
      <w:r w:rsidRPr="00310498">
        <w:t xml:space="preserve"> by treatment arm. A notable difference between the investigational arms and PC arm was the increased incidence of immune-related AEs (28.1% and 23.5% in the durvalumab + PC and durvalumab + PC + olaparib arms, respectively versus 6.8% in the PC arm</w:t>
      </w:r>
      <w:r w:rsidR="00FE6185" w:rsidRPr="00310498">
        <w:t>)</w:t>
      </w:r>
      <w:r w:rsidRPr="00310498">
        <w:t>.</w:t>
      </w:r>
    </w:p>
    <w:p w14:paraId="254A0DA1" w14:textId="2C6736C7" w:rsidR="0087320E" w:rsidRPr="00310498" w:rsidRDefault="0087320E" w:rsidP="00FB45E5">
      <w:pPr>
        <w:pStyle w:val="Caption"/>
      </w:pPr>
      <w:bookmarkStart w:id="53" w:name="_Ref174980195"/>
      <w:r w:rsidRPr="00310498">
        <w:lastRenderedPageBreak/>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13</w:t>
      </w:r>
      <w:r w:rsidR="00F267A0" w:rsidRPr="00310498">
        <w:rPr>
          <w:noProof/>
        </w:rPr>
        <w:fldChar w:fldCharType="end"/>
      </w:r>
      <w:bookmarkEnd w:id="53"/>
      <w:r w:rsidRPr="00310498">
        <w:t>: Overall Summary of Adverse Events</w:t>
      </w:r>
      <w:r w:rsidR="00010D1A" w:rsidRPr="00310498">
        <w:t xml:space="preserve"> in DUO-E</w:t>
      </w:r>
    </w:p>
    <w:tbl>
      <w:tblPr>
        <w:tblStyle w:val="TableGrid"/>
        <w:tblW w:w="9067" w:type="dxa"/>
        <w:tblLayout w:type="fixed"/>
        <w:tblLook w:val="04A0" w:firstRow="1" w:lastRow="0" w:firstColumn="1" w:lastColumn="0" w:noHBand="0" w:noVBand="1"/>
      </w:tblPr>
      <w:tblGrid>
        <w:gridCol w:w="1415"/>
        <w:gridCol w:w="977"/>
        <w:gridCol w:w="1113"/>
        <w:gridCol w:w="1113"/>
        <w:gridCol w:w="1113"/>
        <w:gridCol w:w="1113"/>
        <w:gridCol w:w="1113"/>
        <w:gridCol w:w="1110"/>
      </w:tblGrid>
      <w:tr w:rsidR="00C475D2" w:rsidRPr="00310498" w14:paraId="2CFB9508" w14:textId="3863F083" w:rsidTr="00A0075B">
        <w:tc>
          <w:tcPr>
            <w:tcW w:w="780" w:type="pct"/>
            <w:shd w:val="clear" w:color="auto" w:fill="auto"/>
            <w:tcMar>
              <w:left w:w="20" w:type="dxa"/>
              <w:right w:w="20" w:type="dxa"/>
            </w:tcMar>
            <w:vAlign w:val="center"/>
          </w:tcPr>
          <w:p w14:paraId="24F98E9D" w14:textId="77777777" w:rsidR="00963603" w:rsidRPr="00310498" w:rsidRDefault="00963603" w:rsidP="00A0075B">
            <w:pPr>
              <w:pStyle w:val="TableFigureHeading"/>
              <w:keepLines/>
              <w:spacing w:before="0"/>
            </w:pPr>
          </w:p>
        </w:tc>
        <w:tc>
          <w:tcPr>
            <w:tcW w:w="538" w:type="pct"/>
            <w:shd w:val="clear" w:color="auto" w:fill="auto"/>
            <w:tcMar>
              <w:left w:w="20" w:type="dxa"/>
              <w:right w:w="20" w:type="dxa"/>
            </w:tcMar>
            <w:vAlign w:val="center"/>
          </w:tcPr>
          <w:p w14:paraId="5C9EDE0D" w14:textId="77777777" w:rsidR="00C475D2" w:rsidRPr="00310498" w:rsidRDefault="00963603" w:rsidP="00A0075B">
            <w:pPr>
              <w:pStyle w:val="TableFigureHeading"/>
              <w:keepLines/>
              <w:spacing w:before="0"/>
              <w:jc w:val="center"/>
            </w:pPr>
            <w:r w:rsidRPr="00310498">
              <w:t xml:space="preserve">PC </w:t>
            </w:r>
            <w:r w:rsidRPr="00310498">
              <w:br/>
              <w:t xml:space="preserve">(N=236), </w:t>
            </w:r>
          </w:p>
          <w:p w14:paraId="142CAF68" w14:textId="7DF5DFFD" w:rsidR="00963603" w:rsidRPr="00310498" w:rsidRDefault="00963603" w:rsidP="00A0075B">
            <w:pPr>
              <w:pStyle w:val="TableFigureHeading"/>
              <w:keepLines/>
              <w:spacing w:before="0"/>
              <w:jc w:val="center"/>
            </w:pPr>
            <w:r w:rsidRPr="00310498">
              <w:t>n (%)</w:t>
            </w:r>
          </w:p>
        </w:tc>
        <w:tc>
          <w:tcPr>
            <w:tcW w:w="614" w:type="pct"/>
            <w:shd w:val="clear" w:color="auto" w:fill="auto"/>
            <w:tcMar>
              <w:left w:w="20" w:type="dxa"/>
              <w:right w:w="20" w:type="dxa"/>
            </w:tcMar>
            <w:vAlign w:val="center"/>
          </w:tcPr>
          <w:p w14:paraId="1886DC5A" w14:textId="531BF032" w:rsidR="00C475D2" w:rsidRPr="00310498" w:rsidRDefault="00963603" w:rsidP="00A0075B">
            <w:pPr>
              <w:pStyle w:val="TableFigureHeading"/>
              <w:keepLines/>
              <w:spacing w:before="0"/>
              <w:jc w:val="center"/>
            </w:pPr>
            <w:r w:rsidRPr="00310498">
              <w:t xml:space="preserve">durva + PC (N=235), </w:t>
            </w:r>
          </w:p>
          <w:p w14:paraId="0BFA4779" w14:textId="5A9B7290" w:rsidR="00963603" w:rsidRPr="00310498" w:rsidRDefault="00963603" w:rsidP="00A0075B">
            <w:pPr>
              <w:pStyle w:val="TableFigureHeading"/>
              <w:keepLines/>
              <w:spacing w:before="0"/>
              <w:jc w:val="center"/>
            </w:pPr>
            <w:r w:rsidRPr="00310498">
              <w:t>n (%)</w:t>
            </w:r>
          </w:p>
        </w:tc>
        <w:tc>
          <w:tcPr>
            <w:tcW w:w="614" w:type="pct"/>
            <w:tcMar>
              <w:left w:w="20" w:type="dxa"/>
              <w:right w:w="20" w:type="dxa"/>
            </w:tcMar>
            <w:vAlign w:val="center"/>
          </w:tcPr>
          <w:p w14:paraId="1B94999E" w14:textId="71DA9D34" w:rsidR="00963603" w:rsidRPr="00310498" w:rsidRDefault="00963603" w:rsidP="00A0075B">
            <w:pPr>
              <w:pStyle w:val="TableFigureHeading"/>
              <w:keepLines/>
              <w:spacing w:before="0"/>
              <w:jc w:val="center"/>
            </w:pPr>
            <w:r w:rsidRPr="00310498">
              <w:t>durva + PC vs PC</w:t>
            </w:r>
          </w:p>
          <w:p w14:paraId="2ED5FFC4" w14:textId="77777777" w:rsidR="00963603" w:rsidRPr="00310498" w:rsidRDefault="00963603" w:rsidP="00A0075B">
            <w:pPr>
              <w:pStyle w:val="TableFigureHeading"/>
              <w:keepLines/>
              <w:spacing w:before="0"/>
              <w:jc w:val="center"/>
            </w:pPr>
            <w:r w:rsidRPr="00310498">
              <w:t>RR (95% CI)</w:t>
            </w:r>
          </w:p>
        </w:tc>
        <w:tc>
          <w:tcPr>
            <w:tcW w:w="614" w:type="pct"/>
            <w:tcMar>
              <w:left w:w="20" w:type="dxa"/>
              <w:right w:w="20" w:type="dxa"/>
            </w:tcMar>
            <w:vAlign w:val="center"/>
          </w:tcPr>
          <w:p w14:paraId="1377E98D" w14:textId="77777777" w:rsidR="00802A22" w:rsidRPr="00310498" w:rsidRDefault="00802A22" w:rsidP="00A0075B">
            <w:pPr>
              <w:pStyle w:val="In-tableHeading"/>
              <w:jc w:val="center"/>
              <w:rPr>
                <w:lang w:val="en-AU"/>
              </w:rPr>
            </w:pPr>
            <w:r w:rsidRPr="00310498">
              <w:rPr>
                <w:lang w:val="en-AU"/>
              </w:rPr>
              <w:t>durva + PC vs PC</w:t>
            </w:r>
          </w:p>
          <w:p w14:paraId="7933F82F" w14:textId="0ADC6CBE" w:rsidR="00963603" w:rsidRPr="00310498" w:rsidRDefault="00802A22" w:rsidP="00A0075B">
            <w:pPr>
              <w:pStyle w:val="TableFigureHeading"/>
              <w:keepLines/>
              <w:spacing w:before="0"/>
              <w:jc w:val="center"/>
            </w:pPr>
            <w:r w:rsidRPr="00310498">
              <w:t>RD (95% CI)</w:t>
            </w:r>
          </w:p>
        </w:tc>
        <w:tc>
          <w:tcPr>
            <w:tcW w:w="614" w:type="pct"/>
            <w:shd w:val="clear" w:color="auto" w:fill="auto"/>
            <w:tcMar>
              <w:left w:w="20" w:type="dxa"/>
              <w:right w:w="20" w:type="dxa"/>
            </w:tcMar>
            <w:vAlign w:val="center"/>
          </w:tcPr>
          <w:p w14:paraId="647DE473" w14:textId="45446EA5" w:rsidR="00C475D2" w:rsidRPr="00310498" w:rsidRDefault="00963603" w:rsidP="00A0075B">
            <w:pPr>
              <w:pStyle w:val="TableFigureHeading"/>
              <w:keepLines/>
              <w:spacing w:before="0"/>
              <w:jc w:val="center"/>
            </w:pPr>
            <w:r w:rsidRPr="00310498">
              <w:t xml:space="preserve">durva + PC + ola </w:t>
            </w:r>
            <w:r w:rsidR="00A0075B">
              <w:br/>
            </w:r>
            <w:r w:rsidRPr="00310498">
              <w:t xml:space="preserve">(N=238), </w:t>
            </w:r>
          </w:p>
          <w:p w14:paraId="40C79351" w14:textId="72EC0B64" w:rsidR="00963603" w:rsidRPr="00310498" w:rsidRDefault="00963603" w:rsidP="00A0075B">
            <w:pPr>
              <w:pStyle w:val="TableFigureHeading"/>
              <w:keepLines/>
              <w:spacing w:before="0"/>
              <w:jc w:val="center"/>
            </w:pPr>
            <w:r w:rsidRPr="00310498">
              <w:t>n (%)</w:t>
            </w:r>
          </w:p>
        </w:tc>
        <w:tc>
          <w:tcPr>
            <w:tcW w:w="614" w:type="pct"/>
            <w:tcMar>
              <w:left w:w="20" w:type="dxa"/>
              <w:right w:w="20" w:type="dxa"/>
            </w:tcMar>
            <w:vAlign w:val="center"/>
          </w:tcPr>
          <w:p w14:paraId="436B63BE" w14:textId="5B2D1DC6" w:rsidR="00963603" w:rsidRPr="00310498" w:rsidRDefault="00963603" w:rsidP="00A0075B">
            <w:pPr>
              <w:pStyle w:val="TableFigureHeading"/>
              <w:keepLines/>
              <w:spacing w:before="0"/>
              <w:jc w:val="center"/>
            </w:pPr>
            <w:r w:rsidRPr="00310498">
              <w:t>durva + PC + ola vs PC</w:t>
            </w:r>
          </w:p>
          <w:p w14:paraId="09DE3749" w14:textId="77777777" w:rsidR="00963603" w:rsidRPr="00310498" w:rsidRDefault="00963603" w:rsidP="00A0075B">
            <w:pPr>
              <w:pStyle w:val="TableFigureHeading"/>
              <w:keepLines/>
              <w:spacing w:before="0"/>
              <w:jc w:val="center"/>
            </w:pPr>
            <w:r w:rsidRPr="00310498">
              <w:t>RR (95% CI)</w:t>
            </w:r>
          </w:p>
        </w:tc>
        <w:tc>
          <w:tcPr>
            <w:tcW w:w="613" w:type="pct"/>
            <w:tcMar>
              <w:left w:w="20" w:type="dxa"/>
              <w:right w:w="20" w:type="dxa"/>
            </w:tcMar>
            <w:vAlign w:val="center"/>
          </w:tcPr>
          <w:p w14:paraId="2ECE2EFB" w14:textId="038DA44C" w:rsidR="00802A22" w:rsidRPr="00310498" w:rsidRDefault="00802A22" w:rsidP="00A0075B">
            <w:pPr>
              <w:pStyle w:val="In-tableHeading"/>
              <w:jc w:val="center"/>
              <w:rPr>
                <w:lang w:val="en-AU"/>
              </w:rPr>
            </w:pPr>
            <w:r w:rsidRPr="00310498">
              <w:rPr>
                <w:lang w:val="en-AU"/>
              </w:rPr>
              <w:t>durva + PC + ola vs PC</w:t>
            </w:r>
          </w:p>
          <w:p w14:paraId="6D0E9240" w14:textId="15781825" w:rsidR="00963603" w:rsidRPr="00310498" w:rsidRDefault="00802A22" w:rsidP="00A0075B">
            <w:pPr>
              <w:pStyle w:val="TableFigureHeading"/>
              <w:keepLines/>
              <w:spacing w:before="0"/>
              <w:jc w:val="center"/>
            </w:pPr>
            <w:r w:rsidRPr="00310498">
              <w:t>RD (95% CI)</w:t>
            </w:r>
          </w:p>
        </w:tc>
      </w:tr>
      <w:tr w:rsidR="00C475D2" w:rsidRPr="00310498" w14:paraId="0802F280" w14:textId="0CEB005D" w:rsidTr="00A0075B">
        <w:tc>
          <w:tcPr>
            <w:tcW w:w="780" w:type="pct"/>
            <w:tcMar>
              <w:left w:w="20" w:type="dxa"/>
              <w:right w:w="20" w:type="dxa"/>
            </w:tcMar>
            <w:vAlign w:val="center"/>
          </w:tcPr>
          <w:p w14:paraId="4A911F82" w14:textId="77777777" w:rsidR="001D0EF3" w:rsidRPr="00310498" w:rsidRDefault="001D0EF3" w:rsidP="00FB45E5">
            <w:pPr>
              <w:pStyle w:val="Tabletext"/>
              <w:keepNext/>
              <w:keepLines/>
            </w:pPr>
            <w:r w:rsidRPr="00310498">
              <w:t>Any AE</w:t>
            </w:r>
          </w:p>
        </w:tc>
        <w:tc>
          <w:tcPr>
            <w:tcW w:w="538" w:type="pct"/>
            <w:tcMar>
              <w:left w:w="20" w:type="dxa"/>
              <w:right w:w="20" w:type="dxa"/>
            </w:tcMar>
            <w:vAlign w:val="center"/>
          </w:tcPr>
          <w:p w14:paraId="3C72A2A2" w14:textId="77777777" w:rsidR="001D0EF3" w:rsidRPr="00310498" w:rsidRDefault="001D0EF3" w:rsidP="00FB45E5">
            <w:pPr>
              <w:pStyle w:val="Tabletext"/>
              <w:keepNext/>
              <w:keepLines/>
              <w:jc w:val="center"/>
            </w:pPr>
            <w:r w:rsidRPr="00310498">
              <w:t>236 (100)</w:t>
            </w:r>
          </w:p>
        </w:tc>
        <w:tc>
          <w:tcPr>
            <w:tcW w:w="614" w:type="pct"/>
            <w:tcMar>
              <w:left w:w="20" w:type="dxa"/>
              <w:right w:w="20" w:type="dxa"/>
            </w:tcMar>
            <w:vAlign w:val="center"/>
          </w:tcPr>
          <w:p w14:paraId="14D5E39E" w14:textId="77777777" w:rsidR="001D0EF3" w:rsidRPr="00310498" w:rsidRDefault="001D0EF3" w:rsidP="00FB45E5">
            <w:pPr>
              <w:pStyle w:val="Tabletext"/>
              <w:keepNext/>
              <w:keepLines/>
              <w:jc w:val="center"/>
            </w:pPr>
            <w:r w:rsidRPr="00310498">
              <w:t>232 (98.7)</w:t>
            </w:r>
          </w:p>
        </w:tc>
        <w:tc>
          <w:tcPr>
            <w:tcW w:w="614" w:type="pct"/>
            <w:tcMar>
              <w:left w:w="20" w:type="dxa"/>
              <w:right w:w="20" w:type="dxa"/>
            </w:tcMar>
            <w:vAlign w:val="center"/>
          </w:tcPr>
          <w:p w14:paraId="6C89D1CD" w14:textId="5528A04C" w:rsidR="001D0EF3" w:rsidRPr="00310498" w:rsidRDefault="001D0EF3" w:rsidP="00FB45E5">
            <w:pPr>
              <w:pStyle w:val="Tabletext"/>
              <w:keepNext/>
              <w:keepLines/>
              <w:jc w:val="center"/>
            </w:pPr>
            <w:r w:rsidRPr="00310498">
              <w:t xml:space="preserve">0.99 </w:t>
            </w:r>
            <w:r w:rsidRPr="00310498">
              <w:br/>
              <w:t>(0.97</w:t>
            </w:r>
            <w:r w:rsidR="00A0075B">
              <w:t xml:space="preserve">, </w:t>
            </w:r>
            <w:r w:rsidRPr="00310498">
              <w:t>1.00)</w:t>
            </w:r>
          </w:p>
        </w:tc>
        <w:tc>
          <w:tcPr>
            <w:tcW w:w="614" w:type="pct"/>
            <w:tcMar>
              <w:left w:w="20" w:type="dxa"/>
              <w:right w:w="20" w:type="dxa"/>
            </w:tcMar>
            <w:vAlign w:val="center"/>
          </w:tcPr>
          <w:p w14:paraId="20251203" w14:textId="71571825" w:rsidR="001D0EF3" w:rsidRPr="00310498" w:rsidRDefault="001D0EF3" w:rsidP="00FB45E5">
            <w:pPr>
              <w:pStyle w:val="Tabletext"/>
              <w:keepNext/>
              <w:keepLines/>
              <w:jc w:val="center"/>
            </w:pPr>
            <w:r w:rsidRPr="00310498">
              <w:t>-</w:t>
            </w:r>
            <w:r w:rsidR="002A4C60" w:rsidRPr="00310498">
              <w:t>1.3</w:t>
            </w:r>
            <w:r w:rsidRPr="00310498">
              <w:t xml:space="preserve"> </w:t>
            </w:r>
            <w:r w:rsidRPr="00310498">
              <w:br/>
              <w:t>(-</w:t>
            </w:r>
            <w:r w:rsidR="002A4C60" w:rsidRPr="00310498">
              <w:t>2.7</w:t>
            </w:r>
            <w:r w:rsidRPr="00310498">
              <w:t>,</w:t>
            </w:r>
            <w:r w:rsidR="00A0075B">
              <w:t xml:space="preserve"> </w:t>
            </w:r>
            <w:r w:rsidRPr="00310498">
              <w:t>0.</w:t>
            </w:r>
            <w:r w:rsidR="002A4C60" w:rsidRPr="00310498">
              <w:t>2</w:t>
            </w:r>
            <w:r w:rsidRPr="00310498">
              <w:t>)</w:t>
            </w:r>
          </w:p>
        </w:tc>
        <w:tc>
          <w:tcPr>
            <w:tcW w:w="614" w:type="pct"/>
            <w:tcMar>
              <w:left w:w="20" w:type="dxa"/>
              <w:right w:w="20" w:type="dxa"/>
            </w:tcMar>
            <w:vAlign w:val="center"/>
          </w:tcPr>
          <w:p w14:paraId="7E42A885" w14:textId="103A1ADC" w:rsidR="001D0EF3" w:rsidRPr="00310498" w:rsidRDefault="001D0EF3" w:rsidP="00FB45E5">
            <w:pPr>
              <w:pStyle w:val="Tabletext"/>
              <w:keepNext/>
              <w:keepLines/>
              <w:jc w:val="center"/>
            </w:pPr>
            <w:r w:rsidRPr="00310498">
              <w:t>237 (99.6)</w:t>
            </w:r>
          </w:p>
        </w:tc>
        <w:tc>
          <w:tcPr>
            <w:tcW w:w="614" w:type="pct"/>
            <w:tcMar>
              <w:left w:w="20" w:type="dxa"/>
              <w:right w:w="20" w:type="dxa"/>
            </w:tcMar>
            <w:vAlign w:val="center"/>
          </w:tcPr>
          <w:p w14:paraId="5E47EAAE" w14:textId="1000F37F" w:rsidR="001D0EF3" w:rsidRPr="00310498" w:rsidRDefault="001D0EF3" w:rsidP="00FB45E5">
            <w:pPr>
              <w:pStyle w:val="Tabletext"/>
              <w:keepNext/>
              <w:keepLines/>
              <w:jc w:val="center"/>
            </w:pPr>
            <w:r w:rsidRPr="00310498">
              <w:t>1.00</w:t>
            </w:r>
            <w:r w:rsidRPr="00310498">
              <w:br/>
              <w:t>(0.99</w:t>
            </w:r>
            <w:r w:rsidR="00A0075B">
              <w:t xml:space="preserve">, </w:t>
            </w:r>
            <w:r w:rsidRPr="00310498">
              <w:t>1.00)</w:t>
            </w:r>
          </w:p>
        </w:tc>
        <w:tc>
          <w:tcPr>
            <w:tcW w:w="613" w:type="pct"/>
            <w:tcMar>
              <w:left w:w="20" w:type="dxa"/>
              <w:right w:w="20" w:type="dxa"/>
            </w:tcMar>
            <w:vAlign w:val="center"/>
          </w:tcPr>
          <w:p w14:paraId="2E79AD4D" w14:textId="7552A13F" w:rsidR="001D0EF3" w:rsidRPr="00310498" w:rsidRDefault="001D0EF3" w:rsidP="00FB45E5">
            <w:pPr>
              <w:pStyle w:val="Tabletext"/>
              <w:keepNext/>
              <w:keepLines/>
              <w:jc w:val="center"/>
            </w:pPr>
            <w:r w:rsidRPr="00310498">
              <w:t xml:space="preserve">-0.4 </w:t>
            </w:r>
            <w:r w:rsidRPr="00310498">
              <w:br/>
              <w:t>(-1.2,</w:t>
            </w:r>
            <w:r w:rsidR="00A0075B">
              <w:t xml:space="preserve"> </w:t>
            </w:r>
            <w:r w:rsidRPr="00310498">
              <w:t>0.4)</w:t>
            </w:r>
          </w:p>
        </w:tc>
      </w:tr>
      <w:tr w:rsidR="00C475D2" w:rsidRPr="00310498" w14:paraId="08E4B64F" w14:textId="3444BF15" w:rsidTr="00A0075B">
        <w:tc>
          <w:tcPr>
            <w:tcW w:w="780" w:type="pct"/>
            <w:tcMar>
              <w:left w:w="20" w:type="dxa"/>
              <w:right w:w="20" w:type="dxa"/>
            </w:tcMar>
            <w:vAlign w:val="center"/>
          </w:tcPr>
          <w:p w14:paraId="741DD171" w14:textId="77777777" w:rsidR="001D0EF3" w:rsidRPr="00310498" w:rsidRDefault="001D0EF3" w:rsidP="00FB45E5">
            <w:pPr>
              <w:pStyle w:val="Tabletext"/>
              <w:keepNext/>
              <w:keepLines/>
            </w:pPr>
            <w:r w:rsidRPr="00310498">
              <w:t xml:space="preserve">Any AE Grade </w:t>
            </w:r>
            <w:r w:rsidRPr="00310498">
              <w:rPr>
                <w:u w:val="single"/>
              </w:rPr>
              <w:t>&gt;</w:t>
            </w:r>
            <w:r w:rsidRPr="00310498">
              <w:t xml:space="preserve"> 3</w:t>
            </w:r>
          </w:p>
        </w:tc>
        <w:tc>
          <w:tcPr>
            <w:tcW w:w="538" w:type="pct"/>
            <w:tcMar>
              <w:left w:w="20" w:type="dxa"/>
              <w:right w:w="20" w:type="dxa"/>
            </w:tcMar>
            <w:vAlign w:val="center"/>
          </w:tcPr>
          <w:p w14:paraId="36F8DE0D" w14:textId="77777777" w:rsidR="001D0EF3" w:rsidRPr="00310498" w:rsidRDefault="001D0EF3" w:rsidP="00FB45E5">
            <w:pPr>
              <w:pStyle w:val="Tabletext"/>
              <w:keepNext/>
              <w:keepLines/>
              <w:jc w:val="center"/>
            </w:pPr>
            <w:r w:rsidRPr="00310498">
              <w:t>133 (56.4)</w:t>
            </w:r>
          </w:p>
        </w:tc>
        <w:tc>
          <w:tcPr>
            <w:tcW w:w="614" w:type="pct"/>
            <w:tcMar>
              <w:left w:w="20" w:type="dxa"/>
              <w:right w:w="20" w:type="dxa"/>
            </w:tcMar>
            <w:vAlign w:val="center"/>
          </w:tcPr>
          <w:p w14:paraId="046B7843" w14:textId="77777777" w:rsidR="001D0EF3" w:rsidRPr="00310498" w:rsidRDefault="001D0EF3" w:rsidP="00FB45E5">
            <w:pPr>
              <w:pStyle w:val="Tabletext"/>
              <w:keepNext/>
              <w:keepLines/>
              <w:jc w:val="center"/>
            </w:pPr>
            <w:r w:rsidRPr="00310498">
              <w:t>129 (54.9)</w:t>
            </w:r>
          </w:p>
        </w:tc>
        <w:tc>
          <w:tcPr>
            <w:tcW w:w="614" w:type="pct"/>
            <w:tcMar>
              <w:left w:w="20" w:type="dxa"/>
              <w:right w:w="20" w:type="dxa"/>
            </w:tcMar>
            <w:vAlign w:val="center"/>
          </w:tcPr>
          <w:p w14:paraId="29F14628" w14:textId="07711ED6" w:rsidR="001D0EF3" w:rsidRPr="00310498" w:rsidRDefault="001D0EF3" w:rsidP="00FB45E5">
            <w:pPr>
              <w:pStyle w:val="Tabletext"/>
              <w:keepNext/>
              <w:keepLines/>
              <w:jc w:val="center"/>
            </w:pPr>
            <w:r w:rsidRPr="00310498">
              <w:t xml:space="preserve">0.97 </w:t>
            </w:r>
            <w:r w:rsidRPr="00310498">
              <w:br/>
              <w:t>(0.83</w:t>
            </w:r>
            <w:r w:rsidR="00A0075B">
              <w:t xml:space="preserve">, </w:t>
            </w:r>
            <w:r w:rsidRPr="00310498">
              <w:t>1.14)</w:t>
            </w:r>
          </w:p>
        </w:tc>
        <w:tc>
          <w:tcPr>
            <w:tcW w:w="614" w:type="pct"/>
            <w:tcMar>
              <w:left w:w="20" w:type="dxa"/>
              <w:right w:w="20" w:type="dxa"/>
            </w:tcMar>
            <w:vAlign w:val="center"/>
          </w:tcPr>
          <w:p w14:paraId="4DB578E2" w14:textId="3546260C" w:rsidR="001D0EF3" w:rsidRPr="00310498" w:rsidRDefault="002A4C60" w:rsidP="00FB45E5">
            <w:pPr>
              <w:pStyle w:val="Tabletext"/>
              <w:keepNext/>
              <w:keepLines/>
              <w:jc w:val="center"/>
            </w:pPr>
            <w:r w:rsidRPr="00310498">
              <w:t>-</w:t>
            </w:r>
            <w:r w:rsidR="001D0EF3" w:rsidRPr="00310498">
              <w:t>0.</w:t>
            </w:r>
            <w:r w:rsidRPr="00310498">
              <w:t>0</w:t>
            </w:r>
            <w:r w:rsidR="001D0EF3" w:rsidRPr="00310498">
              <w:t>1</w:t>
            </w:r>
            <w:r w:rsidR="001D0EF3" w:rsidRPr="00310498">
              <w:br/>
              <w:t>(</w:t>
            </w:r>
            <w:r w:rsidRPr="00310498">
              <w:t>-0.10</w:t>
            </w:r>
            <w:r w:rsidR="001D0EF3" w:rsidRPr="00310498">
              <w:t>,</w:t>
            </w:r>
            <w:r w:rsidR="00A0075B">
              <w:t xml:space="preserve"> </w:t>
            </w:r>
            <w:r w:rsidR="001D0EF3" w:rsidRPr="00310498">
              <w:t>0.</w:t>
            </w:r>
            <w:r w:rsidRPr="00310498">
              <w:t>08</w:t>
            </w:r>
            <w:r w:rsidR="001D0EF3" w:rsidRPr="00310498">
              <w:t>)</w:t>
            </w:r>
          </w:p>
        </w:tc>
        <w:tc>
          <w:tcPr>
            <w:tcW w:w="614" w:type="pct"/>
            <w:tcMar>
              <w:left w:w="20" w:type="dxa"/>
              <w:right w:w="20" w:type="dxa"/>
            </w:tcMar>
            <w:vAlign w:val="center"/>
          </w:tcPr>
          <w:p w14:paraId="281D3FA1" w14:textId="03A0DFC7" w:rsidR="001D0EF3" w:rsidRPr="00310498" w:rsidRDefault="001D0EF3" w:rsidP="00FB45E5">
            <w:pPr>
              <w:pStyle w:val="Tabletext"/>
              <w:keepNext/>
              <w:keepLines/>
              <w:jc w:val="center"/>
            </w:pPr>
            <w:r w:rsidRPr="00310498">
              <w:t>160 (67.2)</w:t>
            </w:r>
          </w:p>
        </w:tc>
        <w:tc>
          <w:tcPr>
            <w:tcW w:w="614" w:type="pct"/>
            <w:tcMar>
              <w:left w:w="20" w:type="dxa"/>
              <w:right w:w="20" w:type="dxa"/>
            </w:tcMar>
            <w:vAlign w:val="center"/>
          </w:tcPr>
          <w:p w14:paraId="051EC7D4" w14:textId="3640F785" w:rsidR="001D0EF3" w:rsidRPr="00310498" w:rsidRDefault="001D0EF3" w:rsidP="00FB45E5">
            <w:pPr>
              <w:pStyle w:val="Tabletext"/>
              <w:keepNext/>
              <w:keepLines/>
              <w:jc w:val="center"/>
            </w:pPr>
            <w:r w:rsidRPr="00310498">
              <w:rPr>
                <w:b/>
                <w:bCs/>
              </w:rPr>
              <w:t>1.19</w:t>
            </w:r>
            <w:r w:rsidRPr="00310498">
              <w:br/>
            </w:r>
            <w:r w:rsidRPr="00310498">
              <w:rPr>
                <w:b/>
                <w:bCs/>
              </w:rPr>
              <w:t>(1.03</w:t>
            </w:r>
            <w:r w:rsidR="00A0075B">
              <w:rPr>
                <w:b/>
                <w:bCs/>
              </w:rPr>
              <w:t xml:space="preserve">, </w:t>
            </w:r>
            <w:r w:rsidRPr="00310498">
              <w:rPr>
                <w:b/>
                <w:bCs/>
              </w:rPr>
              <w:t>1.38)</w:t>
            </w:r>
          </w:p>
        </w:tc>
        <w:tc>
          <w:tcPr>
            <w:tcW w:w="613" w:type="pct"/>
            <w:tcMar>
              <w:left w:w="20" w:type="dxa"/>
              <w:right w:w="20" w:type="dxa"/>
            </w:tcMar>
            <w:vAlign w:val="center"/>
          </w:tcPr>
          <w:p w14:paraId="4C6348FE" w14:textId="7E00DDE7" w:rsidR="001D0EF3" w:rsidRPr="00310498" w:rsidRDefault="001D0EF3" w:rsidP="00FB45E5">
            <w:pPr>
              <w:pStyle w:val="Tabletext"/>
              <w:keepNext/>
              <w:keepLines/>
              <w:jc w:val="center"/>
              <w:rPr>
                <w:b/>
                <w:bCs/>
              </w:rPr>
            </w:pPr>
            <w:r w:rsidRPr="00310498">
              <w:rPr>
                <w:b/>
                <w:bCs/>
              </w:rPr>
              <w:t>0.11</w:t>
            </w:r>
            <w:r w:rsidRPr="00310498">
              <w:rPr>
                <w:b/>
                <w:bCs/>
              </w:rPr>
              <w:br/>
              <w:t>(0.02,</w:t>
            </w:r>
            <w:r w:rsidR="00A0075B">
              <w:rPr>
                <w:b/>
                <w:bCs/>
              </w:rPr>
              <w:t xml:space="preserve"> </w:t>
            </w:r>
            <w:r w:rsidRPr="00310498">
              <w:rPr>
                <w:b/>
                <w:bCs/>
              </w:rPr>
              <w:t>0.20)</w:t>
            </w:r>
          </w:p>
        </w:tc>
      </w:tr>
      <w:tr w:rsidR="00C475D2" w:rsidRPr="00310498" w14:paraId="6D87A02A" w14:textId="60996300" w:rsidTr="00A0075B">
        <w:tc>
          <w:tcPr>
            <w:tcW w:w="780" w:type="pct"/>
            <w:tcMar>
              <w:left w:w="20" w:type="dxa"/>
              <w:right w:w="20" w:type="dxa"/>
            </w:tcMar>
            <w:vAlign w:val="center"/>
          </w:tcPr>
          <w:p w14:paraId="4932A135" w14:textId="77777777" w:rsidR="001D0EF3" w:rsidRPr="00310498" w:rsidRDefault="001D0EF3" w:rsidP="00FB45E5">
            <w:pPr>
              <w:pStyle w:val="Tabletext"/>
              <w:keepNext/>
              <w:keepLines/>
            </w:pPr>
            <w:r w:rsidRPr="00310498">
              <w:t>Any serious AE (SAE)</w:t>
            </w:r>
          </w:p>
        </w:tc>
        <w:tc>
          <w:tcPr>
            <w:tcW w:w="538" w:type="pct"/>
            <w:tcMar>
              <w:left w:w="20" w:type="dxa"/>
              <w:right w:w="20" w:type="dxa"/>
            </w:tcMar>
            <w:vAlign w:val="center"/>
          </w:tcPr>
          <w:p w14:paraId="365F440C" w14:textId="77777777" w:rsidR="001D0EF3" w:rsidRPr="00310498" w:rsidRDefault="001D0EF3" w:rsidP="00FB45E5">
            <w:pPr>
              <w:pStyle w:val="Tabletext"/>
              <w:keepNext/>
              <w:keepLines/>
              <w:jc w:val="center"/>
            </w:pPr>
            <w:r w:rsidRPr="00310498">
              <w:t>73 (30.9)</w:t>
            </w:r>
          </w:p>
        </w:tc>
        <w:tc>
          <w:tcPr>
            <w:tcW w:w="614" w:type="pct"/>
            <w:tcMar>
              <w:left w:w="20" w:type="dxa"/>
              <w:right w:w="20" w:type="dxa"/>
            </w:tcMar>
            <w:vAlign w:val="center"/>
          </w:tcPr>
          <w:p w14:paraId="7FC2595F" w14:textId="77777777" w:rsidR="001D0EF3" w:rsidRPr="00310498" w:rsidRDefault="001D0EF3" w:rsidP="00FB45E5">
            <w:pPr>
              <w:pStyle w:val="Tabletext"/>
              <w:keepNext/>
              <w:keepLines/>
              <w:jc w:val="center"/>
            </w:pPr>
            <w:r w:rsidRPr="00310498">
              <w:t>73 (31.1)</w:t>
            </w:r>
          </w:p>
        </w:tc>
        <w:tc>
          <w:tcPr>
            <w:tcW w:w="614" w:type="pct"/>
            <w:tcMar>
              <w:left w:w="20" w:type="dxa"/>
              <w:right w:w="20" w:type="dxa"/>
            </w:tcMar>
            <w:vAlign w:val="center"/>
          </w:tcPr>
          <w:p w14:paraId="5DEB899F" w14:textId="5020412A" w:rsidR="001D0EF3" w:rsidRPr="00310498" w:rsidRDefault="001D0EF3" w:rsidP="00FB45E5">
            <w:pPr>
              <w:pStyle w:val="Tabletext"/>
              <w:keepNext/>
              <w:keepLines/>
              <w:jc w:val="center"/>
            </w:pPr>
            <w:r w:rsidRPr="00310498">
              <w:t xml:space="preserve">1.00 </w:t>
            </w:r>
            <w:r w:rsidRPr="00310498">
              <w:br/>
              <w:t>(0.77</w:t>
            </w:r>
            <w:r w:rsidR="00A0075B">
              <w:t xml:space="preserve">, </w:t>
            </w:r>
            <w:r w:rsidRPr="00310498">
              <w:t>1.31)</w:t>
            </w:r>
          </w:p>
        </w:tc>
        <w:tc>
          <w:tcPr>
            <w:tcW w:w="614" w:type="pct"/>
            <w:tcMar>
              <w:left w:w="20" w:type="dxa"/>
              <w:right w:w="20" w:type="dxa"/>
            </w:tcMar>
            <w:vAlign w:val="center"/>
          </w:tcPr>
          <w:p w14:paraId="117DE04E" w14:textId="5F2E75B2" w:rsidR="001D0EF3" w:rsidRPr="00310498" w:rsidRDefault="00C919DE" w:rsidP="00FB45E5">
            <w:pPr>
              <w:pStyle w:val="Tabletext"/>
              <w:keepNext/>
              <w:keepLines/>
              <w:jc w:val="center"/>
            </w:pPr>
            <w:r w:rsidRPr="00310498">
              <w:t>0.0</w:t>
            </w:r>
            <w:r w:rsidR="001D0EF3" w:rsidRPr="00310498">
              <w:t xml:space="preserve"> </w:t>
            </w:r>
            <w:r w:rsidR="001D0EF3" w:rsidRPr="00310498">
              <w:br/>
              <w:t>(-0.</w:t>
            </w:r>
            <w:r w:rsidRPr="00310498">
              <w:t>08</w:t>
            </w:r>
            <w:r w:rsidR="001D0EF3" w:rsidRPr="00310498">
              <w:t>,</w:t>
            </w:r>
            <w:r w:rsidR="00A0075B">
              <w:t xml:space="preserve"> </w:t>
            </w:r>
            <w:r w:rsidR="001D0EF3" w:rsidRPr="00310498">
              <w:t>0.</w:t>
            </w:r>
            <w:r w:rsidRPr="00310498">
              <w:t>09</w:t>
            </w:r>
            <w:r w:rsidR="001D0EF3" w:rsidRPr="00310498">
              <w:t>)</w:t>
            </w:r>
          </w:p>
        </w:tc>
        <w:tc>
          <w:tcPr>
            <w:tcW w:w="614" w:type="pct"/>
            <w:tcMar>
              <w:left w:w="20" w:type="dxa"/>
              <w:right w:w="20" w:type="dxa"/>
            </w:tcMar>
            <w:vAlign w:val="center"/>
          </w:tcPr>
          <w:p w14:paraId="300B7932" w14:textId="68BF6476" w:rsidR="001D0EF3" w:rsidRPr="00310498" w:rsidRDefault="001D0EF3" w:rsidP="00FB45E5">
            <w:pPr>
              <w:pStyle w:val="Tabletext"/>
              <w:keepNext/>
              <w:keepLines/>
              <w:jc w:val="center"/>
            </w:pPr>
            <w:r w:rsidRPr="00310498">
              <w:t>85 (35.7)</w:t>
            </w:r>
          </w:p>
        </w:tc>
        <w:tc>
          <w:tcPr>
            <w:tcW w:w="614" w:type="pct"/>
            <w:tcMar>
              <w:left w:w="20" w:type="dxa"/>
              <w:right w:w="20" w:type="dxa"/>
            </w:tcMar>
            <w:vAlign w:val="center"/>
          </w:tcPr>
          <w:p w14:paraId="4335443D" w14:textId="6DC7382B" w:rsidR="001D0EF3" w:rsidRPr="00310498" w:rsidRDefault="001D0EF3" w:rsidP="00FB45E5">
            <w:pPr>
              <w:pStyle w:val="Tabletext"/>
              <w:keepNext/>
              <w:keepLines/>
              <w:jc w:val="center"/>
            </w:pPr>
            <w:r w:rsidRPr="00310498">
              <w:t>1.15</w:t>
            </w:r>
            <w:r w:rsidRPr="00310498">
              <w:br/>
              <w:t>(0.89</w:t>
            </w:r>
            <w:r w:rsidR="00A0075B">
              <w:t xml:space="preserve">, </w:t>
            </w:r>
            <w:r w:rsidRPr="00310498">
              <w:t>1.49)</w:t>
            </w:r>
          </w:p>
        </w:tc>
        <w:tc>
          <w:tcPr>
            <w:tcW w:w="613" w:type="pct"/>
            <w:tcMar>
              <w:left w:w="20" w:type="dxa"/>
              <w:right w:w="20" w:type="dxa"/>
            </w:tcMar>
            <w:vAlign w:val="center"/>
          </w:tcPr>
          <w:p w14:paraId="7777F134" w14:textId="024DD60A" w:rsidR="001D0EF3" w:rsidRPr="00310498" w:rsidRDefault="001D0EF3" w:rsidP="00FB45E5">
            <w:pPr>
              <w:pStyle w:val="Tabletext"/>
              <w:keepNext/>
              <w:keepLines/>
              <w:jc w:val="center"/>
            </w:pPr>
            <w:r w:rsidRPr="00310498">
              <w:t>0.</w:t>
            </w:r>
            <w:r w:rsidR="00F20CA8" w:rsidRPr="00310498">
              <w:t>0</w:t>
            </w:r>
            <w:r w:rsidRPr="00310498">
              <w:t xml:space="preserve">5 </w:t>
            </w:r>
            <w:r w:rsidRPr="00310498">
              <w:br/>
              <w:t>(-0.</w:t>
            </w:r>
            <w:r w:rsidR="001F2CEC" w:rsidRPr="00310498">
              <w:t>0</w:t>
            </w:r>
            <w:r w:rsidRPr="00310498">
              <w:t>4,</w:t>
            </w:r>
            <w:r w:rsidR="00A0075B">
              <w:t xml:space="preserve"> </w:t>
            </w:r>
            <w:r w:rsidRPr="00310498">
              <w:t>0.13)</w:t>
            </w:r>
          </w:p>
        </w:tc>
      </w:tr>
      <w:tr w:rsidR="00C475D2" w:rsidRPr="00310498" w14:paraId="6D6D03B4" w14:textId="0CAE5F24" w:rsidTr="00A0075B">
        <w:tc>
          <w:tcPr>
            <w:tcW w:w="780" w:type="pct"/>
            <w:tcMar>
              <w:left w:w="20" w:type="dxa"/>
              <w:right w:w="20" w:type="dxa"/>
            </w:tcMar>
            <w:vAlign w:val="center"/>
          </w:tcPr>
          <w:p w14:paraId="07185A75" w14:textId="77777777" w:rsidR="001D0EF3" w:rsidRPr="00310498" w:rsidRDefault="001D0EF3" w:rsidP="00FB45E5">
            <w:pPr>
              <w:pStyle w:val="Tabletext"/>
              <w:keepNext/>
              <w:keepLines/>
            </w:pPr>
            <w:r w:rsidRPr="00310498">
              <w:t>Any AE with outcome = death</w:t>
            </w:r>
          </w:p>
        </w:tc>
        <w:tc>
          <w:tcPr>
            <w:tcW w:w="538" w:type="pct"/>
            <w:tcMar>
              <w:left w:w="20" w:type="dxa"/>
              <w:right w:w="20" w:type="dxa"/>
            </w:tcMar>
            <w:vAlign w:val="center"/>
          </w:tcPr>
          <w:p w14:paraId="4C52DCE5" w14:textId="77777777" w:rsidR="001D0EF3" w:rsidRPr="00310498" w:rsidRDefault="001D0EF3" w:rsidP="00FB45E5">
            <w:pPr>
              <w:pStyle w:val="Tabletext"/>
              <w:keepNext/>
              <w:keepLines/>
              <w:jc w:val="center"/>
            </w:pPr>
            <w:r w:rsidRPr="00310498">
              <w:t>8 (3.4)</w:t>
            </w:r>
          </w:p>
        </w:tc>
        <w:tc>
          <w:tcPr>
            <w:tcW w:w="614" w:type="pct"/>
            <w:tcMar>
              <w:left w:w="20" w:type="dxa"/>
              <w:right w:w="20" w:type="dxa"/>
            </w:tcMar>
            <w:vAlign w:val="center"/>
          </w:tcPr>
          <w:p w14:paraId="21F12558" w14:textId="77777777" w:rsidR="001D0EF3" w:rsidRPr="00310498" w:rsidRDefault="001D0EF3" w:rsidP="00FB45E5">
            <w:pPr>
              <w:pStyle w:val="Tabletext"/>
              <w:keepNext/>
              <w:keepLines/>
              <w:jc w:val="center"/>
            </w:pPr>
            <w:r w:rsidRPr="00310498">
              <w:t>4 (1.7)</w:t>
            </w:r>
          </w:p>
        </w:tc>
        <w:tc>
          <w:tcPr>
            <w:tcW w:w="614" w:type="pct"/>
            <w:tcMar>
              <w:left w:w="20" w:type="dxa"/>
              <w:right w:w="20" w:type="dxa"/>
            </w:tcMar>
            <w:vAlign w:val="center"/>
          </w:tcPr>
          <w:p w14:paraId="3B3266E1" w14:textId="64975D05" w:rsidR="001D0EF3" w:rsidRPr="00310498" w:rsidRDefault="001D0EF3" w:rsidP="00FB45E5">
            <w:pPr>
              <w:pStyle w:val="Tabletext"/>
              <w:keepNext/>
              <w:keepLines/>
              <w:jc w:val="center"/>
            </w:pPr>
            <w:r w:rsidRPr="00310498">
              <w:t>0.50</w:t>
            </w:r>
            <w:r w:rsidRPr="00310498">
              <w:br/>
              <w:t>(0.15</w:t>
            </w:r>
            <w:r w:rsidR="00A0075B">
              <w:t xml:space="preserve">, </w:t>
            </w:r>
            <w:r w:rsidRPr="00310498">
              <w:t>1.64)</w:t>
            </w:r>
          </w:p>
        </w:tc>
        <w:tc>
          <w:tcPr>
            <w:tcW w:w="614" w:type="pct"/>
            <w:tcMar>
              <w:left w:w="20" w:type="dxa"/>
              <w:right w:w="20" w:type="dxa"/>
            </w:tcMar>
            <w:vAlign w:val="center"/>
          </w:tcPr>
          <w:p w14:paraId="332AB32E" w14:textId="1466179E" w:rsidR="001D0EF3" w:rsidRPr="00310498" w:rsidRDefault="001D0EF3" w:rsidP="00FB45E5">
            <w:pPr>
              <w:pStyle w:val="Tabletext"/>
              <w:keepNext/>
              <w:keepLines/>
              <w:jc w:val="center"/>
            </w:pPr>
            <w:r w:rsidRPr="00310498">
              <w:t>-0.</w:t>
            </w:r>
            <w:r w:rsidR="00C919DE" w:rsidRPr="00310498">
              <w:t>02</w:t>
            </w:r>
            <w:r w:rsidRPr="00310498">
              <w:br/>
              <w:t>(-</w:t>
            </w:r>
            <w:r w:rsidR="00C919DE" w:rsidRPr="00310498">
              <w:t>0.05</w:t>
            </w:r>
            <w:r w:rsidRPr="00310498">
              <w:t>,</w:t>
            </w:r>
            <w:r w:rsidR="00A0075B">
              <w:t xml:space="preserve"> </w:t>
            </w:r>
            <w:r w:rsidRPr="00310498">
              <w:t>0.</w:t>
            </w:r>
            <w:r w:rsidR="00C919DE" w:rsidRPr="00310498">
              <w:t>01</w:t>
            </w:r>
            <w:r w:rsidRPr="00310498">
              <w:t>)</w:t>
            </w:r>
          </w:p>
        </w:tc>
        <w:tc>
          <w:tcPr>
            <w:tcW w:w="614" w:type="pct"/>
            <w:tcMar>
              <w:left w:w="20" w:type="dxa"/>
              <w:right w:w="20" w:type="dxa"/>
            </w:tcMar>
            <w:vAlign w:val="center"/>
          </w:tcPr>
          <w:p w14:paraId="17A18B46" w14:textId="058DFCDF" w:rsidR="001D0EF3" w:rsidRPr="00310498" w:rsidRDefault="001D0EF3" w:rsidP="00FB45E5">
            <w:pPr>
              <w:pStyle w:val="Tabletext"/>
              <w:keepNext/>
              <w:keepLines/>
              <w:jc w:val="center"/>
            </w:pPr>
            <w:r w:rsidRPr="00310498">
              <w:t>5 (2.1)</w:t>
            </w:r>
          </w:p>
        </w:tc>
        <w:tc>
          <w:tcPr>
            <w:tcW w:w="614" w:type="pct"/>
            <w:tcMar>
              <w:left w:w="20" w:type="dxa"/>
              <w:right w:w="20" w:type="dxa"/>
            </w:tcMar>
            <w:vAlign w:val="center"/>
          </w:tcPr>
          <w:p w14:paraId="2B68C57D" w14:textId="466E0932" w:rsidR="001D0EF3" w:rsidRPr="00310498" w:rsidRDefault="001D0EF3" w:rsidP="00FB45E5">
            <w:pPr>
              <w:pStyle w:val="Tabletext"/>
              <w:keepNext/>
              <w:keepLines/>
              <w:jc w:val="center"/>
            </w:pPr>
            <w:r w:rsidRPr="00310498">
              <w:t>0.62</w:t>
            </w:r>
            <w:r w:rsidRPr="00310498">
              <w:br/>
              <w:t>(0.21</w:t>
            </w:r>
            <w:r w:rsidR="00A0075B">
              <w:t xml:space="preserve">, </w:t>
            </w:r>
            <w:r w:rsidRPr="00310498">
              <w:t>1.87)</w:t>
            </w:r>
          </w:p>
        </w:tc>
        <w:tc>
          <w:tcPr>
            <w:tcW w:w="613" w:type="pct"/>
            <w:tcMar>
              <w:left w:w="20" w:type="dxa"/>
              <w:right w:w="20" w:type="dxa"/>
            </w:tcMar>
            <w:vAlign w:val="center"/>
          </w:tcPr>
          <w:p w14:paraId="1884926A" w14:textId="7F18FF7E" w:rsidR="001D0EF3" w:rsidRPr="00310498" w:rsidRDefault="001D0EF3" w:rsidP="00FB45E5">
            <w:pPr>
              <w:pStyle w:val="Tabletext"/>
              <w:keepNext/>
              <w:keepLines/>
              <w:jc w:val="center"/>
            </w:pPr>
            <w:r w:rsidRPr="00310498">
              <w:t>-0.</w:t>
            </w:r>
            <w:r w:rsidR="00894861" w:rsidRPr="00310498">
              <w:t>01</w:t>
            </w:r>
            <w:r w:rsidRPr="00310498">
              <w:t xml:space="preserve"> </w:t>
            </w:r>
            <w:r w:rsidRPr="00310498">
              <w:br/>
              <w:t>(-</w:t>
            </w:r>
            <w:r w:rsidR="00894861" w:rsidRPr="00310498">
              <w:t>0.04</w:t>
            </w:r>
            <w:r w:rsidRPr="00310498">
              <w:t>,</w:t>
            </w:r>
            <w:r w:rsidR="00A0075B">
              <w:t xml:space="preserve"> </w:t>
            </w:r>
            <w:r w:rsidRPr="00310498">
              <w:t>0.</w:t>
            </w:r>
            <w:r w:rsidR="00894861" w:rsidRPr="00310498">
              <w:t>02</w:t>
            </w:r>
            <w:r w:rsidRPr="00310498">
              <w:t>)</w:t>
            </w:r>
          </w:p>
        </w:tc>
      </w:tr>
      <w:tr w:rsidR="00C475D2" w:rsidRPr="00310498" w14:paraId="7FDDEE02" w14:textId="35F6FCA3" w:rsidTr="00A0075B">
        <w:tc>
          <w:tcPr>
            <w:tcW w:w="780" w:type="pct"/>
            <w:tcMar>
              <w:left w:w="20" w:type="dxa"/>
              <w:right w:w="20" w:type="dxa"/>
            </w:tcMar>
            <w:vAlign w:val="center"/>
          </w:tcPr>
          <w:p w14:paraId="0A34128B" w14:textId="3E6E8E14" w:rsidR="001D0EF3" w:rsidRPr="00310498" w:rsidRDefault="001D0EF3" w:rsidP="00FB45E5">
            <w:pPr>
              <w:pStyle w:val="Tabletext"/>
              <w:keepNext/>
              <w:keepLines/>
            </w:pPr>
            <w:r w:rsidRPr="00310498">
              <w:t>Any AE leading to discontinuation of durvalumab/</w:t>
            </w:r>
            <w:r w:rsidR="00F267A0" w:rsidRPr="00310498">
              <w:br/>
            </w:r>
            <w:r w:rsidRPr="00310498">
              <w:t>placebo</w:t>
            </w:r>
          </w:p>
        </w:tc>
        <w:tc>
          <w:tcPr>
            <w:tcW w:w="538" w:type="pct"/>
            <w:tcMar>
              <w:left w:w="20" w:type="dxa"/>
              <w:right w:w="20" w:type="dxa"/>
            </w:tcMar>
            <w:vAlign w:val="center"/>
          </w:tcPr>
          <w:p w14:paraId="0AB8259B" w14:textId="77777777" w:rsidR="001D0EF3" w:rsidRPr="00310498" w:rsidRDefault="001D0EF3" w:rsidP="00FB45E5">
            <w:pPr>
              <w:pStyle w:val="Tabletext"/>
              <w:keepNext/>
              <w:keepLines/>
              <w:jc w:val="center"/>
            </w:pPr>
            <w:r w:rsidRPr="00310498">
              <w:t>19 (8.1)</w:t>
            </w:r>
          </w:p>
        </w:tc>
        <w:tc>
          <w:tcPr>
            <w:tcW w:w="614" w:type="pct"/>
            <w:tcMar>
              <w:left w:w="20" w:type="dxa"/>
              <w:right w:w="20" w:type="dxa"/>
            </w:tcMar>
            <w:vAlign w:val="center"/>
          </w:tcPr>
          <w:p w14:paraId="55876D3F" w14:textId="77777777" w:rsidR="001D0EF3" w:rsidRPr="00310498" w:rsidRDefault="001D0EF3" w:rsidP="00FB45E5">
            <w:pPr>
              <w:pStyle w:val="Tabletext"/>
              <w:keepNext/>
              <w:keepLines/>
              <w:jc w:val="center"/>
            </w:pPr>
            <w:r w:rsidRPr="00310498">
              <w:t>26 (11.1)</w:t>
            </w:r>
          </w:p>
        </w:tc>
        <w:tc>
          <w:tcPr>
            <w:tcW w:w="614" w:type="pct"/>
            <w:tcMar>
              <w:left w:w="20" w:type="dxa"/>
              <w:right w:w="20" w:type="dxa"/>
            </w:tcMar>
            <w:vAlign w:val="center"/>
          </w:tcPr>
          <w:p w14:paraId="4776DDBB" w14:textId="0E702F2C" w:rsidR="001D0EF3" w:rsidRPr="00310498" w:rsidRDefault="001D0EF3" w:rsidP="00FB45E5">
            <w:pPr>
              <w:pStyle w:val="Tabletext"/>
              <w:keepNext/>
              <w:keepLines/>
              <w:jc w:val="center"/>
            </w:pPr>
            <w:r w:rsidRPr="00310498">
              <w:t xml:space="preserve">1.37 </w:t>
            </w:r>
            <w:r w:rsidRPr="00310498">
              <w:br/>
              <w:t>(0.78</w:t>
            </w:r>
            <w:r w:rsidR="00A0075B">
              <w:t xml:space="preserve">, </w:t>
            </w:r>
            <w:r w:rsidRPr="00310498">
              <w:t>2.41)</w:t>
            </w:r>
          </w:p>
        </w:tc>
        <w:tc>
          <w:tcPr>
            <w:tcW w:w="614" w:type="pct"/>
            <w:tcMar>
              <w:left w:w="20" w:type="dxa"/>
              <w:right w:w="20" w:type="dxa"/>
            </w:tcMar>
            <w:vAlign w:val="center"/>
          </w:tcPr>
          <w:p w14:paraId="57C3608D" w14:textId="2BA4B5BB" w:rsidR="001D0EF3" w:rsidRPr="00310498" w:rsidRDefault="001D0EF3" w:rsidP="00FB45E5">
            <w:pPr>
              <w:pStyle w:val="Tabletext"/>
              <w:keepNext/>
              <w:keepLines/>
              <w:jc w:val="center"/>
            </w:pPr>
            <w:r w:rsidRPr="00310498">
              <w:t>0.0</w:t>
            </w:r>
            <w:r w:rsidR="003927BA" w:rsidRPr="00310498">
              <w:t>3</w:t>
            </w:r>
            <w:r w:rsidRPr="00310498">
              <w:t xml:space="preserve"> </w:t>
            </w:r>
            <w:r w:rsidRPr="00310498">
              <w:br/>
              <w:t>(-0.0</w:t>
            </w:r>
            <w:r w:rsidR="003927BA" w:rsidRPr="00310498">
              <w:t>1</w:t>
            </w:r>
            <w:r w:rsidRPr="00310498">
              <w:t>,</w:t>
            </w:r>
            <w:r w:rsidR="00A0075B">
              <w:t xml:space="preserve"> </w:t>
            </w:r>
            <w:r w:rsidRPr="00310498">
              <w:t>0.</w:t>
            </w:r>
            <w:r w:rsidR="003927BA" w:rsidRPr="00310498">
              <w:t>0</w:t>
            </w:r>
            <w:r w:rsidRPr="00310498">
              <w:t>6)</w:t>
            </w:r>
          </w:p>
        </w:tc>
        <w:tc>
          <w:tcPr>
            <w:tcW w:w="614" w:type="pct"/>
            <w:tcMar>
              <w:left w:w="20" w:type="dxa"/>
              <w:right w:w="20" w:type="dxa"/>
            </w:tcMar>
            <w:vAlign w:val="center"/>
          </w:tcPr>
          <w:p w14:paraId="36253297" w14:textId="0ACF8F91" w:rsidR="001D0EF3" w:rsidRPr="00310498" w:rsidRDefault="001D0EF3" w:rsidP="00FB45E5">
            <w:pPr>
              <w:pStyle w:val="Tabletext"/>
              <w:keepNext/>
              <w:keepLines/>
              <w:jc w:val="center"/>
            </w:pPr>
            <w:r w:rsidRPr="00310498">
              <w:t>22 (9.2)</w:t>
            </w:r>
          </w:p>
        </w:tc>
        <w:tc>
          <w:tcPr>
            <w:tcW w:w="614" w:type="pct"/>
            <w:tcMar>
              <w:left w:w="20" w:type="dxa"/>
              <w:right w:w="20" w:type="dxa"/>
            </w:tcMar>
            <w:vAlign w:val="center"/>
          </w:tcPr>
          <w:p w14:paraId="4C1294A9" w14:textId="4156C53E" w:rsidR="001D0EF3" w:rsidRPr="00310498" w:rsidRDefault="001D0EF3" w:rsidP="00FB45E5">
            <w:pPr>
              <w:pStyle w:val="Tabletext"/>
              <w:keepNext/>
              <w:keepLines/>
              <w:jc w:val="center"/>
            </w:pPr>
            <w:r w:rsidRPr="00310498">
              <w:t>1.15</w:t>
            </w:r>
            <w:r w:rsidRPr="00310498">
              <w:br/>
              <w:t>(0.64</w:t>
            </w:r>
            <w:r w:rsidR="00A0075B">
              <w:t xml:space="preserve">, </w:t>
            </w:r>
            <w:r w:rsidRPr="00310498">
              <w:t>2.06)</w:t>
            </w:r>
          </w:p>
        </w:tc>
        <w:tc>
          <w:tcPr>
            <w:tcW w:w="613" w:type="pct"/>
            <w:tcMar>
              <w:left w:w="20" w:type="dxa"/>
              <w:right w:w="20" w:type="dxa"/>
            </w:tcMar>
            <w:vAlign w:val="center"/>
          </w:tcPr>
          <w:p w14:paraId="5F46CC9C" w14:textId="7D0E7803" w:rsidR="001D0EF3" w:rsidRPr="00310498" w:rsidRDefault="001D0EF3" w:rsidP="00FB45E5">
            <w:pPr>
              <w:pStyle w:val="Tabletext"/>
              <w:keepNext/>
              <w:keepLines/>
              <w:jc w:val="center"/>
            </w:pPr>
            <w:r w:rsidRPr="00310498">
              <w:t xml:space="preserve">-0.01 </w:t>
            </w:r>
            <w:r w:rsidRPr="00310498">
              <w:br/>
              <w:t>(-0.04,</w:t>
            </w:r>
            <w:r w:rsidR="00A0075B">
              <w:t xml:space="preserve"> </w:t>
            </w:r>
            <w:r w:rsidRPr="00310498">
              <w:t>0.</w:t>
            </w:r>
            <w:r w:rsidR="00A5601A" w:rsidRPr="00310498">
              <w:t>0</w:t>
            </w:r>
            <w:r w:rsidRPr="00310498">
              <w:t>6)</w:t>
            </w:r>
          </w:p>
        </w:tc>
      </w:tr>
      <w:tr w:rsidR="00C475D2" w:rsidRPr="00310498" w14:paraId="1A3457DA" w14:textId="08595970" w:rsidTr="00A0075B">
        <w:tc>
          <w:tcPr>
            <w:tcW w:w="780" w:type="pct"/>
            <w:tcMar>
              <w:left w:w="20" w:type="dxa"/>
              <w:right w:w="20" w:type="dxa"/>
            </w:tcMar>
            <w:vAlign w:val="center"/>
          </w:tcPr>
          <w:p w14:paraId="0000C209" w14:textId="77777777" w:rsidR="001D0EF3" w:rsidRPr="00310498" w:rsidRDefault="001D0EF3" w:rsidP="00FB45E5">
            <w:pPr>
              <w:pStyle w:val="Tabletext"/>
              <w:keepNext/>
              <w:keepLines/>
            </w:pPr>
            <w:r w:rsidRPr="00310498">
              <w:t>Any AE leading to discontinuation of olaparib/placebo</w:t>
            </w:r>
          </w:p>
        </w:tc>
        <w:tc>
          <w:tcPr>
            <w:tcW w:w="538" w:type="pct"/>
            <w:tcMar>
              <w:left w:w="20" w:type="dxa"/>
              <w:right w:w="20" w:type="dxa"/>
            </w:tcMar>
            <w:vAlign w:val="center"/>
          </w:tcPr>
          <w:p w14:paraId="382077C3" w14:textId="77777777" w:rsidR="001D0EF3" w:rsidRPr="00310498" w:rsidRDefault="001D0EF3" w:rsidP="00FB45E5">
            <w:pPr>
              <w:pStyle w:val="Tabletext"/>
              <w:keepNext/>
              <w:keepLines/>
              <w:jc w:val="center"/>
            </w:pPr>
            <w:r w:rsidRPr="00310498">
              <w:t>5 (2.1)</w:t>
            </w:r>
          </w:p>
        </w:tc>
        <w:tc>
          <w:tcPr>
            <w:tcW w:w="614" w:type="pct"/>
            <w:tcMar>
              <w:left w:w="20" w:type="dxa"/>
              <w:right w:w="20" w:type="dxa"/>
            </w:tcMar>
            <w:vAlign w:val="center"/>
          </w:tcPr>
          <w:p w14:paraId="509F38ED" w14:textId="77777777" w:rsidR="001D0EF3" w:rsidRPr="00310498" w:rsidRDefault="001D0EF3" w:rsidP="00FB45E5">
            <w:pPr>
              <w:pStyle w:val="Tabletext"/>
              <w:keepNext/>
              <w:keepLines/>
              <w:jc w:val="center"/>
            </w:pPr>
            <w:r w:rsidRPr="00310498">
              <w:t>11 (4.7)</w:t>
            </w:r>
          </w:p>
        </w:tc>
        <w:tc>
          <w:tcPr>
            <w:tcW w:w="614" w:type="pct"/>
            <w:tcMar>
              <w:left w:w="20" w:type="dxa"/>
              <w:right w:w="20" w:type="dxa"/>
            </w:tcMar>
            <w:vAlign w:val="center"/>
          </w:tcPr>
          <w:p w14:paraId="0757AF7F" w14:textId="3B0AFF67" w:rsidR="001D0EF3" w:rsidRPr="00310498" w:rsidRDefault="001D0EF3" w:rsidP="00FB45E5">
            <w:pPr>
              <w:pStyle w:val="Tabletext"/>
              <w:keepNext/>
              <w:keepLines/>
              <w:jc w:val="center"/>
            </w:pPr>
            <w:r w:rsidRPr="00310498">
              <w:t xml:space="preserve">2.21 </w:t>
            </w:r>
            <w:r w:rsidRPr="00310498">
              <w:br/>
              <w:t>(0.78</w:t>
            </w:r>
            <w:r w:rsidR="00A0075B">
              <w:t xml:space="preserve">, </w:t>
            </w:r>
            <w:r w:rsidRPr="00310498">
              <w:t>6.26)</w:t>
            </w:r>
          </w:p>
        </w:tc>
        <w:tc>
          <w:tcPr>
            <w:tcW w:w="614" w:type="pct"/>
            <w:tcMar>
              <w:left w:w="20" w:type="dxa"/>
              <w:right w:w="20" w:type="dxa"/>
            </w:tcMar>
            <w:vAlign w:val="center"/>
          </w:tcPr>
          <w:p w14:paraId="0E497576" w14:textId="68DC9CA6" w:rsidR="001D0EF3" w:rsidRPr="00310498" w:rsidRDefault="001D0EF3" w:rsidP="00FB45E5">
            <w:pPr>
              <w:pStyle w:val="Tabletext"/>
              <w:keepNext/>
              <w:keepLines/>
              <w:jc w:val="center"/>
            </w:pPr>
            <w:r w:rsidRPr="00310498">
              <w:t>0.0</w:t>
            </w:r>
            <w:r w:rsidR="00923B26" w:rsidRPr="00310498">
              <w:t>3</w:t>
            </w:r>
            <w:r w:rsidRPr="00310498">
              <w:t xml:space="preserve"> </w:t>
            </w:r>
            <w:r w:rsidRPr="00310498">
              <w:br/>
              <w:t>(</w:t>
            </w:r>
            <w:r w:rsidR="003927BA" w:rsidRPr="00310498">
              <w:t>-</w:t>
            </w:r>
            <w:r w:rsidRPr="00310498">
              <w:t>0.0</w:t>
            </w:r>
            <w:r w:rsidR="00923B26" w:rsidRPr="00310498">
              <w:t>1</w:t>
            </w:r>
            <w:r w:rsidRPr="00310498">
              <w:t>,</w:t>
            </w:r>
            <w:r w:rsidR="00A0075B">
              <w:t xml:space="preserve"> </w:t>
            </w:r>
            <w:r w:rsidRPr="00310498">
              <w:t>0.</w:t>
            </w:r>
            <w:r w:rsidR="003927BA" w:rsidRPr="00310498">
              <w:t>06</w:t>
            </w:r>
            <w:r w:rsidRPr="00310498">
              <w:t>)</w:t>
            </w:r>
          </w:p>
        </w:tc>
        <w:tc>
          <w:tcPr>
            <w:tcW w:w="614" w:type="pct"/>
            <w:tcMar>
              <w:left w:w="20" w:type="dxa"/>
              <w:right w:w="20" w:type="dxa"/>
            </w:tcMar>
            <w:vAlign w:val="center"/>
          </w:tcPr>
          <w:p w14:paraId="49F454FB" w14:textId="7DA717D0" w:rsidR="001D0EF3" w:rsidRPr="00310498" w:rsidRDefault="001D0EF3" w:rsidP="00FB45E5">
            <w:pPr>
              <w:pStyle w:val="Tabletext"/>
              <w:keepNext/>
              <w:keepLines/>
              <w:jc w:val="center"/>
            </w:pPr>
            <w:r w:rsidRPr="00310498">
              <w:t>21 (8.8)</w:t>
            </w:r>
          </w:p>
        </w:tc>
        <w:tc>
          <w:tcPr>
            <w:tcW w:w="614" w:type="pct"/>
            <w:tcMar>
              <w:left w:w="20" w:type="dxa"/>
              <w:right w:w="20" w:type="dxa"/>
            </w:tcMar>
            <w:vAlign w:val="center"/>
          </w:tcPr>
          <w:p w14:paraId="3D6D03B7" w14:textId="3915E2D3" w:rsidR="001D0EF3" w:rsidRPr="00310498" w:rsidRDefault="001D0EF3" w:rsidP="00FB45E5">
            <w:pPr>
              <w:pStyle w:val="Tabletext"/>
              <w:keepNext/>
              <w:keepLines/>
              <w:jc w:val="center"/>
            </w:pPr>
            <w:r w:rsidRPr="00310498">
              <w:rPr>
                <w:b/>
                <w:bCs/>
              </w:rPr>
              <w:t>4.16</w:t>
            </w:r>
            <w:r w:rsidRPr="00310498">
              <w:br/>
            </w:r>
            <w:r w:rsidRPr="00310498">
              <w:rPr>
                <w:b/>
                <w:bCs/>
              </w:rPr>
              <w:t>(1.60</w:t>
            </w:r>
            <w:r w:rsidR="00A0075B">
              <w:rPr>
                <w:b/>
                <w:bCs/>
              </w:rPr>
              <w:t xml:space="preserve">, </w:t>
            </w:r>
            <w:r w:rsidRPr="00310498">
              <w:rPr>
                <w:b/>
                <w:bCs/>
              </w:rPr>
              <w:t>10.86)</w:t>
            </w:r>
          </w:p>
        </w:tc>
        <w:tc>
          <w:tcPr>
            <w:tcW w:w="613" w:type="pct"/>
            <w:tcMar>
              <w:left w:w="20" w:type="dxa"/>
              <w:right w:w="20" w:type="dxa"/>
            </w:tcMar>
            <w:vAlign w:val="center"/>
          </w:tcPr>
          <w:p w14:paraId="66C8E564" w14:textId="2F1F09F2" w:rsidR="001D0EF3" w:rsidRPr="00310498" w:rsidRDefault="001D0EF3" w:rsidP="00FB45E5">
            <w:pPr>
              <w:pStyle w:val="Tabletext"/>
              <w:keepNext/>
              <w:keepLines/>
              <w:jc w:val="center"/>
              <w:rPr>
                <w:b/>
                <w:bCs/>
              </w:rPr>
            </w:pPr>
            <w:r w:rsidRPr="00310498">
              <w:t xml:space="preserve">0.07 </w:t>
            </w:r>
            <w:r w:rsidRPr="00310498">
              <w:br/>
              <w:t>(0.03,</w:t>
            </w:r>
            <w:r w:rsidR="00A0075B">
              <w:t xml:space="preserve"> </w:t>
            </w:r>
            <w:r w:rsidRPr="00310498">
              <w:t>0.11)</w:t>
            </w:r>
          </w:p>
        </w:tc>
      </w:tr>
      <w:tr w:rsidR="00C475D2" w:rsidRPr="00310498" w14:paraId="0C8FD3C0" w14:textId="139CB82C" w:rsidTr="00A0075B">
        <w:tc>
          <w:tcPr>
            <w:tcW w:w="780" w:type="pct"/>
            <w:tcMar>
              <w:left w:w="20" w:type="dxa"/>
              <w:right w:w="20" w:type="dxa"/>
            </w:tcMar>
            <w:vAlign w:val="center"/>
          </w:tcPr>
          <w:p w14:paraId="651B0DE6" w14:textId="77777777" w:rsidR="00976698" w:rsidRPr="00310498" w:rsidRDefault="00976698" w:rsidP="00FB45E5">
            <w:pPr>
              <w:pStyle w:val="Tabletext"/>
              <w:keepNext/>
              <w:keepLines/>
            </w:pPr>
            <w:r w:rsidRPr="00310498">
              <w:t>Any AE leading to discontinuation of PC</w:t>
            </w:r>
          </w:p>
        </w:tc>
        <w:tc>
          <w:tcPr>
            <w:tcW w:w="538" w:type="pct"/>
            <w:tcMar>
              <w:left w:w="20" w:type="dxa"/>
              <w:right w:w="20" w:type="dxa"/>
            </w:tcMar>
            <w:vAlign w:val="center"/>
          </w:tcPr>
          <w:p w14:paraId="59F12A3D" w14:textId="77777777" w:rsidR="00976698" w:rsidRPr="00310498" w:rsidRDefault="00976698" w:rsidP="00FB45E5">
            <w:pPr>
              <w:pStyle w:val="Tabletext"/>
              <w:keepNext/>
              <w:keepLines/>
              <w:jc w:val="center"/>
            </w:pPr>
            <w:r w:rsidRPr="00310498">
              <w:t>32 (13.6)</w:t>
            </w:r>
          </w:p>
        </w:tc>
        <w:tc>
          <w:tcPr>
            <w:tcW w:w="614" w:type="pct"/>
            <w:tcMar>
              <w:left w:w="20" w:type="dxa"/>
              <w:right w:w="20" w:type="dxa"/>
            </w:tcMar>
            <w:vAlign w:val="center"/>
          </w:tcPr>
          <w:p w14:paraId="13EE3F67" w14:textId="77777777" w:rsidR="00976698" w:rsidRPr="00310498" w:rsidRDefault="00976698" w:rsidP="00FB45E5">
            <w:pPr>
              <w:pStyle w:val="Tabletext"/>
              <w:keepNext/>
              <w:keepLines/>
              <w:jc w:val="center"/>
            </w:pPr>
            <w:r w:rsidRPr="00310498">
              <w:t>31 (13.2)</w:t>
            </w:r>
          </w:p>
        </w:tc>
        <w:tc>
          <w:tcPr>
            <w:tcW w:w="614" w:type="pct"/>
            <w:tcMar>
              <w:left w:w="20" w:type="dxa"/>
              <w:right w:w="20" w:type="dxa"/>
            </w:tcMar>
            <w:vAlign w:val="center"/>
          </w:tcPr>
          <w:p w14:paraId="360312B5" w14:textId="4991C14A" w:rsidR="00976698" w:rsidRPr="00310498" w:rsidRDefault="00976698" w:rsidP="00FB45E5">
            <w:pPr>
              <w:pStyle w:val="Tabletext"/>
              <w:keepNext/>
              <w:keepLines/>
              <w:jc w:val="center"/>
            </w:pPr>
            <w:r w:rsidRPr="00310498">
              <w:t xml:space="preserve">0.97 </w:t>
            </w:r>
            <w:r w:rsidRPr="00310498">
              <w:br/>
              <w:t>(0.78</w:t>
            </w:r>
            <w:r w:rsidR="00A0075B">
              <w:t xml:space="preserve">, </w:t>
            </w:r>
            <w:r w:rsidRPr="00310498">
              <w:t>6.26)</w:t>
            </w:r>
          </w:p>
        </w:tc>
        <w:tc>
          <w:tcPr>
            <w:tcW w:w="614" w:type="pct"/>
            <w:tcMar>
              <w:left w:w="20" w:type="dxa"/>
              <w:right w:w="20" w:type="dxa"/>
            </w:tcMar>
            <w:vAlign w:val="center"/>
          </w:tcPr>
          <w:p w14:paraId="7EF1DA79" w14:textId="727284B6" w:rsidR="00976698" w:rsidRPr="00310498" w:rsidRDefault="00976698" w:rsidP="00FB45E5">
            <w:pPr>
              <w:pStyle w:val="Tabletext"/>
              <w:keepNext/>
              <w:keepLines/>
              <w:jc w:val="center"/>
            </w:pPr>
            <w:r w:rsidRPr="00310498">
              <w:t xml:space="preserve">0.0 </w:t>
            </w:r>
            <w:r w:rsidRPr="00310498">
              <w:br/>
              <w:t>(-0.07,</w:t>
            </w:r>
            <w:r w:rsidR="00A0075B">
              <w:t xml:space="preserve"> </w:t>
            </w:r>
            <w:r w:rsidRPr="00310498">
              <w:t>0.06)</w:t>
            </w:r>
          </w:p>
        </w:tc>
        <w:tc>
          <w:tcPr>
            <w:tcW w:w="614" w:type="pct"/>
            <w:tcMar>
              <w:left w:w="20" w:type="dxa"/>
              <w:right w:w="20" w:type="dxa"/>
            </w:tcMar>
            <w:vAlign w:val="center"/>
          </w:tcPr>
          <w:p w14:paraId="2EF17DC0" w14:textId="58959E97" w:rsidR="00976698" w:rsidRPr="00310498" w:rsidRDefault="00976698" w:rsidP="00FB45E5">
            <w:pPr>
              <w:pStyle w:val="Tabletext"/>
              <w:keepNext/>
              <w:keepLines/>
              <w:jc w:val="center"/>
            </w:pPr>
            <w:r w:rsidRPr="00310498">
              <w:t>31 (13)</w:t>
            </w:r>
          </w:p>
        </w:tc>
        <w:tc>
          <w:tcPr>
            <w:tcW w:w="614" w:type="pct"/>
            <w:tcMar>
              <w:left w:w="20" w:type="dxa"/>
              <w:right w:w="20" w:type="dxa"/>
            </w:tcMar>
            <w:vAlign w:val="center"/>
          </w:tcPr>
          <w:p w14:paraId="0171F9FB" w14:textId="6E984D5C" w:rsidR="00976698" w:rsidRPr="00310498" w:rsidRDefault="00976698" w:rsidP="00FB45E5">
            <w:pPr>
              <w:pStyle w:val="Tabletext"/>
              <w:keepNext/>
              <w:keepLines/>
              <w:jc w:val="center"/>
            </w:pPr>
            <w:r w:rsidRPr="00310498">
              <w:t>0.96</w:t>
            </w:r>
            <w:r w:rsidRPr="00310498">
              <w:br/>
              <w:t>(0.61</w:t>
            </w:r>
            <w:r w:rsidR="00A0075B">
              <w:t xml:space="preserve">, </w:t>
            </w:r>
            <w:r w:rsidRPr="00310498">
              <w:t>1.52)</w:t>
            </w:r>
          </w:p>
        </w:tc>
        <w:tc>
          <w:tcPr>
            <w:tcW w:w="613" w:type="pct"/>
            <w:tcMar>
              <w:left w:w="20" w:type="dxa"/>
              <w:right w:w="20" w:type="dxa"/>
            </w:tcMar>
            <w:vAlign w:val="center"/>
          </w:tcPr>
          <w:p w14:paraId="7E521DC3" w14:textId="54CD5052" w:rsidR="00976698" w:rsidRPr="00310498" w:rsidRDefault="00976698" w:rsidP="00FB45E5">
            <w:pPr>
              <w:pStyle w:val="Tabletext"/>
              <w:keepNext/>
              <w:keepLines/>
              <w:jc w:val="center"/>
            </w:pPr>
            <w:r w:rsidRPr="00310498">
              <w:t>-0.01</w:t>
            </w:r>
            <w:r w:rsidRPr="00310498">
              <w:br/>
              <w:t>(-0.07,</w:t>
            </w:r>
            <w:r w:rsidR="00A0075B">
              <w:t xml:space="preserve"> </w:t>
            </w:r>
            <w:r w:rsidRPr="00310498">
              <w:t>0.06)</w:t>
            </w:r>
          </w:p>
        </w:tc>
      </w:tr>
      <w:tr w:rsidR="00C475D2" w:rsidRPr="00310498" w14:paraId="2E0EA6FD" w14:textId="411C0D3C" w:rsidTr="00A0075B">
        <w:tc>
          <w:tcPr>
            <w:tcW w:w="780" w:type="pct"/>
            <w:tcMar>
              <w:left w:w="20" w:type="dxa"/>
              <w:right w:w="20" w:type="dxa"/>
            </w:tcMar>
            <w:vAlign w:val="center"/>
          </w:tcPr>
          <w:p w14:paraId="04BB1DC2" w14:textId="77777777" w:rsidR="00976698" w:rsidRPr="00310498" w:rsidRDefault="00976698" w:rsidP="00FB45E5">
            <w:pPr>
              <w:pStyle w:val="Tabletext"/>
              <w:keepNext/>
              <w:keepLines/>
            </w:pPr>
            <w:r w:rsidRPr="00310498">
              <w:t>Any immune-related AEs</w:t>
            </w:r>
          </w:p>
        </w:tc>
        <w:tc>
          <w:tcPr>
            <w:tcW w:w="538" w:type="pct"/>
            <w:tcMar>
              <w:left w:w="20" w:type="dxa"/>
              <w:right w:w="20" w:type="dxa"/>
            </w:tcMar>
            <w:vAlign w:val="center"/>
          </w:tcPr>
          <w:p w14:paraId="19715284" w14:textId="77777777" w:rsidR="00976698" w:rsidRPr="00310498" w:rsidRDefault="00976698" w:rsidP="00FB45E5">
            <w:pPr>
              <w:pStyle w:val="Tabletext"/>
              <w:keepNext/>
              <w:keepLines/>
              <w:jc w:val="center"/>
            </w:pPr>
            <w:r w:rsidRPr="00310498">
              <w:t>16 (6.8)</w:t>
            </w:r>
          </w:p>
        </w:tc>
        <w:tc>
          <w:tcPr>
            <w:tcW w:w="614" w:type="pct"/>
            <w:tcMar>
              <w:left w:w="20" w:type="dxa"/>
              <w:right w:w="20" w:type="dxa"/>
            </w:tcMar>
            <w:vAlign w:val="center"/>
          </w:tcPr>
          <w:p w14:paraId="2B77422C" w14:textId="77777777" w:rsidR="00976698" w:rsidRPr="00310498" w:rsidRDefault="00976698" w:rsidP="00FB45E5">
            <w:pPr>
              <w:pStyle w:val="Tabletext"/>
              <w:keepNext/>
              <w:keepLines/>
              <w:jc w:val="center"/>
            </w:pPr>
            <w:r w:rsidRPr="00310498">
              <w:t>66 (28.1)</w:t>
            </w:r>
          </w:p>
        </w:tc>
        <w:tc>
          <w:tcPr>
            <w:tcW w:w="614" w:type="pct"/>
            <w:tcMar>
              <w:left w:w="20" w:type="dxa"/>
              <w:right w:w="20" w:type="dxa"/>
            </w:tcMar>
            <w:vAlign w:val="center"/>
          </w:tcPr>
          <w:p w14:paraId="19325443" w14:textId="6AE0B3D7" w:rsidR="00976698" w:rsidRPr="00310498" w:rsidRDefault="00976698" w:rsidP="00FB45E5">
            <w:pPr>
              <w:pStyle w:val="Tabletext"/>
              <w:keepNext/>
              <w:keepLines/>
              <w:jc w:val="center"/>
            </w:pPr>
            <w:r w:rsidRPr="00310498">
              <w:rPr>
                <w:b/>
                <w:bCs/>
              </w:rPr>
              <w:t>4.14</w:t>
            </w:r>
            <w:r w:rsidRPr="00310498">
              <w:t xml:space="preserve"> </w:t>
            </w:r>
            <w:r w:rsidRPr="00310498">
              <w:br/>
            </w:r>
            <w:r w:rsidRPr="00310498">
              <w:rPr>
                <w:b/>
                <w:bCs/>
              </w:rPr>
              <w:t>(2.47</w:t>
            </w:r>
            <w:r w:rsidR="00A0075B">
              <w:rPr>
                <w:b/>
                <w:bCs/>
              </w:rPr>
              <w:t xml:space="preserve">, </w:t>
            </w:r>
            <w:r w:rsidRPr="00310498">
              <w:rPr>
                <w:b/>
                <w:bCs/>
              </w:rPr>
              <w:t>6.94)</w:t>
            </w:r>
          </w:p>
        </w:tc>
        <w:tc>
          <w:tcPr>
            <w:tcW w:w="614" w:type="pct"/>
            <w:tcMar>
              <w:left w:w="20" w:type="dxa"/>
              <w:right w:w="20" w:type="dxa"/>
            </w:tcMar>
            <w:vAlign w:val="center"/>
          </w:tcPr>
          <w:p w14:paraId="7C94F46E" w14:textId="2E5A365A" w:rsidR="00976698" w:rsidRPr="00310498" w:rsidRDefault="00976698" w:rsidP="00FB45E5">
            <w:pPr>
              <w:pStyle w:val="Tabletext"/>
              <w:keepNext/>
              <w:keepLines/>
              <w:jc w:val="center"/>
            </w:pPr>
            <w:r w:rsidRPr="00310498">
              <w:t>0.</w:t>
            </w:r>
            <w:r w:rsidR="00923B26" w:rsidRPr="00310498">
              <w:t>21</w:t>
            </w:r>
            <w:r w:rsidRPr="00310498">
              <w:br/>
            </w:r>
            <w:r w:rsidR="00923B26" w:rsidRPr="00310498">
              <w:t>(0.15</w:t>
            </w:r>
            <w:r w:rsidRPr="00310498">
              <w:t>,</w:t>
            </w:r>
            <w:r w:rsidR="00A0075B">
              <w:t xml:space="preserve"> </w:t>
            </w:r>
            <w:r w:rsidRPr="00310498">
              <w:t>0.</w:t>
            </w:r>
            <w:r w:rsidR="00923B26" w:rsidRPr="00310498">
              <w:t>28</w:t>
            </w:r>
            <w:r w:rsidRPr="00310498">
              <w:t>)</w:t>
            </w:r>
          </w:p>
        </w:tc>
        <w:tc>
          <w:tcPr>
            <w:tcW w:w="614" w:type="pct"/>
            <w:tcMar>
              <w:left w:w="20" w:type="dxa"/>
              <w:right w:w="20" w:type="dxa"/>
            </w:tcMar>
            <w:vAlign w:val="center"/>
          </w:tcPr>
          <w:p w14:paraId="3AD747FF" w14:textId="416C8E1E" w:rsidR="00976698" w:rsidRPr="00310498" w:rsidRDefault="00976698" w:rsidP="00FB45E5">
            <w:pPr>
              <w:pStyle w:val="Tabletext"/>
              <w:keepNext/>
              <w:keepLines/>
              <w:jc w:val="center"/>
            </w:pPr>
            <w:r w:rsidRPr="00310498">
              <w:t>56 (23.5)</w:t>
            </w:r>
          </w:p>
        </w:tc>
        <w:tc>
          <w:tcPr>
            <w:tcW w:w="614" w:type="pct"/>
            <w:tcMar>
              <w:left w:w="20" w:type="dxa"/>
              <w:right w:w="20" w:type="dxa"/>
            </w:tcMar>
            <w:vAlign w:val="center"/>
          </w:tcPr>
          <w:p w14:paraId="6FF1E5ED" w14:textId="44E2B341" w:rsidR="00976698" w:rsidRPr="00310498" w:rsidRDefault="00976698" w:rsidP="00FB45E5">
            <w:pPr>
              <w:pStyle w:val="Tabletext"/>
              <w:keepNext/>
              <w:keepLines/>
              <w:jc w:val="center"/>
            </w:pPr>
            <w:r w:rsidRPr="00310498">
              <w:rPr>
                <w:b/>
                <w:bCs/>
              </w:rPr>
              <w:t>3.47</w:t>
            </w:r>
            <w:r w:rsidRPr="00310498">
              <w:br/>
            </w:r>
            <w:r w:rsidRPr="00310498">
              <w:rPr>
                <w:b/>
                <w:bCs/>
              </w:rPr>
              <w:t>(2.05</w:t>
            </w:r>
            <w:r w:rsidR="00A0075B">
              <w:rPr>
                <w:b/>
                <w:bCs/>
              </w:rPr>
              <w:t xml:space="preserve">, </w:t>
            </w:r>
            <w:r w:rsidRPr="00310498">
              <w:rPr>
                <w:b/>
                <w:bCs/>
              </w:rPr>
              <w:t>5.87)</w:t>
            </w:r>
          </w:p>
        </w:tc>
        <w:tc>
          <w:tcPr>
            <w:tcW w:w="613" w:type="pct"/>
            <w:tcMar>
              <w:left w:w="20" w:type="dxa"/>
              <w:right w:w="20" w:type="dxa"/>
            </w:tcMar>
            <w:vAlign w:val="center"/>
          </w:tcPr>
          <w:p w14:paraId="6C349FC5" w14:textId="638F3799" w:rsidR="00976698" w:rsidRPr="00310498" w:rsidRDefault="00976698" w:rsidP="00FB45E5">
            <w:pPr>
              <w:pStyle w:val="Tabletext"/>
              <w:keepNext/>
              <w:keepLines/>
              <w:jc w:val="center"/>
              <w:rPr>
                <w:b/>
                <w:bCs/>
              </w:rPr>
            </w:pPr>
            <w:r w:rsidRPr="00310498">
              <w:t xml:space="preserve">0.17 </w:t>
            </w:r>
            <w:r w:rsidRPr="00310498">
              <w:br/>
              <w:t>(0.11,</w:t>
            </w:r>
            <w:r w:rsidR="00A0075B">
              <w:t xml:space="preserve"> </w:t>
            </w:r>
            <w:r w:rsidRPr="00310498">
              <w:t>0.23)</w:t>
            </w:r>
          </w:p>
        </w:tc>
      </w:tr>
      <w:tr w:rsidR="00C475D2" w:rsidRPr="00310498" w14:paraId="1A69F9A9" w14:textId="78C3AFBD" w:rsidTr="00A0075B">
        <w:tc>
          <w:tcPr>
            <w:tcW w:w="780" w:type="pct"/>
            <w:tcMar>
              <w:left w:w="20" w:type="dxa"/>
              <w:right w:w="20" w:type="dxa"/>
            </w:tcMar>
            <w:vAlign w:val="center"/>
          </w:tcPr>
          <w:p w14:paraId="0329155A" w14:textId="77777777" w:rsidR="001D0EF3" w:rsidRPr="00310498" w:rsidRDefault="001D0EF3" w:rsidP="00FB45E5">
            <w:pPr>
              <w:pStyle w:val="Tabletext"/>
              <w:keepNext/>
              <w:keepLines/>
            </w:pPr>
            <w:r w:rsidRPr="00310498">
              <w:t>Any infusion reaction AEs</w:t>
            </w:r>
          </w:p>
        </w:tc>
        <w:tc>
          <w:tcPr>
            <w:tcW w:w="538" w:type="pct"/>
            <w:tcMar>
              <w:left w:w="20" w:type="dxa"/>
              <w:right w:w="20" w:type="dxa"/>
            </w:tcMar>
            <w:vAlign w:val="center"/>
          </w:tcPr>
          <w:p w14:paraId="5A24BE37" w14:textId="77777777" w:rsidR="001D0EF3" w:rsidRPr="00310498" w:rsidRDefault="001D0EF3" w:rsidP="00FB45E5">
            <w:pPr>
              <w:pStyle w:val="Tabletext"/>
              <w:keepNext/>
              <w:keepLines/>
              <w:jc w:val="center"/>
            </w:pPr>
            <w:r w:rsidRPr="00310498">
              <w:t>38 (16.1)</w:t>
            </w:r>
          </w:p>
        </w:tc>
        <w:tc>
          <w:tcPr>
            <w:tcW w:w="614" w:type="pct"/>
            <w:tcMar>
              <w:left w:w="20" w:type="dxa"/>
              <w:right w:w="20" w:type="dxa"/>
            </w:tcMar>
            <w:vAlign w:val="center"/>
          </w:tcPr>
          <w:p w14:paraId="4EA21761" w14:textId="77777777" w:rsidR="001D0EF3" w:rsidRPr="00310498" w:rsidRDefault="001D0EF3" w:rsidP="00FB45E5">
            <w:pPr>
              <w:pStyle w:val="Tabletext"/>
              <w:keepNext/>
              <w:keepLines/>
              <w:jc w:val="center"/>
            </w:pPr>
            <w:r w:rsidRPr="00310498">
              <w:t>35 (14.9)</w:t>
            </w:r>
          </w:p>
        </w:tc>
        <w:tc>
          <w:tcPr>
            <w:tcW w:w="614" w:type="pct"/>
            <w:tcMar>
              <w:left w:w="20" w:type="dxa"/>
              <w:right w:w="20" w:type="dxa"/>
            </w:tcMar>
            <w:vAlign w:val="center"/>
          </w:tcPr>
          <w:p w14:paraId="3B67B516" w14:textId="446BA99F" w:rsidR="001D0EF3" w:rsidRPr="00310498" w:rsidRDefault="001D0EF3" w:rsidP="00FB45E5">
            <w:pPr>
              <w:pStyle w:val="Tabletext"/>
              <w:keepNext/>
              <w:keepLines/>
              <w:jc w:val="center"/>
            </w:pPr>
            <w:r w:rsidRPr="00310498">
              <w:t>0.92</w:t>
            </w:r>
            <w:r w:rsidRPr="00310498">
              <w:br/>
              <w:t>(0.61</w:t>
            </w:r>
            <w:r w:rsidR="00A0075B">
              <w:t xml:space="preserve">, </w:t>
            </w:r>
            <w:r w:rsidRPr="00310498">
              <w:t>1.41)</w:t>
            </w:r>
          </w:p>
        </w:tc>
        <w:tc>
          <w:tcPr>
            <w:tcW w:w="614" w:type="pct"/>
            <w:tcMar>
              <w:left w:w="20" w:type="dxa"/>
              <w:right w:w="20" w:type="dxa"/>
            </w:tcMar>
            <w:vAlign w:val="center"/>
          </w:tcPr>
          <w:p w14:paraId="0468E5B3" w14:textId="55E3D477" w:rsidR="001D0EF3" w:rsidRPr="00310498" w:rsidRDefault="007B3BB8" w:rsidP="00FB45E5">
            <w:pPr>
              <w:pStyle w:val="Tabletext"/>
              <w:keepNext/>
              <w:keepLines/>
              <w:jc w:val="center"/>
            </w:pPr>
            <w:r w:rsidRPr="00310498">
              <w:t>-</w:t>
            </w:r>
            <w:r w:rsidR="001D0EF3" w:rsidRPr="00310498">
              <w:t xml:space="preserve">0.01 </w:t>
            </w:r>
            <w:r w:rsidR="001D0EF3" w:rsidRPr="00310498">
              <w:br/>
              <w:t>(-0.0</w:t>
            </w:r>
            <w:r w:rsidRPr="00310498">
              <w:t>8</w:t>
            </w:r>
            <w:r w:rsidR="001D0EF3" w:rsidRPr="00310498">
              <w:t>,</w:t>
            </w:r>
            <w:r w:rsidR="00A0075B">
              <w:t xml:space="preserve"> </w:t>
            </w:r>
            <w:r w:rsidR="001D0EF3" w:rsidRPr="00310498">
              <w:t>0.0</w:t>
            </w:r>
            <w:r w:rsidRPr="00310498">
              <w:t>5</w:t>
            </w:r>
            <w:r w:rsidR="001D0EF3" w:rsidRPr="00310498">
              <w:t>)</w:t>
            </w:r>
          </w:p>
        </w:tc>
        <w:tc>
          <w:tcPr>
            <w:tcW w:w="614" w:type="pct"/>
            <w:tcMar>
              <w:left w:w="20" w:type="dxa"/>
              <w:right w:w="20" w:type="dxa"/>
            </w:tcMar>
            <w:vAlign w:val="center"/>
          </w:tcPr>
          <w:p w14:paraId="149AE676" w14:textId="3C0E1C85" w:rsidR="001D0EF3" w:rsidRPr="00310498" w:rsidRDefault="001D0EF3" w:rsidP="00FB45E5">
            <w:pPr>
              <w:pStyle w:val="Tabletext"/>
              <w:keepNext/>
              <w:keepLines/>
              <w:jc w:val="center"/>
            </w:pPr>
            <w:r w:rsidRPr="00310498">
              <w:t>40 (16.8)</w:t>
            </w:r>
          </w:p>
        </w:tc>
        <w:tc>
          <w:tcPr>
            <w:tcW w:w="614" w:type="pct"/>
            <w:tcMar>
              <w:left w:w="20" w:type="dxa"/>
              <w:right w:w="20" w:type="dxa"/>
            </w:tcMar>
            <w:vAlign w:val="center"/>
          </w:tcPr>
          <w:p w14:paraId="1587EBB3" w14:textId="775AE6BC" w:rsidR="001D0EF3" w:rsidRPr="00310498" w:rsidRDefault="001D0EF3" w:rsidP="00FB45E5">
            <w:pPr>
              <w:pStyle w:val="Tabletext"/>
              <w:keepNext/>
              <w:keepLines/>
              <w:jc w:val="center"/>
            </w:pPr>
            <w:r w:rsidRPr="00310498">
              <w:t>1.04</w:t>
            </w:r>
            <w:r w:rsidRPr="00310498">
              <w:br/>
              <w:t>(0.70</w:t>
            </w:r>
            <w:r w:rsidR="00A0075B">
              <w:t xml:space="preserve">, </w:t>
            </w:r>
            <w:r w:rsidRPr="00310498">
              <w:t>1.57)</w:t>
            </w:r>
          </w:p>
        </w:tc>
        <w:tc>
          <w:tcPr>
            <w:tcW w:w="613" w:type="pct"/>
            <w:tcMar>
              <w:left w:w="20" w:type="dxa"/>
              <w:right w:w="20" w:type="dxa"/>
            </w:tcMar>
            <w:vAlign w:val="center"/>
          </w:tcPr>
          <w:p w14:paraId="0639E950" w14:textId="0854D24F" w:rsidR="001D0EF3" w:rsidRPr="00310498" w:rsidRDefault="001D0EF3" w:rsidP="00FB45E5">
            <w:pPr>
              <w:pStyle w:val="Tabletext"/>
              <w:keepNext/>
              <w:keepLines/>
              <w:jc w:val="center"/>
            </w:pPr>
            <w:r w:rsidRPr="00310498">
              <w:t xml:space="preserve">0.01 </w:t>
            </w:r>
            <w:r w:rsidRPr="00310498">
              <w:br/>
              <w:t>(-0.06,</w:t>
            </w:r>
            <w:r w:rsidR="00A0075B">
              <w:t xml:space="preserve"> </w:t>
            </w:r>
            <w:r w:rsidRPr="00310498">
              <w:t>0.07)</w:t>
            </w:r>
          </w:p>
        </w:tc>
      </w:tr>
    </w:tbl>
    <w:p w14:paraId="4A157EF9" w14:textId="77777777" w:rsidR="00E24B8A" w:rsidRPr="00310498" w:rsidRDefault="00E24B8A" w:rsidP="00D17A65">
      <w:pPr>
        <w:pStyle w:val="TableFigureFooter"/>
      </w:pPr>
      <w:r w:rsidRPr="00310498">
        <w:t>Source: Table 2.19, p87 of the submission</w:t>
      </w:r>
    </w:p>
    <w:p w14:paraId="6E9B94BE" w14:textId="572DBAC2" w:rsidR="0087320E" w:rsidRPr="00310498" w:rsidRDefault="0087320E" w:rsidP="00D17A65">
      <w:pPr>
        <w:pStyle w:val="TableFigureFooter"/>
      </w:pPr>
      <w:r w:rsidRPr="00310498">
        <w:t xml:space="preserve">AE = adverse event; CI = confidence interval; </w:t>
      </w:r>
      <w:r w:rsidR="00052D94" w:rsidRPr="00310498">
        <w:t xml:space="preserve">durva = durvalumab; </w:t>
      </w:r>
      <w:r w:rsidR="00802A22" w:rsidRPr="00310498">
        <w:t xml:space="preserve">ola = olaparib; </w:t>
      </w:r>
      <w:r w:rsidR="0041670E" w:rsidRPr="00310498">
        <w:t>PC = paclitaxel + carboplatin</w:t>
      </w:r>
      <w:r w:rsidRPr="00310498">
        <w:t xml:space="preserve">; </w:t>
      </w:r>
      <w:r w:rsidR="00FC7FA5" w:rsidRPr="00310498">
        <w:t xml:space="preserve">RD = risk difference; </w:t>
      </w:r>
      <w:r w:rsidRPr="00310498">
        <w:t xml:space="preserve">RR = relative risk; SAE = serious adverse event  </w:t>
      </w:r>
    </w:p>
    <w:p w14:paraId="420EC5D0" w14:textId="77777777" w:rsidR="0087320E" w:rsidRPr="00310498" w:rsidRDefault="0087320E" w:rsidP="00D17A65">
      <w:pPr>
        <w:pStyle w:val="TableFigureFooter"/>
      </w:pPr>
      <w:r w:rsidRPr="00310498">
        <w:rPr>
          <w:b/>
          <w:bCs/>
        </w:rPr>
        <w:t>Bold</w:t>
      </w:r>
      <w:r w:rsidRPr="00310498">
        <w:t xml:space="preserve"> indicates values where the 95% CI for the relative risk did not include ‘1’.</w:t>
      </w:r>
    </w:p>
    <w:p w14:paraId="449F4B0B" w14:textId="0EBF0EFC" w:rsidR="0087320E" w:rsidRPr="00310498" w:rsidRDefault="0087320E" w:rsidP="0087320E">
      <w:pPr>
        <w:pStyle w:val="3-BodyText"/>
      </w:pPr>
      <w:r w:rsidRPr="00310498">
        <w:t xml:space="preserve">AEs occurring in </w:t>
      </w:r>
      <w:r w:rsidR="0032043A">
        <w:rPr>
          <w:rFonts w:cstheme="minorHAnsi"/>
        </w:rPr>
        <w:t>≥</w:t>
      </w:r>
      <w:r w:rsidR="0032043A">
        <w:t xml:space="preserve"> </w:t>
      </w:r>
      <w:r w:rsidRPr="00310498">
        <w:t xml:space="preserve">20% of patients in any treatment arm are summarised in </w:t>
      </w:r>
      <w:r w:rsidR="00B66717" w:rsidRPr="00310498">
        <w:fldChar w:fldCharType="begin" w:fldLock="1"/>
      </w:r>
      <w:r w:rsidR="00B66717" w:rsidRPr="00310498">
        <w:instrText xml:space="preserve"> REF _Ref174980386 \h </w:instrText>
      </w:r>
      <w:r w:rsidR="00310498" w:rsidRPr="00310498">
        <w:instrText xml:space="preserve"> \* MERGEFORMAT </w:instrText>
      </w:r>
      <w:r w:rsidR="00B66717" w:rsidRPr="00310498">
        <w:fldChar w:fldCharType="separate"/>
      </w:r>
      <w:r w:rsidR="002C52D8" w:rsidRPr="00310498">
        <w:t xml:space="preserve">Table </w:t>
      </w:r>
      <w:r w:rsidR="002C52D8">
        <w:rPr>
          <w:noProof/>
        </w:rPr>
        <w:t>14</w:t>
      </w:r>
      <w:r w:rsidR="00B66717" w:rsidRPr="00310498">
        <w:fldChar w:fldCharType="end"/>
      </w:r>
      <w:r w:rsidR="00B66717" w:rsidRPr="00310498">
        <w:t>.</w:t>
      </w:r>
    </w:p>
    <w:p w14:paraId="2E0ECBCD" w14:textId="7275514D" w:rsidR="0087320E" w:rsidRPr="00310498" w:rsidRDefault="0087320E" w:rsidP="00C475D2">
      <w:pPr>
        <w:pStyle w:val="Caption"/>
      </w:pPr>
      <w:bookmarkStart w:id="54" w:name="_Ref174980386"/>
      <w:r w:rsidRPr="00310498">
        <w:lastRenderedPageBreak/>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14</w:t>
      </w:r>
      <w:r w:rsidR="00F267A0" w:rsidRPr="00310498">
        <w:rPr>
          <w:noProof/>
        </w:rPr>
        <w:fldChar w:fldCharType="end"/>
      </w:r>
      <w:bookmarkEnd w:id="54"/>
      <w:r w:rsidRPr="00310498">
        <w:t>: Adverse Events Occurring in &gt; 20% of patients in Any Treatment Arm</w:t>
      </w:r>
      <w:r w:rsidR="00010D1A" w:rsidRPr="00310498">
        <w:t xml:space="preserve"> in DUO-E</w:t>
      </w:r>
    </w:p>
    <w:tbl>
      <w:tblPr>
        <w:tblStyle w:val="TableGrid"/>
        <w:tblW w:w="9067" w:type="dxa"/>
        <w:tblLayout w:type="fixed"/>
        <w:tblLook w:val="04A0" w:firstRow="1" w:lastRow="0" w:firstColumn="1" w:lastColumn="0" w:noHBand="0" w:noVBand="1"/>
      </w:tblPr>
      <w:tblGrid>
        <w:gridCol w:w="988"/>
        <w:gridCol w:w="1154"/>
        <w:gridCol w:w="1154"/>
        <w:gridCol w:w="1154"/>
        <w:gridCol w:w="1154"/>
        <w:gridCol w:w="1154"/>
        <w:gridCol w:w="1154"/>
        <w:gridCol w:w="1155"/>
      </w:tblGrid>
      <w:tr w:rsidR="00802A22" w:rsidRPr="00310498" w14:paraId="5E396C9B" w14:textId="497EF37C" w:rsidTr="00C475D2">
        <w:tc>
          <w:tcPr>
            <w:tcW w:w="988" w:type="dxa"/>
            <w:shd w:val="clear" w:color="auto" w:fill="auto"/>
            <w:tcMar>
              <w:left w:w="20" w:type="dxa"/>
              <w:right w:w="20" w:type="dxa"/>
            </w:tcMar>
            <w:vAlign w:val="center"/>
          </w:tcPr>
          <w:p w14:paraId="08AD330B" w14:textId="77777777" w:rsidR="00802A22" w:rsidRPr="00310498" w:rsidRDefault="00802A22" w:rsidP="00C475D2">
            <w:pPr>
              <w:pStyle w:val="In-tableHeading"/>
              <w:rPr>
                <w:lang w:val="en-AU"/>
              </w:rPr>
            </w:pPr>
            <w:r w:rsidRPr="00310498">
              <w:rPr>
                <w:lang w:val="en-AU"/>
              </w:rPr>
              <w:t>System organ class</w:t>
            </w:r>
          </w:p>
        </w:tc>
        <w:tc>
          <w:tcPr>
            <w:tcW w:w="1154" w:type="dxa"/>
            <w:shd w:val="clear" w:color="auto" w:fill="auto"/>
            <w:tcMar>
              <w:left w:w="20" w:type="dxa"/>
              <w:right w:w="20" w:type="dxa"/>
            </w:tcMar>
            <w:vAlign w:val="center"/>
          </w:tcPr>
          <w:p w14:paraId="04FC4EE9" w14:textId="77777777" w:rsidR="00A5601A" w:rsidRPr="00310498" w:rsidRDefault="00802A22" w:rsidP="00C475D2">
            <w:pPr>
              <w:pStyle w:val="In-tableHeading"/>
              <w:jc w:val="center"/>
              <w:rPr>
                <w:lang w:val="en-AU"/>
              </w:rPr>
            </w:pPr>
            <w:r w:rsidRPr="00310498">
              <w:rPr>
                <w:lang w:val="en-AU"/>
              </w:rPr>
              <w:t xml:space="preserve">PC </w:t>
            </w:r>
            <w:r w:rsidRPr="00310498">
              <w:rPr>
                <w:lang w:val="en-AU"/>
              </w:rPr>
              <w:br/>
              <w:t>(N=236),</w:t>
            </w:r>
          </w:p>
          <w:p w14:paraId="778BEFFB" w14:textId="638E98AA" w:rsidR="00802A22" w:rsidRPr="00310498" w:rsidRDefault="00802A22" w:rsidP="00C475D2">
            <w:pPr>
              <w:pStyle w:val="In-tableHeading"/>
              <w:jc w:val="center"/>
              <w:rPr>
                <w:lang w:val="en-AU"/>
              </w:rPr>
            </w:pPr>
            <w:r w:rsidRPr="00310498">
              <w:rPr>
                <w:lang w:val="en-AU"/>
              </w:rPr>
              <w:t>n (%)</w:t>
            </w:r>
          </w:p>
        </w:tc>
        <w:tc>
          <w:tcPr>
            <w:tcW w:w="1154" w:type="dxa"/>
            <w:shd w:val="clear" w:color="auto" w:fill="auto"/>
            <w:tcMar>
              <w:left w:w="20" w:type="dxa"/>
              <w:right w:w="20" w:type="dxa"/>
            </w:tcMar>
            <w:vAlign w:val="center"/>
          </w:tcPr>
          <w:p w14:paraId="62C91AB7" w14:textId="6CDC2A6A" w:rsidR="00A5601A" w:rsidRPr="00310498" w:rsidRDefault="00802A22" w:rsidP="00C475D2">
            <w:pPr>
              <w:pStyle w:val="In-tableHeading"/>
              <w:jc w:val="center"/>
              <w:rPr>
                <w:lang w:val="en-AU"/>
              </w:rPr>
            </w:pPr>
            <w:r w:rsidRPr="00310498">
              <w:rPr>
                <w:lang w:val="en-AU"/>
              </w:rPr>
              <w:t>durva + PC (N=235),</w:t>
            </w:r>
          </w:p>
          <w:p w14:paraId="4E8258DC" w14:textId="7083945C" w:rsidR="00802A22" w:rsidRPr="00310498" w:rsidRDefault="00802A22" w:rsidP="00C475D2">
            <w:pPr>
              <w:pStyle w:val="In-tableHeading"/>
              <w:jc w:val="center"/>
              <w:rPr>
                <w:lang w:val="en-AU"/>
              </w:rPr>
            </w:pPr>
            <w:r w:rsidRPr="00310498">
              <w:rPr>
                <w:lang w:val="en-AU"/>
              </w:rPr>
              <w:t>n (%)</w:t>
            </w:r>
          </w:p>
        </w:tc>
        <w:tc>
          <w:tcPr>
            <w:tcW w:w="1154" w:type="dxa"/>
            <w:tcMar>
              <w:left w:w="20" w:type="dxa"/>
              <w:right w:w="20" w:type="dxa"/>
            </w:tcMar>
            <w:vAlign w:val="center"/>
          </w:tcPr>
          <w:p w14:paraId="7997C051" w14:textId="7C126E31" w:rsidR="00802A22" w:rsidRPr="00310498" w:rsidRDefault="00802A22" w:rsidP="00C475D2">
            <w:pPr>
              <w:pStyle w:val="In-tableHeading"/>
              <w:jc w:val="center"/>
              <w:rPr>
                <w:lang w:val="en-AU"/>
              </w:rPr>
            </w:pPr>
            <w:r w:rsidRPr="00310498">
              <w:rPr>
                <w:lang w:val="en-AU"/>
              </w:rPr>
              <w:t xml:space="preserve">durva + PC </w:t>
            </w:r>
            <w:r w:rsidR="00A0075B">
              <w:rPr>
                <w:lang w:val="en-AU"/>
              </w:rPr>
              <w:br/>
            </w:r>
            <w:r w:rsidRPr="00310498">
              <w:rPr>
                <w:lang w:val="en-AU"/>
              </w:rPr>
              <w:t>vs PC</w:t>
            </w:r>
          </w:p>
          <w:p w14:paraId="4DB9DFCE" w14:textId="77777777" w:rsidR="00802A22" w:rsidRPr="00310498" w:rsidRDefault="00802A22" w:rsidP="00C475D2">
            <w:pPr>
              <w:pStyle w:val="In-tableHeading"/>
              <w:jc w:val="center"/>
              <w:rPr>
                <w:lang w:val="en-AU"/>
              </w:rPr>
            </w:pPr>
            <w:r w:rsidRPr="00310498">
              <w:rPr>
                <w:lang w:val="en-AU"/>
              </w:rPr>
              <w:t>RR (95% CI)</w:t>
            </w:r>
          </w:p>
        </w:tc>
        <w:tc>
          <w:tcPr>
            <w:tcW w:w="1154" w:type="dxa"/>
          </w:tcPr>
          <w:p w14:paraId="5BB08CD6" w14:textId="77777777" w:rsidR="00802A22" w:rsidRPr="00310498" w:rsidRDefault="00802A22" w:rsidP="00C475D2">
            <w:pPr>
              <w:pStyle w:val="In-tableHeading"/>
              <w:jc w:val="center"/>
              <w:rPr>
                <w:lang w:val="en-AU"/>
              </w:rPr>
            </w:pPr>
            <w:r w:rsidRPr="00310498">
              <w:rPr>
                <w:lang w:val="en-AU"/>
              </w:rPr>
              <w:t>durva + PC vs PC</w:t>
            </w:r>
          </w:p>
          <w:p w14:paraId="394C077B" w14:textId="1F17CAE1" w:rsidR="00802A22" w:rsidRPr="00310498" w:rsidRDefault="00802A22" w:rsidP="00C475D2">
            <w:pPr>
              <w:pStyle w:val="In-tableHeading"/>
              <w:jc w:val="center"/>
              <w:rPr>
                <w:lang w:val="en-AU"/>
              </w:rPr>
            </w:pPr>
            <w:r w:rsidRPr="00310498">
              <w:rPr>
                <w:lang w:val="en-AU"/>
              </w:rPr>
              <w:t>RD (95% CI)</w:t>
            </w:r>
          </w:p>
        </w:tc>
        <w:tc>
          <w:tcPr>
            <w:tcW w:w="1154" w:type="dxa"/>
            <w:shd w:val="clear" w:color="auto" w:fill="auto"/>
            <w:tcMar>
              <w:left w:w="20" w:type="dxa"/>
              <w:right w:w="20" w:type="dxa"/>
            </w:tcMar>
            <w:vAlign w:val="center"/>
          </w:tcPr>
          <w:p w14:paraId="6A723C98" w14:textId="78DCFEF2" w:rsidR="00A5601A" w:rsidRPr="00310498" w:rsidRDefault="00802A22" w:rsidP="00C475D2">
            <w:pPr>
              <w:pStyle w:val="In-tableHeading"/>
              <w:jc w:val="center"/>
              <w:rPr>
                <w:lang w:val="en-AU"/>
              </w:rPr>
            </w:pPr>
            <w:r w:rsidRPr="00310498">
              <w:rPr>
                <w:lang w:val="en-AU"/>
              </w:rPr>
              <w:t xml:space="preserve">durva + PC + ola </w:t>
            </w:r>
            <w:r w:rsidR="00A0075B">
              <w:rPr>
                <w:lang w:val="en-AU"/>
              </w:rPr>
              <w:br/>
            </w:r>
            <w:r w:rsidRPr="00310498">
              <w:rPr>
                <w:lang w:val="en-AU"/>
              </w:rPr>
              <w:t xml:space="preserve">(N=238), </w:t>
            </w:r>
          </w:p>
          <w:p w14:paraId="1BEE0ADD" w14:textId="76C7CF8D" w:rsidR="00802A22" w:rsidRPr="00310498" w:rsidRDefault="00802A22" w:rsidP="00C475D2">
            <w:pPr>
              <w:pStyle w:val="In-tableHeading"/>
              <w:jc w:val="center"/>
              <w:rPr>
                <w:lang w:val="en-AU"/>
              </w:rPr>
            </w:pPr>
            <w:r w:rsidRPr="00310498">
              <w:rPr>
                <w:lang w:val="en-AU"/>
              </w:rPr>
              <w:t>n (%)</w:t>
            </w:r>
          </w:p>
        </w:tc>
        <w:tc>
          <w:tcPr>
            <w:tcW w:w="1154" w:type="dxa"/>
            <w:tcMar>
              <w:left w:w="20" w:type="dxa"/>
              <w:right w:w="20" w:type="dxa"/>
            </w:tcMar>
            <w:vAlign w:val="center"/>
          </w:tcPr>
          <w:p w14:paraId="16237B8E" w14:textId="1E7CF342" w:rsidR="00802A22" w:rsidRPr="00310498" w:rsidRDefault="00802A22" w:rsidP="00C475D2">
            <w:pPr>
              <w:pStyle w:val="In-tableHeading"/>
              <w:jc w:val="center"/>
              <w:rPr>
                <w:lang w:val="en-AU"/>
              </w:rPr>
            </w:pPr>
            <w:r w:rsidRPr="00310498">
              <w:rPr>
                <w:lang w:val="en-AU"/>
              </w:rPr>
              <w:t>durva + PC + ola vs PC</w:t>
            </w:r>
          </w:p>
          <w:p w14:paraId="6A47C40F" w14:textId="77777777" w:rsidR="00802A22" w:rsidRPr="00310498" w:rsidRDefault="00802A22" w:rsidP="00C475D2">
            <w:pPr>
              <w:pStyle w:val="In-tableHeading"/>
              <w:jc w:val="center"/>
              <w:rPr>
                <w:lang w:val="en-AU"/>
              </w:rPr>
            </w:pPr>
            <w:r w:rsidRPr="00310498">
              <w:rPr>
                <w:lang w:val="en-AU"/>
              </w:rPr>
              <w:t>RR (95% CI)</w:t>
            </w:r>
          </w:p>
        </w:tc>
        <w:tc>
          <w:tcPr>
            <w:tcW w:w="1155" w:type="dxa"/>
          </w:tcPr>
          <w:p w14:paraId="44FBA2AE" w14:textId="77777777" w:rsidR="00802A22" w:rsidRPr="00310498" w:rsidRDefault="00802A22" w:rsidP="00C475D2">
            <w:pPr>
              <w:pStyle w:val="In-tableHeading"/>
              <w:jc w:val="center"/>
              <w:rPr>
                <w:lang w:val="en-AU"/>
              </w:rPr>
            </w:pPr>
            <w:r w:rsidRPr="00310498">
              <w:rPr>
                <w:lang w:val="en-AU"/>
              </w:rPr>
              <w:t>durva + PC + ola vs PC</w:t>
            </w:r>
          </w:p>
          <w:p w14:paraId="264FB6C9" w14:textId="049CBF43" w:rsidR="00802A22" w:rsidRPr="00310498" w:rsidRDefault="00802A22" w:rsidP="00C475D2">
            <w:pPr>
              <w:pStyle w:val="In-tableHeading"/>
              <w:jc w:val="center"/>
              <w:rPr>
                <w:lang w:val="en-AU"/>
              </w:rPr>
            </w:pPr>
            <w:r w:rsidRPr="00310498">
              <w:rPr>
                <w:lang w:val="en-AU"/>
              </w:rPr>
              <w:t>RD (95% CI)</w:t>
            </w:r>
          </w:p>
        </w:tc>
      </w:tr>
      <w:tr w:rsidR="00E61FF2" w:rsidRPr="00310498" w14:paraId="4A10C446" w14:textId="1181E378" w:rsidTr="00C475D2">
        <w:tc>
          <w:tcPr>
            <w:tcW w:w="9067" w:type="dxa"/>
            <w:gridSpan w:val="8"/>
          </w:tcPr>
          <w:p w14:paraId="3F003A73" w14:textId="2C3F157F" w:rsidR="00E61FF2" w:rsidRPr="00310498" w:rsidRDefault="00E61FF2" w:rsidP="00C475D2">
            <w:pPr>
              <w:pStyle w:val="Tabletext"/>
              <w:keepNext/>
              <w:keepLines/>
            </w:pPr>
            <w:r w:rsidRPr="00310498">
              <w:t>Gastrointestinal</w:t>
            </w:r>
          </w:p>
        </w:tc>
      </w:tr>
      <w:tr w:rsidR="000D6FC5" w:rsidRPr="00310498" w14:paraId="7FCB0775" w14:textId="68D7411A" w:rsidTr="00C475D2">
        <w:tc>
          <w:tcPr>
            <w:tcW w:w="988" w:type="dxa"/>
            <w:shd w:val="clear" w:color="auto" w:fill="auto"/>
            <w:tcMar>
              <w:left w:w="20" w:type="dxa"/>
              <w:right w:w="20" w:type="dxa"/>
            </w:tcMar>
            <w:vAlign w:val="center"/>
          </w:tcPr>
          <w:p w14:paraId="004682CE" w14:textId="77777777" w:rsidR="000D6FC5" w:rsidRPr="00310498" w:rsidRDefault="000D6FC5" w:rsidP="00C475D2">
            <w:pPr>
              <w:pStyle w:val="Tabletext"/>
              <w:keepNext/>
              <w:keepLines/>
            </w:pPr>
            <w:r w:rsidRPr="00310498">
              <w:t>Nausea</w:t>
            </w:r>
          </w:p>
        </w:tc>
        <w:tc>
          <w:tcPr>
            <w:tcW w:w="1154" w:type="dxa"/>
            <w:shd w:val="clear" w:color="auto" w:fill="auto"/>
            <w:tcMar>
              <w:left w:w="20" w:type="dxa"/>
              <w:right w:w="20" w:type="dxa"/>
            </w:tcMar>
            <w:vAlign w:val="center"/>
          </w:tcPr>
          <w:p w14:paraId="2C14D65B" w14:textId="77777777" w:rsidR="000D6FC5" w:rsidRPr="00310498" w:rsidRDefault="000D6FC5" w:rsidP="00C475D2">
            <w:pPr>
              <w:pStyle w:val="Tabletext"/>
              <w:keepNext/>
              <w:keepLines/>
              <w:jc w:val="center"/>
            </w:pPr>
            <w:r w:rsidRPr="00310498">
              <w:t>105 (44.5)</w:t>
            </w:r>
          </w:p>
        </w:tc>
        <w:tc>
          <w:tcPr>
            <w:tcW w:w="1154" w:type="dxa"/>
            <w:shd w:val="clear" w:color="auto" w:fill="auto"/>
            <w:tcMar>
              <w:left w:w="20" w:type="dxa"/>
              <w:right w:w="20" w:type="dxa"/>
            </w:tcMar>
            <w:vAlign w:val="center"/>
          </w:tcPr>
          <w:p w14:paraId="36701968" w14:textId="77777777" w:rsidR="000D6FC5" w:rsidRPr="00310498" w:rsidRDefault="000D6FC5" w:rsidP="00C475D2">
            <w:pPr>
              <w:pStyle w:val="Tabletext"/>
              <w:keepNext/>
              <w:keepLines/>
              <w:jc w:val="center"/>
            </w:pPr>
            <w:r w:rsidRPr="00310498">
              <w:t>96 (40.9)</w:t>
            </w:r>
          </w:p>
        </w:tc>
        <w:tc>
          <w:tcPr>
            <w:tcW w:w="1154" w:type="dxa"/>
            <w:tcMar>
              <w:left w:w="20" w:type="dxa"/>
              <w:right w:w="20" w:type="dxa"/>
            </w:tcMar>
            <w:vAlign w:val="center"/>
          </w:tcPr>
          <w:p w14:paraId="18BDA92C" w14:textId="77777777" w:rsidR="00C475D2" w:rsidRPr="00310498" w:rsidRDefault="000D6FC5" w:rsidP="00C475D2">
            <w:pPr>
              <w:pStyle w:val="Tabletext"/>
              <w:keepNext/>
              <w:keepLines/>
              <w:jc w:val="center"/>
            </w:pPr>
            <w:r w:rsidRPr="00310498">
              <w:t xml:space="preserve">0.92 </w:t>
            </w:r>
          </w:p>
          <w:p w14:paraId="058B836D" w14:textId="41EFD2B2" w:rsidR="000D6FC5" w:rsidRPr="00310498" w:rsidRDefault="000D6FC5" w:rsidP="00C475D2">
            <w:pPr>
              <w:pStyle w:val="Tabletext"/>
              <w:keepNext/>
              <w:keepLines/>
              <w:jc w:val="center"/>
            </w:pPr>
            <w:r w:rsidRPr="00310498">
              <w:t>(0.74</w:t>
            </w:r>
            <w:r w:rsidR="00A0075B">
              <w:t xml:space="preserve">, </w:t>
            </w:r>
            <w:r w:rsidRPr="00310498">
              <w:t>1.13)</w:t>
            </w:r>
          </w:p>
        </w:tc>
        <w:tc>
          <w:tcPr>
            <w:tcW w:w="1154" w:type="dxa"/>
          </w:tcPr>
          <w:p w14:paraId="363188C5" w14:textId="208FA681" w:rsidR="000D6FC5" w:rsidRPr="00310498" w:rsidRDefault="000D6FC5" w:rsidP="00C475D2">
            <w:pPr>
              <w:pStyle w:val="Tabletext"/>
              <w:keepNext/>
              <w:keepLines/>
              <w:jc w:val="center"/>
            </w:pPr>
            <w:r w:rsidRPr="00310498">
              <w:t>-0.04</w:t>
            </w:r>
            <w:r w:rsidRPr="00310498">
              <w:br/>
              <w:t>(-0.13,</w:t>
            </w:r>
            <w:r w:rsidR="00A0075B">
              <w:t xml:space="preserve"> </w:t>
            </w:r>
            <w:r w:rsidRPr="00310498">
              <w:t>0.05)</w:t>
            </w:r>
          </w:p>
        </w:tc>
        <w:tc>
          <w:tcPr>
            <w:tcW w:w="1154" w:type="dxa"/>
            <w:shd w:val="clear" w:color="auto" w:fill="auto"/>
            <w:tcMar>
              <w:left w:w="20" w:type="dxa"/>
              <w:right w:w="20" w:type="dxa"/>
            </w:tcMar>
            <w:vAlign w:val="center"/>
          </w:tcPr>
          <w:p w14:paraId="543D9B80" w14:textId="5FA7749D" w:rsidR="000D6FC5" w:rsidRPr="00310498" w:rsidRDefault="000D6FC5" w:rsidP="00C475D2">
            <w:pPr>
              <w:pStyle w:val="Tabletext"/>
              <w:keepNext/>
              <w:keepLines/>
              <w:jc w:val="center"/>
            </w:pPr>
            <w:r w:rsidRPr="00310498">
              <w:t>130 (54.6)</w:t>
            </w:r>
          </w:p>
        </w:tc>
        <w:tc>
          <w:tcPr>
            <w:tcW w:w="1154" w:type="dxa"/>
            <w:tcMar>
              <w:left w:w="20" w:type="dxa"/>
              <w:right w:w="20" w:type="dxa"/>
            </w:tcMar>
            <w:vAlign w:val="center"/>
          </w:tcPr>
          <w:p w14:paraId="701EE8A3" w14:textId="77777777" w:rsidR="00C475D2" w:rsidRPr="00310498" w:rsidRDefault="000D6FC5" w:rsidP="00C475D2">
            <w:pPr>
              <w:pStyle w:val="Tabletext"/>
              <w:keepNext/>
              <w:keepLines/>
              <w:jc w:val="center"/>
              <w:rPr>
                <w:b/>
                <w:bCs/>
              </w:rPr>
            </w:pPr>
            <w:r w:rsidRPr="00310498">
              <w:rPr>
                <w:b/>
                <w:bCs/>
              </w:rPr>
              <w:t xml:space="preserve">1.23 </w:t>
            </w:r>
          </w:p>
          <w:p w14:paraId="5A837276" w14:textId="642C73F6" w:rsidR="000D6FC5" w:rsidRPr="00310498" w:rsidRDefault="000D6FC5" w:rsidP="00C475D2">
            <w:pPr>
              <w:pStyle w:val="Tabletext"/>
              <w:keepNext/>
              <w:keepLines/>
              <w:jc w:val="center"/>
            </w:pPr>
            <w:r w:rsidRPr="00310498">
              <w:rPr>
                <w:b/>
                <w:bCs/>
              </w:rPr>
              <w:t>(1.02</w:t>
            </w:r>
            <w:r w:rsidR="00A0075B">
              <w:rPr>
                <w:b/>
                <w:bCs/>
              </w:rPr>
              <w:t xml:space="preserve">, </w:t>
            </w:r>
            <w:r w:rsidRPr="00310498">
              <w:rPr>
                <w:b/>
                <w:bCs/>
              </w:rPr>
              <w:t>1.48)</w:t>
            </w:r>
          </w:p>
        </w:tc>
        <w:tc>
          <w:tcPr>
            <w:tcW w:w="1155" w:type="dxa"/>
          </w:tcPr>
          <w:p w14:paraId="24E975C3" w14:textId="1E392CF9" w:rsidR="000D6FC5" w:rsidRPr="00310498" w:rsidRDefault="000D6FC5" w:rsidP="00C475D2">
            <w:pPr>
              <w:pStyle w:val="Tabletext"/>
              <w:keepNext/>
              <w:keepLines/>
              <w:jc w:val="center"/>
              <w:rPr>
                <w:b/>
                <w:bCs/>
              </w:rPr>
            </w:pPr>
            <w:r w:rsidRPr="00310498">
              <w:rPr>
                <w:b/>
                <w:bCs/>
              </w:rPr>
              <w:t>0.10</w:t>
            </w:r>
            <w:r w:rsidRPr="00310498">
              <w:rPr>
                <w:b/>
                <w:bCs/>
              </w:rPr>
              <w:br/>
              <w:t>(0.01,</w:t>
            </w:r>
            <w:r w:rsidR="00A0075B">
              <w:rPr>
                <w:b/>
                <w:bCs/>
              </w:rPr>
              <w:t xml:space="preserve"> </w:t>
            </w:r>
            <w:r w:rsidRPr="00310498">
              <w:rPr>
                <w:b/>
                <w:bCs/>
              </w:rPr>
              <w:t>0.19)</w:t>
            </w:r>
          </w:p>
        </w:tc>
      </w:tr>
      <w:tr w:rsidR="000D6FC5" w:rsidRPr="00310498" w14:paraId="43375A4E" w14:textId="3C5A95F8" w:rsidTr="00C475D2">
        <w:tc>
          <w:tcPr>
            <w:tcW w:w="988" w:type="dxa"/>
            <w:shd w:val="clear" w:color="auto" w:fill="auto"/>
            <w:tcMar>
              <w:left w:w="20" w:type="dxa"/>
              <w:right w:w="20" w:type="dxa"/>
            </w:tcMar>
            <w:vAlign w:val="center"/>
          </w:tcPr>
          <w:p w14:paraId="2AEA179B" w14:textId="02DF8F20" w:rsidR="000D6FC5" w:rsidRPr="00310498" w:rsidRDefault="000D6FC5" w:rsidP="00C475D2">
            <w:pPr>
              <w:pStyle w:val="Tabletext"/>
              <w:keepNext/>
              <w:keepLines/>
            </w:pPr>
            <w:r w:rsidRPr="00310498">
              <w:t>Constipation</w:t>
            </w:r>
          </w:p>
        </w:tc>
        <w:tc>
          <w:tcPr>
            <w:tcW w:w="1154" w:type="dxa"/>
            <w:shd w:val="clear" w:color="auto" w:fill="auto"/>
            <w:tcMar>
              <w:left w:w="20" w:type="dxa"/>
              <w:right w:w="20" w:type="dxa"/>
            </w:tcMar>
            <w:vAlign w:val="center"/>
          </w:tcPr>
          <w:p w14:paraId="719851C6" w14:textId="77777777" w:rsidR="000D6FC5" w:rsidRPr="00310498" w:rsidRDefault="000D6FC5" w:rsidP="00C475D2">
            <w:pPr>
              <w:pStyle w:val="Tabletext"/>
              <w:keepNext/>
              <w:keepLines/>
              <w:jc w:val="center"/>
            </w:pPr>
            <w:r w:rsidRPr="00310498">
              <w:t>81 (34.3)</w:t>
            </w:r>
          </w:p>
        </w:tc>
        <w:tc>
          <w:tcPr>
            <w:tcW w:w="1154" w:type="dxa"/>
            <w:shd w:val="clear" w:color="auto" w:fill="auto"/>
            <w:tcMar>
              <w:left w:w="20" w:type="dxa"/>
              <w:right w:w="20" w:type="dxa"/>
            </w:tcMar>
            <w:vAlign w:val="center"/>
          </w:tcPr>
          <w:p w14:paraId="7B86092B" w14:textId="77777777" w:rsidR="000D6FC5" w:rsidRPr="00310498" w:rsidRDefault="000D6FC5" w:rsidP="00C475D2">
            <w:pPr>
              <w:pStyle w:val="Tabletext"/>
              <w:keepNext/>
              <w:keepLines/>
              <w:jc w:val="center"/>
            </w:pPr>
            <w:r w:rsidRPr="00310498">
              <w:t>64 (27.2)</w:t>
            </w:r>
          </w:p>
        </w:tc>
        <w:tc>
          <w:tcPr>
            <w:tcW w:w="1154" w:type="dxa"/>
            <w:tcMar>
              <w:left w:w="20" w:type="dxa"/>
              <w:right w:w="20" w:type="dxa"/>
            </w:tcMar>
            <w:vAlign w:val="center"/>
          </w:tcPr>
          <w:p w14:paraId="1A8F9DF4" w14:textId="77777777" w:rsidR="00C475D2" w:rsidRPr="00310498" w:rsidRDefault="000D6FC5" w:rsidP="00C475D2">
            <w:pPr>
              <w:pStyle w:val="Tabletext"/>
              <w:keepNext/>
              <w:keepLines/>
              <w:jc w:val="center"/>
            </w:pPr>
            <w:r w:rsidRPr="00310498">
              <w:t xml:space="preserve">0.79 </w:t>
            </w:r>
          </w:p>
          <w:p w14:paraId="601ABAB8" w14:textId="595CE589" w:rsidR="000D6FC5" w:rsidRPr="00310498" w:rsidRDefault="000D6FC5" w:rsidP="00C475D2">
            <w:pPr>
              <w:pStyle w:val="Tabletext"/>
              <w:keepNext/>
              <w:keepLines/>
              <w:jc w:val="center"/>
            </w:pPr>
            <w:r w:rsidRPr="00310498">
              <w:t>(0.60</w:t>
            </w:r>
            <w:r w:rsidR="00A0075B">
              <w:t xml:space="preserve">, </w:t>
            </w:r>
            <w:r w:rsidRPr="00310498">
              <w:t>1.04)</w:t>
            </w:r>
          </w:p>
        </w:tc>
        <w:tc>
          <w:tcPr>
            <w:tcW w:w="1154" w:type="dxa"/>
          </w:tcPr>
          <w:p w14:paraId="2FE3A8C3" w14:textId="41F36E77" w:rsidR="000D6FC5" w:rsidRPr="00310498" w:rsidRDefault="000D6FC5" w:rsidP="00C475D2">
            <w:pPr>
              <w:pStyle w:val="Tabletext"/>
              <w:keepNext/>
              <w:keepLines/>
              <w:jc w:val="center"/>
            </w:pPr>
            <w:r w:rsidRPr="00310498">
              <w:t>-0.07</w:t>
            </w:r>
            <w:r w:rsidRPr="00310498">
              <w:br/>
              <w:t>(-0.15,</w:t>
            </w:r>
            <w:r w:rsidR="00A0075B">
              <w:t xml:space="preserve"> </w:t>
            </w:r>
            <w:r w:rsidRPr="00310498">
              <w:t>0.0</w:t>
            </w:r>
            <w:r w:rsidR="00E11759" w:rsidRPr="00310498">
              <w:t>1</w:t>
            </w:r>
            <w:r w:rsidRPr="00310498">
              <w:t>)</w:t>
            </w:r>
          </w:p>
        </w:tc>
        <w:tc>
          <w:tcPr>
            <w:tcW w:w="1154" w:type="dxa"/>
            <w:shd w:val="clear" w:color="auto" w:fill="auto"/>
            <w:tcMar>
              <w:left w:w="20" w:type="dxa"/>
              <w:right w:w="20" w:type="dxa"/>
            </w:tcMar>
            <w:vAlign w:val="center"/>
          </w:tcPr>
          <w:p w14:paraId="7C7A07AC" w14:textId="45141E85" w:rsidR="000D6FC5" w:rsidRPr="00310498" w:rsidRDefault="000D6FC5" w:rsidP="00C475D2">
            <w:pPr>
              <w:pStyle w:val="Tabletext"/>
              <w:keepNext/>
              <w:keepLines/>
              <w:jc w:val="center"/>
            </w:pPr>
            <w:r w:rsidRPr="00310498">
              <w:t>78 (32.8)</w:t>
            </w:r>
          </w:p>
        </w:tc>
        <w:tc>
          <w:tcPr>
            <w:tcW w:w="1154" w:type="dxa"/>
            <w:tcMar>
              <w:left w:w="20" w:type="dxa"/>
              <w:right w:w="20" w:type="dxa"/>
            </w:tcMar>
            <w:vAlign w:val="center"/>
          </w:tcPr>
          <w:p w14:paraId="2E21BAB8" w14:textId="77777777" w:rsidR="00C475D2" w:rsidRPr="00310498" w:rsidRDefault="000D6FC5" w:rsidP="00C475D2">
            <w:pPr>
              <w:pStyle w:val="Tabletext"/>
              <w:keepNext/>
              <w:keepLines/>
              <w:jc w:val="center"/>
            </w:pPr>
            <w:r w:rsidRPr="00310498">
              <w:t xml:space="preserve">0.95 </w:t>
            </w:r>
          </w:p>
          <w:p w14:paraId="708541B9" w14:textId="204DA972" w:rsidR="000D6FC5" w:rsidRPr="00310498" w:rsidRDefault="000D6FC5" w:rsidP="00C475D2">
            <w:pPr>
              <w:pStyle w:val="Tabletext"/>
              <w:keepNext/>
              <w:keepLines/>
              <w:jc w:val="center"/>
            </w:pPr>
            <w:r w:rsidRPr="00310498">
              <w:t>(0.74</w:t>
            </w:r>
            <w:r w:rsidR="00A0075B">
              <w:t xml:space="preserve">, </w:t>
            </w:r>
            <w:r w:rsidRPr="00310498">
              <w:t>1.23)</w:t>
            </w:r>
          </w:p>
        </w:tc>
        <w:tc>
          <w:tcPr>
            <w:tcW w:w="1155" w:type="dxa"/>
          </w:tcPr>
          <w:p w14:paraId="7A380EC0" w14:textId="127F1C55" w:rsidR="000D6FC5" w:rsidRPr="00310498" w:rsidRDefault="000D6FC5" w:rsidP="00C475D2">
            <w:pPr>
              <w:pStyle w:val="Tabletext"/>
              <w:keepNext/>
              <w:keepLines/>
              <w:jc w:val="center"/>
            </w:pPr>
            <w:r w:rsidRPr="00310498">
              <w:t>-0.02</w:t>
            </w:r>
            <w:r w:rsidRPr="00310498">
              <w:br/>
              <w:t>(-0.10,</w:t>
            </w:r>
            <w:r w:rsidR="00A0075B">
              <w:t xml:space="preserve"> </w:t>
            </w:r>
            <w:r w:rsidRPr="00310498">
              <w:t>0.07)</w:t>
            </w:r>
          </w:p>
        </w:tc>
      </w:tr>
      <w:tr w:rsidR="000D6FC5" w:rsidRPr="00310498" w14:paraId="30EB6B0C" w14:textId="6AE6AFFD" w:rsidTr="00C475D2">
        <w:tc>
          <w:tcPr>
            <w:tcW w:w="988" w:type="dxa"/>
            <w:shd w:val="clear" w:color="auto" w:fill="auto"/>
            <w:tcMar>
              <w:left w:w="20" w:type="dxa"/>
              <w:right w:w="20" w:type="dxa"/>
            </w:tcMar>
            <w:vAlign w:val="center"/>
          </w:tcPr>
          <w:p w14:paraId="3D90452B" w14:textId="77777777" w:rsidR="000D6FC5" w:rsidRPr="00310498" w:rsidRDefault="000D6FC5" w:rsidP="00C475D2">
            <w:pPr>
              <w:pStyle w:val="Tabletext"/>
              <w:keepNext/>
              <w:keepLines/>
            </w:pPr>
            <w:r w:rsidRPr="00310498">
              <w:t>Diarrhoea</w:t>
            </w:r>
          </w:p>
        </w:tc>
        <w:tc>
          <w:tcPr>
            <w:tcW w:w="1154" w:type="dxa"/>
            <w:shd w:val="clear" w:color="auto" w:fill="auto"/>
            <w:tcMar>
              <w:left w:w="20" w:type="dxa"/>
              <w:right w:w="20" w:type="dxa"/>
            </w:tcMar>
            <w:vAlign w:val="center"/>
          </w:tcPr>
          <w:p w14:paraId="62BA4C80" w14:textId="77777777" w:rsidR="000D6FC5" w:rsidRPr="00310498" w:rsidRDefault="000D6FC5" w:rsidP="00C475D2">
            <w:pPr>
              <w:pStyle w:val="Tabletext"/>
              <w:keepNext/>
              <w:keepLines/>
              <w:jc w:val="center"/>
            </w:pPr>
            <w:r w:rsidRPr="00310498">
              <w:t>66 (28.0)</w:t>
            </w:r>
          </w:p>
        </w:tc>
        <w:tc>
          <w:tcPr>
            <w:tcW w:w="1154" w:type="dxa"/>
            <w:shd w:val="clear" w:color="auto" w:fill="auto"/>
            <w:tcMar>
              <w:left w:w="20" w:type="dxa"/>
              <w:right w:w="20" w:type="dxa"/>
            </w:tcMar>
            <w:vAlign w:val="center"/>
          </w:tcPr>
          <w:p w14:paraId="2015A816" w14:textId="77777777" w:rsidR="000D6FC5" w:rsidRPr="00310498" w:rsidRDefault="000D6FC5" w:rsidP="00C475D2">
            <w:pPr>
              <w:pStyle w:val="Tabletext"/>
              <w:keepNext/>
              <w:keepLines/>
              <w:jc w:val="center"/>
            </w:pPr>
            <w:r w:rsidRPr="00310498">
              <w:t>74 (31.5)</w:t>
            </w:r>
          </w:p>
        </w:tc>
        <w:tc>
          <w:tcPr>
            <w:tcW w:w="1154" w:type="dxa"/>
            <w:tcMar>
              <w:left w:w="20" w:type="dxa"/>
              <w:right w:w="20" w:type="dxa"/>
            </w:tcMar>
            <w:vAlign w:val="center"/>
          </w:tcPr>
          <w:p w14:paraId="4934EE8A" w14:textId="77777777" w:rsidR="00C475D2" w:rsidRPr="00310498" w:rsidRDefault="000D6FC5" w:rsidP="00C475D2">
            <w:pPr>
              <w:pStyle w:val="Tabletext"/>
              <w:keepNext/>
              <w:keepLines/>
              <w:jc w:val="center"/>
            </w:pPr>
            <w:r w:rsidRPr="00310498">
              <w:t xml:space="preserve">1.13 </w:t>
            </w:r>
          </w:p>
          <w:p w14:paraId="79DE28CF" w14:textId="5FEAAE7E" w:rsidR="000D6FC5" w:rsidRPr="00310498" w:rsidRDefault="000D6FC5" w:rsidP="00C475D2">
            <w:pPr>
              <w:pStyle w:val="Tabletext"/>
              <w:keepNext/>
              <w:keepLines/>
              <w:jc w:val="center"/>
            </w:pPr>
            <w:r w:rsidRPr="00310498">
              <w:t>(0.85-1.49)</w:t>
            </w:r>
          </w:p>
        </w:tc>
        <w:tc>
          <w:tcPr>
            <w:tcW w:w="1154" w:type="dxa"/>
          </w:tcPr>
          <w:p w14:paraId="430F237A" w14:textId="32E1AFA3" w:rsidR="000D6FC5" w:rsidRPr="00310498" w:rsidRDefault="000D6FC5" w:rsidP="00C475D2">
            <w:pPr>
              <w:pStyle w:val="Tabletext"/>
              <w:keepNext/>
              <w:keepLines/>
              <w:jc w:val="center"/>
            </w:pPr>
            <w:r w:rsidRPr="00310498">
              <w:t>0.0</w:t>
            </w:r>
            <w:r w:rsidR="00E11759" w:rsidRPr="00310498">
              <w:t>4</w:t>
            </w:r>
            <w:r w:rsidRPr="00310498">
              <w:br/>
              <w:t>(-0.0</w:t>
            </w:r>
            <w:r w:rsidR="00E11759" w:rsidRPr="00310498">
              <w:t>5</w:t>
            </w:r>
            <w:r w:rsidRPr="00310498">
              <w:t>,</w:t>
            </w:r>
            <w:r w:rsidR="00A0075B">
              <w:t xml:space="preserve"> </w:t>
            </w:r>
            <w:r w:rsidRPr="00310498">
              <w:t>0.</w:t>
            </w:r>
            <w:r w:rsidR="00E11759" w:rsidRPr="00310498">
              <w:t>12</w:t>
            </w:r>
            <w:r w:rsidRPr="00310498">
              <w:t>)</w:t>
            </w:r>
          </w:p>
        </w:tc>
        <w:tc>
          <w:tcPr>
            <w:tcW w:w="1154" w:type="dxa"/>
            <w:shd w:val="clear" w:color="auto" w:fill="auto"/>
            <w:tcMar>
              <w:left w:w="20" w:type="dxa"/>
              <w:right w:w="20" w:type="dxa"/>
            </w:tcMar>
            <w:vAlign w:val="center"/>
          </w:tcPr>
          <w:p w14:paraId="5AD07EB7" w14:textId="3A5AA8EB" w:rsidR="000D6FC5" w:rsidRPr="00310498" w:rsidRDefault="000D6FC5" w:rsidP="00C475D2">
            <w:pPr>
              <w:pStyle w:val="Tabletext"/>
              <w:keepNext/>
              <w:keepLines/>
              <w:jc w:val="center"/>
            </w:pPr>
            <w:r w:rsidRPr="00310498">
              <w:t>67 (28.2)</w:t>
            </w:r>
          </w:p>
        </w:tc>
        <w:tc>
          <w:tcPr>
            <w:tcW w:w="1154" w:type="dxa"/>
            <w:tcMar>
              <w:left w:w="20" w:type="dxa"/>
              <w:right w:w="20" w:type="dxa"/>
            </w:tcMar>
            <w:vAlign w:val="center"/>
          </w:tcPr>
          <w:p w14:paraId="0F5D4442" w14:textId="6961DB8D" w:rsidR="00D33C94" w:rsidRPr="00310498" w:rsidRDefault="00D33C94" w:rsidP="00C475D2">
            <w:pPr>
              <w:pStyle w:val="Tabletext"/>
              <w:keepNext/>
              <w:keepLines/>
              <w:jc w:val="center"/>
            </w:pPr>
            <w:r w:rsidRPr="00310498">
              <w:t>1.01</w:t>
            </w:r>
          </w:p>
          <w:p w14:paraId="0B9A1384" w14:textId="4ADF1F89" w:rsidR="000D6FC5" w:rsidRPr="00310498" w:rsidRDefault="000D6FC5" w:rsidP="00C475D2">
            <w:pPr>
              <w:pStyle w:val="Tabletext"/>
              <w:keepNext/>
              <w:keepLines/>
              <w:jc w:val="center"/>
            </w:pPr>
            <w:r w:rsidRPr="00310498">
              <w:t>(0.75</w:t>
            </w:r>
            <w:r w:rsidR="00A0075B">
              <w:t xml:space="preserve">, </w:t>
            </w:r>
            <w:r w:rsidRPr="00310498">
              <w:t>1.34)</w:t>
            </w:r>
          </w:p>
        </w:tc>
        <w:tc>
          <w:tcPr>
            <w:tcW w:w="1155" w:type="dxa"/>
          </w:tcPr>
          <w:p w14:paraId="2EFA6D87" w14:textId="316EB47C" w:rsidR="000D6FC5" w:rsidRPr="00310498" w:rsidRDefault="000D6FC5" w:rsidP="00C475D2">
            <w:pPr>
              <w:pStyle w:val="Tabletext"/>
              <w:keepNext/>
              <w:keepLines/>
              <w:jc w:val="center"/>
            </w:pPr>
            <w:r w:rsidRPr="00310498">
              <w:t>0.0</w:t>
            </w:r>
            <w:r w:rsidRPr="00310498">
              <w:br/>
              <w:t>(-0.08,</w:t>
            </w:r>
            <w:r w:rsidR="00A0075B">
              <w:t xml:space="preserve"> </w:t>
            </w:r>
            <w:r w:rsidRPr="00310498">
              <w:t>0.08)</w:t>
            </w:r>
          </w:p>
        </w:tc>
      </w:tr>
      <w:tr w:rsidR="000D6FC5" w:rsidRPr="00310498" w14:paraId="6A36B45D" w14:textId="2DFC94E2" w:rsidTr="00C475D2">
        <w:tc>
          <w:tcPr>
            <w:tcW w:w="988" w:type="dxa"/>
            <w:shd w:val="clear" w:color="auto" w:fill="auto"/>
            <w:tcMar>
              <w:left w:w="20" w:type="dxa"/>
              <w:right w:w="20" w:type="dxa"/>
            </w:tcMar>
            <w:vAlign w:val="center"/>
          </w:tcPr>
          <w:p w14:paraId="527678C2" w14:textId="77777777" w:rsidR="000D6FC5" w:rsidRPr="00310498" w:rsidRDefault="000D6FC5" w:rsidP="00C475D2">
            <w:pPr>
              <w:pStyle w:val="Tabletext"/>
              <w:keepNext/>
              <w:keepLines/>
            </w:pPr>
            <w:r w:rsidRPr="00310498">
              <w:t>Vomiting</w:t>
            </w:r>
          </w:p>
        </w:tc>
        <w:tc>
          <w:tcPr>
            <w:tcW w:w="1154" w:type="dxa"/>
            <w:shd w:val="clear" w:color="auto" w:fill="auto"/>
            <w:tcMar>
              <w:left w:w="20" w:type="dxa"/>
              <w:right w:w="20" w:type="dxa"/>
            </w:tcMar>
            <w:vAlign w:val="center"/>
          </w:tcPr>
          <w:p w14:paraId="26039CAB" w14:textId="77777777" w:rsidR="000D6FC5" w:rsidRPr="00310498" w:rsidRDefault="000D6FC5" w:rsidP="00C475D2">
            <w:pPr>
              <w:pStyle w:val="Tabletext"/>
              <w:keepNext/>
              <w:keepLines/>
              <w:jc w:val="center"/>
            </w:pPr>
            <w:r w:rsidRPr="00310498">
              <w:t>43 (18.2)</w:t>
            </w:r>
          </w:p>
        </w:tc>
        <w:tc>
          <w:tcPr>
            <w:tcW w:w="1154" w:type="dxa"/>
            <w:shd w:val="clear" w:color="auto" w:fill="auto"/>
            <w:tcMar>
              <w:left w:w="20" w:type="dxa"/>
              <w:right w:w="20" w:type="dxa"/>
            </w:tcMar>
            <w:vAlign w:val="center"/>
          </w:tcPr>
          <w:p w14:paraId="739E1F10" w14:textId="77777777" w:rsidR="000D6FC5" w:rsidRPr="00310498" w:rsidRDefault="000D6FC5" w:rsidP="00C475D2">
            <w:pPr>
              <w:pStyle w:val="Tabletext"/>
              <w:keepNext/>
              <w:keepLines/>
              <w:jc w:val="center"/>
            </w:pPr>
            <w:r w:rsidRPr="00310498">
              <w:t>49 (20.9)</w:t>
            </w:r>
          </w:p>
        </w:tc>
        <w:tc>
          <w:tcPr>
            <w:tcW w:w="1154" w:type="dxa"/>
            <w:tcMar>
              <w:left w:w="20" w:type="dxa"/>
              <w:right w:w="20" w:type="dxa"/>
            </w:tcMar>
            <w:vAlign w:val="center"/>
          </w:tcPr>
          <w:p w14:paraId="2D8323C8" w14:textId="77777777" w:rsidR="00C475D2" w:rsidRPr="00310498" w:rsidRDefault="000D6FC5" w:rsidP="00C475D2">
            <w:pPr>
              <w:pStyle w:val="Tabletext"/>
              <w:keepNext/>
              <w:keepLines/>
              <w:jc w:val="center"/>
            </w:pPr>
            <w:r w:rsidRPr="00310498">
              <w:t xml:space="preserve">1.14 </w:t>
            </w:r>
          </w:p>
          <w:p w14:paraId="141AABF1" w14:textId="7C9AB832" w:rsidR="000D6FC5" w:rsidRPr="00310498" w:rsidRDefault="000D6FC5" w:rsidP="00C475D2">
            <w:pPr>
              <w:pStyle w:val="Tabletext"/>
              <w:keepNext/>
              <w:keepLines/>
              <w:jc w:val="center"/>
            </w:pPr>
            <w:r w:rsidRPr="00310498">
              <w:t>(0.79</w:t>
            </w:r>
            <w:r w:rsidR="00A0075B">
              <w:t xml:space="preserve">, </w:t>
            </w:r>
            <w:r w:rsidRPr="00310498">
              <w:t>1.65)</w:t>
            </w:r>
          </w:p>
        </w:tc>
        <w:tc>
          <w:tcPr>
            <w:tcW w:w="1154" w:type="dxa"/>
          </w:tcPr>
          <w:p w14:paraId="509FDF56" w14:textId="171BC2FB" w:rsidR="000D6FC5" w:rsidRPr="00310498" w:rsidRDefault="000D6FC5" w:rsidP="00C475D2">
            <w:pPr>
              <w:pStyle w:val="Tabletext"/>
              <w:keepNext/>
              <w:keepLines/>
              <w:jc w:val="center"/>
            </w:pPr>
            <w:r w:rsidRPr="00310498">
              <w:t>0.0</w:t>
            </w:r>
            <w:r w:rsidR="00E11759" w:rsidRPr="00310498">
              <w:t>3</w:t>
            </w:r>
            <w:r w:rsidRPr="00310498">
              <w:br/>
              <w:t>(</w:t>
            </w:r>
            <w:r w:rsidR="00E11759" w:rsidRPr="00310498">
              <w:t>-</w:t>
            </w:r>
            <w:r w:rsidRPr="00310498">
              <w:t>0.0</w:t>
            </w:r>
            <w:r w:rsidR="00E11759" w:rsidRPr="00310498">
              <w:t>5</w:t>
            </w:r>
            <w:r w:rsidRPr="00310498">
              <w:t>,</w:t>
            </w:r>
            <w:r w:rsidR="00A0075B">
              <w:t xml:space="preserve"> </w:t>
            </w:r>
            <w:r w:rsidRPr="00310498">
              <w:t>0.1</w:t>
            </w:r>
            <w:r w:rsidR="00E11759" w:rsidRPr="00310498">
              <w:t>0</w:t>
            </w:r>
            <w:r w:rsidRPr="00310498">
              <w:t>)</w:t>
            </w:r>
          </w:p>
        </w:tc>
        <w:tc>
          <w:tcPr>
            <w:tcW w:w="1154" w:type="dxa"/>
            <w:shd w:val="clear" w:color="auto" w:fill="auto"/>
            <w:tcMar>
              <w:left w:w="20" w:type="dxa"/>
              <w:right w:w="20" w:type="dxa"/>
            </w:tcMar>
            <w:vAlign w:val="center"/>
          </w:tcPr>
          <w:p w14:paraId="5E42EB3B" w14:textId="0483D570" w:rsidR="000D6FC5" w:rsidRPr="00310498" w:rsidRDefault="000D6FC5" w:rsidP="00C475D2">
            <w:pPr>
              <w:pStyle w:val="Tabletext"/>
              <w:keepNext/>
              <w:keepLines/>
              <w:jc w:val="center"/>
            </w:pPr>
            <w:r w:rsidRPr="00310498">
              <w:t>61 (25.6)</w:t>
            </w:r>
          </w:p>
        </w:tc>
        <w:tc>
          <w:tcPr>
            <w:tcW w:w="1154" w:type="dxa"/>
            <w:tcMar>
              <w:left w:w="20" w:type="dxa"/>
              <w:right w:w="20" w:type="dxa"/>
            </w:tcMar>
            <w:vAlign w:val="center"/>
          </w:tcPr>
          <w:p w14:paraId="5D7E48D2" w14:textId="77777777" w:rsidR="00C475D2" w:rsidRPr="00310498" w:rsidRDefault="000D6FC5" w:rsidP="00C475D2">
            <w:pPr>
              <w:pStyle w:val="Tabletext"/>
              <w:keepNext/>
              <w:keepLines/>
              <w:jc w:val="center"/>
            </w:pPr>
            <w:r w:rsidRPr="00310498">
              <w:t xml:space="preserve">1.41 </w:t>
            </w:r>
          </w:p>
          <w:p w14:paraId="4847167E" w14:textId="63082385" w:rsidR="000D6FC5" w:rsidRPr="00310498" w:rsidRDefault="000D6FC5" w:rsidP="00C475D2">
            <w:pPr>
              <w:pStyle w:val="Tabletext"/>
              <w:keepNext/>
              <w:keepLines/>
              <w:jc w:val="center"/>
            </w:pPr>
            <w:r w:rsidRPr="00310498">
              <w:t>(0.99</w:t>
            </w:r>
            <w:r w:rsidR="00A0075B">
              <w:t xml:space="preserve">, </w:t>
            </w:r>
            <w:r w:rsidRPr="00310498">
              <w:t>1.99)</w:t>
            </w:r>
          </w:p>
        </w:tc>
        <w:tc>
          <w:tcPr>
            <w:tcW w:w="1155" w:type="dxa"/>
          </w:tcPr>
          <w:p w14:paraId="4DE871E6" w14:textId="7F0EB715" w:rsidR="000D6FC5" w:rsidRPr="00310498" w:rsidRDefault="000D6FC5" w:rsidP="00C475D2">
            <w:pPr>
              <w:pStyle w:val="Tabletext"/>
              <w:keepNext/>
              <w:keepLines/>
              <w:jc w:val="center"/>
            </w:pPr>
            <w:r w:rsidRPr="00310498">
              <w:t>0.07</w:t>
            </w:r>
            <w:r w:rsidRPr="00310498">
              <w:br/>
              <w:t>(0.0,</w:t>
            </w:r>
            <w:r w:rsidR="00A0075B">
              <w:t xml:space="preserve"> </w:t>
            </w:r>
            <w:r w:rsidRPr="00310498">
              <w:t>0.15)</w:t>
            </w:r>
          </w:p>
        </w:tc>
      </w:tr>
      <w:tr w:rsidR="00E61FF2" w:rsidRPr="00310498" w14:paraId="07B73DCD" w14:textId="363CF423" w:rsidTr="00C475D2">
        <w:tc>
          <w:tcPr>
            <w:tcW w:w="9067" w:type="dxa"/>
            <w:gridSpan w:val="8"/>
          </w:tcPr>
          <w:p w14:paraId="5B6EBA01" w14:textId="47C759BB" w:rsidR="00E61FF2" w:rsidRPr="00310498" w:rsidRDefault="00E61FF2" w:rsidP="00C475D2">
            <w:pPr>
              <w:pStyle w:val="Tabletext"/>
              <w:keepNext/>
              <w:keepLines/>
            </w:pPr>
            <w:r w:rsidRPr="00310498">
              <w:t>Nervous System</w:t>
            </w:r>
          </w:p>
        </w:tc>
      </w:tr>
      <w:tr w:rsidR="00E11759" w:rsidRPr="00310498" w14:paraId="5F71450E" w14:textId="438D337B" w:rsidTr="00C475D2">
        <w:tc>
          <w:tcPr>
            <w:tcW w:w="988" w:type="dxa"/>
            <w:shd w:val="clear" w:color="auto" w:fill="auto"/>
            <w:tcMar>
              <w:left w:w="20" w:type="dxa"/>
              <w:right w:w="20" w:type="dxa"/>
            </w:tcMar>
            <w:vAlign w:val="center"/>
          </w:tcPr>
          <w:p w14:paraId="1BCA957A" w14:textId="77777777" w:rsidR="00E11759" w:rsidRPr="00310498" w:rsidRDefault="00E11759" w:rsidP="00C475D2">
            <w:pPr>
              <w:pStyle w:val="Tabletext"/>
              <w:keepNext/>
              <w:keepLines/>
            </w:pPr>
            <w:r w:rsidRPr="00310498">
              <w:t>Neuropathy peripheral</w:t>
            </w:r>
          </w:p>
        </w:tc>
        <w:tc>
          <w:tcPr>
            <w:tcW w:w="1154" w:type="dxa"/>
            <w:shd w:val="clear" w:color="auto" w:fill="auto"/>
            <w:tcMar>
              <w:left w:w="20" w:type="dxa"/>
              <w:right w:w="20" w:type="dxa"/>
            </w:tcMar>
            <w:vAlign w:val="center"/>
          </w:tcPr>
          <w:p w14:paraId="45D51F0B" w14:textId="77777777" w:rsidR="00E11759" w:rsidRPr="00310498" w:rsidRDefault="00E11759" w:rsidP="00C475D2">
            <w:pPr>
              <w:pStyle w:val="Tabletext"/>
              <w:keepNext/>
              <w:keepLines/>
              <w:jc w:val="center"/>
            </w:pPr>
            <w:r w:rsidRPr="00310498">
              <w:t>66 (28.0)</w:t>
            </w:r>
          </w:p>
        </w:tc>
        <w:tc>
          <w:tcPr>
            <w:tcW w:w="1154" w:type="dxa"/>
            <w:shd w:val="clear" w:color="auto" w:fill="auto"/>
            <w:tcMar>
              <w:left w:w="20" w:type="dxa"/>
              <w:right w:w="20" w:type="dxa"/>
            </w:tcMar>
            <w:vAlign w:val="center"/>
          </w:tcPr>
          <w:p w14:paraId="1C14CBE7" w14:textId="77777777" w:rsidR="00E11759" w:rsidRPr="00310498" w:rsidRDefault="00E11759" w:rsidP="00C475D2">
            <w:pPr>
              <w:pStyle w:val="Tabletext"/>
              <w:keepNext/>
              <w:keepLines/>
              <w:jc w:val="center"/>
            </w:pPr>
            <w:r w:rsidRPr="00310498">
              <w:t>61 (26.0)</w:t>
            </w:r>
          </w:p>
        </w:tc>
        <w:tc>
          <w:tcPr>
            <w:tcW w:w="1154" w:type="dxa"/>
            <w:tcMar>
              <w:left w:w="20" w:type="dxa"/>
              <w:right w:w="20" w:type="dxa"/>
            </w:tcMar>
            <w:vAlign w:val="center"/>
          </w:tcPr>
          <w:p w14:paraId="48EB30AD" w14:textId="77777777" w:rsidR="00C475D2" w:rsidRPr="00310498" w:rsidRDefault="00E11759" w:rsidP="00C475D2">
            <w:pPr>
              <w:pStyle w:val="Tabletext"/>
              <w:keepNext/>
              <w:keepLines/>
              <w:jc w:val="center"/>
            </w:pPr>
            <w:r w:rsidRPr="00310498">
              <w:t xml:space="preserve">0.93 </w:t>
            </w:r>
          </w:p>
          <w:p w14:paraId="64DF2DC4" w14:textId="39F79BA2" w:rsidR="00E11759" w:rsidRPr="00310498" w:rsidRDefault="00E11759" w:rsidP="00C475D2">
            <w:pPr>
              <w:pStyle w:val="Tabletext"/>
              <w:keepNext/>
              <w:keepLines/>
              <w:jc w:val="center"/>
            </w:pPr>
            <w:r w:rsidRPr="00310498">
              <w:t>(0.69</w:t>
            </w:r>
            <w:r w:rsidR="00A0075B">
              <w:t xml:space="preserve">, </w:t>
            </w:r>
            <w:r w:rsidRPr="00310498">
              <w:t>1.25)</w:t>
            </w:r>
          </w:p>
        </w:tc>
        <w:tc>
          <w:tcPr>
            <w:tcW w:w="1154" w:type="dxa"/>
            <w:vAlign w:val="center"/>
          </w:tcPr>
          <w:p w14:paraId="5D92F5B1" w14:textId="1F13C498" w:rsidR="00E11759" w:rsidRPr="00310498" w:rsidRDefault="00E11759" w:rsidP="00C475D2">
            <w:pPr>
              <w:pStyle w:val="Tabletext"/>
              <w:keepNext/>
              <w:keepLines/>
              <w:jc w:val="center"/>
            </w:pPr>
            <w:r w:rsidRPr="00310498">
              <w:t>-0.02</w:t>
            </w:r>
            <w:r w:rsidRPr="00310498">
              <w:br/>
              <w:t>(-0.10,</w:t>
            </w:r>
            <w:r w:rsidR="00A0075B">
              <w:t xml:space="preserve"> </w:t>
            </w:r>
            <w:r w:rsidRPr="00310498">
              <w:t>0.06)</w:t>
            </w:r>
          </w:p>
        </w:tc>
        <w:tc>
          <w:tcPr>
            <w:tcW w:w="1154" w:type="dxa"/>
            <w:shd w:val="clear" w:color="auto" w:fill="auto"/>
            <w:tcMar>
              <w:left w:w="20" w:type="dxa"/>
              <w:right w:w="20" w:type="dxa"/>
            </w:tcMar>
            <w:vAlign w:val="center"/>
          </w:tcPr>
          <w:p w14:paraId="60EB91AA" w14:textId="6B6D5CEE" w:rsidR="00E11759" w:rsidRPr="00310498" w:rsidRDefault="00E11759" w:rsidP="00C475D2">
            <w:pPr>
              <w:pStyle w:val="Tabletext"/>
              <w:keepNext/>
              <w:keepLines/>
              <w:jc w:val="center"/>
            </w:pPr>
            <w:r w:rsidRPr="00310498">
              <w:t>60 (25.2)</w:t>
            </w:r>
          </w:p>
        </w:tc>
        <w:tc>
          <w:tcPr>
            <w:tcW w:w="1154" w:type="dxa"/>
            <w:tcMar>
              <w:left w:w="20" w:type="dxa"/>
              <w:right w:w="20" w:type="dxa"/>
            </w:tcMar>
            <w:vAlign w:val="center"/>
          </w:tcPr>
          <w:p w14:paraId="2084EB1C" w14:textId="07C34B35" w:rsidR="00C475D2" w:rsidRPr="00310498" w:rsidRDefault="00E11759" w:rsidP="00C475D2">
            <w:pPr>
              <w:pStyle w:val="Tabletext"/>
              <w:keepNext/>
              <w:keepLines/>
              <w:jc w:val="center"/>
            </w:pPr>
            <w:r w:rsidRPr="00310498">
              <w:t>0.90</w:t>
            </w:r>
          </w:p>
          <w:p w14:paraId="48402250" w14:textId="4E08E308" w:rsidR="00E11759" w:rsidRPr="00310498" w:rsidRDefault="00E11759" w:rsidP="00C475D2">
            <w:pPr>
              <w:pStyle w:val="Tabletext"/>
              <w:keepNext/>
              <w:keepLines/>
              <w:jc w:val="center"/>
            </w:pPr>
            <w:r w:rsidRPr="00310498">
              <w:t>(0.67</w:t>
            </w:r>
            <w:r w:rsidR="00A0075B">
              <w:t xml:space="preserve">, </w:t>
            </w:r>
            <w:r w:rsidRPr="00310498">
              <w:t>1.22)</w:t>
            </w:r>
          </w:p>
        </w:tc>
        <w:tc>
          <w:tcPr>
            <w:tcW w:w="1155" w:type="dxa"/>
            <w:vAlign w:val="center"/>
          </w:tcPr>
          <w:p w14:paraId="1AFCC616" w14:textId="7292B01D" w:rsidR="00E11759" w:rsidRPr="00310498" w:rsidRDefault="00E11759" w:rsidP="00C475D2">
            <w:pPr>
              <w:pStyle w:val="Tabletext"/>
              <w:keepNext/>
              <w:keepLines/>
              <w:jc w:val="center"/>
            </w:pPr>
            <w:r w:rsidRPr="00310498">
              <w:t>-0.03</w:t>
            </w:r>
            <w:r w:rsidRPr="00310498">
              <w:br/>
              <w:t>(-0.11,</w:t>
            </w:r>
            <w:r w:rsidR="00A0075B">
              <w:t xml:space="preserve"> </w:t>
            </w:r>
            <w:r w:rsidRPr="00310498">
              <w:t>0.05)</w:t>
            </w:r>
          </w:p>
        </w:tc>
      </w:tr>
      <w:tr w:rsidR="00E11759" w:rsidRPr="00310498" w14:paraId="6E492DAB" w14:textId="13207FBF" w:rsidTr="00C475D2">
        <w:tc>
          <w:tcPr>
            <w:tcW w:w="988" w:type="dxa"/>
            <w:shd w:val="clear" w:color="auto" w:fill="auto"/>
            <w:tcMar>
              <w:left w:w="20" w:type="dxa"/>
              <w:right w:w="20" w:type="dxa"/>
            </w:tcMar>
            <w:vAlign w:val="center"/>
          </w:tcPr>
          <w:p w14:paraId="17731CCE" w14:textId="77777777" w:rsidR="00E11759" w:rsidRPr="00310498" w:rsidRDefault="00E11759" w:rsidP="00C475D2">
            <w:pPr>
              <w:pStyle w:val="Tabletext"/>
              <w:keepNext/>
              <w:keepLines/>
            </w:pPr>
            <w:r w:rsidRPr="00310498">
              <w:t>Peripheral sensory neuropathy</w:t>
            </w:r>
          </w:p>
        </w:tc>
        <w:tc>
          <w:tcPr>
            <w:tcW w:w="1154" w:type="dxa"/>
            <w:shd w:val="clear" w:color="auto" w:fill="auto"/>
            <w:tcMar>
              <w:left w:w="20" w:type="dxa"/>
              <w:right w:w="20" w:type="dxa"/>
            </w:tcMar>
            <w:vAlign w:val="center"/>
          </w:tcPr>
          <w:p w14:paraId="3624C1D6" w14:textId="77777777" w:rsidR="00E11759" w:rsidRPr="00310498" w:rsidRDefault="00E11759" w:rsidP="00C475D2">
            <w:pPr>
              <w:pStyle w:val="Tabletext"/>
              <w:keepNext/>
              <w:keepLines/>
              <w:jc w:val="center"/>
            </w:pPr>
            <w:r w:rsidRPr="00310498">
              <w:t>66 (28.0)</w:t>
            </w:r>
          </w:p>
        </w:tc>
        <w:tc>
          <w:tcPr>
            <w:tcW w:w="1154" w:type="dxa"/>
            <w:shd w:val="clear" w:color="auto" w:fill="auto"/>
            <w:tcMar>
              <w:left w:w="20" w:type="dxa"/>
              <w:right w:w="20" w:type="dxa"/>
            </w:tcMar>
            <w:vAlign w:val="center"/>
          </w:tcPr>
          <w:p w14:paraId="3B2CEEA8" w14:textId="77777777" w:rsidR="00E11759" w:rsidRPr="00310498" w:rsidRDefault="00E11759" w:rsidP="00C475D2">
            <w:pPr>
              <w:pStyle w:val="Tabletext"/>
              <w:keepNext/>
              <w:keepLines/>
              <w:jc w:val="center"/>
            </w:pPr>
            <w:r w:rsidRPr="00310498">
              <w:t>60 (25.5)</w:t>
            </w:r>
          </w:p>
        </w:tc>
        <w:tc>
          <w:tcPr>
            <w:tcW w:w="1154" w:type="dxa"/>
            <w:tcMar>
              <w:left w:w="20" w:type="dxa"/>
              <w:right w:w="20" w:type="dxa"/>
            </w:tcMar>
            <w:vAlign w:val="center"/>
          </w:tcPr>
          <w:p w14:paraId="50B4FE0D" w14:textId="77777777" w:rsidR="00C475D2" w:rsidRPr="00310498" w:rsidRDefault="00E11759" w:rsidP="00C475D2">
            <w:pPr>
              <w:pStyle w:val="Tabletext"/>
              <w:keepNext/>
              <w:keepLines/>
              <w:jc w:val="center"/>
            </w:pPr>
            <w:r w:rsidRPr="00310498">
              <w:t xml:space="preserve">0.91 </w:t>
            </w:r>
          </w:p>
          <w:p w14:paraId="45CC7A8C" w14:textId="03014470" w:rsidR="00E11759" w:rsidRPr="00310498" w:rsidRDefault="00E11759" w:rsidP="00C475D2">
            <w:pPr>
              <w:pStyle w:val="Tabletext"/>
              <w:keepNext/>
              <w:keepLines/>
              <w:jc w:val="center"/>
            </w:pPr>
            <w:r w:rsidRPr="00310498">
              <w:t>(0.68</w:t>
            </w:r>
            <w:r w:rsidR="00A0075B">
              <w:t xml:space="preserve">, </w:t>
            </w:r>
            <w:r w:rsidRPr="00310498">
              <w:t>1.23)</w:t>
            </w:r>
          </w:p>
        </w:tc>
        <w:tc>
          <w:tcPr>
            <w:tcW w:w="1154" w:type="dxa"/>
            <w:vAlign w:val="center"/>
          </w:tcPr>
          <w:p w14:paraId="6CA25B54" w14:textId="5469B18A" w:rsidR="00E11759" w:rsidRPr="00310498" w:rsidRDefault="00E11759" w:rsidP="00C475D2">
            <w:pPr>
              <w:pStyle w:val="Tabletext"/>
              <w:keepNext/>
              <w:keepLines/>
              <w:jc w:val="center"/>
            </w:pPr>
            <w:r w:rsidRPr="00310498">
              <w:t>--0.02</w:t>
            </w:r>
            <w:r w:rsidRPr="00310498">
              <w:br/>
              <w:t>(-0.10,</w:t>
            </w:r>
            <w:r w:rsidR="00A0075B">
              <w:t xml:space="preserve"> </w:t>
            </w:r>
            <w:r w:rsidRPr="00310498">
              <w:t>0.06)</w:t>
            </w:r>
          </w:p>
        </w:tc>
        <w:tc>
          <w:tcPr>
            <w:tcW w:w="1154" w:type="dxa"/>
            <w:shd w:val="clear" w:color="auto" w:fill="auto"/>
            <w:tcMar>
              <w:left w:w="20" w:type="dxa"/>
              <w:right w:w="20" w:type="dxa"/>
            </w:tcMar>
            <w:vAlign w:val="center"/>
          </w:tcPr>
          <w:p w14:paraId="50862CB1" w14:textId="7CFC0D97" w:rsidR="00E11759" w:rsidRPr="00310498" w:rsidRDefault="00E11759" w:rsidP="00C475D2">
            <w:pPr>
              <w:pStyle w:val="Tabletext"/>
              <w:keepNext/>
              <w:keepLines/>
              <w:jc w:val="center"/>
            </w:pPr>
            <w:r w:rsidRPr="00310498">
              <w:t>60 (25.2)</w:t>
            </w:r>
          </w:p>
        </w:tc>
        <w:tc>
          <w:tcPr>
            <w:tcW w:w="1154" w:type="dxa"/>
            <w:tcMar>
              <w:left w:w="20" w:type="dxa"/>
              <w:right w:w="20" w:type="dxa"/>
            </w:tcMar>
            <w:vAlign w:val="center"/>
          </w:tcPr>
          <w:p w14:paraId="59228BE9" w14:textId="6A28EFA4" w:rsidR="00C475D2" w:rsidRPr="00310498" w:rsidRDefault="00E11759" w:rsidP="00C475D2">
            <w:pPr>
              <w:pStyle w:val="Tabletext"/>
              <w:keepNext/>
              <w:keepLines/>
              <w:jc w:val="center"/>
            </w:pPr>
            <w:r w:rsidRPr="00310498">
              <w:t>0.90</w:t>
            </w:r>
          </w:p>
          <w:p w14:paraId="466D685A" w14:textId="59169A76" w:rsidR="00E11759" w:rsidRPr="00310498" w:rsidRDefault="00E11759" w:rsidP="00C475D2">
            <w:pPr>
              <w:pStyle w:val="Tabletext"/>
              <w:keepNext/>
              <w:keepLines/>
              <w:jc w:val="center"/>
            </w:pPr>
            <w:r w:rsidRPr="00310498">
              <w:t>(0.67</w:t>
            </w:r>
            <w:r w:rsidR="00A0075B">
              <w:t xml:space="preserve">, </w:t>
            </w:r>
            <w:r w:rsidRPr="00310498">
              <w:t>1.22)</w:t>
            </w:r>
          </w:p>
        </w:tc>
        <w:tc>
          <w:tcPr>
            <w:tcW w:w="1155" w:type="dxa"/>
            <w:vAlign w:val="center"/>
          </w:tcPr>
          <w:p w14:paraId="60D18479" w14:textId="007B42BF" w:rsidR="00E11759" w:rsidRPr="00310498" w:rsidRDefault="00E11759" w:rsidP="00C475D2">
            <w:pPr>
              <w:pStyle w:val="Tabletext"/>
              <w:keepNext/>
              <w:keepLines/>
              <w:jc w:val="center"/>
            </w:pPr>
            <w:r w:rsidRPr="00310498">
              <w:t>-0.03</w:t>
            </w:r>
            <w:r w:rsidRPr="00310498">
              <w:br/>
              <w:t>(-0.11,</w:t>
            </w:r>
            <w:r w:rsidR="00A0075B">
              <w:t xml:space="preserve"> </w:t>
            </w:r>
            <w:r w:rsidRPr="00310498">
              <w:t>0.05)</w:t>
            </w:r>
          </w:p>
        </w:tc>
      </w:tr>
      <w:tr w:rsidR="00FC7FA5" w:rsidRPr="00310498" w14:paraId="618F395A" w14:textId="62A14874" w:rsidTr="00C475D2">
        <w:tc>
          <w:tcPr>
            <w:tcW w:w="9067" w:type="dxa"/>
            <w:gridSpan w:val="8"/>
          </w:tcPr>
          <w:p w14:paraId="60658013" w14:textId="3A88974E" w:rsidR="00FC7FA5" w:rsidRPr="00310498" w:rsidRDefault="00FC7FA5" w:rsidP="00C475D2">
            <w:pPr>
              <w:pStyle w:val="Tabletext"/>
              <w:keepNext/>
              <w:keepLines/>
            </w:pPr>
            <w:r w:rsidRPr="00310498">
              <w:t>Skin and subcutaneous tissue disorder</w:t>
            </w:r>
          </w:p>
        </w:tc>
      </w:tr>
      <w:tr w:rsidR="00802A22" w:rsidRPr="00310498" w14:paraId="7505F910" w14:textId="6EEEC38A" w:rsidTr="00C475D2">
        <w:tc>
          <w:tcPr>
            <w:tcW w:w="988" w:type="dxa"/>
            <w:shd w:val="clear" w:color="auto" w:fill="auto"/>
            <w:tcMar>
              <w:left w:w="20" w:type="dxa"/>
              <w:right w:w="20" w:type="dxa"/>
            </w:tcMar>
            <w:vAlign w:val="center"/>
          </w:tcPr>
          <w:p w14:paraId="4E98253C" w14:textId="77777777" w:rsidR="00802A22" w:rsidRPr="00310498" w:rsidRDefault="00802A22" w:rsidP="00C475D2">
            <w:pPr>
              <w:pStyle w:val="Tabletext"/>
              <w:keepNext/>
              <w:keepLines/>
            </w:pPr>
            <w:r w:rsidRPr="00310498">
              <w:t>Alopecia</w:t>
            </w:r>
          </w:p>
        </w:tc>
        <w:tc>
          <w:tcPr>
            <w:tcW w:w="1154" w:type="dxa"/>
            <w:shd w:val="clear" w:color="auto" w:fill="auto"/>
            <w:tcMar>
              <w:left w:w="20" w:type="dxa"/>
              <w:right w:w="20" w:type="dxa"/>
            </w:tcMar>
            <w:vAlign w:val="center"/>
          </w:tcPr>
          <w:p w14:paraId="3DD94C15" w14:textId="77777777" w:rsidR="00802A22" w:rsidRPr="00310498" w:rsidRDefault="00802A22" w:rsidP="00C475D2">
            <w:pPr>
              <w:pStyle w:val="Tabletext"/>
              <w:keepNext/>
              <w:keepLines/>
              <w:jc w:val="center"/>
            </w:pPr>
            <w:r w:rsidRPr="00310498">
              <w:t>118 (50.0)</w:t>
            </w:r>
          </w:p>
        </w:tc>
        <w:tc>
          <w:tcPr>
            <w:tcW w:w="1154" w:type="dxa"/>
            <w:shd w:val="clear" w:color="auto" w:fill="auto"/>
            <w:tcMar>
              <w:left w:w="20" w:type="dxa"/>
              <w:right w:w="20" w:type="dxa"/>
            </w:tcMar>
            <w:vAlign w:val="center"/>
          </w:tcPr>
          <w:p w14:paraId="5448A0F0" w14:textId="77777777" w:rsidR="00802A22" w:rsidRPr="00310498" w:rsidRDefault="00802A22" w:rsidP="00C475D2">
            <w:pPr>
              <w:pStyle w:val="Tabletext"/>
              <w:keepNext/>
              <w:keepLines/>
              <w:jc w:val="center"/>
            </w:pPr>
            <w:r w:rsidRPr="00310498">
              <w:t>118 (50.2)</w:t>
            </w:r>
          </w:p>
        </w:tc>
        <w:tc>
          <w:tcPr>
            <w:tcW w:w="1154" w:type="dxa"/>
            <w:tcMar>
              <w:left w:w="20" w:type="dxa"/>
              <w:right w:w="20" w:type="dxa"/>
            </w:tcMar>
            <w:vAlign w:val="center"/>
          </w:tcPr>
          <w:p w14:paraId="0152F2D4" w14:textId="26B29BDA" w:rsidR="00802A22" w:rsidRPr="00310498" w:rsidRDefault="00802A22" w:rsidP="00A0075B">
            <w:pPr>
              <w:pStyle w:val="Tabletext"/>
              <w:keepNext/>
              <w:keepLines/>
              <w:jc w:val="center"/>
            </w:pPr>
            <w:r w:rsidRPr="00310498">
              <w:t xml:space="preserve">1.0 </w:t>
            </w:r>
            <w:r w:rsidR="00A0075B">
              <w:br/>
            </w:r>
            <w:r w:rsidRPr="00310498">
              <w:t>(0.84</w:t>
            </w:r>
            <w:r w:rsidR="00A0075B">
              <w:t xml:space="preserve">, </w:t>
            </w:r>
            <w:r w:rsidRPr="00310498">
              <w:t>1.20)</w:t>
            </w:r>
          </w:p>
        </w:tc>
        <w:tc>
          <w:tcPr>
            <w:tcW w:w="1154" w:type="dxa"/>
          </w:tcPr>
          <w:p w14:paraId="78E56E47" w14:textId="75CCEF6B" w:rsidR="00802A22" w:rsidRPr="00310498" w:rsidRDefault="001A59B5" w:rsidP="00C475D2">
            <w:pPr>
              <w:pStyle w:val="Tabletext"/>
              <w:keepNext/>
              <w:keepLines/>
              <w:jc w:val="center"/>
            </w:pPr>
            <w:r w:rsidRPr="00310498">
              <w:t>0.00</w:t>
            </w:r>
            <w:r w:rsidRPr="00310498">
              <w:br/>
              <w:t>(-0.09,</w:t>
            </w:r>
            <w:r w:rsidR="00A0075B">
              <w:t xml:space="preserve"> </w:t>
            </w:r>
            <w:r w:rsidRPr="00310498">
              <w:t>0.09)</w:t>
            </w:r>
          </w:p>
        </w:tc>
        <w:tc>
          <w:tcPr>
            <w:tcW w:w="1154" w:type="dxa"/>
            <w:shd w:val="clear" w:color="auto" w:fill="auto"/>
            <w:tcMar>
              <w:left w:w="20" w:type="dxa"/>
              <w:right w:w="20" w:type="dxa"/>
            </w:tcMar>
            <w:vAlign w:val="center"/>
          </w:tcPr>
          <w:p w14:paraId="663A681C" w14:textId="7E435A20" w:rsidR="00802A22" w:rsidRPr="00310498" w:rsidRDefault="00802A22" w:rsidP="00C475D2">
            <w:pPr>
              <w:pStyle w:val="Tabletext"/>
              <w:keepNext/>
              <w:keepLines/>
              <w:jc w:val="center"/>
            </w:pPr>
            <w:r w:rsidRPr="00310498">
              <w:t>121 (50.8)</w:t>
            </w:r>
          </w:p>
        </w:tc>
        <w:tc>
          <w:tcPr>
            <w:tcW w:w="1154" w:type="dxa"/>
            <w:tcMar>
              <w:left w:w="20" w:type="dxa"/>
              <w:right w:w="20" w:type="dxa"/>
            </w:tcMar>
            <w:vAlign w:val="center"/>
          </w:tcPr>
          <w:p w14:paraId="27000595" w14:textId="77777777" w:rsidR="00C475D2" w:rsidRPr="00310498" w:rsidRDefault="00802A22" w:rsidP="00C475D2">
            <w:pPr>
              <w:pStyle w:val="Tabletext"/>
              <w:keepNext/>
              <w:keepLines/>
              <w:jc w:val="center"/>
            </w:pPr>
            <w:r w:rsidRPr="00310498">
              <w:t xml:space="preserve">1.01 </w:t>
            </w:r>
          </w:p>
          <w:p w14:paraId="69B8E3BF" w14:textId="46B33110" w:rsidR="00802A22" w:rsidRPr="00310498" w:rsidRDefault="00802A22" w:rsidP="00C475D2">
            <w:pPr>
              <w:pStyle w:val="Tabletext"/>
              <w:keepNext/>
              <w:keepLines/>
              <w:jc w:val="center"/>
            </w:pPr>
            <w:r w:rsidRPr="00310498">
              <w:t>(0.85</w:t>
            </w:r>
            <w:r w:rsidR="00A0075B">
              <w:t xml:space="preserve">, </w:t>
            </w:r>
            <w:r w:rsidRPr="00310498">
              <w:t>1.22)</w:t>
            </w:r>
          </w:p>
        </w:tc>
        <w:tc>
          <w:tcPr>
            <w:tcW w:w="1155" w:type="dxa"/>
          </w:tcPr>
          <w:p w14:paraId="58D066FD" w14:textId="13BC56C2" w:rsidR="00802A22" w:rsidRPr="00310498" w:rsidRDefault="00EC62A3" w:rsidP="00C475D2">
            <w:pPr>
              <w:pStyle w:val="Tabletext"/>
              <w:keepNext/>
              <w:keepLines/>
              <w:jc w:val="center"/>
            </w:pPr>
            <w:r w:rsidRPr="00310498">
              <w:t>0.0</w:t>
            </w:r>
            <w:r w:rsidR="00DB3E52" w:rsidRPr="00310498">
              <w:t>1</w:t>
            </w:r>
            <w:r w:rsidRPr="00310498">
              <w:br/>
              <w:t>(</w:t>
            </w:r>
            <w:r w:rsidR="00DB3E52" w:rsidRPr="00310498">
              <w:t>-</w:t>
            </w:r>
            <w:r w:rsidRPr="00310498">
              <w:t>0.0</w:t>
            </w:r>
            <w:r w:rsidR="00DB3E52" w:rsidRPr="00310498">
              <w:t>8</w:t>
            </w:r>
            <w:r w:rsidRPr="00310498">
              <w:t>,</w:t>
            </w:r>
            <w:r w:rsidR="00A0075B">
              <w:t xml:space="preserve"> </w:t>
            </w:r>
            <w:r w:rsidRPr="00310498">
              <w:t>0.</w:t>
            </w:r>
            <w:r w:rsidR="00DB3E52" w:rsidRPr="00310498">
              <w:t>1</w:t>
            </w:r>
            <w:r w:rsidRPr="00310498">
              <w:t>0)</w:t>
            </w:r>
          </w:p>
        </w:tc>
      </w:tr>
      <w:tr w:rsidR="00FC7FA5" w:rsidRPr="00310498" w14:paraId="4B93CB83" w14:textId="0D1EF7F2" w:rsidTr="00C475D2">
        <w:tc>
          <w:tcPr>
            <w:tcW w:w="9067" w:type="dxa"/>
            <w:gridSpan w:val="8"/>
          </w:tcPr>
          <w:p w14:paraId="781AABDE" w14:textId="166C0FB0" w:rsidR="00FC7FA5" w:rsidRPr="00310498" w:rsidRDefault="00FC7FA5" w:rsidP="00C475D2">
            <w:pPr>
              <w:pStyle w:val="Tabletext"/>
              <w:keepNext/>
              <w:keepLines/>
            </w:pPr>
            <w:r w:rsidRPr="00310498">
              <w:t>General disorders and administration site</w:t>
            </w:r>
          </w:p>
        </w:tc>
      </w:tr>
      <w:tr w:rsidR="00802A22" w:rsidRPr="00310498" w14:paraId="76E1D04C" w14:textId="239075C9" w:rsidTr="00C475D2">
        <w:tc>
          <w:tcPr>
            <w:tcW w:w="988" w:type="dxa"/>
            <w:shd w:val="clear" w:color="auto" w:fill="auto"/>
            <w:tcMar>
              <w:left w:w="20" w:type="dxa"/>
              <w:right w:w="20" w:type="dxa"/>
            </w:tcMar>
            <w:vAlign w:val="center"/>
          </w:tcPr>
          <w:p w14:paraId="7FF334A8" w14:textId="77777777" w:rsidR="00802A22" w:rsidRPr="00310498" w:rsidRDefault="00802A22" w:rsidP="00C475D2">
            <w:pPr>
              <w:pStyle w:val="Tabletext"/>
              <w:keepNext/>
              <w:keepLines/>
            </w:pPr>
            <w:r w:rsidRPr="00310498">
              <w:t>Fatigue</w:t>
            </w:r>
          </w:p>
        </w:tc>
        <w:tc>
          <w:tcPr>
            <w:tcW w:w="1154" w:type="dxa"/>
            <w:shd w:val="clear" w:color="auto" w:fill="auto"/>
            <w:tcMar>
              <w:left w:w="20" w:type="dxa"/>
              <w:right w:w="20" w:type="dxa"/>
            </w:tcMar>
            <w:vAlign w:val="center"/>
          </w:tcPr>
          <w:p w14:paraId="3038150E" w14:textId="77777777" w:rsidR="00802A22" w:rsidRPr="00310498" w:rsidRDefault="00802A22" w:rsidP="00C475D2">
            <w:pPr>
              <w:pStyle w:val="Tabletext"/>
              <w:keepNext/>
              <w:keepLines/>
              <w:jc w:val="center"/>
            </w:pPr>
            <w:r w:rsidRPr="00310498">
              <w:t>87 (36.9)</w:t>
            </w:r>
          </w:p>
        </w:tc>
        <w:tc>
          <w:tcPr>
            <w:tcW w:w="1154" w:type="dxa"/>
            <w:shd w:val="clear" w:color="auto" w:fill="auto"/>
            <w:tcMar>
              <w:left w:w="20" w:type="dxa"/>
              <w:right w:w="20" w:type="dxa"/>
            </w:tcMar>
            <w:vAlign w:val="center"/>
          </w:tcPr>
          <w:p w14:paraId="728C9605" w14:textId="77777777" w:rsidR="00802A22" w:rsidRPr="00310498" w:rsidRDefault="00802A22" w:rsidP="00C475D2">
            <w:pPr>
              <w:pStyle w:val="Tabletext"/>
              <w:keepNext/>
              <w:keepLines/>
              <w:jc w:val="center"/>
            </w:pPr>
            <w:r w:rsidRPr="00310498">
              <w:t>82 (34.9)</w:t>
            </w:r>
          </w:p>
        </w:tc>
        <w:tc>
          <w:tcPr>
            <w:tcW w:w="1154" w:type="dxa"/>
            <w:tcMar>
              <w:left w:w="20" w:type="dxa"/>
              <w:right w:w="20" w:type="dxa"/>
            </w:tcMar>
            <w:vAlign w:val="center"/>
          </w:tcPr>
          <w:p w14:paraId="6AB4063A" w14:textId="77777777" w:rsidR="00C475D2" w:rsidRPr="00310498" w:rsidRDefault="00802A22" w:rsidP="00C475D2">
            <w:pPr>
              <w:pStyle w:val="Tabletext"/>
              <w:keepNext/>
              <w:keepLines/>
              <w:jc w:val="center"/>
            </w:pPr>
            <w:r w:rsidRPr="00310498">
              <w:t xml:space="preserve">0.95 </w:t>
            </w:r>
          </w:p>
          <w:p w14:paraId="16643927" w14:textId="6C366E34" w:rsidR="00802A22" w:rsidRPr="00310498" w:rsidRDefault="00802A22" w:rsidP="00C475D2">
            <w:pPr>
              <w:pStyle w:val="Tabletext"/>
              <w:keepNext/>
              <w:keepLines/>
              <w:jc w:val="center"/>
            </w:pPr>
            <w:r w:rsidRPr="00310498">
              <w:t>(0.74</w:t>
            </w:r>
            <w:r w:rsidR="00A0075B">
              <w:t xml:space="preserve">, </w:t>
            </w:r>
            <w:r w:rsidRPr="00310498">
              <w:t>1.21)</w:t>
            </w:r>
          </w:p>
        </w:tc>
        <w:tc>
          <w:tcPr>
            <w:tcW w:w="1154" w:type="dxa"/>
          </w:tcPr>
          <w:p w14:paraId="1620D46A" w14:textId="5209D87A" w:rsidR="00802A22" w:rsidRPr="00310498" w:rsidRDefault="001A59B5" w:rsidP="00C475D2">
            <w:pPr>
              <w:pStyle w:val="Tabletext"/>
              <w:keepNext/>
              <w:keepLines/>
              <w:jc w:val="center"/>
            </w:pPr>
            <w:r w:rsidRPr="00310498">
              <w:t>-0.02</w:t>
            </w:r>
            <w:r w:rsidRPr="00310498">
              <w:br/>
              <w:t>(-0.11,</w:t>
            </w:r>
            <w:r w:rsidR="00A0075B">
              <w:t xml:space="preserve"> </w:t>
            </w:r>
            <w:r w:rsidRPr="00310498">
              <w:t>0.07)</w:t>
            </w:r>
          </w:p>
        </w:tc>
        <w:tc>
          <w:tcPr>
            <w:tcW w:w="1154" w:type="dxa"/>
            <w:shd w:val="clear" w:color="auto" w:fill="auto"/>
            <w:tcMar>
              <w:left w:w="20" w:type="dxa"/>
              <w:right w:w="20" w:type="dxa"/>
            </w:tcMar>
            <w:vAlign w:val="center"/>
          </w:tcPr>
          <w:p w14:paraId="1DF1400C" w14:textId="519D2EFF" w:rsidR="00802A22" w:rsidRPr="00310498" w:rsidRDefault="00802A22" w:rsidP="00C475D2">
            <w:pPr>
              <w:pStyle w:val="Tabletext"/>
              <w:keepNext/>
              <w:keepLines/>
              <w:jc w:val="center"/>
            </w:pPr>
            <w:r w:rsidRPr="00310498">
              <w:t>93 (39.1)</w:t>
            </w:r>
          </w:p>
        </w:tc>
        <w:tc>
          <w:tcPr>
            <w:tcW w:w="1154" w:type="dxa"/>
            <w:tcMar>
              <w:left w:w="20" w:type="dxa"/>
              <w:right w:w="20" w:type="dxa"/>
            </w:tcMar>
            <w:vAlign w:val="center"/>
          </w:tcPr>
          <w:p w14:paraId="06A6125F" w14:textId="77777777" w:rsidR="00C475D2" w:rsidRPr="00310498" w:rsidRDefault="00802A22" w:rsidP="00C475D2">
            <w:pPr>
              <w:pStyle w:val="Tabletext"/>
              <w:keepNext/>
              <w:keepLines/>
              <w:jc w:val="center"/>
            </w:pPr>
            <w:r w:rsidRPr="00310498">
              <w:t xml:space="preserve">1.06 </w:t>
            </w:r>
          </w:p>
          <w:p w14:paraId="4B32CCA6" w14:textId="5E38C956" w:rsidR="00802A22" w:rsidRPr="00310498" w:rsidRDefault="00802A22" w:rsidP="00C475D2">
            <w:pPr>
              <w:pStyle w:val="Tabletext"/>
              <w:keepNext/>
              <w:keepLines/>
              <w:jc w:val="center"/>
            </w:pPr>
            <w:r w:rsidRPr="00310498">
              <w:t>(0.84</w:t>
            </w:r>
            <w:r w:rsidR="00A0075B">
              <w:t xml:space="preserve">, </w:t>
            </w:r>
            <w:r w:rsidRPr="00310498">
              <w:t>1.33)</w:t>
            </w:r>
          </w:p>
        </w:tc>
        <w:tc>
          <w:tcPr>
            <w:tcW w:w="1155" w:type="dxa"/>
          </w:tcPr>
          <w:p w14:paraId="78036746" w14:textId="3B58FAE3" w:rsidR="00802A22" w:rsidRPr="00310498" w:rsidRDefault="00EC62A3" w:rsidP="00C475D2">
            <w:pPr>
              <w:pStyle w:val="Tabletext"/>
              <w:keepNext/>
              <w:keepLines/>
              <w:jc w:val="center"/>
            </w:pPr>
            <w:r w:rsidRPr="00310498">
              <w:t>0.0</w:t>
            </w:r>
            <w:r w:rsidR="003E2D25" w:rsidRPr="00310498">
              <w:t>2</w:t>
            </w:r>
            <w:r w:rsidRPr="00310498">
              <w:br/>
              <w:t>(</w:t>
            </w:r>
            <w:r w:rsidR="003E2D25" w:rsidRPr="00310498">
              <w:t>-0.07</w:t>
            </w:r>
            <w:r w:rsidRPr="00310498">
              <w:t>,</w:t>
            </w:r>
            <w:r w:rsidR="00A0075B">
              <w:t xml:space="preserve"> </w:t>
            </w:r>
            <w:r w:rsidRPr="00310498">
              <w:t>0.</w:t>
            </w:r>
            <w:r w:rsidR="003E2D25" w:rsidRPr="00310498">
              <w:t>11</w:t>
            </w:r>
            <w:r w:rsidRPr="00310498">
              <w:t>)</w:t>
            </w:r>
          </w:p>
        </w:tc>
      </w:tr>
      <w:tr w:rsidR="00FC7FA5" w:rsidRPr="00310498" w14:paraId="4D65BD74" w14:textId="73DE8A59" w:rsidTr="00C475D2">
        <w:tc>
          <w:tcPr>
            <w:tcW w:w="9067" w:type="dxa"/>
            <w:gridSpan w:val="8"/>
          </w:tcPr>
          <w:p w14:paraId="3B6E7F94" w14:textId="4A03BC4B" w:rsidR="00FC7FA5" w:rsidRPr="00310498" w:rsidRDefault="00FC7FA5" w:rsidP="00C475D2">
            <w:pPr>
              <w:pStyle w:val="Tabletext"/>
              <w:keepNext/>
              <w:keepLines/>
            </w:pPr>
            <w:r w:rsidRPr="00310498">
              <w:t>Blood and lymphatic system disorders</w:t>
            </w:r>
          </w:p>
        </w:tc>
      </w:tr>
      <w:tr w:rsidR="001A59B5" w:rsidRPr="00310498" w14:paraId="70E8A6A9" w14:textId="36B77B3A" w:rsidTr="00C475D2">
        <w:tc>
          <w:tcPr>
            <w:tcW w:w="988" w:type="dxa"/>
            <w:shd w:val="clear" w:color="auto" w:fill="auto"/>
            <w:tcMar>
              <w:left w:w="20" w:type="dxa"/>
              <w:right w:w="20" w:type="dxa"/>
            </w:tcMar>
            <w:vAlign w:val="center"/>
          </w:tcPr>
          <w:p w14:paraId="5321E282" w14:textId="77777777" w:rsidR="001A59B5" w:rsidRPr="00310498" w:rsidRDefault="001A59B5" w:rsidP="00C475D2">
            <w:pPr>
              <w:pStyle w:val="Tabletext"/>
              <w:keepNext/>
              <w:keepLines/>
            </w:pPr>
            <w:r w:rsidRPr="00310498">
              <w:t>Anaemia</w:t>
            </w:r>
          </w:p>
        </w:tc>
        <w:tc>
          <w:tcPr>
            <w:tcW w:w="1154" w:type="dxa"/>
            <w:shd w:val="clear" w:color="auto" w:fill="auto"/>
            <w:tcMar>
              <w:left w:w="20" w:type="dxa"/>
              <w:right w:w="20" w:type="dxa"/>
            </w:tcMar>
            <w:vAlign w:val="center"/>
          </w:tcPr>
          <w:p w14:paraId="55FB671F" w14:textId="77777777" w:rsidR="001A59B5" w:rsidRPr="00310498" w:rsidRDefault="001A59B5" w:rsidP="00C475D2">
            <w:pPr>
              <w:pStyle w:val="Tabletext"/>
              <w:keepNext/>
              <w:keepLines/>
              <w:jc w:val="center"/>
            </w:pPr>
            <w:r w:rsidRPr="00310498">
              <w:t>128 (54.2)</w:t>
            </w:r>
          </w:p>
        </w:tc>
        <w:tc>
          <w:tcPr>
            <w:tcW w:w="1154" w:type="dxa"/>
            <w:shd w:val="clear" w:color="auto" w:fill="auto"/>
            <w:tcMar>
              <w:left w:w="20" w:type="dxa"/>
              <w:right w:w="20" w:type="dxa"/>
            </w:tcMar>
            <w:vAlign w:val="center"/>
          </w:tcPr>
          <w:p w14:paraId="28AFFE8F" w14:textId="77777777" w:rsidR="001A59B5" w:rsidRPr="00310498" w:rsidRDefault="001A59B5" w:rsidP="00C475D2">
            <w:pPr>
              <w:pStyle w:val="Tabletext"/>
              <w:keepNext/>
              <w:keepLines/>
              <w:jc w:val="center"/>
            </w:pPr>
            <w:r w:rsidRPr="00310498">
              <w:t>111 (47.2)</w:t>
            </w:r>
          </w:p>
        </w:tc>
        <w:tc>
          <w:tcPr>
            <w:tcW w:w="1154" w:type="dxa"/>
            <w:tcMar>
              <w:left w:w="20" w:type="dxa"/>
              <w:right w:w="20" w:type="dxa"/>
            </w:tcMar>
            <w:vAlign w:val="center"/>
          </w:tcPr>
          <w:p w14:paraId="0A045B63" w14:textId="77777777" w:rsidR="00C475D2" w:rsidRPr="00310498" w:rsidRDefault="001A59B5" w:rsidP="00C475D2">
            <w:pPr>
              <w:pStyle w:val="Tabletext"/>
              <w:keepNext/>
              <w:keepLines/>
              <w:jc w:val="center"/>
            </w:pPr>
            <w:r w:rsidRPr="00310498">
              <w:t xml:space="preserve">0.87 </w:t>
            </w:r>
          </w:p>
          <w:p w14:paraId="02C575D1" w14:textId="005769E4" w:rsidR="001A59B5" w:rsidRPr="00310498" w:rsidRDefault="001A59B5" w:rsidP="00C475D2">
            <w:pPr>
              <w:pStyle w:val="Tabletext"/>
              <w:keepNext/>
              <w:keepLines/>
              <w:jc w:val="center"/>
            </w:pPr>
            <w:r w:rsidRPr="00310498">
              <w:t>(0.73</w:t>
            </w:r>
            <w:r w:rsidR="00A0075B">
              <w:t xml:space="preserve">, </w:t>
            </w:r>
            <w:r w:rsidRPr="00310498">
              <w:t>1.04)</w:t>
            </w:r>
          </w:p>
        </w:tc>
        <w:tc>
          <w:tcPr>
            <w:tcW w:w="1154" w:type="dxa"/>
          </w:tcPr>
          <w:p w14:paraId="07492C4A" w14:textId="5EC29CDB" w:rsidR="001A59B5" w:rsidRPr="00310498" w:rsidRDefault="00132DEF" w:rsidP="00C475D2">
            <w:pPr>
              <w:pStyle w:val="Tabletext"/>
              <w:keepNext/>
              <w:keepLines/>
              <w:jc w:val="center"/>
            </w:pPr>
            <w:r w:rsidRPr="00310498">
              <w:t>-</w:t>
            </w:r>
            <w:r w:rsidR="001A59B5" w:rsidRPr="00310498">
              <w:t>0.0</w:t>
            </w:r>
            <w:r w:rsidRPr="00310498">
              <w:t>7</w:t>
            </w:r>
            <w:r w:rsidR="001A59B5" w:rsidRPr="00310498">
              <w:br/>
              <w:t>(-0.</w:t>
            </w:r>
            <w:r w:rsidRPr="00310498">
              <w:t>16</w:t>
            </w:r>
            <w:r w:rsidR="001A59B5" w:rsidRPr="00310498">
              <w:t>,</w:t>
            </w:r>
            <w:r w:rsidR="00A0075B">
              <w:t xml:space="preserve"> </w:t>
            </w:r>
            <w:r w:rsidR="001A59B5" w:rsidRPr="00310498">
              <w:t>0.</w:t>
            </w:r>
            <w:r w:rsidRPr="00310498">
              <w:t>02</w:t>
            </w:r>
            <w:r w:rsidR="001A59B5" w:rsidRPr="00310498">
              <w:t>)</w:t>
            </w:r>
          </w:p>
        </w:tc>
        <w:tc>
          <w:tcPr>
            <w:tcW w:w="1154" w:type="dxa"/>
            <w:shd w:val="clear" w:color="auto" w:fill="auto"/>
            <w:tcMar>
              <w:left w:w="20" w:type="dxa"/>
              <w:right w:w="20" w:type="dxa"/>
            </w:tcMar>
            <w:vAlign w:val="center"/>
          </w:tcPr>
          <w:p w14:paraId="6C457970" w14:textId="1EDC5F85" w:rsidR="001A59B5" w:rsidRPr="00310498" w:rsidRDefault="001A59B5" w:rsidP="00C475D2">
            <w:pPr>
              <w:pStyle w:val="Tabletext"/>
              <w:keepNext/>
              <w:keepLines/>
              <w:jc w:val="center"/>
            </w:pPr>
            <w:r w:rsidRPr="00310498">
              <w:t>147 (61.8)</w:t>
            </w:r>
          </w:p>
        </w:tc>
        <w:tc>
          <w:tcPr>
            <w:tcW w:w="1154" w:type="dxa"/>
            <w:tcMar>
              <w:left w:w="20" w:type="dxa"/>
              <w:right w:w="20" w:type="dxa"/>
            </w:tcMar>
            <w:vAlign w:val="center"/>
          </w:tcPr>
          <w:p w14:paraId="10F49E47" w14:textId="77777777" w:rsidR="00C475D2" w:rsidRPr="00310498" w:rsidRDefault="001A59B5" w:rsidP="00C475D2">
            <w:pPr>
              <w:pStyle w:val="Tabletext"/>
              <w:keepNext/>
              <w:keepLines/>
              <w:jc w:val="center"/>
            </w:pPr>
            <w:r w:rsidRPr="00310498">
              <w:t xml:space="preserve">1.14 </w:t>
            </w:r>
          </w:p>
          <w:p w14:paraId="4050A577" w14:textId="54DF2709" w:rsidR="001A59B5" w:rsidRPr="00310498" w:rsidRDefault="001A59B5" w:rsidP="00C475D2">
            <w:pPr>
              <w:pStyle w:val="Tabletext"/>
              <w:keepNext/>
              <w:keepLines/>
              <w:jc w:val="center"/>
            </w:pPr>
            <w:r w:rsidRPr="00310498">
              <w:t>(0.98</w:t>
            </w:r>
            <w:r w:rsidR="00A0075B">
              <w:t xml:space="preserve">, </w:t>
            </w:r>
            <w:r w:rsidRPr="00310498">
              <w:t>1.33)</w:t>
            </w:r>
          </w:p>
        </w:tc>
        <w:tc>
          <w:tcPr>
            <w:tcW w:w="1155" w:type="dxa"/>
          </w:tcPr>
          <w:p w14:paraId="37FF3A6F" w14:textId="5F9DB476" w:rsidR="001A59B5" w:rsidRPr="00310498" w:rsidRDefault="001A59B5" w:rsidP="00C475D2">
            <w:pPr>
              <w:pStyle w:val="Tabletext"/>
              <w:keepNext/>
              <w:keepLines/>
              <w:jc w:val="center"/>
            </w:pPr>
            <w:r w:rsidRPr="00310498">
              <w:t>0.08</w:t>
            </w:r>
            <w:r w:rsidRPr="00310498">
              <w:br/>
              <w:t>(-0.01,</w:t>
            </w:r>
            <w:r w:rsidR="00A0075B">
              <w:t xml:space="preserve"> </w:t>
            </w:r>
            <w:r w:rsidRPr="00310498">
              <w:t>0.16)</w:t>
            </w:r>
          </w:p>
        </w:tc>
      </w:tr>
      <w:tr w:rsidR="001A59B5" w:rsidRPr="00310498" w14:paraId="2F9AD3EF" w14:textId="11889693" w:rsidTr="00C475D2">
        <w:tc>
          <w:tcPr>
            <w:tcW w:w="988" w:type="dxa"/>
            <w:shd w:val="clear" w:color="auto" w:fill="auto"/>
            <w:tcMar>
              <w:left w:w="20" w:type="dxa"/>
              <w:right w:w="20" w:type="dxa"/>
            </w:tcMar>
            <w:vAlign w:val="center"/>
          </w:tcPr>
          <w:p w14:paraId="284E98D5" w14:textId="77777777" w:rsidR="001A59B5" w:rsidRPr="00310498" w:rsidRDefault="001A59B5" w:rsidP="00C475D2">
            <w:pPr>
              <w:pStyle w:val="Tabletext"/>
              <w:keepNext/>
              <w:keepLines/>
            </w:pPr>
            <w:r w:rsidRPr="00310498">
              <w:t>Neutropenia</w:t>
            </w:r>
          </w:p>
        </w:tc>
        <w:tc>
          <w:tcPr>
            <w:tcW w:w="1154" w:type="dxa"/>
            <w:shd w:val="clear" w:color="auto" w:fill="auto"/>
            <w:tcMar>
              <w:left w:w="20" w:type="dxa"/>
              <w:right w:w="20" w:type="dxa"/>
            </w:tcMar>
            <w:vAlign w:val="center"/>
          </w:tcPr>
          <w:p w14:paraId="6A49EB88" w14:textId="77777777" w:rsidR="001A59B5" w:rsidRPr="00310498" w:rsidRDefault="001A59B5" w:rsidP="00C475D2">
            <w:pPr>
              <w:pStyle w:val="Tabletext"/>
              <w:keepNext/>
              <w:keepLines/>
              <w:jc w:val="center"/>
            </w:pPr>
            <w:r w:rsidRPr="00310498">
              <w:t>31 (13.1)</w:t>
            </w:r>
          </w:p>
        </w:tc>
        <w:tc>
          <w:tcPr>
            <w:tcW w:w="1154" w:type="dxa"/>
            <w:shd w:val="clear" w:color="auto" w:fill="auto"/>
            <w:tcMar>
              <w:left w:w="20" w:type="dxa"/>
              <w:right w:w="20" w:type="dxa"/>
            </w:tcMar>
            <w:vAlign w:val="center"/>
          </w:tcPr>
          <w:p w14:paraId="30DDBD8A" w14:textId="77777777" w:rsidR="001A59B5" w:rsidRPr="00310498" w:rsidRDefault="001A59B5" w:rsidP="00C475D2">
            <w:pPr>
              <w:pStyle w:val="Tabletext"/>
              <w:keepNext/>
              <w:keepLines/>
              <w:jc w:val="center"/>
            </w:pPr>
            <w:r w:rsidRPr="00310498">
              <w:t>36 (15.3)</w:t>
            </w:r>
          </w:p>
        </w:tc>
        <w:tc>
          <w:tcPr>
            <w:tcW w:w="1154" w:type="dxa"/>
            <w:tcMar>
              <w:left w:w="20" w:type="dxa"/>
              <w:right w:w="20" w:type="dxa"/>
            </w:tcMar>
            <w:vAlign w:val="center"/>
          </w:tcPr>
          <w:p w14:paraId="57684D71" w14:textId="77777777" w:rsidR="00C475D2" w:rsidRPr="00310498" w:rsidRDefault="001A59B5" w:rsidP="00C475D2">
            <w:pPr>
              <w:pStyle w:val="Tabletext"/>
              <w:keepNext/>
              <w:keepLines/>
              <w:jc w:val="center"/>
            </w:pPr>
            <w:r w:rsidRPr="00310498">
              <w:t xml:space="preserve">1.17 </w:t>
            </w:r>
          </w:p>
          <w:p w14:paraId="45BD17A5" w14:textId="499C231C" w:rsidR="001A59B5" w:rsidRPr="00310498" w:rsidRDefault="001A59B5" w:rsidP="00C475D2">
            <w:pPr>
              <w:pStyle w:val="Tabletext"/>
              <w:keepNext/>
              <w:keepLines/>
              <w:jc w:val="center"/>
            </w:pPr>
            <w:r w:rsidRPr="00310498">
              <w:t>(0.75</w:t>
            </w:r>
            <w:r w:rsidR="00A0075B">
              <w:t xml:space="preserve">, </w:t>
            </w:r>
            <w:r w:rsidRPr="00310498">
              <w:t>1.82)</w:t>
            </w:r>
          </w:p>
        </w:tc>
        <w:tc>
          <w:tcPr>
            <w:tcW w:w="1154" w:type="dxa"/>
          </w:tcPr>
          <w:p w14:paraId="1E8D2655" w14:textId="6B0863E9" w:rsidR="001A59B5" w:rsidRPr="00310498" w:rsidRDefault="001A59B5" w:rsidP="00C475D2">
            <w:pPr>
              <w:pStyle w:val="Tabletext"/>
              <w:keepNext/>
              <w:keepLines/>
              <w:jc w:val="center"/>
            </w:pPr>
            <w:r w:rsidRPr="00310498">
              <w:t>0.0</w:t>
            </w:r>
            <w:r w:rsidR="00260B5C" w:rsidRPr="00310498">
              <w:t>2</w:t>
            </w:r>
            <w:r w:rsidRPr="00310498">
              <w:br/>
              <w:t>(</w:t>
            </w:r>
            <w:r w:rsidR="00260B5C" w:rsidRPr="00310498">
              <w:t>-</w:t>
            </w:r>
            <w:r w:rsidRPr="00310498">
              <w:t>0.0</w:t>
            </w:r>
            <w:r w:rsidR="00260B5C" w:rsidRPr="00310498">
              <w:t>4</w:t>
            </w:r>
            <w:r w:rsidRPr="00310498">
              <w:t>,</w:t>
            </w:r>
            <w:r w:rsidR="00A0075B">
              <w:t xml:space="preserve"> </w:t>
            </w:r>
            <w:r w:rsidRPr="00310498">
              <w:t>0.</w:t>
            </w:r>
            <w:r w:rsidR="00260B5C" w:rsidRPr="00310498">
              <w:t>09</w:t>
            </w:r>
            <w:r w:rsidRPr="00310498">
              <w:t>)</w:t>
            </w:r>
          </w:p>
        </w:tc>
        <w:tc>
          <w:tcPr>
            <w:tcW w:w="1154" w:type="dxa"/>
            <w:shd w:val="clear" w:color="auto" w:fill="auto"/>
            <w:tcMar>
              <w:left w:w="20" w:type="dxa"/>
              <w:right w:w="20" w:type="dxa"/>
            </w:tcMar>
            <w:vAlign w:val="center"/>
          </w:tcPr>
          <w:p w14:paraId="0240FDD8" w14:textId="4079DFD8" w:rsidR="001A59B5" w:rsidRPr="00310498" w:rsidRDefault="001A59B5" w:rsidP="00C475D2">
            <w:pPr>
              <w:pStyle w:val="Tabletext"/>
              <w:keepNext/>
              <w:keepLines/>
              <w:jc w:val="center"/>
            </w:pPr>
            <w:r w:rsidRPr="00310498">
              <w:t>49 (20.6)</w:t>
            </w:r>
          </w:p>
        </w:tc>
        <w:tc>
          <w:tcPr>
            <w:tcW w:w="1154" w:type="dxa"/>
            <w:tcMar>
              <w:left w:w="20" w:type="dxa"/>
              <w:right w:w="20" w:type="dxa"/>
            </w:tcMar>
            <w:vAlign w:val="center"/>
          </w:tcPr>
          <w:p w14:paraId="349A5581" w14:textId="77777777" w:rsidR="00C475D2" w:rsidRPr="00310498" w:rsidRDefault="001A59B5" w:rsidP="00C475D2">
            <w:pPr>
              <w:pStyle w:val="Tabletext"/>
              <w:keepNext/>
              <w:keepLines/>
              <w:jc w:val="center"/>
              <w:rPr>
                <w:b/>
                <w:bCs/>
              </w:rPr>
            </w:pPr>
            <w:r w:rsidRPr="00310498">
              <w:rPr>
                <w:b/>
                <w:bCs/>
              </w:rPr>
              <w:t xml:space="preserve">1.57 </w:t>
            </w:r>
          </w:p>
          <w:p w14:paraId="12570656" w14:textId="6AF0912D" w:rsidR="001A59B5" w:rsidRPr="00310498" w:rsidRDefault="001A59B5" w:rsidP="00C475D2">
            <w:pPr>
              <w:pStyle w:val="Tabletext"/>
              <w:keepNext/>
              <w:keepLines/>
              <w:jc w:val="center"/>
            </w:pPr>
            <w:r w:rsidRPr="00310498">
              <w:rPr>
                <w:b/>
                <w:bCs/>
              </w:rPr>
              <w:t>(1.04</w:t>
            </w:r>
            <w:r w:rsidR="00A0075B">
              <w:rPr>
                <w:b/>
                <w:bCs/>
              </w:rPr>
              <w:t xml:space="preserve">, </w:t>
            </w:r>
            <w:r w:rsidRPr="00310498">
              <w:rPr>
                <w:b/>
                <w:bCs/>
              </w:rPr>
              <w:t>2.37)</w:t>
            </w:r>
          </w:p>
        </w:tc>
        <w:tc>
          <w:tcPr>
            <w:tcW w:w="1155" w:type="dxa"/>
          </w:tcPr>
          <w:p w14:paraId="40053881" w14:textId="4020FADE" w:rsidR="001A59B5" w:rsidRPr="00310498" w:rsidRDefault="001A59B5" w:rsidP="00C475D2">
            <w:pPr>
              <w:pStyle w:val="Tabletext"/>
              <w:keepNext/>
              <w:keepLines/>
              <w:jc w:val="center"/>
              <w:rPr>
                <w:b/>
                <w:bCs/>
              </w:rPr>
            </w:pPr>
            <w:r w:rsidRPr="00310498">
              <w:rPr>
                <w:b/>
                <w:bCs/>
              </w:rPr>
              <w:t>0.07</w:t>
            </w:r>
            <w:r w:rsidRPr="00310498">
              <w:rPr>
                <w:b/>
                <w:bCs/>
              </w:rPr>
              <w:br/>
              <w:t>(0.01,</w:t>
            </w:r>
            <w:r w:rsidR="00A0075B">
              <w:rPr>
                <w:b/>
                <w:bCs/>
              </w:rPr>
              <w:t xml:space="preserve"> </w:t>
            </w:r>
            <w:r w:rsidRPr="00310498">
              <w:rPr>
                <w:b/>
                <w:bCs/>
              </w:rPr>
              <w:t>0.14)</w:t>
            </w:r>
          </w:p>
        </w:tc>
      </w:tr>
      <w:tr w:rsidR="00FC7FA5" w:rsidRPr="00310498" w14:paraId="4C254972" w14:textId="26E67D23" w:rsidTr="00C475D2">
        <w:tc>
          <w:tcPr>
            <w:tcW w:w="9067" w:type="dxa"/>
            <w:gridSpan w:val="8"/>
          </w:tcPr>
          <w:p w14:paraId="735B5C9D" w14:textId="4D08F996" w:rsidR="00FC7FA5" w:rsidRPr="00310498" w:rsidRDefault="00FC7FA5" w:rsidP="00C475D2">
            <w:pPr>
              <w:pStyle w:val="Tabletext"/>
              <w:keepNext/>
              <w:keepLines/>
            </w:pPr>
            <w:r w:rsidRPr="00310498">
              <w:t>Investigations</w:t>
            </w:r>
          </w:p>
        </w:tc>
      </w:tr>
      <w:tr w:rsidR="00802A22" w:rsidRPr="00310498" w14:paraId="6E185B09" w14:textId="2A441F48" w:rsidTr="00C475D2">
        <w:tc>
          <w:tcPr>
            <w:tcW w:w="988" w:type="dxa"/>
            <w:shd w:val="clear" w:color="auto" w:fill="auto"/>
            <w:tcMar>
              <w:left w:w="20" w:type="dxa"/>
              <w:right w:w="20" w:type="dxa"/>
            </w:tcMar>
            <w:vAlign w:val="center"/>
          </w:tcPr>
          <w:p w14:paraId="4D7F68CA" w14:textId="77777777" w:rsidR="00802A22" w:rsidRPr="00310498" w:rsidRDefault="00802A22" w:rsidP="00C475D2">
            <w:pPr>
              <w:pStyle w:val="Tabletext"/>
              <w:keepNext/>
              <w:keepLines/>
            </w:pPr>
            <w:r w:rsidRPr="00310498">
              <w:t>Neutrophil count decreased</w:t>
            </w:r>
          </w:p>
        </w:tc>
        <w:tc>
          <w:tcPr>
            <w:tcW w:w="1154" w:type="dxa"/>
            <w:shd w:val="clear" w:color="auto" w:fill="auto"/>
            <w:tcMar>
              <w:left w:w="20" w:type="dxa"/>
              <w:right w:w="20" w:type="dxa"/>
            </w:tcMar>
            <w:vAlign w:val="center"/>
          </w:tcPr>
          <w:p w14:paraId="2BE3E713" w14:textId="77777777" w:rsidR="00802A22" w:rsidRPr="00310498" w:rsidRDefault="00802A22" w:rsidP="00C475D2">
            <w:pPr>
              <w:pStyle w:val="Tabletext"/>
              <w:keepNext/>
              <w:keepLines/>
              <w:jc w:val="center"/>
            </w:pPr>
            <w:r w:rsidRPr="00310498">
              <w:t>63 (26.7)</w:t>
            </w:r>
          </w:p>
        </w:tc>
        <w:tc>
          <w:tcPr>
            <w:tcW w:w="1154" w:type="dxa"/>
            <w:shd w:val="clear" w:color="auto" w:fill="auto"/>
            <w:tcMar>
              <w:left w:w="20" w:type="dxa"/>
              <w:right w:w="20" w:type="dxa"/>
            </w:tcMar>
            <w:vAlign w:val="center"/>
          </w:tcPr>
          <w:p w14:paraId="612487A3" w14:textId="77777777" w:rsidR="00802A22" w:rsidRPr="00310498" w:rsidRDefault="00802A22" w:rsidP="00C475D2">
            <w:pPr>
              <w:pStyle w:val="Tabletext"/>
              <w:keepNext/>
              <w:keepLines/>
              <w:jc w:val="center"/>
            </w:pPr>
            <w:r w:rsidRPr="00310498">
              <w:t>44 (18.7)</w:t>
            </w:r>
          </w:p>
        </w:tc>
        <w:tc>
          <w:tcPr>
            <w:tcW w:w="1154" w:type="dxa"/>
            <w:tcMar>
              <w:left w:w="20" w:type="dxa"/>
              <w:right w:w="20" w:type="dxa"/>
            </w:tcMar>
            <w:vAlign w:val="center"/>
          </w:tcPr>
          <w:p w14:paraId="0F6D4277" w14:textId="1EC98EAF" w:rsidR="00C475D2" w:rsidRPr="00310498" w:rsidRDefault="00802A22" w:rsidP="00C475D2">
            <w:pPr>
              <w:pStyle w:val="Tabletext"/>
              <w:keepNext/>
              <w:keepLines/>
              <w:jc w:val="center"/>
              <w:rPr>
                <w:b/>
                <w:bCs/>
              </w:rPr>
            </w:pPr>
            <w:r w:rsidRPr="00310498">
              <w:rPr>
                <w:b/>
                <w:bCs/>
              </w:rPr>
              <w:t>0.70</w:t>
            </w:r>
          </w:p>
          <w:p w14:paraId="517459D8" w14:textId="18EBD33D" w:rsidR="00802A22" w:rsidRPr="00310498" w:rsidRDefault="00802A22" w:rsidP="00C475D2">
            <w:pPr>
              <w:pStyle w:val="Tabletext"/>
              <w:keepNext/>
              <w:keepLines/>
              <w:jc w:val="center"/>
              <w:rPr>
                <w:b/>
                <w:bCs/>
              </w:rPr>
            </w:pPr>
            <w:r w:rsidRPr="00310498">
              <w:rPr>
                <w:b/>
                <w:bCs/>
              </w:rPr>
              <w:t>(0.50</w:t>
            </w:r>
            <w:r w:rsidR="00A0075B">
              <w:rPr>
                <w:b/>
                <w:bCs/>
              </w:rPr>
              <w:t xml:space="preserve">, </w:t>
            </w:r>
            <w:r w:rsidRPr="00310498">
              <w:rPr>
                <w:b/>
                <w:bCs/>
              </w:rPr>
              <w:t>0.99)</w:t>
            </w:r>
          </w:p>
        </w:tc>
        <w:tc>
          <w:tcPr>
            <w:tcW w:w="1154" w:type="dxa"/>
            <w:vAlign w:val="center"/>
          </w:tcPr>
          <w:p w14:paraId="58C361B7" w14:textId="3BEDC021" w:rsidR="00802A22" w:rsidRPr="00310498" w:rsidRDefault="00260B5C" w:rsidP="00C475D2">
            <w:pPr>
              <w:pStyle w:val="Tabletext"/>
              <w:keepNext/>
              <w:keepLines/>
              <w:jc w:val="center"/>
            </w:pPr>
            <w:r w:rsidRPr="00310498">
              <w:t>-0.0</w:t>
            </w:r>
            <w:r w:rsidR="00E44F69" w:rsidRPr="00310498">
              <w:t>8</w:t>
            </w:r>
            <w:r w:rsidRPr="00310498">
              <w:br/>
              <w:t>(-0.1</w:t>
            </w:r>
            <w:r w:rsidR="00E44F69" w:rsidRPr="00310498">
              <w:t>6</w:t>
            </w:r>
            <w:r w:rsidRPr="00310498">
              <w:t>,</w:t>
            </w:r>
            <w:r w:rsidR="00A0075B">
              <w:t xml:space="preserve"> </w:t>
            </w:r>
            <w:r w:rsidRPr="00310498">
              <w:t>0.0</w:t>
            </w:r>
            <w:r w:rsidR="00E44F69" w:rsidRPr="00310498">
              <w:t>0</w:t>
            </w:r>
            <w:r w:rsidRPr="00310498">
              <w:t>)</w:t>
            </w:r>
          </w:p>
        </w:tc>
        <w:tc>
          <w:tcPr>
            <w:tcW w:w="1154" w:type="dxa"/>
            <w:shd w:val="clear" w:color="auto" w:fill="auto"/>
            <w:tcMar>
              <w:left w:w="20" w:type="dxa"/>
              <w:right w:w="20" w:type="dxa"/>
            </w:tcMar>
            <w:vAlign w:val="center"/>
          </w:tcPr>
          <w:p w14:paraId="77A7A74E" w14:textId="262E496B" w:rsidR="00802A22" w:rsidRPr="00310498" w:rsidRDefault="00802A22" w:rsidP="00C475D2">
            <w:pPr>
              <w:pStyle w:val="Tabletext"/>
              <w:keepNext/>
              <w:keepLines/>
              <w:jc w:val="center"/>
            </w:pPr>
            <w:r w:rsidRPr="00310498">
              <w:t>50 (21)</w:t>
            </w:r>
          </w:p>
        </w:tc>
        <w:tc>
          <w:tcPr>
            <w:tcW w:w="1154" w:type="dxa"/>
            <w:tcMar>
              <w:left w:w="20" w:type="dxa"/>
              <w:right w:w="20" w:type="dxa"/>
            </w:tcMar>
            <w:vAlign w:val="center"/>
          </w:tcPr>
          <w:p w14:paraId="63E638FC" w14:textId="35739E06" w:rsidR="00C475D2" w:rsidRPr="00310498" w:rsidRDefault="00802A22" w:rsidP="00C475D2">
            <w:pPr>
              <w:pStyle w:val="Tabletext"/>
              <w:keepNext/>
              <w:keepLines/>
              <w:jc w:val="center"/>
            </w:pPr>
            <w:r w:rsidRPr="00310498">
              <w:t>0.79</w:t>
            </w:r>
          </w:p>
          <w:p w14:paraId="75CA547E" w14:textId="7473B015" w:rsidR="00802A22" w:rsidRPr="00310498" w:rsidRDefault="00802A22" w:rsidP="00C475D2">
            <w:pPr>
              <w:pStyle w:val="Tabletext"/>
              <w:keepNext/>
              <w:keepLines/>
              <w:jc w:val="center"/>
            </w:pPr>
            <w:r w:rsidRPr="00310498">
              <w:t>(0.57</w:t>
            </w:r>
            <w:r w:rsidR="00A0075B">
              <w:t xml:space="preserve">, </w:t>
            </w:r>
            <w:r w:rsidRPr="00310498">
              <w:t>1.09)</w:t>
            </w:r>
          </w:p>
        </w:tc>
        <w:tc>
          <w:tcPr>
            <w:tcW w:w="1155" w:type="dxa"/>
            <w:vAlign w:val="center"/>
          </w:tcPr>
          <w:p w14:paraId="1270DE9B" w14:textId="4C44F4FC" w:rsidR="00802A22" w:rsidRPr="00310498" w:rsidRDefault="00331DE7" w:rsidP="00C475D2">
            <w:pPr>
              <w:pStyle w:val="Tabletext"/>
              <w:keepNext/>
              <w:keepLines/>
              <w:jc w:val="center"/>
            </w:pPr>
            <w:r w:rsidRPr="00310498">
              <w:t>-</w:t>
            </w:r>
            <w:r w:rsidR="00EC62A3" w:rsidRPr="00310498">
              <w:t>0.0</w:t>
            </w:r>
            <w:r w:rsidRPr="00310498">
              <w:t>6</w:t>
            </w:r>
            <w:r w:rsidR="00EC62A3" w:rsidRPr="00310498">
              <w:br/>
              <w:t>(</w:t>
            </w:r>
            <w:r w:rsidRPr="00310498">
              <w:t>-</w:t>
            </w:r>
            <w:r w:rsidR="00EC62A3" w:rsidRPr="00310498">
              <w:t>0.</w:t>
            </w:r>
            <w:r w:rsidRPr="00310498">
              <w:t>13</w:t>
            </w:r>
            <w:r w:rsidR="00EC62A3" w:rsidRPr="00310498">
              <w:t>,</w:t>
            </w:r>
            <w:r w:rsidR="00A0075B">
              <w:t xml:space="preserve"> </w:t>
            </w:r>
            <w:r w:rsidR="00EC62A3" w:rsidRPr="00310498">
              <w:t>0.0</w:t>
            </w:r>
            <w:r w:rsidRPr="00310498">
              <w:t>2</w:t>
            </w:r>
            <w:r w:rsidR="00EC62A3" w:rsidRPr="00310498">
              <w:t>)</w:t>
            </w:r>
          </w:p>
        </w:tc>
      </w:tr>
      <w:tr w:rsidR="00FC7FA5" w:rsidRPr="00310498" w14:paraId="5DA6AC12" w14:textId="4DA2DFDF" w:rsidTr="00C475D2">
        <w:tc>
          <w:tcPr>
            <w:tcW w:w="9067" w:type="dxa"/>
            <w:gridSpan w:val="8"/>
          </w:tcPr>
          <w:p w14:paraId="7C73448D" w14:textId="562D77A7" w:rsidR="00FC7FA5" w:rsidRPr="00310498" w:rsidRDefault="00FC7FA5" w:rsidP="00C475D2">
            <w:pPr>
              <w:pStyle w:val="Tabletext"/>
              <w:keepNext/>
              <w:keepLines/>
            </w:pPr>
            <w:r w:rsidRPr="00310498">
              <w:t>Musculoskeletal</w:t>
            </w:r>
          </w:p>
        </w:tc>
      </w:tr>
      <w:tr w:rsidR="00802A22" w:rsidRPr="00310498" w14:paraId="63E4850E" w14:textId="3425E9C1" w:rsidTr="00C475D2">
        <w:tc>
          <w:tcPr>
            <w:tcW w:w="988" w:type="dxa"/>
            <w:shd w:val="clear" w:color="auto" w:fill="auto"/>
            <w:tcMar>
              <w:left w:w="20" w:type="dxa"/>
              <w:right w:w="20" w:type="dxa"/>
            </w:tcMar>
            <w:vAlign w:val="center"/>
          </w:tcPr>
          <w:p w14:paraId="5E2415A4" w14:textId="77777777" w:rsidR="00802A22" w:rsidRPr="00310498" w:rsidRDefault="00802A22" w:rsidP="00C475D2">
            <w:pPr>
              <w:pStyle w:val="Tabletext"/>
              <w:keepNext/>
              <w:keepLines/>
            </w:pPr>
            <w:r w:rsidRPr="00310498">
              <w:t>Arthralgia</w:t>
            </w:r>
          </w:p>
        </w:tc>
        <w:tc>
          <w:tcPr>
            <w:tcW w:w="1154" w:type="dxa"/>
            <w:shd w:val="clear" w:color="auto" w:fill="auto"/>
            <w:tcMar>
              <w:left w:w="20" w:type="dxa"/>
              <w:right w:w="20" w:type="dxa"/>
            </w:tcMar>
            <w:vAlign w:val="center"/>
          </w:tcPr>
          <w:p w14:paraId="295F0C05" w14:textId="77777777" w:rsidR="00802A22" w:rsidRPr="00310498" w:rsidRDefault="00802A22" w:rsidP="00C475D2">
            <w:pPr>
              <w:pStyle w:val="Tabletext"/>
              <w:keepNext/>
              <w:keepLines/>
              <w:jc w:val="center"/>
            </w:pPr>
            <w:r w:rsidRPr="00310498">
              <w:t>58 (24.6)</w:t>
            </w:r>
          </w:p>
        </w:tc>
        <w:tc>
          <w:tcPr>
            <w:tcW w:w="1154" w:type="dxa"/>
            <w:shd w:val="clear" w:color="auto" w:fill="auto"/>
            <w:tcMar>
              <w:left w:w="20" w:type="dxa"/>
              <w:right w:w="20" w:type="dxa"/>
            </w:tcMar>
            <w:vAlign w:val="center"/>
          </w:tcPr>
          <w:p w14:paraId="3E5CF4AF" w14:textId="77777777" w:rsidR="00802A22" w:rsidRPr="00310498" w:rsidRDefault="00802A22" w:rsidP="00C475D2">
            <w:pPr>
              <w:pStyle w:val="Tabletext"/>
              <w:keepNext/>
              <w:keepLines/>
              <w:jc w:val="center"/>
            </w:pPr>
            <w:r w:rsidRPr="00310498">
              <w:t>71 (30.2)</w:t>
            </w:r>
          </w:p>
        </w:tc>
        <w:tc>
          <w:tcPr>
            <w:tcW w:w="1154" w:type="dxa"/>
            <w:tcMar>
              <w:left w:w="20" w:type="dxa"/>
              <w:right w:w="20" w:type="dxa"/>
            </w:tcMar>
            <w:vAlign w:val="center"/>
          </w:tcPr>
          <w:p w14:paraId="67EE8841" w14:textId="77777777" w:rsidR="00C475D2" w:rsidRPr="00310498" w:rsidRDefault="00802A22" w:rsidP="00C475D2">
            <w:pPr>
              <w:pStyle w:val="Tabletext"/>
              <w:keepNext/>
              <w:keepLines/>
              <w:jc w:val="center"/>
            </w:pPr>
            <w:r w:rsidRPr="00310498">
              <w:t>1.23</w:t>
            </w:r>
          </w:p>
          <w:p w14:paraId="0F23A163" w14:textId="4CD126CE" w:rsidR="00802A22" w:rsidRPr="00310498" w:rsidRDefault="00802A22" w:rsidP="00C475D2">
            <w:pPr>
              <w:pStyle w:val="Tabletext"/>
              <w:keepNext/>
              <w:keepLines/>
              <w:jc w:val="center"/>
            </w:pPr>
            <w:r w:rsidRPr="00310498">
              <w:t xml:space="preserve"> (0.91</w:t>
            </w:r>
            <w:r w:rsidR="00A0075B">
              <w:t xml:space="preserve">, </w:t>
            </w:r>
            <w:r w:rsidRPr="00310498">
              <w:t>1.65)</w:t>
            </w:r>
          </w:p>
        </w:tc>
        <w:tc>
          <w:tcPr>
            <w:tcW w:w="1154" w:type="dxa"/>
          </w:tcPr>
          <w:p w14:paraId="1BAEBE10" w14:textId="2AF08DC7" w:rsidR="00802A22" w:rsidRPr="00310498" w:rsidRDefault="00260B5C" w:rsidP="00C475D2">
            <w:pPr>
              <w:pStyle w:val="Tabletext"/>
              <w:keepNext/>
              <w:keepLines/>
              <w:jc w:val="center"/>
            </w:pPr>
            <w:r w:rsidRPr="00310498">
              <w:t>0.06</w:t>
            </w:r>
            <w:r w:rsidRPr="00310498">
              <w:br/>
              <w:t>(-0.</w:t>
            </w:r>
            <w:r w:rsidR="00E44F69" w:rsidRPr="00310498">
              <w:t>02</w:t>
            </w:r>
            <w:r w:rsidRPr="00310498">
              <w:t>,</w:t>
            </w:r>
            <w:r w:rsidR="00A0075B">
              <w:t xml:space="preserve"> </w:t>
            </w:r>
            <w:r w:rsidRPr="00310498">
              <w:t>0.</w:t>
            </w:r>
            <w:r w:rsidR="00E44F69" w:rsidRPr="00310498">
              <w:t>14</w:t>
            </w:r>
            <w:r w:rsidRPr="00310498">
              <w:t>)</w:t>
            </w:r>
          </w:p>
        </w:tc>
        <w:tc>
          <w:tcPr>
            <w:tcW w:w="1154" w:type="dxa"/>
            <w:shd w:val="clear" w:color="auto" w:fill="auto"/>
            <w:tcMar>
              <w:left w:w="20" w:type="dxa"/>
              <w:right w:w="20" w:type="dxa"/>
            </w:tcMar>
            <w:vAlign w:val="center"/>
          </w:tcPr>
          <w:p w14:paraId="64F31533" w14:textId="7B12CF7C" w:rsidR="00802A22" w:rsidRPr="00310498" w:rsidRDefault="00802A22" w:rsidP="00C475D2">
            <w:pPr>
              <w:pStyle w:val="Tabletext"/>
              <w:keepNext/>
              <w:keepLines/>
              <w:jc w:val="center"/>
            </w:pPr>
            <w:r w:rsidRPr="00310498">
              <w:t>58 (24.4)</w:t>
            </w:r>
          </w:p>
        </w:tc>
        <w:tc>
          <w:tcPr>
            <w:tcW w:w="1154" w:type="dxa"/>
            <w:tcMar>
              <w:left w:w="20" w:type="dxa"/>
              <w:right w:w="20" w:type="dxa"/>
            </w:tcMar>
            <w:vAlign w:val="center"/>
          </w:tcPr>
          <w:p w14:paraId="6D1BAFCD" w14:textId="77777777" w:rsidR="00C475D2" w:rsidRPr="00310498" w:rsidRDefault="00802A22" w:rsidP="00C475D2">
            <w:pPr>
              <w:pStyle w:val="Tabletext"/>
              <w:keepNext/>
              <w:keepLines/>
              <w:jc w:val="center"/>
            </w:pPr>
            <w:r w:rsidRPr="00310498">
              <w:t xml:space="preserve">0.99 </w:t>
            </w:r>
          </w:p>
          <w:p w14:paraId="5C81353E" w14:textId="14470784" w:rsidR="00802A22" w:rsidRPr="00310498" w:rsidRDefault="00802A22" w:rsidP="00C475D2">
            <w:pPr>
              <w:pStyle w:val="Tabletext"/>
              <w:keepNext/>
              <w:keepLines/>
              <w:jc w:val="center"/>
            </w:pPr>
            <w:r w:rsidRPr="00310498">
              <w:t>(0.72</w:t>
            </w:r>
            <w:r w:rsidR="00A0075B">
              <w:t xml:space="preserve">, </w:t>
            </w:r>
            <w:r w:rsidRPr="00310498">
              <w:t>1.36)</w:t>
            </w:r>
          </w:p>
        </w:tc>
        <w:tc>
          <w:tcPr>
            <w:tcW w:w="1155" w:type="dxa"/>
          </w:tcPr>
          <w:p w14:paraId="2D855D18" w14:textId="0C773553" w:rsidR="00802A22" w:rsidRPr="00310498" w:rsidRDefault="00EC62A3" w:rsidP="00C475D2">
            <w:pPr>
              <w:pStyle w:val="Tabletext"/>
              <w:keepNext/>
              <w:keepLines/>
              <w:jc w:val="center"/>
            </w:pPr>
            <w:r w:rsidRPr="00310498">
              <w:t>0.0</w:t>
            </w:r>
            <w:r w:rsidRPr="00310498">
              <w:br/>
              <w:t>(</w:t>
            </w:r>
            <w:r w:rsidR="000D28D9" w:rsidRPr="00310498">
              <w:t>-</w:t>
            </w:r>
            <w:r w:rsidRPr="00310498">
              <w:t>0.0</w:t>
            </w:r>
            <w:r w:rsidR="000D28D9" w:rsidRPr="00310498">
              <w:t>8</w:t>
            </w:r>
            <w:r w:rsidRPr="00310498">
              <w:t>,</w:t>
            </w:r>
            <w:r w:rsidR="00A0075B">
              <w:t xml:space="preserve"> </w:t>
            </w:r>
            <w:r w:rsidRPr="00310498">
              <w:t>0.0</w:t>
            </w:r>
            <w:r w:rsidR="000D28D9" w:rsidRPr="00310498">
              <w:t>8</w:t>
            </w:r>
            <w:r w:rsidRPr="00310498">
              <w:t>)</w:t>
            </w:r>
          </w:p>
        </w:tc>
      </w:tr>
      <w:tr w:rsidR="00FC7FA5" w:rsidRPr="00310498" w14:paraId="0AB9C3A6" w14:textId="2A4CFCDB" w:rsidTr="00C475D2">
        <w:tc>
          <w:tcPr>
            <w:tcW w:w="9067" w:type="dxa"/>
            <w:gridSpan w:val="8"/>
          </w:tcPr>
          <w:p w14:paraId="668D28B6" w14:textId="175DFA5C" w:rsidR="00FC7FA5" w:rsidRPr="00310498" w:rsidRDefault="00FC7FA5" w:rsidP="00C475D2">
            <w:pPr>
              <w:pStyle w:val="Tabletext"/>
              <w:keepNext/>
              <w:keepLines/>
            </w:pPr>
            <w:r w:rsidRPr="00310498">
              <w:t>Infections</w:t>
            </w:r>
          </w:p>
        </w:tc>
      </w:tr>
      <w:tr w:rsidR="00260B5C" w:rsidRPr="00310498" w14:paraId="66C0E82F" w14:textId="14DB98DA" w:rsidTr="00C475D2">
        <w:tc>
          <w:tcPr>
            <w:tcW w:w="988" w:type="dxa"/>
            <w:shd w:val="clear" w:color="auto" w:fill="auto"/>
            <w:tcMar>
              <w:left w:w="20" w:type="dxa"/>
              <w:right w:w="20" w:type="dxa"/>
            </w:tcMar>
            <w:vAlign w:val="center"/>
          </w:tcPr>
          <w:p w14:paraId="13936431" w14:textId="77777777" w:rsidR="00260B5C" w:rsidRPr="00310498" w:rsidRDefault="00260B5C" w:rsidP="00C475D2">
            <w:pPr>
              <w:pStyle w:val="Tabletext"/>
              <w:keepNext/>
              <w:keepLines/>
            </w:pPr>
            <w:r w:rsidRPr="00310498">
              <w:t>COVID-19</w:t>
            </w:r>
          </w:p>
        </w:tc>
        <w:tc>
          <w:tcPr>
            <w:tcW w:w="1154" w:type="dxa"/>
            <w:shd w:val="clear" w:color="auto" w:fill="auto"/>
            <w:tcMar>
              <w:left w:w="20" w:type="dxa"/>
              <w:right w:w="20" w:type="dxa"/>
            </w:tcMar>
            <w:vAlign w:val="center"/>
          </w:tcPr>
          <w:p w14:paraId="187757B6" w14:textId="77777777" w:rsidR="00260B5C" w:rsidRPr="00310498" w:rsidRDefault="00260B5C" w:rsidP="00C475D2">
            <w:pPr>
              <w:pStyle w:val="Tabletext"/>
              <w:keepNext/>
              <w:keepLines/>
              <w:jc w:val="center"/>
            </w:pPr>
            <w:r w:rsidRPr="00310498">
              <w:t>32 (13.6)</w:t>
            </w:r>
          </w:p>
        </w:tc>
        <w:tc>
          <w:tcPr>
            <w:tcW w:w="1154" w:type="dxa"/>
            <w:shd w:val="clear" w:color="auto" w:fill="auto"/>
            <w:tcMar>
              <w:left w:w="20" w:type="dxa"/>
              <w:right w:w="20" w:type="dxa"/>
            </w:tcMar>
            <w:vAlign w:val="center"/>
          </w:tcPr>
          <w:p w14:paraId="356CA587" w14:textId="77777777" w:rsidR="00260B5C" w:rsidRPr="00310498" w:rsidRDefault="00260B5C" w:rsidP="00C475D2">
            <w:pPr>
              <w:pStyle w:val="Tabletext"/>
              <w:keepNext/>
              <w:keepLines/>
              <w:jc w:val="center"/>
            </w:pPr>
            <w:r w:rsidRPr="00310498">
              <w:t>36 (15.3)</w:t>
            </w:r>
          </w:p>
        </w:tc>
        <w:tc>
          <w:tcPr>
            <w:tcW w:w="1154" w:type="dxa"/>
            <w:tcMar>
              <w:left w:w="20" w:type="dxa"/>
              <w:right w:w="20" w:type="dxa"/>
            </w:tcMar>
            <w:vAlign w:val="center"/>
          </w:tcPr>
          <w:p w14:paraId="06ABCA59" w14:textId="77777777" w:rsidR="00C475D2" w:rsidRPr="00310498" w:rsidRDefault="00260B5C" w:rsidP="00C475D2">
            <w:pPr>
              <w:pStyle w:val="Tabletext"/>
              <w:keepNext/>
              <w:keepLines/>
              <w:jc w:val="center"/>
            </w:pPr>
            <w:r w:rsidRPr="00310498">
              <w:t xml:space="preserve">1.13 </w:t>
            </w:r>
          </w:p>
          <w:p w14:paraId="2416FFAA" w14:textId="7568D76E" w:rsidR="00260B5C" w:rsidRPr="00310498" w:rsidRDefault="00260B5C" w:rsidP="00C475D2">
            <w:pPr>
              <w:pStyle w:val="Tabletext"/>
              <w:keepNext/>
              <w:keepLines/>
              <w:jc w:val="center"/>
            </w:pPr>
            <w:r w:rsidRPr="00310498">
              <w:t>(0.73</w:t>
            </w:r>
            <w:r w:rsidR="00A0075B">
              <w:t xml:space="preserve">, </w:t>
            </w:r>
            <w:r w:rsidRPr="00310498">
              <w:t>1.76)</w:t>
            </w:r>
          </w:p>
        </w:tc>
        <w:tc>
          <w:tcPr>
            <w:tcW w:w="1154" w:type="dxa"/>
          </w:tcPr>
          <w:p w14:paraId="07E24D19" w14:textId="697BD253" w:rsidR="00260B5C" w:rsidRPr="00310498" w:rsidRDefault="00260B5C" w:rsidP="00C475D2">
            <w:pPr>
              <w:pStyle w:val="Tabletext"/>
              <w:keepNext/>
              <w:keepLines/>
              <w:jc w:val="center"/>
            </w:pPr>
            <w:r w:rsidRPr="00310498">
              <w:t>0.0</w:t>
            </w:r>
            <w:r w:rsidR="004F6112" w:rsidRPr="00310498">
              <w:t>2</w:t>
            </w:r>
            <w:r w:rsidRPr="00310498">
              <w:br/>
              <w:t>(-0.</w:t>
            </w:r>
            <w:r w:rsidR="004F6112" w:rsidRPr="00310498">
              <w:t>05</w:t>
            </w:r>
            <w:r w:rsidRPr="00310498">
              <w:t>,</w:t>
            </w:r>
            <w:r w:rsidR="00A0075B">
              <w:t xml:space="preserve"> </w:t>
            </w:r>
            <w:r w:rsidRPr="00310498">
              <w:t>0.0</w:t>
            </w:r>
            <w:r w:rsidR="004F6112" w:rsidRPr="00310498">
              <w:t>8</w:t>
            </w:r>
            <w:r w:rsidRPr="00310498">
              <w:t>)</w:t>
            </w:r>
          </w:p>
        </w:tc>
        <w:tc>
          <w:tcPr>
            <w:tcW w:w="1154" w:type="dxa"/>
            <w:shd w:val="clear" w:color="auto" w:fill="auto"/>
            <w:tcMar>
              <w:left w:w="20" w:type="dxa"/>
              <w:right w:w="20" w:type="dxa"/>
            </w:tcMar>
            <w:vAlign w:val="center"/>
          </w:tcPr>
          <w:p w14:paraId="215AEB82" w14:textId="09D33D46" w:rsidR="00260B5C" w:rsidRPr="00310498" w:rsidRDefault="00260B5C" w:rsidP="00C475D2">
            <w:pPr>
              <w:pStyle w:val="Tabletext"/>
              <w:keepNext/>
              <w:keepLines/>
              <w:jc w:val="center"/>
            </w:pPr>
            <w:r w:rsidRPr="00310498">
              <w:t>48 (20.2)</w:t>
            </w:r>
          </w:p>
        </w:tc>
        <w:tc>
          <w:tcPr>
            <w:tcW w:w="1154" w:type="dxa"/>
            <w:tcMar>
              <w:left w:w="20" w:type="dxa"/>
              <w:right w:w="20" w:type="dxa"/>
            </w:tcMar>
            <w:vAlign w:val="center"/>
          </w:tcPr>
          <w:p w14:paraId="2E1FD689" w14:textId="77777777" w:rsidR="00C475D2" w:rsidRPr="00310498" w:rsidRDefault="00260B5C" w:rsidP="00C475D2">
            <w:pPr>
              <w:pStyle w:val="Tabletext"/>
              <w:keepNext/>
              <w:keepLines/>
              <w:jc w:val="center"/>
            </w:pPr>
            <w:r w:rsidRPr="00310498">
              <w:t xml:space="preserve">1.49 </w:t>
            </w:r>
          </w:p>
          <w:p w14:paraId="3809B065" w14:textId="4C427F70" w:rsidR="00260B5C" w:rsidRPr="00310498" w:rsidRDefault="00260B5C" w:rsidP="00C475D2">
            <w:pPr>
              <w:pStyle w:val="Tabletext"/>
              <w:keepNext/>
              <w:keepLines/>
              <w:jc w:val="center"/>
            </w:pPr>
            <w:r w:rsidRPr="00310498">
              <w:t>(0.99-2.24)</w:t>
            </w:r>
          </w:p>
        </w:tc>
        <w:tc>
          <w:tcPr>
            <w:tcW w:w="1155" w:type="dxa"/>
          </w:tcPr>
          <w:p w14:paraId="4783AEA6" w14:textId="54457975" w:rsidR="00260B5C" w:rsidRPr="00310498" w:rsidRDefault="00260B5C" w:rsidP="00C475D2">
            <w:pPr>
              <w:pStyle w:val="Tabletext"/>
              <w:keepNext/>
              <w:keepLines/>
              <w:jc w:val="center"/>
            </w:pPr>
            <w:r w:rsidRPr="00310498">
              <w:t>0.07</w:t>
            </w:r>
            <w:r w:rsidRPr="00310498">
              <w:br/>
              <w:t>(0.0,</w:t>
            </w:r>
            <w:r w:rsidR="00A0075B">
              <w:t xml:space="preserve"> </w:t>
            </w:r>
            <w:r w:rsidRPr="00310498">
              <w:t>0.13)</w:t>
            </w:r>
          </w:p>
        </w:tc>
      </w:tr>
      <w:tr w:rsidR="00260B5C" w:rsidRPr="00310498" w14:paraId="5B345F05" w14:textId="270ECA48" w:rsidTr="00C475D2">
        <w:tc>
          <w:tcPr>
            <w:tcW w:w="988" w:type="dxa"/>
            <w:shd w:val="clear" w:color="auto" w:fill="auto"/>
            <w:tcMar>
              <w:left w:w="20" w:type="dxa"/>
              <w:right w:w="20" w:type="dxa"/>
            </w:tcMar>
            <w:vAlign w:val="center"/>
          </w:tcPr>
          <w:p w14:paraId="11983695" w14:textId="77777777" w:rsidR="00260B5C" w:rsidRPr="00310498" w:rsidRDefault="00260B5C" w:rsidP="00C475D2">
            <w:pPr>
              <w:pStyle w:val="Tabletext"/>
              <w:keepNext/>
              <w:keepLines/>
            </w:pPr>
            <w:r w:rsidRPr="00310498">
              <w:t>UTI</w:t>
            </w:r>
          </w:p>
        </w:tc>
        <w:tc>
          <w:tcPr>
            <w:tcW w:w="1154" w:type="dxa"/>
            <w:shd w:val="clear" w:color="auto" w:fill="auto"/>
            <w:tcMar>
              <w:left w:w="20" w:type="dxa"/>
              <w:right w:w="20" w:type="dxa"/>
            </w:tcMar>
            <w:vAlign w:val="center"/>
          </w:tcPr>
          <w:p w14:paraId="1772AE00" w14:textId="77777777" w:rsidR="00260B5C" w:rsidRPr="00310498" w:rsidRDefault="00260B5C" w:rsidP="00C475D2">
            <w:pPr>
              <w:pStyle w:val="Tabletext"/>
              <w:keepNext/>
              <w:keepLines/>
              <w:jc w:val="center"/>
            </w:pPr>
            <w:r w:rsidRPr="00310498">
              <w:t>50 (21.2)</w:t>
            </w:r>
          </w:p>
        </w:tc>
        <w:tc>
          <w:tcPr>
            <w:tcW w:w="1154" w:type="dxa"/>
            <w:shd w:val="clear" w:color="auto" w:fill="auto"/>
            <w:tcMar>
              <w:left w:w="20" w:type="dxa"/>
              <w:right w:w="20" w:type="dxa"/>
            </w:tcMar>
            <w:vAlign w:val="center"/>
          </w:tcPr>
          <w:p w14:paraId="2589EE7F" w14:textId="77777777" w:rsidR="00260B5C" w:rsidRPr="00310498" w:rsidRDefault="00260B5C" w:rsidP="00C475D2">
            <w:pPr>
              <w:pStyle w:val="Tabletext"/>
              <w:keepNext/>
              <w:keepLines/>
              <w:jc w:val="center"/>
            </w:pPr>
            <w:r w:rsidRPr="00310498">
              <w:t>33 (14.0)</w:t>
            </w:r>
          </w:p>
        </w:tc>
        <w:tc>
          <w:tcPr>
            <w:tcW w:w="1154" w:type="dxa"/>
            <w:tcMar>
              <w:left w:w="20" w:type="dxa"/>
              <w:right w:w="20" w:type="dxa"/>
            </w:tcMar>
            <w:vAlign w:val="center"/>
          </w:tcPr>
          <w:p w14:paraId="09D89A5C" w14:textId="77777777" w:rsidR="00C475D2" w:rsidRPr="00310498" w:rsidRDefault="00260B5C" w:rsidP="00C475D2">
            <w:pPr>
              <w:pStyle w:val="Tabletext"/>
              <w:keepNext/>
              <w:keepLines/>
              <w:jc w:val="center"/>
              <w:rPr>
                <w:b/>
                <w:bCs/>
              </w:rPr>
            </w:pPr>
            <w:r w:rsidRPr="00310498">
              <w:rPr>
                <w:b/>
                <w:bCs/>
              </w:rPr>
              <w:t xml:space="preserve">0.66 </w:t>
            </w:r>
          </w:p>
          <w:p w14:paraId="378F5654" w14:textId="090B7424" w:rsidR="00260B5C" w:rsidRPr="00310498" w:rsidRDefault="00260B5C" w:rsidP="00C475D2">
            <w:pPr>
              <w:pStyle w:val="Tabletext"/>
              <w:keepNext/>
              <w:keepLines/>
              <w:jc w:val="center"/>
            </w:pPr>
            <w:r w:rsidRPr="00310498">
              <w:rPr>
                <w:b/>
                <w:bCs/>
              </w:rPr>
              <w:t>(0.44</w:t>
            </w:r>
            <w:r w:rsidR="00A0075B">
              <w:rPr>
                <w:b/>
                <w:bCs/>
              </w:rPr>
              <w:t xml:space="preserve">, </w:t>
            </w:r>
            <w:r w:rsidRPr="00310498">
              <w:rPr>
                <w:b/>
                <w:bCs/>
              </w:rPr>
              <w:t>0.99)</w:t>
            </w:r>
          </w:p>
        </w:tc>
        <w:tc>
          <w:tcPr>
            <w:tcW w:w="1154" w:type="dxa"/>
          </w:tcPr>
          <w:p w14:paraId="25DC3102" w14:textId="4E409B7C" w:rsidR="00260B5C" w:rsidRPr="00310498" w:rsidRDefault="00260B5C" w:rsidP="00C475D2">
            <w:pPr>
              <w:pStyle w:val="Tabletext"/>
              <w:keepNext/>
              <w:keepLines/>
              <w:jc w:val="center"/>
            </w:pPr>
            <w:r w:rsidRPr="00310498">
              <w:t>-0.0</w:t>
            </w:r>
            <w:r w:rsidR="004F6112" w:rsidRPr="00310498">
              <w:t>7</w:t>
            </w:r>
            <w:r w:rsidRPr="00310498">
              <w:br/>
              <w:t>(0.1</w:t>
            </w:r>
            <w:r w:rsidR="004F6112" w:rsidRPr="00310498">
              <w:t>4</w:t>
            </w:r>
            <w:r w:rsidRPr="00310498">
              <w:t>,</w:t>
            </w:r>
            <w:r w:rsidR="00A0075B">
              <w:t xml:space="preserve"> </w:t>
            </w:r>
            <w:r w:rsidRPr="00310498">
              <w:t>0.0</w:t>
            </w:r>
            <w:r w:rsidR="004F6112" w:rsidRPr="00310498">
              <w:t>0</w:t>
            </w:r>
            <w:r w:rsidRPr="00310498">
              <w:t>)</w:t>
            </w:r>
          </w:p>
        </w:tc>
        <w:tc>
          <w:tcPr>
            <w:tcW w:w="1154" w:type="dxa"/>
            <w:shd w:val="clear" w:color="auto" w:fill="auto"/>
            <w:tcMar>
              <w:left w:w="20" w:type="dxa"/>
              <w:right w:w="20" w:type="dxa"/>
            </w:tcMar>
            <w:vAlign w:val="center"/>
          </w:tcPr>
          <w:p w14:paraId="10EFA657" w14:textId="1A14AA76" w:rsidR="00260B5C" w:rsidRPr="00310498" w:rsidRDefault="00260B5C" w:rsidP="00C475D2">
            <w:pPr>
              <w:pStyle w:val="Tabletext"/>
              <w:keepNext/>
              <w:keepLines/>
              <w:jc w:val="center"/>
            </w:pPr>
            <w:r w:rsidRPr="00310498">
              <w:t>48 (20.2)</w:t>
            </w:r>
          </w:p>
        </w:tc>
        <w:tc>
          <w:tcPr>
            <w:tcW w:w="1154" w:type="dxa"/>
            <w:tcMar>
              <w:left w:w="20" w:type="dxa"/>
              <w:right w:w="20" w:type="dxa"/>
            </w:tcMar>
            <w:vAlign w:val="center"/>
          </w:tcPr>
          <w:p w14:paraId="37840D55" w14:textId="77777777" w:rsidR="00C475D2" w:rsidRPr="00310498" w:rsidRDefault="00260B5C" w:rsidP="00C475D2">
            <w:pPr>
              <w:pStyle w:val="Tabletext"/>
              <w:keepNext/>
              <w:keepLines/>
              <w:jc w:val="center"/>
            </w:pPr>
            <w:r w:rsidRPr="00310498">
              <w:t xml:space="preserve">0.95 </w:t>
            </w:r>
          </w:p>
          <w:p w14:paraId="54CD1891" w14:textId="7232C5DF" w:rsidR="00260B5C" w:rsidRPr="00310498" w:rsidRDefault="00260B5C" w:rsidP="00C475D2">
            <w:pPr>
              <w:pStyle w:val="Tabletext"/>
              <w:keepNext/>
              <w:keepLines/>
              <w:jc w:val="center"/>
            </w:pPr>
            <w:r w:rsidRPr="00310498">
              <w:t>(0.67</w:t>
            </w:r>
            <w:r w:rsidR="00A0075B">
              <w:t xml:space="preserve">, </w:t>
            </w:r>
            <w:r w:rsidRPr="00310498">
              <w:t>1.35)</w:t>
            </w:r>
          </w:p>
        </w:tc>
        <w:tc>
          <w:tcPr>
            <w:tcW w:w="1155" w:type="dxa"/>
          </w:tcPr>
          <w:p w14:paraId="7D72E972" w14:textId="08516236" w:rsidR="00260B5C" w:rsidRPr="00310498" w:rsidRDefault="00260B5C" w:rsidP="00C475D2">
            <w:pPr>
              <w:pStyle w:val="Tabletext"/>
              <w:keepNext/>
              <w:keepLines/>
              <w:jc w:val="center"/>
            </w:pPr>
            <w:r w:rsidRPr="00310498">
              <w:t>-0.01</w:t>
            </w:r>
            <w:r w:rsidRPr="00310498">
              <w:br/>
              <w:t>(-0.08,</w:t>
            </w:r>
            <w:r w:rsidR="00A0075B">
              <w:t xml:space="preserve"> </w:t>
            </w:r>
            <w:r w:rsidRPr="00310498">
              <w:t>0.06)</w:t>
            </w:r>
          </w:p>
        </w:tc>
      </w:tr>
      <w:tr w:rsidR="00FC7FA5" w:rsidRPr="00310498" w14:paraId="1ECE3F83" w14:textId="22B81433" w:rsidTr="00C475D2">
        <w:tc>
          <w:tcPr>
            <w:tcW w:w="9067" w:type="dxa"/>
            <w:gridSpan w:val="8"/>
          </w:tcPr>
          <w:p w14:paraId="0AEBAF30" w14:textId="69EC13F2" w:rsidR="00FC7FA5" w:rsidRPr="00310498" w:rsidRDefault="00FC7FA5" w:rsidP="00C475D2">
            <w:pPr>
              <w:pStyle w:val="Tabletext"/>
              <w:keepNext/>
              <w:keepLines/>
            </w:pPr>
            <w:r w:rsidRPr="00310498">
              <w:t>Metabolism and nutrition</w:t>
            </w:r>
          </w:p>
        </w:tc>
      </w:tr>
      <w:tr w:rsidR="00802A22" w:rsidRPr="00310498" w14:paraId="4076ADD6" w14:textId="0BCB4388" w:rsidTr="00C475D2">
        <w:tc>
          <w:tcPr>
            <w:tcW w:w="988" w:type="dxa"/>
            <w:shd w:val="clear" w:color="auto" w:fill="auto"/>
            <w:tcMar>
              <w:left w:w="20" w:type="dxa"/>
              <w:right w:w="20" w:type="dxa"/>
            </w:tcMar>
            <w:vAlign w:val="center"/>
          </w:tcPr>
          <w:p w14:paraId="69673C43" w14:textId="77777777" w:rsidR="00802A22" w:rsidRPr="00310498" w:rsidRDefault="00802A22" w:rsidP="00C475D2">
            <w:pPr>
              <w:pStyle w:val="Tabletext"/>
              <w:keepNext/>
              <w:keepLines/>
            </w:pPr>
            <w:r w:rsidRPr="00310498">
              <w:t>Decreased appetite</w:t>
            </w:r>
          </w:p>
        </w:tc>
        <w:tc>
          <w:tcPr>
            <w:tcW w:w="1154" w:type="dxa"/>
            <w:shd w:val="clear" w:color="auto" w:fill="auto"/>
            <w:tcMar>
              <w:left w:w="20" w:type="dxa"/>
              <w:right w:w="20" w:type="dxa"/>
            </w:tcMar>
            <w:vAlign w:val="center"/>
          </w:tcPr>
          <w:p w14:paraId="387FC59C" w14:textId="77777777" w:rsidR="00802A22" w:rsidRPr="00310498" w:rsidRDefault="00802A22" w:rsidP="00C475D2">
            <w:pPr>
              <w:pStyle w:val="Tabletext"/>
              <w:keepNext/>
              <w:keepLines/>
              <w:jc w:val="center"/>
            </w:pPr>
            <w:r w:rsidRPr="00310498">
              <w:t>46 (19.5)</w:t>
            </w:r>
          </w:p>
        </w:tc>
        <w:tc>
          <w:tcPr>
            <w:tcW w:w="1154" w:type="dxa"/>
            <w:shd w:val="clear" w:color="auto" w:fill="auto"/>
            <w:tcMar>
              <w:left w:w="20" w:type="dxa"/>
              <w:right w:w="20" w:type="dxa"/>
            </w:tcMar>
            <w:vAlign w:val="center"/>
          </w:tcPr>
          <w:p w14:paraId="18CCC166" w14:textId="77777777" w:rsidR="00802A22" w:rsidRPr="00310498" w:rsidRDefault="00802A22" w:rsidP="00C475D2">
            <w:pPr>
              <w:pStyle w:val="Tabletext"/>
              <w:keepNext/>
              <w:keepLines/>
              <w:jc w:val="center"/>
            </w:pPr>
            <w:r w:rsidRPr="00310498">
              <w:t>42 (17.9)</w:t>
            </w:r>
          </w:p>
        </w:tc>
        <w:tc>
          <w:tcPr>
            <w:tcW w:w="1154" w:type="dxa"/>
            <w:tcMar>
              <w:left w:w="20" w:type="dxa"/>
              <w:right w:w="20" w:type="dxa"/>
            </w:tcMar>
            <w:vAlign w:val="center"/>
          </w:tcPr>
          <w:p w14:paraId="231879EF" w14:textId="77777777" w:rsidR="00C475D2" w:rsidRPr="00310498" w:rsidRDefault="00802A22" w:rsidP="00C475D2">
            <w:pPr>
              <w:pStyle w:val="Tabletext"/>
              <w:keepNext/>
              <w:keepLines/>
              <w:jc w:val="center"/>
            </w:pPr>
            <w:r w:rsidRPr="00310498">
              <w:t xml:space="preserve">0.92 </w:t>
            </w:r>
          </w:p>
          <w:p w14:paraId="022423BA" w14:textId="10016516" w:rsidR="00802A22" w:rsidRPr="00310498" w:rsidRDefault="00802A22" w:rsidP="00C475D2">
            <w:pPr>
              <w:pStyle w:val="Tabletext"/>
              <w:keepNext/>
              <w:keepLines/>
              <w:jc w:val="center"/>
            </w:pPr>
            <w:r w:rsidRPr="00310498">
              <w:t>(0.63</w:t>
            </w:r>
            <w:r w:rsidR="00A0075B">
              <w:t xml:space="preserve">, </w:t>
            </w:r>
            <w:r w:rsidRPr="00310498">
              <w:t>1.34)</w:t>
            </w:r>
          </w:p>
        </w:tc>
        <w:tc>
          <w:tcPr>
            <w:tcW w:w="1154" w:type="dxa"/>
          </w:tcPr>
          <w:p w14:paraId="4A5CDD70" w14:textId="1F99BC04" w:rsidR="00802A22" w:rsidRPr="00310498" w:rsidRDefault="00260B5C" w:rsidP="00C475D2">
            <w:pPr>
              <w:pStyle w:val="Tabletext"/>
              <w:keepNext/>
              <w:keepLines/>
              <w:jc w:val="center"/>
            </w:pPr>
            <w:r w:rsidRPr="00310498">
              <w:t>-0.0</w:t>
            </w:r>
            <w:r w:rsidR="004F6112" w:rsidRPr="00310498">
              <w:t>2</w:t>
            </w:r>
            <w:r w:rsidRPr="00310498">
              <w:br/>
              <w:t>(-0.</w:t>
            </w:r>
            <w:r w:rsidR="004F6112" w:rsidRPr="00310498">
              <w:t>09</w:t>
            </w:r>
            <w:r w:rsidRPr="00310498">
              <w:t>,</w:t>
            </w:r>
            <w:r w:rsidR="00A0075B">
              <w:t xml:space="preserve"> </w:t>
            </w:r>
            <w:r w:rsidRPr="00310498">
              <w:t>0.0</w:t>
            </w:r>
            <w:r w:rsidR="004F6112" w:rsidRPr="00310498">
              <w:t>5</w:t>
            </w:r>
            <w:r w:rsidRPr="00310498">
              <w:t>)</w:t>
            </w:r>
          </w:p>
        </w:tc>
        <w:tc>
          <w:tcPr>
            <w:tcW w:w="1154" w:type="dxa"/>
            <w:shd w:val="clear" w:color="auto" w:fill="auto"/>
            <w:tcMar>
              <w:left w:w="20" w:type="dxa"/>
              <w:right w:w="20" w:type="dxa"/>
            </w:tcMar>
            <w:vAlign w:val="center"/>
          </w:tcPr>
          <w:p w14:paraId="3F7B367D" w14:textId="35925893" w:rsidR="00802A22" w:rsidRPr="00310498" w:rsidRDefault="00802A22" w:rsidP="00C475D2">
            <w:pPr>
              <w:pStyle w:val="Tabletext"/>
              <w:keepNext/>
              <w:keepLines/>
              <w:jc w:val="center"/>
            </w:pPr>
            <w:r w:rsidRPr="00310498">
              <w:t>55 (23.1)</w:t>
            </w:r>
          </w:p>
        </w:tc>
        <w:tc>
          <w:tcPr>
            <w:tcW w:w="1154" w:type="dxa"/>
            <w:tcMar>
              <w:left w:w="20" w:type="dxa"/>
              <w:right w:w="20" w:type="dxa"/>
            </w:tcMar>
            <w:vAlign w:val="center"/>
          </w:tcPr>
          <w:p w14:paraId="465E21E5" w14:textId="77777777" w:rsidR="00C475D2" w:rsidRPr="00310498" w:rsidRDefault="00802A22" w:rsidP="00C475D2">
            <w:pPr>
              <w:pStyle w:val="Tabletext"/>
              <w:keepNext/>
              <w:keepLines/>
              <w:jc w:val="center"/>
            </w:pPr>
            <w:r w:rsidRPr="00310498">
              <w:t xml:space="preserve">1.19 </w:t>
            </w:r>
          </w:p>
          <w:p w14:paraId="74E641C9" w14:textId="18235323" w:rsidR="00802A22" w:rsidRPr="00310498" w:rsidRDefault="00802A22" w:rsidP="00C475D2">
            <w:pPr>
              <w:pStyle w:val="Tabletext"/>
              <w:keepNext/>
              <w:keepLines/>
              <w:jc w:val="center"/>
            </w:pPr>
            <w:r w:rsidRPr="00310498">
              <w:t>(0.84</w:t>
            </w:r>
            <w:r w:rsidR="00A0075B">
              <w:t xml:space="preserve">, </w:t>
            </w:r>
            <w:r w:rsidRPr="00310498">
              <w:t>1.68)</w:t>
            </w:r>
          </w:p>
        </w:tc>
        <w:tc>
          <w:tcPr>
            <w:tcW w:w="1155" w:type="dxa"/>
          </w:tcPr>
          <w:p w14:paraId="0FEA70FB" w14:textId="353169E4" w:rsidR="00802A22" w:rsidRPr="00310498" w:rsidRDefault="00EC62A3" w:rsidP="00C475D2">
            <w:pPr>
              <w:pStyle w:val="Tabletext"/>
              <w:keepNext/>
              <w:keepLines/>
              <w:jc w:val="center"/>
            </w:pPr>
            <w:r w:rsidRPr="00310498">
              <w:t>0.0</w:t>
            </w:r>
            <w:r w:rsidR="000D28D9" w:rsidRPr="00310498">
              <w:t>4</w:t>
            </w:r>
            <w:r w:rsidRPr="00310498">
              <w:br/>
              <w:t>(</w:t>
            </w:r>
            <w:r w:rsidR="000D28D9" w:rsidRPr="00310498">
              <w:t>-</w:t>
            </w:r>
            <w:r w:rsidRPr="00310498">
              <w:t>0.0</w:t>
            </w:r>
            <w:r w:rsidR="000D28D9" w:rsidRPr="00310498">
              <w:t>4</w:t>
            </w:r>
            <w:r w:rsidRPr="00310498">
              <w:t>,</w:t>
            </w:r>
            <w:r w:rsidR="00A0075B">
              <w:t xml:space="preserve"> </w:t>
            </w:r>
            <w:r w:rsidRPr="00310498">
              <w:t>0.</w:t>
            </w:r>
            <w:r w:rsidR="000D28D9" w:rsidRPr="00310498">
              <w:t>11</w:t>
            </w:r>
            <w:r w:rsidRPr="00310498">
              <w:t>)</w:t>
            </w:r>
          </w:p>
        </w:tc>
      </w:tr>
    </w:tbl>
    <w:p w14:paraId="27FF34B7" w14:textId="77777777" w:rsidR="00E24B8A" w:rsidRPr="00310498" w:rsidRDefault="00E24B8A" w:rsidP="00D17A65">
      <w:pPr>
        <w:pStyle w:val="TableFigureFooter"/>
      </w:pPr>
      <w:r w:rsidRPr="00310498">
        <w:t>Source: Table 2.20, p87 of the submission</w:t>
      </w:r>
    </w:p>
    <w:p w14:paraId="23F7C149" w14:textId="301647A9" w:rsidR="0087320E" w:rsidRPr="00310498" w:rsidRDefault="00052D94" w:rsidP="00D17A65">
      <w:pPr>
        <w:pStyle w:val="TableFigureFooter"/>
      </w:pPr>
      <w:r w:rsidRPr="00310498">
        <w:t xml:space="preserve">durva = durvalumab; </w:t>
      </w:r>
      <w:r w:rsidR="00FC7FA5" w:rsidRPr="00310498">
        <w:t xml:space="preserve">ola = olaparib; </w:t>
      </w:r>
      <w:r w:rsidR="0041670E" w:rsidRPr="00310498">
        <w:t>PC = paclitaxel + carboplatin</w:t>
      </w:r>
      <w:r w:rsidR="0087320E" w:rsidRPr="00310498">
        <w:t xml:space="preserve">; </w:t>
      </w:r>
      <w:r w:rsidR="00A5601A" w:rsidRPr="00310498">
        <w:t xml:space="preserve">RD = risk difference; </w:t>
      </w:r>
      <w:r w:rsidR="0087320E" w:rsidRPr="00310498">
        <w:t>RR = relative risk; UTI = urinary tract infection</w:t>
      </w:r>
    </w:p>
    <w:p w14:paraId="72BEDF7D" w14:textId="77777777" w:rsidR="0087320E" w:rsidRPr="00310498" w:rsidRDefault="0087320E" w:rsidP="00D17A65">
      <w:pPr>
        <w:pStyle w:val="TableFigureFooter"/>
      </w:pPr>
      <w:r w:rsidRPr="00310498">
        <w:rPr>
          <w:b/>
          <w:bCs/>
        </w:rPr>
        <w:t>Bold</w:t>
      </w:r>
      <w:r w:rsidRPr="00310498">
        <w:t xml:space="preserve"> indicates values where the 95% CI for the relative risk did not include ‘1’.</w:t>
      </w:r>
    </w:p>
    <w:p w14:paraId="5F319AFA" w14:textId="357C4820" w:rsidR="0087320E" w:rsidRPr="00310498" w:rsidRDefault="0087320E" w:rsidP="0087320E">
      <w:pPr>
        <w:pStyle w:val="3-BodyText"/>
      </w:pPr>
      <w:r w:rsidRPr="00310498">
        <w:t xml:space="preserve">Treatment emergent AEs (TEAEs) classified as &gt; grade 3 reported in &gt; 2% of patients </w:t>
      </w:r>
      <w:r w:rsidR="00010D1A" w:rsidRPr="00310498">
        <w:t>were also reported in the submission</w:t>
      </w:r>
      <w:r w:rsidRPr="00310498">
        <w:t>.</w:t>
      </w:r>
      <w:r w:rsidR="00010D1A" w:rsidRPr="00310498">
        <w:t xml:space="preserve"> Relative risks calculated during the evaluation did not identify any even</w:t>
      </w:r>
      <w:r w:rsidR="00A63D7F" w:rsidRPr="00310498">
        <w:t>ts</w:t>
      </w:r>
      <w:r w:rsidR="00010D1A" w:rsidRPr="00310498">
        <w:t xml:space="preserve"> which may be different between treatment arms, though </w:t>
      </w:r>
      <w:r w:rsidR="00010D1A" w:rsidRPr="00310498">
        <w:lastRenderedPageBreak/>
        <w:t xml:space="preserve">the number of some events were very low (less than 10 instances) and the follow-up of DUO-E may not be long enough for some events to develop. </w:t>
      </w:r>
    </w:p>
    <w:p w14:paraId="657D880F" w14:textId="00AC84A2" w:rsidR="0087320E" w:rsidRPr="00310498" w:rsidRDefault="00010D1A" w:rsidP="00010D1A">
      <w:pPr>
        <w:pStyle w:val="3-BodyText"/>
      </w:pPr>
      <w:r w:rsidRPr="00310498">
        <w:t>S</w:t>
      </w:r>
      <w:r w:rsidR="0087320E" w:rsidRPr="00310498">
        <w:t>erious AEs (SAEs) occurring in &gt; 1% of patients in</w:t>
      </w:r>
      <w:r w:rsidRPr="00310498">
        <w:t xml:space="preserve"> DUO-E w</w:t>
      </w:r>
      <w:r w:rsidR="00A63D7F" w:rsidRPr="00310498">
        <w:t>ere</w:t>
      </w:r>
      <w:r w:rsidRPr="00310498">
        <w:t xml:space="preserve"> also reported</w:t>
      </w:r>
      <w:r w:rsidR="0087320E" w:rsidRPr="00310498">
        <w:t>.</w:t>
      </w:r>
      <w:r w:rsidRPr="00310498">
        <w:t xml:space="preserve"> Notably, there were more cases of anaemia reported in the PC arm (10/36, 4.2%) than in the durvalumab + PC arm (1/235, 0.4%) but not compared to the durvalumab + PC + olaparib arm (16/238, 6.7%). This could not be explained</w:t>
      </w:r>
      <w:r w:rsidR="000517DA" w:rsidRPr="00310498">
        <w:t xml:space="preserve"> and</w:t>
      </w:r>
      <w:r w:rsidRPr="00310498">
        <w:t>, as all three treatment arms received PC, there was no biological reason why the PC arm would have more anaemia even</w:t>
      </w:r>
      <w:r w:rsidR="008E77F3" w:rsidRPr="00310498">
        <w:t>t</w:t>
      </w:r>
      <w:r w:rsidRPr="00310498">
        <w:t xml:space="preserve">s than durvalumab + PC. </w:t>
      </w:r>
    </w:p>
    <w:p w14:paraId="4173CE0F" w14:textId="0FF8B1F9" w:rsidR="0087320E" w:rsidRPr="00310498" w:rsidRDefault="0087320E" w:rsidP="00010D1A">
      <w:pPr>
        <w:pStyle w:val="3-BodyText"/>
      </w:pPr>
      <w:r w:rsidRPr="00310498">
        <w:t>In the DUO-E overall</w:t>
      </w:r>
      <w:r w:rsidR="00010D1A" w:rsidRPr="00310498">
        <w:t xml:space="preserve"> population</w:t>
      </w:r>
      <w:r w:rsidRPr="00310498">
        <w:t>, immune-mediated AEs were similar in the durvalumab + PC and durvalumab + PC + olaparib arms</w:t>
      </w:r>
      <w:r w:rsidR="008E77F3" w:rsidRPr="00310498">
        <w:t>,</w:t>
      </w:r>
      <w:r w:rsidRPr="00310498">
        <w:t xml:space="preserve"> but were higher than in the PC arm. In the PC arm, the most frequent immune-mediated AE was dermatitis/rash (3.4%). In both the durvalumab + PC and durvalumab + PC + olaparib arms, the most frequent immune-mediated AE was hypothyroid events (14.5% and 11.8%, respectively), followed by dermatitis/rash (6.4% and 6.3%, respectively) and hepatic events (2.6% and 2.1%, respectively). Hyperthyroidism is a known durvalumab-related AE. The durvalumab PI reports that durvalumab as monotherapy is associated with a 10.1% rate of hyperthyroidism based on pooled data across multiple tumour types.</w:t>
      </w:r>
    </w:p>
    <w:p w14:paraId="29A58869" w14:textId="22B5F439" w:rsidR="0087320E" w:rsidRPr="00310498" w:rsidRDefault="00010D1A" w:rsidP="00D5253A">
      <w:pPr>
        <w:pStyle w:val="3-BodyText"/>
      </w:pPr>
      <w:r w:rsidRPr="00310498">
        <w:t xml:space="preserve">The submission claimed that, unlike efficacy, safety </w:t>
      </w:r>
      <w:r w:rsidR="007724A8" w:rsidRPr="00310498">
        <w:t xml:space="preserve">was </w:t>
      </w:r>
      <w:r w:rsidRPr="00310498">
        <w:t xml:space="preserve">not likely to differ between dMMR and </w:t>
      </w:r>
      <w:r w:rsidR="00FB45E5" w:rsidRPr="00310498">
        <w:t>pMMR</w:t>
      </w:r>
      <w:r w:rsidRPr="00310498">
        <w:t xml:space="preserve"> patient populations, which </w:t>
      </w:r>
      <w:r w:rsidR="00AC77F3" w:rsidRPr="00310498">
        <w:t xml:space="preserve">the evaluation considered </w:t>
      </w:r>
      <w:r w:rsidRPr="00310498">
        <w:t xml:space="preserve">was likely reasonable. </w:t>
      </w:r>
    </w:p>
    <w:p w14:paraId="18A47F22" w14:textId="1E87E641" w:rsidR="0087320E" w:rsidRPr="00310498" w:rsidRDefault="0087320E" w:rsidP="0087320E">
      <w:pPr>
        <w:pStyle w:val="3-BodyText"/>
      </w:pPr>
      <w:r w:rsidRPr="00310498">
        <w:t xml:space="preserve">Regarding safety, the TGA </w:t>
      </w:r>
      <w:r w:rsidR="00A31376" w:rsidRPr="00310498">
        <w:t xml:space="preserve">CER </w:t>
      </w:r>
      <w:r w:rsidRPr="00310498">
        <w:t>(round 1) reported:</w:t>
      </w:r>
    </w:p>
    <w:p w14:paraId="242E0478" w14:textId="3EDD35BD" w:rsidR="0087320E" w:rsidRPr="00310498" w:rsidRDefault="19DE82BC" w:rsidP="00EF628C">
      <w:pPr>
        <w:pStyle w:val="ListParagraph"/>
        <w:ind w:left="1134"/>
      </w:pPr>
      <w:r>
        <w:t xml:space="preserve">| | | | | </w:t>
      </w:r>
      <w:r w:rsidR="72237DF4">
        <w:t>| | | | |</w:t>
      </w:r>
      <w:r w:rsidR="39462414">
        <w:t>| | | | |</w:t>
      </w:r>
      <w:r w:rsidR="00A27FA9" w:rsidRPr="00A27FA9">
        <w:t xml:space="preserve"> </w:t>
      </w:r>
      <w:r w:rsidR="2821404C">
        <w:t>| | | | |</w:t>
      </w:r>
      <w:r w:rsidR="00A27FA9" w:rsidRPr="00A27FA9">
        <w:t xml:space="preserve"> </w:t>
      </w:r>
      <w:r w:rsidR="6CC03C12">
        <w:t>| | | | |</w:t>
      </w:r>
      <w:r w:rsidR="00A27FA9" w:rsidRPr="00A27FA9">
        <w:t xml:space="preserve"> </w:t>
      </w:r>
      <w:r w:rsidR="1DBE3A4D">
        <w:t>| | | | |</w:t>
      </w:r>
      <w:r w:rsidR="00A27FA9" w:rsidRPr="00A27FA9">
        <w:t xml:space="preserve"> </w:t>
      </w:r>
      <w:r w:rsidR="088F0B5F">
        <w:t>| | | | |</w:t>
      </w:r>
      <w:r w:rsidR="00A27FA9" w:rsidRPr="00A27FA9">
        <w:t xml:space="preserve"> </w:t>
      </w:r>
      <w:r w:rsidR="424353D5">
        <w:t>| | | | |</w:t>
      </w:r>
      <w:r w:rsidR="00A27FA9" w:rsidRPr="00A27FA9">
        <w:t xml:space="preserve"> </w:t>
      </w:r>
      <w:r w:rsidR="64714E15">
        <w:t>| | | | |</w:t>
      </w:r>
      <w:r w:rsidR="00A27FA9" w:rsidRPr="00A27FA9">
        <w:t xml:space="preserve"> </w:t>
      </w:r>
      <w:r w:rsidR="0B5238DD">
        <w:t>| | | | |</w:t>
      </w:r>
      <w:r w:rsidR="00A27FA9" w:rsidRPr="00A27FA9">
        <w:t xml:space="preserve"> </w:t>
      </w:r>
      <w:r w:rsidR="4A99E19B">
        <w:t>| | | | |</w:t>
      </w:r>
      <w:r w:rsidR="00A27FA9" w:rsidRPr="00A27FA9">
        <w:t xml:space="preserve"> </w:t>
      </w:r>
      <w:r w:rsidR="3621E586">
        <w:t>| | | | |</w:t>
      </w:r>
      <w:r w:rsidR="00A27FA9" w:rsidRPr="00A27FA9">
        <w:t xml:space="preserve"> </w:t>
      </w:r>
      <w:r w:rsidR="1B1A9022">
        <w:t>| | | | |</w:t>
      </w:r>
      <w:r w:rsidR="00A27FA9" w:rsidRPr="00A27FA9">
        <w:t xml:space="preserve"> </w:t>
      </w:r>
      <w:r w:rsidR="619C77F4">
        <w:t>| | | | |</w:t>
      </w:r>
      <w:r w:rsidR="00A27FA9" w:rsidRPr="00A27FA9">
        <w:t xml:space="preserve"> </w:t>
      </w:r>
      <w:r w:rsidR="7B6BCD3A">
        <w:t>| | | | |</w:t>
      </w:r>
      <w:r w:rsidR="00A27FA9" w:rsidRPr="00A27FA9">
        <w:t xml:space="preserve"> </w:t>
      </w:r>
      <w:r w:rsidR="5354E822">
        <w:t>| | | | |</w:t>
      </w:r>
      <w:r w:rsidR="00A27FA9" w:rsidRPr="00A27FA9">
        <w:t xml:space="preserve"> </w:t>
      </w:r>
      <w:r w:rsidR="0A3C2B62">
        <w:t>| | | | |</w:t>
      </w:r>
      <w:r w:rsidR="00A27FA9" w:rsidRPr="00A27FA9">
        <w:t xml:space="preserve"> </w:t>
      </w:r>
      <w:r w:rsidR="298841C2">
        <w:t>| | | | |</w:t>
      </w:r>
      <w:r w:rsidR="00A27FA9" w:rsidRPr="00A27FA9">
        <w:t xml:space="preserve"> </w:t>
      </w:r>
      <w:r w:rsidR="63D5DE4C">
        <w:t>| | | | |</w:t>
      </w:r>
      <w:r w:rsidR="00A27FA9" w:rsidRPr="00A27FA9">
        <w:t xml:space="preserve"> </w:t>
      </w:r>
      <w:r w:rsidR="77E1EC28">
        <w:t>| | | | |</w:t>
      </w:r>
      <w:r w:rsidR="00A27FA9" w:rsidRPr="00A27FA9">
        <w:t xml:space="preserve"> </w:t>
      </w:r>
      <w:r w:rsidR="711F133E">
        <w:t>| | | | |</w:t>
      </w:r>
      <w:r w:rsidR="00A27FA9" w:rsidRPr="00A27FA9">
        <w:t xml:space="preserve"> </w:t>
      </w:r>
      <w:r w:rsidR="47C8F8C7">
        <w:t>| | | | |</w:t>
      </w:r>
      <w:r w:rsidR="00A27FA9" w:rsidRPr="00A27FA9">
        <w:t xml:space="preserve"> </w:t>
      </w:r>
      <w:r w:rsidR="53CDE97F">
        <w:t>| | | | |</w:t>
      </w:r>
      <w:r w:rsidR="00A27FA9" w:rsidRPr="00A27FA9">
        <w:t xml:space="preserve"> </w:t>
      </w:r>
      <w:r w:rsidR="1E3460B1">
        <w:t>| | | | |</w:t>
      </w:r>
      <w:r w:rsidR="00A27FA9" w:rsidRPr="00A27FA9">
        <w:t xml:space="preserve"> </w:t>
      </w:r>
      <w:r w:rsidR="05DBF7B8">
        <w:t>| | | | |</w:t>
      </w:r>
      <w:r w:rsidR="00A27FA9" w:rsidRPr="00A27FA9">
        <w:t xml:space="preserve"> </w:t>
      </w:r>
      <w:r w:rsidR="39EBEB88">
        <w:t>| | | | |</w:t>
      </w:r>
      <w:r w:rsidR="00A27FA9" w:rsidRPr="00A27FA9">
        <w:t xml:space="preserve"> </w:t>
      </w:r>
      <w:r w:rsidR="7EFB4DCD">
        <w:t>| | | | |</w:t>
      </w:r>
      <w:r w:rsidR="385D6B88">
        <w:t>| | | | |</w:t>
      </w:r>
      <w:r w:rsidR="0067038A">
        <w:t xml:space="preserve"> </w:t>
      </w:r>
      <w:bookmarkStart w:id="55" w:name="_Ref196738243"/>
      <w:r w:rsidR="0067038A">
        <w:rPr>
          <w:rStyle w:val="FootnoteReference"/>
        </w:rPr>
        <w:footnoteReference w:id="8"/>
      </w:r>
      <w:bookmarkEnd w:id="55"/>
    </w:p>
    <w:p w14:paraId="146E3967" w14:textId="72F01A9F" w:rsidR="0087320E" w:rsidRPr="00310498" w:rsidRDefault="1818F8D2" w:rsidP="7EE24840">
      <w:pPr>
        <w:pStyle w:val="ListParagraph"/>
        <w:ind w:left="1134"/>
        <w:jc w:val="both"/>
      </w:pPr>
      <w:r>
        <w:t>| | | | | | | | | || | | | | | | | | | | | | | | | | | | |</w:t>
      </w:r>
      <w:r w:rsidR="00A27FA9" w:rsidRPr="00A27FA9">
        <w:t xml:space="preserve">  </w:t>
      </w:r>
      <w:r w:rsidR="4964A42E">
        <w:t>| | | | | | | | | || | | | | | | | | | | | | | | | | | | |</w:t>
      </w:r>
      <w:r w:rsidR="00A27FA9" w:rsidRPr="00A27FA9">
        <w:t xml:space="preserve">  </w:t>
      </w:r>
      <w:r w:rsidR="55A46918">
        <w:t>| | | | | | | | | || | | | | | | | | | | | | | | | | | | |</w:t>
      </w:r>
      <w:r w:rsidR="00A27FA9" w:rsidRPr="00A27FA9">
        <w:t xml:space="preserve">  </w:t>
      </w:r>
      <w:r w:rsidR="44C211A0">
        <w:t>| | | | | | | | | || | | | | | | | | | | | | | | | | | | |</w:t>
      </w:r>
      <w:r w:rsidR="00A27FA9" w:rsidRPr="00A27FA9">
        <w:t xml:space="preserve">  </w:t>
      </w:r>
      <w:r w:rsidR="7687B013">
        <w:t>| | | | | | | | | || | | | | | | | | | | | | | | | | | | |</w:t>
      </w:r>
      <w:r w:rsidR="00E37105">
        <w:t xml:space="preserve"> </w:t>
      </w:r>
      <w:r w:rsidR="005C11C4" w:rsidRPr="005C11C4">
        <w:rPr>
          <w:vertAlign w:val="superscript"/>
        </w:rPr>
        <w:fldChar w:fldCharType="begin" w:fldLock="1"/>
      </w:r>
      <w:r w:rsidR="005C11C4" w:rsidRPr="005C11C4">
        <w:rPr>
          <w:vertAlign w:val="superscript"/>
        </w:rPr>
        <w:instrText xml:space="preserve"> NOTEREF _Ref196738243 \h  \* MERGEFORMAT </w:instrText>
      </w:r>
      <w:r w:rsidR="005C11C4" w:rsidRPr="005C11C4">
        <w:rPr>
          <w:vertAlign w:val="superscript"/>
        </w:rPr>
      </w:r>
      <w:r w:rsidR="005C11C4" w:rsidRPr="005C11C4">
        <w:rPr>
          <w:vertAlign w:val="superscript"/>
        </w:rPr>
        <w:fldChar w:fldCharType="separate"/>
      </w:r>
      <w:r w:rsidR="005C11C4" w:rsidRPr="005C11C4">
        <w:rPr>
          <w:vertAlign w:val="superscript"/>
        </w:rPr>
        <w:t>7</w:t>
      </w:r>
      <w:r w:rsidR="005C11C4" w:rsidRPr="005C11C4">
        <w:rPr>
          <w:vertAlign w:val="superscript"/>
        </w:rPr>
        <w:fldChar w:fldCharType="end"/>
      </w:r>
    </w:p>
    <w:p w14:paraId="017F98EE" w14:textId="0F5B6774" w:rsidR="00485DF5" w:rsidRPr="00310498" w:rsidRDefault="00485DF5" w:rsidP="00010D1A">
      <w:pPr>
        <w:pStyle w:val="3-BodyText"/>
      </w:pPr>
      <w:r w:rsidRPr="00310498">
        <w:t>A summary of TEAEs and the corresponding ITC results for durvalumab + PC vs dostarlimab + PC are presented in</w:t>
      </w:r>
      <w:r w:rsidR="00010D1A" w:rsidRPr="00310498">
        <w:t xml:space="preserve"> </w:t>
      </w:r>
      <w:r w:rsidR="00010D1A" w:rsidRPr="00310498">
        <w:fldChar w:fldCharType="begin" w:fldLock="1"/>
      </w:r>
      <w:r w:rsidR="00010D1A" w:rsidRPr="00310498">
        <w:instrText xml:space="preserve"> REF _Ref174981039 \h </w:instrText>
      </w:r>
      <w:r w:rsidR="00944CE7" w:rsidRPr="00310498">
        <w:instrText xml:space="preserve"> \* MERGEFORMAT </w:instrText>
      </w:r>
      <w:r w:rsidR="00010D1A" w:rsidRPr="00310498">
        <w:fldChar w:fldCharType="separate"/>
      </w:r>
      <w:r w:rsidR="002C52D8" w:rsidRPr="00310498">
        <w:t xml:space="preserve">Table </w:t>
      </w:r>
      <w:r w:rsidR="002C52D8">
        <w:rPr>
          <w:noProof/>
        </w:rPr>
        <w:t>15</w:t>
      </w:r>
      <w:r w:rsidR="00010D1A" w:rsidRPr="00310498">
        <w:fldChar w:fldCharType="end"/>
      </w:r>
      <w:r w:rsidRPr="00310498">
        <w:t xml:space="preserve"> for DUO-E and RUBY (using data from the safety analysis populations in both trials).</w:t>
      </w:r>
      <w:r w:rsidR="00AC3C61" w:rsidRPr="00310498">
        <w:t xml:space="preserve"> </w:t>
      </w:r>
      <w:r w:rsidR="00AC77F3" w:rsidRPr="00310498">
        <w:t>The evaluation noted that a</w:t>
      </w:r>
      <w:r w:rsidR="00AC3C61" w:rsidRPr="00310498">
        <w:t>s with the ITC results for comparative effectiveness, it was difficult to interpret the comparative safety from the ITC due to small sample sizes and wide confidence intervals. However</w:t>
      </w:r>
      <w:r w:rsidR="0029700E" w:rsidRPr="00310498">
        <w:t>,</w:t>
      </w:r>
      <w:r w:rsidR="00AC3C61" w:rsidRPr="00310498">
        <w:t xml:space="preserve"> there may be some biological plausibility in dostarlimab and durvalumab having a similar safety profile given the similarities in mechanism of action. </w:t>
      </w:r>
    </w:p>
    <w:p w14:paraId="171A9C75" w14:textId="6BB85C3D" w:rsidR="00485DF5" w:rsidRPr="00310498" w:rsidRDefault="00485DF5" w:rsidP="00E24B8A">
      <w:pPr>
        <w:pStyle w:val="Caption"/>
        <w:rPr>
          <w:noProof/>
        </w:rPr>
      </w:pPr>
      <w:bookmarkStart w:id="56" w:name="_Ref174981039"/>
      <w:r w:rsidRPr="00310498">
        <w:lastRenderedPageBreak/>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15</w:t>
      </w:r>
      <w:r w:rsidR="00F267A0" w:rsidRPr="00310498">
        <w:rPr>
          <w:noProof/>
        </w:rPr>
        <w:fldChar w:fldCharType="end"/>
      </w:r>
      <w:bookmarkEnd w:id="56"/>
      <w:r w:rsidRPr="00310498">
        <w:rPr>
          <w:noProof/>
        </w:rPr>
        <w:t>:</w:t>
      </w:r>
      <w:r w:rsidRPr="00310498">
        <w:rPr>
          <w:noProof/>
        </w:rPr>
        <w:tab/>
        <w:t xml:space="preserve"> Summary of adverse events DUO-E and RUBY</w:t>
      </w:r>
    </w:p>
    <w:tbl>
      <w:tblPr>
        <w:tblStyle w:val="TableGrid4"/>
        <w:tblW w:w="5264" w:type="pct"/>
        <w:tblLayout w:type="fixed"/>
        <w:tblLook w:val="04A0" w:firstRow="1" w:lastRow="0" w:firstColumn="1" w:lastColumn="0" w:noHBand="0" w:noVBand="1"/>
      </w:tblPr>
      <w:tblGrid>
        <w:gridCol w:w="1409"/>
        <w:gridCol w:w="853"/>
        <w:gridCol w:w="853"/>
        <w:gridCol w:w="995"/>
        <w:gridCol w:w="990"/>
        <w:gridCol w:w="853"/>
        <w:gridCol w:w="992"/>
        <w:gridCol w:w="1329"/>
        <w:gridCol w:w="1243"/>
      </w:tblGrid>
      <w:tr w:rsidR="00932230" w:rsidRPr="00310498" w14:paraId="4A58D83A" w14:textId="23FF35EC" w:rsidTr="00A0075B">
        <w:trPr>
          <w:trHeight w:val="283"/>
          <w:tblHeader/>
        </w:trPr>
        <w:tc>
          <w:tcPr>
            <w:tcW w:w="741" w:type="pct"/>
            <w:vMerge w:val="restart"/>
            <w:shd w:val="clear" w:color="auto" w:fill="auto"/>
            <w:tcMar>
              <w:left w:w="20" w:type="dxa"/>
              <w:right w:w="20" w:type="dxa"/>
            </w:tcMar>
            <w:vAlign w:val="center"/>
          </w:tcPr>
          <w:p w14:paraId="72F0FE9B" w14:textId="0222A024" w:rsidR="00932230" w:rsidRPr="00310498" w:rsidRDefault="00932230" w:rsidP="00E24B8A">
            <w:pPr>
              <w:pStyle w:val="In-tableHeading"/>
              <w:rPr>
                <w:sz w:val="20"/>
                <w:szCs w:val="20"/>
                <w:lang w:val="en-AU"/>
              </w:rPr>
            </w:pPr>
            <w:r w:rsidRPr="00310498">
              <w:rPr>
                <w:sz w:val="20"/>
                <w:szCs w:val="20"/>
                <w:lang w:val="en-AU"/>
              </w:rPr>
              <w:t>Summary of TEAEs</w:t>
            </w:r>
          </w:p>
        </w:tc>
        <w:tc>
          <w:tcPr>
            <w:tcW w:w="1419" w:type="pct"/>
            <w:gridSpan w:val="3"/>
            <w:shd w:val="clear" w:color="auto" w:fill="auto"/>
            <w:tcMar>
              <w:left w:w="20" w:type="dxa"/>
              <w:right w:w="20" w:type="dxa"/>
            </w:tcMar>
            <w:vAlign w:val="center"/>
          </w:tcPr>
          <w:p w14:paraId="22647E4D" w14:textId="77777777" w:rsidR="00932230" w:rsidRPr="00310498" w:rsidRDefault="00932230" w:rsidP="00E24B8A">
            <w:pPr>
              <w:pStyle w:val="In-tableHeading"/>
              <w:jc w:val="center"/>
              <w:rPr>
                <w:sz w:val="20"/>
                <w:szCs w:val="20"/>
                <w:lang w:val="en-AU"/>
              </w:rPr>
            </w:pPr>
            <w:r w:rsidRPr="00310498">
              <w:rPr>
                <w:sz w:val="20"/>
                <w:szCs w:val="20"/>
                <w:lang w:val="en-AU"/>
              </w:rPr>
              <w:t>DUO-E</w:t>
            </w:r>
          </w:p>
        </w:tc>
        <w:tc>
          <w:tcPr>
            <w:tcW w:w="1489" w:type="pct"/>
            <w:gridSpan w:val="3"/>
            <w:shd w:val="clear" w:color="auto" w:fill="auto"/>
            <w:tcMar>
              <w:left w:w="20" w:type="dxa"/>
              <w:right w:w="20" w:type="dxa"/>
            </w:tcMar>
            <w:vAlign w:val="center"/>
          </w:tcPr>
          <w:p w14:paraId="044E271E" w14:textId="77777777" w:rsidR="00932230" w:rsidRPr="00310498" w:rsidRDefault="00932230" w:rsidP="00E24B8A">
            <w:pPr>
              <w:pStyle w:val="In-tableHeading"/>
              <w:jc w:val="center"/>
              <w:rPr>
                <w:sz w:val="20"/>
                <w:szCs w:val="20"/>
                <w:lang w:val="en-AU"/>
              </w:rPr>
            </w:pPr>
            <w:r w:rsidRPr="00310498">
              <w:rPr>
                <w:sz w:val="20"/>
                <w:szCs w:val="20"/>
                <w:lang w:val="en-AU"/>
              </w:rPr>
              <w:t>RUBY</w:t>
            </w:r>
          </w:p>
        </w:tc>
        <w:tc>
          <w:tcPr>
            <w:tcW w:w="698" w:type="pct"/>
            <w:vMerge w:val="restart"/>
            <w:shd w:val="clear" w:color="auto" w:fill="auto"/>
            <w:tcMar>
              <w:left w:w="20" w:type="dxa"/>
              <w:right w:w="20" w:type="dxa"/>
            </w:tcMar>
            <w:vAlign w:val="center"/>
          </w:tcPr>
          <w:p w14:paraId="453F66E4" w14:textId="77777777" w:rsidR="00932230" w:rsidRPr="00310498" w:rsidRDefault="00932230" w:rsidP="00E24B8A">
            <w:pPr>
              <w:pStyle w:val="In-tableHeading"/>
              <w:jc w:val="center"/>
              <w:rPr>
                <w:sz w:val="20"/>
                <w:szCs w:val="20"/>
                <w:lang w:val="en-AU"/>
              </w:rPr>
            </w:pPr>
            <w:r w:rsidRPr="00310498">
              <w:rPr>
                <w:sz w:val="20"/>
                <w:szCs w:val="20"/>
                <w:lang w:val="en-AU"/>
              </w:rPr>
              <w:t>ITC of DUO-E vs RUBY</w:t>
            </w:r>
          </w:p>
          <w:p w14:paraId="2C5B0D20" w14:textId="77777777" w:rsidR="00932230" w:rsidRPr="00310498" w:rsidRDefault="00932230" w:rsidP="00E24B8A">
            <w:pPr>
              <w:pStyle w:val="In-tableHeading"/>
              <w:jc w:val="center"/>
              <w:rPr>
                <w:sz w:val="20"/>
                <w:szCs w:val="20"/>
                <w:lang w:val="en-AU"/>
              </w:rPr>
            </w:pPr>
            <w:r w:rsidRPr="00310498">
              <w:rPr>
                <w:sz w:val="20"/>
                <w:szCs w:val="20"/>
                <w:lang w:val="en-AU"/>
              </w:rPr>
              <w:t>RR (95% CI)</w:t>
            </w:r>
          </w:p>
          <w:p w14:paraId="3C13455D" w14:textId="7322EDBD" w:rsidR="00932230" w:rsidRPr="00310498" w:rsidRDefault="00932230" w:rsidP="00E24B8A">
            <w:pPr>
              <w:pStyle w:val="In-tableHeading"/>
              <w:jc w:val="center"/>
              <w:rPr>
                <w:lang w:val="en-AU"/>
              </w:rPr>
            </w:pPr>
            <w:r w:rsidRPr="00310498">
              <w:rPr>
                <w:sz w:val="20"/>
                <w:szCs w:val="20"/>
                <w:lang w:val="en-AU"/>
              </w:rPr>
              <w:t>&lt;1 favours durva + PC</w:t>
            </w:r>
          </w:p>
        </w:tc>
        <w:tc>
          <w:tcPr>
            <w:tcW w:w="653" w:type="pct"/>
            <w:vMerge w:val="restart"/>
            <w:vAlign w:val="center"/>
          </w:tcPr>
          <w:p w14:paraId="30E8EE76" w14:textId="1DD02E50" w:rsidR="00932230" w:rsidRPr="00310498" w:rsidRDefault="00932230" w:rsidP="00E24B8A">
            <w:pPr>
              <w:pStyle w:val="In-tableHeading"/>
              <w:jc w:val="center"/>
              <w:rPr>
                <w:sz w:val="20"/>
                <w:szCs w:val="20"/>
                <w:lang w:val="en-AU"/>
              </w:rPr>
            </w:pPr>
            <w:r w:rsidRPr="00310498">
              <w:rPr>
                <w:sz w:val="20"/>
                <w:szCs w:val="20"/>
                <w:lang w:val="en-AU"/>
              </w:rPr>
              <w:t xml:space="preserve">durva + PC </w:t>
            </w:r>
            <w:r w:rsidR="005A0AD9" w:rsidRPr="00310498">
              <w:rPr>
                <w:sz w:val="20"/>
                <w:szCs w:val="20"/>
                <w:lang w:val="en-AU"/>
              </w:rPr>
              <w:t>vs</w:t>
            </w:r>
            <w:r w:rsidRPr="00310498">
              <w:rPr>
                <w:sz w:val="20"/>
                <w:szCs w:val="20"/>
                <w:lang w:val="en-AU"/>
              </w:rPr>
              <w:t xml:space="preserve"> </w:t>
            </w:r>
            <w:r w:rsidR="00A0075B">
              <w:rPr>
                <w:sz w:val="20"/>
                <w:szCs w:val="20"/>
                <w:lang w:val="en-AU"/>
              </w:rPr>
              <w:br/>
            </w:r>
            <w:r w:rsidR="005A0AD9" w:rsidRPr="00310498">
              <w:rPr>
                <w:sz w:val="20"/>
                <w:szCs w:val="20"/>
                <w:lang w:val="en-AU"/>
              </w:rPr>
              <w:t>dostar +</w:t>
            </w:r>
            <w:r w:rsidRPr="00310498">
              <w:rPr>
                <w:sz w:val="20"/>
                <w:szCs w:val="20"/>
                <w:lang w:val="en-AU"/>
              </w:rPr>
              <w:t xml:space="preserve"> PC</w:t>
            </w:r>
          </w:p>
          <w:p w14:paraId="10C456C9" w14:textId="1E076C3D" w:rsidR="00932230" w:rsidRPr="00310498" w:rsidRDefault="00932230" w:rsidP="00E24B8A">
            <w:pPr>
              <w:pStyle w:val="In-tableHeading"/>
              <w:jc w:val="center"/>
              <w:rPr>
                <w:szCs w:val="20"/>
                <w:lang w:val="en-AU"/>
              </w:rPr>
            </w:pPr>
            <w:r w:rsidRPr="00310498">
              <w:rPr>
                <w:sz w:val="20"/>
                <w:szCs w:val="20"/>
                <w:lang w:val="en-AU"/>
              </w:rPr>
              <w:t>RD (95%</w:t>
            </w:r>
            <w:r w:rsidR="005A0AD9" w:rsidRPr="00310498">
              <w:rPr>
                <w:sz w:val="20"/>
                <w:szCs w:val="20"/>
                <w:lang w:val="en-AU"/>
              </w:rPr>
              <w:t xml:space="preserve"> </w:t>
            </w:r>
            <w:r w:rsidRPr="00310498">
              <w:rPr>
                <w:sz w:val="20"/>
                <w:szCs w:val="20"/>
                <w:lang w:val="en-AU"/>
              </w:rPr>
              <w:t>CI)</w:t>
            </w:r>
            <w:r w:rsidR="005A0AD9" w:rsidRPr="00310498">
              <w:rPr>
                <w:sz w:val="20"/>
                <w:szCs w:val="20"/>
                <w:vertAlign w:val="superscript"/>
                <w:lang w:val="en-AU"/>
              </w:rPr>
              <w:t>a</w:t>
            </w:r>
          </w:p>
        </w:tc>
      </w:tr>
      <w:tr w:rsidR="00932230" w:rsidRPr="00310498" w14:paraId="4D4B8AE1" w14:textId="1DEE2307" w:rsidTr="00A0075B">
        <w:trPr>
          <w:trHeight w:val="490"/>
        </w:trPr>
        <w:tc>
          <w:tcPr>
            <w:tcW w:w="741" w:type="pct"/>
            <w:vMerge/>
            <w:shd w:val="clear" w:color="auto" w:fill="auto"/>
            <w:tcMar>
              <w:left w:w="20" w:type="dxa"/>
              <w:right w:w="20" w:type="dxa"/>
            </w:tcMar>
            <w:vAlign w:val="center"/>
          </w:tcPr>
          <w:p w14:paraId="4D6C01EF" w14:textId="77777777" w:rsidR="00932230" w:rsidRPr="00310498" w:rsidRDefault="00932230" w:rsidP="00E24B8A">
            <w:pPr>
              <w:pStyle w:val="In-tableHeading"/>
              <w:rPr>
                <w:sz w:val="20"/>
                <w:szCs w:val="20"/>
                <w:lang w:val="en-AU"/>
              </w:rPr>
            </w:pPr>
          </w:p>
        </w:tc>
        <w:tc>
          <w:tcPr>
            <w:tcW w:w="448" w:type="pct"/>
            <w:shd w:val="clear" w:color="auto" w:fill="auto"/>
            <w:tcMar>
              <w:left w:w="20" w:type="dxa"/>
              <w:right w:w="20" w:type="dxa"/>
            </w:tcMar>
            <w:vAlign w:val="center"/>
          </w:tcPr>
          <w:p w14:paraId="439317FF" w14:textId="77777777" w:rsidR="00932230" w:rsidRPr="00310498" w:rsidRDefault="00932230" w:rsidP="00E24B8A">
            <w:pPr>
              <w:pStyle w:val="In-tableHeading"/>
              <w:jc w:val="center"/>
              <w:rPr>
                <w:sz w:val="20"/>
                <w:szCs w:val="20"/>
                <w:lang w:val="en-AU"/>
              </w:rPr>
            </w:pPr>
            <w:r w:rsidRPr="00310498">
              <w:rPr>
                <w:sz w:val="20"/>
                <w:szCs w:val="20"/>
                <w:lang w:val="en-AU"/>
              </w:rPr>
              <w:t>durva + PC</w:t>
            </w:r>
          </w:p>
          <w:p w14:paraId="424EB64A" w14:textId="77777777" w:rsidR="00A300AD" w:rsidRPr="00310498" w:rsidRDefault="00932230" w:rsidP="00E24B8A">
            <w:pPr>
              <w:pStyle w:val="In-tableHeading"/>
              <w:jc w:val="center"/>
              <w:rPr>
                <w:sz w:val="20"/>
                <w:szCs w:val="20"/>
                <w:lang w:val="en-AU"/>
              </w:rPr>
            </w:pPr>
            <w:r w:rsidRPr="00310498">
              <w:rPr>
                <w:sz w:val="20"/>
                <w:szCs w:val="20"/>
                <w:lang w:val="en-AU"/>
              </w:rPr>
              <w:t>(N=44)</w:t>
            </w:r>
            <w:r w:rsidR="00A300AD" w:rsidRPr="00310498">
              <w:rPr>
                <w:sz w:val="20"/>
                <w:szCs w:val="20"/>
                <w:lang w:val="en-AU"/>
              </w:rPr>
              <w:t xml:space="preserve">, </w:t>
            </w:r>
          </w:p>
          <w:p w14:paraId="7D0C7A3C" w14:textId="07F44D86" w:rsidR="00932230" w:rsidRPr="00310498" w:rsidRDefault="00A300AD" w:rsidP="00E24B8A">
            <w:pPr>
              <w:pStyle w:val="In-tableHeading"/>
              <w:jc w:val="center"/>
              <w:rPr>
                <w:sz w:val="20"/>
                <w:szCs w:val="20"/>
                <w:lang w:val="en-AU"/>
              </w:rPr>
            </w:pPr>
            <w:r w:rsidRPr="00310498">
              <w:rPr>
                <w:sz w:val="20"/>
                <w:szCs w:val="20"/>
                <w:lang w:val="en-AU"/>
              </w:rPr>
              <w:t>n (%)</w:t>
            </w:r>
          </w:p>
        </w:tc>
        <w:tc>
          <w:tcPr>
            <w:tcW w:w="448" w:type="pct"/>
            <w:shd w:val="clear" w:color="auto" w:fill="auto"/>
            <w:tcMar>
              <w:left w:w="20" w:type="dxa"/>
              <w:right w:w="20" w:type="dxa"/>
            </w:tcMar>
            <w:vAlign w:val="center"/>
          </w:tcPr>
          <w:p w14:paraId="62BA3F83" w14:textId="77777777" w:rsidR="00932230" w:rsidRPr="00310498" w:rsidRDefault="00932230" w:rsidP="00E24B8A">
            <w:pPr>
              <w:pStyle w:val="In-tableHeading"/>
              <w:jc w:val="center"/>
              <w:rPr>
                <w:sz w:val="20"/>
                <w:szCs w:val="20"/>
                <w:lang w:val="en-AU"/>
              </w:rPr>
            </w:pPr>
            <w:r w:rsidRPr="00310498">
              <w:rPr>
                <w:sz w:val="20"/>
                <w:szCs w:val="20"/>
                <w:lang w:val="en-AU"/>
              </w:rPr>
              <w:t>PC</w:t>
            </w:r>
          </w:p>
          <w:p w14:paraId="7080940C" w14:textId="778A75E6" w:rsidR="00932230" w:rsidRPr="00310498" w:rsidRDefault="00932230" w:rsidP="00E24B8A">
            <w:pPr>
              <w:pStyle w:val="In-tableHeading"/>
              <w:jc w:val="center"/>
              <w:rPr>
                <w:sz w:val="20"/>
                <w:szCs w:val="20"/>
                <w:lang w:val="en-AU"/>
              </w:rPr>
            </w:pPr>
            <w:r w:rsidRPr="00310498">
              <w:rPr>
                <w:sz w:val="20"/>
                <w:szCs w:val="20"/>
                <w:lang w:val="en-AU"/>
              </w:rPr>
              <w:t>(N=46)</w:t>
            </w:r>
            <w:r w:rsidR="00F267A0" w:rsidRPr="00310498">
              <w:rPr>
                <w:sz w:val="20"/>
                <w:szCs w:val="20"/>
                <w:lang w:val="en-AU"/>
              </w:rPr>
              <w:t>,</w:t>
            </w:r>
          </w:p>
          <w:p w14:paraId="1E237E33" w14:textId="332BE192" w:rsidR="00A300AD" w:rsidRPr="00310498" w:rsidRDefault="00A300AD" w:rsidP="00E24B8A">
            <w:pPr>
              <w:pStyle w:val="In-tableHeading"/>
              <w:jc w:val="center"/>
              <w:rPr>
                <w:sz w:val="20"/>
                <w:szCs w:val="20"/>
                <w:lang w:val="en-AU"/>
              </w:rPr>
            </w:pPr>
            <w:r w:rsidRPr="00310498">
              <w:rPr>
                <w:sz w:val="20"/>
                <w:szCs w:val="20"/>
                <w:lang w:val="en-AU"/>
              </w:rPr>
              <w:t>n (%)</w:t>
            </w:r>
          </w:p>
        </w:tc>
        <w:tc>
          <w:tcPr>
            <w:tcW w:w="522" w:type="pct"/>
            <w:shd w:val="clear" w:color="auto" w:fill="auto"/>
            <w:tcMar>
              <w:left w:w="20" w:type="dxa"/>
              <w:right w:w="20" w:type="dxa"/>
            </w:tcMar>
            <w:vAlign w:val="center"/>
          </w:tcPr>
          <w:p w14:paraId="5B0248E2" w14:textId="3D7E6CB1" w:rsidR="00932230" w:rsidRPr="00310498" w:rsidRDefault="00932230" w:rsidP="00E24B8A">
            <w:pPr>
              <w:pStyle w:val="In-tableHeading"/>
              <w:jc w:val="center"/>
              <w:rPr>
                <w:sz w:val="20"/>
                <w:szCs w:val="20"/>
                <w:lang w:val="en-AU"/>
              </w:rPr>
            </w:pPr>
            <w:r w:rsidRPr="00310498">
              <w:rPr>
                <w:sz w:val="20"/>
                <w:szCs w:val="20"/>
                <w:lang w:val="en-AU"/>
              </w:rPr>
              <w:t>Within trial RR (95% CI)</w:t>
            </w:r>
          </w:p>
        </w:tc>
        <w:tc>
          <w:tcPr>
            <w:tcW w:w="520" w:type="pct"/>
            <w:shd w:val="clear" w:color="auto" w:fill="auto"/>
            <w:tcMar>
              <w:left w:w="20" w:type="dxa"/>
              <w:right w:w="20" w:type="dxa"/>
            </w:tcMar>
            <w:vAlign w:val="center"/>
          </w:tcPr>
          <w:p w14:paraId="01B2D9BA" w14:textId="77777777" w:rsidR="00932230" w:rsidRPr="00310498" w:rsidRDefault="00932230" w:rsidP="00E24B8A">
            <w:pPr>
              <w:pStyle w:val="In-tableHeading"/>
              <w:jc w:val="center"/>
              <w:rPr>
                <w:sz w:val="20"/>
                <w:szCs w:val="20"/>
                <w:lang w:val="en-AU"/>
              </w:rPr>
            </w:pPr>
            <w:r w:rsidRPr="00310498">
              <w:rPr>
                <w:sz w:val="20"/>
                <w:szCs w:val="20"/>
                <w:lang w:val="en-AU"/>
              </w:rPr>
              <w:t>dostar + PC</w:t>
            </w:r>
          </w:p>
          <w:p w14:paraId="68FD09EA" w14:textId="07F6D3B7" w:rsidR="00932230" w:rsidRPr="00310498" w:rsidRDefault="00932230" w:rsidP="00E24B8A">
            <w:pPr>
              <w:pStyle w:val="In-tableHeading"/>
              <w:jc w:val="center"/>
              <w:rPr>
                <w:sz w:val="20"/>
                <w:szCs w:val="20"/>
                <w:lang w:val="en-AU"/>
              </w:rPr>
            </w:pPr>
            <w:r w:rsidRPr="00310498">
              <w:rPr>
                <w:sz w:val="20"/>
                <w:szCs w:val="20"/>
                <w:lang w:val="en-AU"/>
              </w:rPr>
              <w:t>(N=52)</w:t>
            </w:r>
            <w:r w:rsidR="00F267A0" w:rsidRPr="00310498">
              <w:rPr>
                <w:sz w:val="20"/>
                <w:szCs w:val="20"/>
                <w:lang w:val="en-AU"/>
              </w:rPr>
              <w:t>,</w:t>
            </w:r>
          </w:p>
          <w:p w14:paraId="45575CF5" w14:textId="4B41BE9D" w:rsidR="00A300AD" w:rsidRPr="00310498" w:rsidRDefault="00A300AD" w:rsidP="00E24B8A">
            <w:pPr>
              <w:pStyle w:val="In-tableHeading"/>
              <w:jc w:val="center"/>
              <w:rPr>
                <w:sz w:val="20"/>
                <w:szCs w:val="20"/>
                <w:lang w:val="en-AU"/>
              </w:rPr>
            </w:pPr>
            <w:r w:rsidRPr="00310498">
              <w:rPr>
                <w:sz w:val="20"/>
                <w:szCs w:val="20"/>
                <w:lang w:val="en-AU"/>
              </w:rPr>
              <w:t>n (%)</w:t>
            </w:r>
          </w:p>
        </w:tc>
        <w:tc>
          <w:tcPr>
            <w:tcW w:w="448" w:type="pct"/>
            <w:shd w:val="clear" w:color="auto" w:fill="auto"/>
            <w:tcMar>
              <w:left w:w="20" w:type="dxa"/>
              <w:right w:w="20" w:type="dxa"/>
            </w:tcMar>
            <w:vAlign w:val="center"/>
          </w:tcPr>
          <w:p w14:paraId="4395F92D" w14:textId="77777777" w:rsidR="00932230" w:rsidRPr="00310498" w:rsidRDefault="00932230" w:rsidP="00E24B8A">
            <w:pPr>
              <w:pStyle w:val="In-tableHeading"/>
              <w:jc w:val="center"/>
              <w:rPr>
                <w:sz w:val="20"/>
                <w:szCs w:val="20"/>
                <w:lang w:val="en-AU"/>
              </w:rPr>
            </w:pPr>
            <w:r w:rsidRPr="00310498">
              <w:rPr>
                <w:sz w:val="20"/>
                <w:szCs w:val="20"/>
                <w:lang w:val="en-AU"/>
              </w:rPr>
              <w:t>PC</w:t>
            </w:r>
          </w:p>
          <w:p w14:paraId="4E3B2476" w14:textId="36ED24F7" w:rsidR="00932230" w:rsidRPr="00310498" w:rsidRDefault="00932230" w:rsidP="00E24B8A">
            <w:pPr>
              <w:pStyle w:val="In-tableHeading"/>
              <w:jc w:val="center"/>
              <w:rPr>
                <w:sz w:val="20"/>
                <w:szCs w:val="20"/>
                <w:lang w:val="en-AU"/>
              </w:rPr>
            </w:pPr>
            <w:r w:rsidRPr="00310498">
              <w:rPr>
                <w:sz w:val="20"/>
                <w:szCs w:val="20"/>
                <w:lang w:val="en-AU"/>
              </w:rPr>
              <w:t>(N=65)</w:t>
            </w:r>
            <w:r w:rsidR="00F267A0" w:rsidRPr="00310498">
              <w:rPr>
                <w:sz w:val="20"/>
                <w:szCs w:val="20"/>
                <w:lang w:val="en-AU"/>
              </w:rPr>
              <w:t>,</w:t>
            </w:r>
          </w:p>
          <w:p w14:paraId="6B84F97A" w14:textId="36A923DE" w:rsidR="00A300AD" w:rsidRPr="00310498" w:rsidRDefault="00A300AD" w:rsidP="00E24B8A">
            <w:pPr>
              <w:pStyle w:val="In-tableHeading"/>
              <w:jc w:val="center"/>
              <w:rPr>
                <w:sz w:val="20"/>
                <w:szCs w:val="20"/>
                <w:lang w:val="en-AU"/>
              </w:rPr>
            </w:pPr>
            <w:r w:rsidRPr="00310498">
              <w:rPr>
                <w:sz w:val="20"/>
                <w:szCs w:val="20"/>
                <w:lang w:val="en-AU"/>
              </w:rPr>
              <w:t>n (%)</w:t>
            </w:r>
          </w:p>
        </w:tc>
        <w:tc>
          <w:tcPr>
            <w:tcW w:w="521" w:type="pct"/>
            <w:shd w:val="clear" w:color="auto" w:fill="auto"/>
            <w:tcMar>
              <w:left w:w="20" w:type="dxa"/>
              <w:right w:w="20" w:type="dxa"/>
            </w:tcMar>
            <w:vAlign w:val="center"/>
          </w:tcPr>
          <w:p w14:paraId="6763BE1F" w14:textId="77777777" w:rsidR="00932230" w:rsidRPr="00310498" w:rsidRDefault="00932230" w:rsidP="00E24B8A">
            <w:pPr>
              <w:pStyle w:val="In-tableHeading"/>
              <w:jc w:val="center"/>
              <w:rPr>
                <w:sz w:val="20"/>
                <w:szCs w:val="20"/>
                <w:lang w:val="en-AU"/>
              </w:rPr>
            </w:pPr>
            <w:r w:rsidRPr="00310498">
              <w:rPr>
                <w:sz w:val="20"/>
                <w:szCs w:val="20"/>
                <w:lang w:val="en-AU"/>
              </w:rPr>
              <w:t>Within trial RR</w:t>
            </w:r>
          </w:p>
          <w:p w14:paraId="78818E64" w14:textId="77777777" w:rsidR="00932230" w:rsidRPr="00310498" w:rsidRDefault="00932230" w:rsidP="00E24B8A">
            <w:pPr>
              <w:pStyle w:val="In-tableHeading"/>
              <w:jc w:val="center"/>
              <w:rPr>
                <w:sz w:val="20"/>
                <w:szCs w:val="20"/>
                <w:lang w:val="en-AU"/>
              </w:rPr>
            </w:pPr>
            <w:r w:rsidRPr="00310498">
              <w:rPr>
                <w:sz w:val="20"/>
                <w:szCs w:val="20"/>
                <w:lang w:val="en-AU"/>
              </w:rPr>
              <w:t>(95% CI)</w:t>
            </w:r>
          </w:p>
        </w:tc>
        <w:tc>
          <w:tcPr>
            <w:tcW w:w="698" w:type="pct"/>
            <w:vMerge/>
            <w:shd w:val="clear" w:color="auto" w:fill="auto"/>
            <w:tcMar>
              <w:left w:w="20" w:type="dxa"/>
              <w:right w:w="20" w:type="dxa"/>
            </w:tcMar>
            <w:vAlign w:val="center"/>
          </w:tcPr>
          <w:p w14:paraId="1D407815" w14:textId="77777777" w:rsidR="00932230" w:rsidRPr="00310498" w:rsidRDefault="00932230" w:rsidP="00E24B8A">
            <w:pPr>
              <w:pStyle w:val="In-tableHeading"/>
              <w:jc w:val="center"/>
              <w:rPr>
                <w:lang w:val="en-AU"/>
              </w:rPr>
            </w:pPr>
          </w:p>
        </w:tc>
        <w:tc>
          <w:tcPr>
            <w:tcW w:w="653" w:type="pct"/>
            <w:vMerge/>
            <w:vAlign w:val="center"/>
          </w:tcPr>
          <w:p w14:paraId="53C2784B" w14:textId="77777777" w:rsidR="00932230" w:rsidRPr="00310498" w:rsidRDefault="00932230" w:rsidP="00E24B8A">
            <w:pPr>
              <w:pStyle w:val="In-tableHeading"/>
              <w:jc w:val="center"/>
              <w:rPr>
                <w:lang w:val="en-AU"/>
              </w:rPr>
            </w:pPr>
          </w:p>
        </w:tc>
      </w:tr>
      <w:tr w:rsidR="00044C94" w:rsidRPr="00310498" w14:paraId="55CC6AD7" w14:textId="7325CA24" w:rsidTr="00A0075B">
        <w:trPr>
          <w:trHeight w:val="203"/>
        </w:trPr>
        <w:tc>
          <w:tcPr>
            <w:tcW w:w="741" w:type="pct"/>
            <w:shd w:val="clear" w:color="auto" w:fill="auto"/>
            <w:tcMar>
              <w:left w:w="20" w:type="dxa"/>
              <w:right w:w="20" w:type="dxa"/>
            </w:tcMar>
            <w:vAlign w:val="center"/>
          </w:tcPr>
          <w:p w14:paraId="661BBDFE" w14:textId="77777777" w:rsidR="0042535C" w:rsidRPr="00310498" w:rsidRDefault="0042535C" w:rsidP="00E24B8A">
            <w:pPr>
              <w:pStyle w:val="Tabletext"/>
              <w:keepNext/>
            </w:pPr>
            <w:r w:rsidRPr="00310498">
              <w:t>Any TEAE</w:t>
            </w:r>
          </w:p>
        </w:tc>
        <w:tc>
          <w:tcPr>
            <w:tcW w:w="448" w:type="pct"/>
            <w:shd w:val="clear" w:color="auto" w:fill="auto"/>
            <w:tcMar>
              <w:left w:w="20" w:type="dxa"/>
              <w:right w:w="20" w:type="dxa"/>
            </w:tcMar>
            <w:vAlign w:val="center"/>
          </w:tcPr>
          <w:p w14:paraId="51549476" w14:textId="77777777" w:rsidR="0042535C" w:rsidRPr="00310498" w:rsidRDefault="0042535C" w:rsidP="00E24B8A">
            <w:pPr>
              <w:pStyle w:val="Tabletext"/>
              <w:keepNext/>
              <w:jc w:val="center"/>
            </w:pPr>
            <w:r w:rsidRPr="00310498">
              <w:t>44 (100)</w:t>
            </w:r>
          </w:p>
        </w:tc>
        <w:tc>
          <w:tcPr>
            <w:tcW w:w="448" w:type="pct"/>
            <w:shd w:val="clear" w:color="auto" w:fill="auto"/>
            <w:tcMar>
              <w:left w:w="20" w:type="dxa"/>
              <w:right w:w="20" w:type="dxa"/>
            </w:tcMar>
            <w:vAlign w:val="center"/>
          </w:tcPr>
          <w:p w14:paraId="34D04EE1" w14:textId="77777777" w:rsidR="0042535C" w:rsidRPr="00310498" w:rsidRDefault="0042535C" w:rsidP="00E24B8A">
            <w:pPr>
              <w:pStyle w:val="Tabletext"/>
              <w:keepNext/>
              <w:jc w:val="center"/>
            </w:pPr>
            <w:r w:rsidRPr="00310498">
              <w:t>46 (100)</w:t>
            </w:r>
          </w:p>
        </w:tc>
        <w:tc>
          <w:tcPr>
            <w:tcW w:w="522" w:type="pct"/>
            <w:shd w:val="clear" w:color="auto" w:fill="auto"/>
            <w:tcMar>
              <w:left w:w="20" w:type="dxa"/>
              <w:right w:w="20" w:type="dxa"/>
            </w:tcMar>
            <w:vAlign w:val="center"/>
          </w:tcPr>
          <w:p w14:paraId="366EE9AD" w14:textId="77777777" w:rsidR="0042535C" w:rsidRPr="00310498" w:rsidRDefault="0042535C" w:rsidP="00E24B8A">
            <w:pPr>
              <w:pStyle w:val="Tabletext"/>
              <w:keepNext/>
              <w:jc w:val="center"/>
            </w:pPr>
            <w:r w:rsidRPr="00310498">
              <w:t>1.00</w:t>
            </w:r>
          </w:p>
          <w:p w14:paraId="580766D1" w14:textId="77777777" w:rsidR="0042535C" w:rsidRPr="00310498" w:rsidRDefault="0042535C" w:rsidP="00E24B8A">
            <w:pPr>
              <w:pStyle w:val="Tabletext"/>
              <w:keepNext/>
              <w:jc w:val="center"/>
            </w:pPr>
            <w:r w:rsidRPr="00310498">
              <w:t>(0.96, 1.04)</w:t>
            </w:r>
          </w:p>
        </w:tc>
        <w:tc>
          <w:tcPr>
            <w:tcW w:w="520" w:type="pct"/>
            <w:shd w:val="clear" w:color="auto" w:fill="auto"/>
            <w:tcMar>
              <w:left w:w="20" w:type="dxa"/>
              <w:right w:w="20" w:type="dxa"/>
            </w:tcMar>
            <w:vAlign w:val="center"/>
          </w:tcPr>
          <w:p w14:paraId="2F003904" w14:textId="77777777" w:rsidR="0042535C" w:rsidRPr="00310498" w:rsidRDefault="0042535C" w:rsidP="00E24B8A">
            <w:pPr>
              <w:pStyle w:val="Tabletext"/>
              <w:keepNext/>
              <w:jc w:val="center"/>
            </w:pPr>
            <w:r w:rsidRPr="00310498">
              <w:t>52 (100)</w:t>
            </w:r>
          </w:p>
        </w:tc>
        <w:tc>
          <w:tcPr>
            <w:tcW w:w="448" w:type="pct"/>
            <w:shd w:val="clear" w:color="auto" w:fill="auto"/>
            <w:tcMar>
              <w:left w:w="20" w:type="dxa"/>
              <w:right w:w="20" w:type="dxa"/>
            </w:tcMar>
            <w:vAlign w:val="center"/>
          </w:tcPr>
          <w:p w14:paraId="3698272B" w14:textId="77777777" w:rsidR="0042535C" w:rsidRPr="00310498" w:rsidRDefault="0042535C" w:rsidP="00E24B8A">
            <w:pPr>
              <w:pStyle w:val="Tabletext"/>
              <w:keepNext/>
              <w:jc w:val="center"/>
            </w:pPr>
            <w:r w:rsidRPr="00310498">
              <w:t>65 (100)</w:t>
            </w:r>
          </w:p>
        </w:tc>
        <w:tc>
          <w:tcPr>
            <w:tcW w:w="521" w:type="pct"/>
            <w:shd w:val="clear" w:color="auto" w:fill="auto"/>
            <w:tcMar>
              <w:left w:w="20" w:type="dxa"/>
              <w:right w:w="20" w:type="dxa"/>
            </w:tcMar>
            <w:vAlign w:val="center"/>
          </w:tcPr>
          <w:p w14:paraId="062378DD" w14:textId="77777777" w:rsidR="0042535C" w:rsidRPr="00310498" w:rsidRDefault="0042535C" w:rsidP="00E24B8A">
            <w:pPr>
              <w:pStyle w:val="Tabletext"/>
              <w:keepNext/>
              <w:jc w:val="center"/>
            </w:pPr>
            <w:r w:rsidRPr="00310498">
              <w:t>1.00</w:t>
            </w:r>
          </w:p>
          <w:p w14:paraId="19E05A67" w14:textId="77777777" w:rsidR="0042535C" w:rsidRPr="00310498" w:rsidRDefault="0042535C" w:rsidP="00E24B8A">
            <w:pPr>
              <w:pStyle w:val="Tabletext"/>
              <w:keepNext/>
              <w:jc w:val="center"/>
            </w:pPr>
            <w:r w:rsidRPr="00310498">
              <w:t>(0.97, 1.03)</w:t>
            </w:r>
          </w:p>
        </w:tc>
        <w:tc>
          <w:tcPr>
            <w:tcW w:w="698" w:type="pct"/>
            <w:shd w:val="clear" w:color="auto" w:fill="auto"/>
            <w:tcMar>
              <w:left w:w="20" w:type="dxa"/>
              <w:right w:w="20" w:type="dxa"/>
            </w:tcMar>
            <w:vAlign w:val="center"/>
          </w:tcPr>
          <w:p w14:paraId="4EF8EA06" w14:textId="77777777" w:rsidR="0042535C" w:rsidRPr="00310498" w:rsidRDefault="0042535C" w:rsidP="00E24B8A">
            <w:pPr>
              <w:pStyle w:val="Tabletext"/>
              <w:keepNext/>
              <w:jc w:val="center"/>
            </w:pPr>
            <w:r w:rsidRPr="00310498">
              <w:t>1.00</w:t>
            </w:r>
          </w:p>
          <w:p w14:paraId="3E36C265" w14:textId="07C21DB9" w:rsidR="0042535C" w:rsidRPr="00310498" w:rsidRDefault="0042535C" w:rsidP="00E24B8A">
            <w:pPr>
              <w:pStyle w:val="Tabletext"/>
              <w:keepNext/>
              <w:jc w:val="center"/>
            </w:pPr>
            <w:r w:rsidRPr="00310498">
              <w:t>(0.95, 1.05)</w:t>
            </w:r>
          </w:p>
        </w:tc>
        <w:tc>
          <w:tcPr>
            <w:tcW w:w="653" w:type="pct"/>
            <w:vAlign w:val="center"/>
          </w:tcPr>
          <w:p w14:paraId="0BC8CA0E" w14:textId="7A53E521" w:rsidR="0042535C" w:rsidRPr="00310498" w:rsidRDefault="0042535C" w:rsidP="00E24B8A">
            <w:pPr>
              <w:pStyle w:val="Tabletext"/>
              <w:keepNext/>
              <w:jc w:val="center"/>
            </w:pPr>
            <w:r w:rsidRPr="00310498">
              <w:t>0.0</w:t>
            </w:r>
            <w:r w:rsidRPr="00310498">
              <w:br/>
              <w:t>(0.0,</w:t>
            </w:r>
            <w:r w:rsidR="00A0075B">
              <w:t xml:space="preserve"> </w:t>
            </w:r>
            <w:r w:rsidRPr="00310498">
              <w:t>0.0)</w:t>
            </w:r>
          </w:p>
        </w:tc>
      </w:tr>
      <w:tr w:rsidR="00044C94" w:rsidRPr="00310498" w14:paraId="3D1B6E86" w14:textId="0728F783" w:rsidTr="00A0075B">
        <w:trPr>
          <w:trHeight w:val="137"/>
        </w:trPr>
        <w:tc>
          <w:tcPr>
            <w:tcW w:w="741" w:type="pct"/>
            <w:shd w:val="clear" w:color="auto" w:fill="auto"/>
            <w:tcMar>
              <w:left w:w="20" w:type="dxa"/>
              <w:right w:w="20" w:type="dxa"/>
            </w:tcMar>
            <w:vAlign w:val="center"/>
          </w:tcPr>
          <w:p w14:paraId="1E2BA541" w14:textId="77777777" w:rsidR="0042535C" w:rsidRPr="00310498" w:rsidRDefault="0042535C" w:rsidP="00E24B8A">
            <w:pPr>
              <w:pStyle w:val="Tabletext"/>
              <w:keepNext/>
            </w:pPr>
            <w:r w:rsidRPr="00310498">
              <w:t>Drug-related TEAE</w:t>
            </w:r>
          </w:p>
        </w:tc>
        <w:tc>
          <w:tcPr>
            <w:tcW w:w="448" w:type="pct"/>
            <w:shd w:val="clear" w:color="auto" w:fill="auto"/>
            <w:tcMar>
              <w:left w:w="20" w:type="dxa"/>
              <w:right w:w="20" w:type="dxa"/>
            </w:tcMar>
            <w:vAlign w:val="center"/>
          </w:tcPr>
          <w:p w14:paraId="0B6F7EB7" w14:textId="77777777" w:rsidR="0042535C" w:rsidRPr="00310498" w:rsidRDefault="0042535C" w:rsidP="00E24B8A">
            <w:pPr>
              <w:pStyle w:val="Tabletext"/>
              <w:keepNext/>
              <w:jc w:val="center"/>
            </w:pPr>
            <w:r w:rsidRPr="00310498">
              <w:t>42 (95.5)</w:t>
            </w:r>
          </w:p>
        </w:tc>
        <w:tc>
          <w:tcPr>
            <w:tcW w:w="448" w:type="pct"/>
            <w:shd w:val="clear" w:color="auto" w:fill="auto"/>
            <w:tcMar>
              <w:left w:w="20" w:type="dxa"/>
              <w:right w:w="20" w:type="dxa"/>
            </w:tcMar>
            <w:vAlign w:val="center"/>
          </w:tcPr>
          <w:p w14:paraId="4F5CECA0" w14:textId="77777777" w:rsidR="0042535C" w:rsidRPr="00310498" w:rsidRDefault="0042535C" w:rsidP="00E24B8A">
            <w:pPr>
              <w:pStyle w:val="Tabletext"/>
              <w:keepNext/>
              <w:jc w:val="center"/>
            </w:pPr>
            <w:r w:rsidRPr="00310498">
              <w:t>44 (95.7)</w:t>
            </w:r>
          </w:p>
        </w:tc>
        <w:tc>
          <w:tcPr>
            <w:tcW w:w="522" w:type="pct"/>
            <w:shd w:val="clear" w:color="auto" w:fill="auto"/>
            <w:tcMar>
              <w:left w:w="20" w:type="dxa"/>
              <w:right w:w="20" w:type="dxa"/>
            </w:tcMar>
            <w:vAlign w:val="center"/>
          </w:tcPr>
          <w:p w14:paraId="3AEE8E2B" w14:textId="77777777" w:rsidR="0042535C" w:rsidRPr="00310498" w:rsidRDefault="0042535C" w:rsidP="00E24B8A">
            <w:pPr>
              <w:pStyle w:val="Tabletext"/>
              <w:keepNext/>
              <w:jc w:val="center"/>
            </w:pPr>
            <w:r w:rsidRPr="00310498">
              <w:t>1.00</w:t>
            </w:r>
          </w:p>
          <w:p w14:paraId="6CD0CB81" w14:textId="77777777" w:rsidR="0042535C" w:rsidRPr="00310498" w:rsidRDefault="0042535C" w:rsidP="00E24B8A">
            <w:pPr>
              <w:pStyle w:val="Tabletext"/>
              <w:keepNext/>
              <w:jc w:val="center"/>
            </w:pPr>
            <w:r w:rsidRPr="00310498">
              <w:t>(0.91, 1.09)</w:t>
            </w:r>
          </w:p>
        </w:tc>
        <w:tc>
          <w:tcPr>
            <w:tcW w:w="520" w:type="pct"/>
            <w:shd w:val="clear" w:color="auto" w:fill="auto"/>
            <w:tcMar>
              <w:left w:w="20" w:type="dxa"/>
              <w:right w:w="20" w:type="dxa"/>
            </w:tcMar>
            <w:vAlign w:val="center"/>
          </w:tcPr>
          <w:p w14:paraId="211C036F" w14:textId="77777777" w:rsidR="0042535C" w:rsidRPr="00310498" w:rsidRDefault="0042535C" w:rsidP="00E24B8A">
            <w:pPr>
              <w:pStyle w:val="Tabletext"/>
              <w:keepNext/>
              <w:jc w:val="center"/>
            </w:pPr>
            <w:r w:rsidRPr="00310498">
              <w:t>52 (100)</w:t>
            </w:r>
          </w:p>
        </w:tc>
        <w:tc>
          <w:tcPr>
            <w:tcW w:w="448" w:type="pct"/>
            <w:shd w:val="clear" w:color="auto" w:fill="auto"/>
            <w:tcMar>
              <w:left w:w="20" w:type="dxa"/>
              <w:right w:w="20" w:type="dxa"/>
            </w:tcMar>
            <w:vAlign w:val="center"/>
          </w:tcPr>
          <w:p w14:paraId="4ABC7EA2" w14:textId="77777777" w:rsidR="0042535C" w:rsidRPr="00310498" w:rsidRDefault="0042535C" w:rsidP="00E24B8A">
            <w:pPr>
              <w:pStyle w:val="Tabletext"/>
              <w:keepNext/>
              <w:jc w:val="center"/>
            </w:pPr>
            <w:r w:rsidRPr="00310498">
              <w:t>65 (100)</w:t>
            </w:r>
          </w:p>
        </w:tc>
        <w:tc>
          <w:tcPr>
            <w:tcW w:w="521" w:type="pct"/>
            <w:shd w:val="clear" w:color="auto" w:fill="auto"/>
            <w:tcMar>
              <w:left w:w="20" w:type="dxa"/>
              <w:right w:w="20" w:type="dxa"/>
            </w:tcMar>
            <w:vAlign w:val="center"/>
          </w:tcPr>
          <w:p w14:paraId="3C52E75E" w14:textId="77777777" w:rsidR="0042535C" w:rsidRPr="00310498" w:rsidRDefault="0042535C" w:rsidP="00E24B8A">
            <w:pPr>
              <w:pStyle w:val="Tabletext"/>
              <w:keepNext/>
              <w:jc w:val="center"/>
            </w:pPr>
            <w:r w:rsidRPr="00310498">
              <w:t>1.00</w:t>
            </w:r>
          </w:p>
          <w:p w14:paraId="5382C4CF" w14:textId="77777777" w:rsidR="0042535C" w:rsidRPr="00310498" w:rsidRDefault="0042535C" w:rsidP="00E24B8A">
            <w:pPr>
              <w:pStyle w:val="Tabletext"/>
              <w:keepNext/>
              <w:jc w:val="center"/>
            </w:pPr>
            <w:r w:rsidRPr="00310498">
              <w:t>(0.97, 1.03)</w:t>
            </w:r>
          </w:p>
        </w:tc>
        <w:tc>
          <w:tcPr>
            <w:tcW w:w="698" w:type="pct"/>
            <w:shd w:val="clear" w:color="auto" w:fill="auto"/>
            <w:tcMar>
              <w:left w:w="20" w:type="dxa"/>
              <w:right w:w="20" w:type="dxa"/>
            </w:tcMar>
            <w:vAlign w:val="center"/>
          </w:tcPr>
          <w:p w14:paraId="5AC513DC" w14:textId="77777777" w:rsidR="0042535C" w:rsidRPr="00310498" w:rsidRDefault="0042535C" w:rsidP="00E24B8A">
            <w:pPr>
              <w:pStyle w:val="Tabletext"/>
              <w:keepNext/>
              <w:jc w:val="center"/>
            </w:pPr>
            <w:r w:rsidRPr="00310498">
              <w:t>1.00</w:t>
            </w:r>
          </w:p>
          <w:p w14:paraId="5597D6E2" w14:textId="4A34E63C" w:rsidR="0042535C" w:rsidRPr="00310498" w:rsidRDefault="0042535C" w:rsidP="00E24B8A">
            <w:pPr>
              <w:pStyle w:val="Tabletext"/>
              <w:keepNext/>
              <w:jc w:val="center"/>
            </w:pPr>
            <w:r w:rsidRPr="00310498">
              <w:t>(0.9</w:t>
            </w:r>
            <w:r w:rsidR="00A0075B">
              <w:t>1</w:t>
            </w:r>
            <w:r w:rsidRPr="00310498">
              <w:t>, 1.1)</w:t>
            </w:r>
          </w:p>
        </w:tc>
        <w:tc>
          <w:tcPr>
            <w:tcW w:w="653" w:type="pct"/>
            <w:vAlign w:val="center"/>
          </w:tcPr>
          <w:p w14:paraId="49AC1922" w14:textId="7F8A2270" w:rsidR="0042535C" w:rsidRPr="00310498" w:rsidRDefault="0042535C" w:rsidP="00E24B8A">
            <w:pPr>
              <w:pStyle w:val="Tabletext"/>
              <w:keepNext/>
              <w:jc w:val="center"/>
            </w:pPr>
            <w:r w:rsidRPr="00310498">
              <w:t xml:space="preserve">-0.05 </w:t>
            </w:r>
            <w:r w:rsidRPr="00310498">
              <w:br/>
              <w:t>(-0.11,</w:t>
            </w:r>
            <w:r w:rsidR="00A0075B">
              <w:t xml:space="preserve"> </w:t>
            </w:r>
            <w:r w:rsidRPr="00310498">
              <w:t>0.02)</w:t>
            </w:r>
          </w:p>
        </w:tc>
      </w:tr>
      <w:tr w:rsidR="00044C94" w:rsidRPr="00310498" w14:paraId="5F7A3A0B" w14:textId="4C2BBC77" w:rsidTr="00A0075B">
        <w:trPr>
          <w:trHeight w:val="143"/>
        </w:trPr>
        <w:tc>
          <w:tcPr>
            <w:tcW w:w="741" w:type="pct"/>
            <w:shd w:val="clear" w:color="auto" w:fill="auto"/>
            <w:tcMar>
              <w:left w:w="20" w:type="dxa"/>
              <w:right w:w="20" w:type="dxa"/>
            </w:tcMar>
            <w:vAlign w:val="center"/>
          </w:tcPr>
          <w:p w14:paraId="606BDD06" w14:textId="77777777" w:rsidR="0042535C" w:rsidRPr="00310498" w:rsidRDefault="0042535C" w:rsidP="00E24B8A">
            <w:pPr>
              <w:pStyle w:val="Tabletext"/>
              <w:keepNext/>
            </w:pPr>
            <w:r w:rsidRPr="00310498">
              <w:t>Any Grade ≥3 TEAE</w:t>
            </w:r>
          </w:p>
        </w:tc>
        <w:tc>
          <w:tcPr>
            <w:tcW w:w="448" w:type="pct"/>
            <w:shd w:val="clear" w:color="auto" w:fill="auto"/>
            <w:tcMar>
              <w:left w:w="20" w:type="dxa"/>
              <w:right w:w="20" w:type="dxa"/>
            </w:tcMar>
            <w:vAlign w:val="center"/>
          </w:tcPr>
          <w:p w14:paraId="250B20EC" w14:textId="77777777" w:rsidR="0042535C" w:rsidRPr="00310498" w:rsidRDefault="0042535C" w:rsidP="00E24B8A">
            <w:pPr>
              <w:pStyle w:val="Tabletext"/>
              <w:keepNext/>
              <w:jc w:val="center"/>
            </w:pPr>
            <w:r w:rsidRPr="00310498">
              <w:t>23 (52.3)</w:t>
            </w:r>
          </w:p>
        </w:tc>
        <w:tc>
          <w:tcPr>
            <w:tcW w:w="448" w:type="pct"/>
            <w:shd w:val="clear" w:color="auto" w:fill="auto"/>
            <w:tcMar>
              <w:left w:w="20" w:type="dxa"/>
              <w:right w:w="20" w:type="dxa"/>
            </w:tcMar>
            <w:vAlign w:val="center"/>
          </w:tcPr>
          <w:p w14:paraId="36FACD3C" w14:textId="77777777" w:rsidR="0042535C" w:rsidRPr="00310498" w:rsidRDefault="0042535C" w:rsidP="00E24B8A">
            <w:pPr>
              <w:pStyle w:val="Tabletext"/>
              <w:keepNext/>
              <w:jc w:val="center"/>
            </w:pPr>
            <w:r w:rsidRPr="00310498">
              <w:t>29 (63.0)</w:t>
            </w:r>
          </w:p>
        </w:tc>
        <w:tc>
          <w:tcPr>
            <w:tcW w:w="522" w:type="pct"/>
            <w:shd w:val="clear" w:color="auto" w:fill="auto"/>
            <w:tcMar>
              <w:left w:w="20" w:type="dxa"/>
              <w:right w:w="20" w:type="dxa"/>
            </w:tcMar>
            <w:vAlign w:val="center"/>
          </w:tcPr>
          <w:p w14:paraId="4EA045EC" w14:textId="77777777" w:rsidR="0042535C" w:rsidRPr="00310498" w:rsidRDefault="0042535C" w:rsidP="00E24B8A">
            <w:pPr>
              <w:pStyle w:val="Tabletext"/>
              <w:keepNext/>
              <w:jc w:val="center"/>
            </w:pPr>
            <w:r w:rsidRPr="00310498">
              <w:t>0.83</w:t>
            </w:r>
          </w:p>
          <w:p w14:paraId="75A74161" w14:textId="77777777" w:rsidR="0042535C" w:rsidRPr="00310498" w:rsidRDefault="0042535C" w:rsidP="00E24B8A">
            <w:pPr>
              <w:pStyle w:val="Tabletext"/>
              <w:keepNext/>
              <w:jc w:val="center"/>
            </w:pPr>
            <w:r w:rsidRPr="00310498">
              <w:t>(0.58, 1.19)</w:t>
            </w:r>
          </w:p>
        </w:tc>
        <w:tc>
          <w:tcPr>
            <w:tcW w:w="520" w:type="pct"/>
            <w:shd w:val="clear" w:color="auto" w:fill="auto"/>
            <w:tcMar>
              <w:left w:w="20" w:type="dxa"/>
              <w:right w:w="20" w:type="dxa"/>
            </w:tcMar>
            <w:vAlign w:val="center"/>
          </w:tcPr>
          <w:p w14:paraId="2C840D7E" w14:textId="77777777" w:rsidR="0042535C" w:rsidRPr="00310498" w:rsidRDefault="0042535C" w:rsidP="00E24B8A">
            <w:pPr>
              <w:pStyle w:val="Tabletext"/>
              <w:keepNext/>
              <w:jc w:val="center"/>
            </w:pPr>
            <w:r w:rsidRPr="00310498">
              <w:t>37 (71.2)</w:t>
            </w:r>
          </w:p>
        </w:tc>
        <w:tc>
          <w:tcPr>
            <w:tcW w:w="448" w:type="pct"/>
            <w:shd w:val="clear" w:color="auto" w:fill="auto"/>
            <w:tcMar>
              <w:left w:w="20" w:type="dxa"/>
              <w:right w:w="20" w:type="dxa"/>
            </w:tcMar>
            <w:vAlign w:val="center"/>
          </w:tcPr>
          <w:p w14:paraId="610659F0" w14:textId="77777777" w:rsidR="0042535C" w:rsidRPr="00310498" w:rsidRDefault="0042535C" w:rsidP="00E24B8A">
            <w:pPr>
              <w:pStyle w:val="Tabletext"/>
              <w:keepNext/>
              <w:jc w:val="center"/>
            </w:pPr>
            <w:r w:rsidRPr="00310498">
              <w:t>42 (64.6)</w:t>
            </w:r>
          </w:p>
        </w:tc>
        <w:tc>
          <w:tcPr>
            <w:tcW w:w="521" w:type="pct"/>
            <w:shd w:val="clear" w:color="auto" w:fill="auto"/>
            <w:tcMar>
              <w:left w:w="20" w:type="dxa"/>
              <w:right w:w="20" w:type="dxa"/>
            </w:tcMar>
            <w:vAlign w:val="center"/>
          </w:tcPr>
          <w:p w14:paraId="4BB52ABF" w14:textId="77777777" w:rsidR="0042535C" w:rsidRPr="00310498" w:rsidRDefault="0042535C" w:rsidP="00E24B8A">
            <w:pPr>
              <w:pStyle w:val="Tabletext"/>
              <w:keepNext/>
              <w:jc w:val="center"/>
            </w:pPr>
            <w:r w:rsidRPr="00310498">
              <w:t>1.10</w:t>
            </w:r>
          </w:p>
          <w:p w14:paraId="0035C412" w14:textId="77777777" w:rsidR="0042535C" w:rsidRPr="00310498" w:rsidRDefault="0042535C" w:rsidP="00E24B8A">
            <w:pPr>
              <w:pStyle w:val="Tabletext"/>
              <w:keepNext/>
              <w:jc w:val="center"/>
            </w:pPr>
            <w:r w:rsidRPr="00310498">
              <w:t>(0.86, 1.41)</w:t>
            </w:r>
          </w:p>
        </w:tc>
        <w:tc>
          <w:tcPr>
            <w:tcW w:w="698" w:type="pct"/>
            <w:shd w:val="clear" w:color="auto" w:fill="auto"/>
            <w:tcMar>
              <w:left w:w="20" w:type="dxa"/>
              <w:right w:w="20" w:type="dxa"/>
            </w:tcMar>
            <w:vAlign w:val="center"/>
          </w:tcPr>
          <w:p w14:paraId="29AFA27C" w14:textId="24557367" w:rsidR="0042535C" w:rsidRPr="00310498" w:rsidRDefault="0042535C" w:rsidP="00E24B8A">
            <w:pPr>
              <w:pStyle w:val="Tabletext"/>
              <w:keepNext/>
              <w:jc w:val="center"/>
            </w:pPr>
            <w:r w:rsidRPr="00310498">
              <w:t>0.7</w:t>
            </w:r>
            <w:r w:rsidR="00A0075B">
              <w:t>6</w:t>
            </w:r>
          </w:p>
          <w:p w14:paraId="51F92E83" w14:textId="743E0FD1" w:rsidR="0042535C" w:rsidRPr="00310498" w:rsidRDefault="0042535C" w:rsidP="00E24B8A">
            <w:pPr>
              <w:pStyle w:val="Tabletext"/>
              <w:keepNext/>
              <w:jc w:val="center"/>
            </w:pPr>
            <w:r w:rsidRPr="00310498">
              <w:t>(0.4</w:t>
            </w:r>
            <w:r w:rsidR="00A0075B">
              <w:t>9</w:t>
            </w:r>
            <w:r w:rsidRPr="00310498">
              <w:t>, 1.17)</w:t>
            </w:r>
          </w:p>
        </w:tc>
        <w:tc>
          <w:tcPr>
            <w:tcW w:w="653" w:type="pct"/>
            <w:vAlign w:val="center"/>
          </w:tcPr>
          <w:p w14:paraId="44EA0F3A" w14:textId="715821D7" w:rsidR="0042535C" w:rsidRPr="00310498" w:rsidRDefault="0042535C" w:rsidP="00E24B8A">
            <w:pPr>
              <w:pStyle w:val="Tabletext"/>
              <w:keepNext/>
              <w:jc w:val="center"/>
            </w:pPr>
            <w:r w:rsidRPr="00310498">
              <w:t xml:space="preserve">-0.19 </w:t>
            </w:r>
            <w:r w:rsidRPr="00310498">
              <w:br/>
              <w:t>(-0.38,</w:t>
            </w:r>
            <w:r w:rsidR="00A0075B">
              <w:t xml:space="preserve"> </w:t>
            </w:r>
            <w:r w:rsidRPr="00310498">
              <w:t>0.00)</w:t>
            </w:r>
          </w:p>
        </w:tc>
      </w:tr>
      <w:tr w:rsidR="00044C94" w:rsidRPr="00310498" w14:paraId="5CA44B4D" w14:textId="39EB797F" w:rsidTr="00A0075B">
        <w:trPr>
          <w:trHeight w:val="277"/>
        </w:trPr>
        <w:tc>
          <w:tcPr>
            <w:tcW w:w="741" w:type="pct"/>
            <w:shd w:val="clear" w:color="auto" w:fill="auto"/>
            <w:tcMar>
              <w:left w:w="20" w:type="dxa"/>
              <w:right w:w="20" w:type="dxa"/>
            </w:tcMar>
            <w:vAlign w:val="center"/>
          </w:tcPr>
          <w:p w14:paraId="6F11ABC2" w14:textId="77777777" w:rsidR="00932230" w:rsidRPr="00310498" w:rsidRDefault="00932230" w:rsidP="00E24B8A">
            <w:pPr>
              <w:pStyle w:val="Tabletext"/>
              <w:keepNext/>
            </w:pPr>
            <w:r w:rsidRPr="00310498">
              <w:t>Drug-related Grade ≥3 TEAE</w:t>
            </w:r>
          </w:p>
        </w:tc>
        <w:tc>
          <w:tcPr>
            <w:tcW w:w="448" w:type="pct"/>
            <w:shd w:val="clear" w:color="auto" w:fill="auto"/>
            <w:tcMar>
              <w:left w:w="20" w:type="dxa"/>
              <w:right w:w="20" w:type="dxa"/>
            </w:tcMar>
            <w:vAlign w:val="center"/>
          </w:tcPr>
          <w:p w14:paraId="13F723AC" w14:textId="77777777" w:rsidR="00932230" w:rsidRPr="00310498" w:rsidRDefault="00932230" w:rsidP="00E24B8A">
            <w:pPr>
              <w:pStyle w:val="Tabletext"/>
              <w:keepNext/>
              <w:jc w:val="center"/>
            </w:pPr>
            <w:r w:rsidRPr="00310498">
              <w:t>18 (40.9)</w:t>
            </w:r>
          </w:p>
        </w:tc>
        <w:tc>
          <w:tcPr>
            <w:tcW w:w="448" w:type="pct"/>
            <w:shd w:val="clear" w:color="auto" w:fill="auto"/>
            <w:tcMar>
              <w:left w:w="20" w:type="dxa"/>
              <w:right w:w="20" w:type="dxa"/>
            </w:tcMar>
            <w:vAlign w:val="center"/>
          </w:tcPr>
          <w:p w14:paraId="0B202A12" w14:textId="77777777" w:rsidR="00932230" w:rsidRPr="00310498" w:rsidRDefault="00932230" w:rsidP="00E24B8A">
            <w:pPr>
              <w:pStyle w:val="Tabletext"/>
              <w:keepNext/>
              <w:jc w:val="center"/>
            </w:pPr>
            <w:r w:rsidRPr="00310498">
              <w:t>23 (50.0)</w:t>
            </w:r>
          </w:p>
        </w:tc>
        <w:tc>
          <w:tcPr>
            <w:tcW w:w="522" w:type="pct"/>
            <w:shd w:val="clear" w:color="auto" w:fill="auto"/>
            <w:tcMar>
              <w:left w:w="20" w:type="dxa"/>
              <w:right w:w="20" w:type="dxa"/>
            </w:tcMar>
            <w:vAlign w:val="center"/>
          </w:tcPr>
          <w:p w14:paraId="6BFAAAEF" w14:textId="77777777" w:rsidR="00932230" w:rsidRPr="00310498" w:rsidRDefault="00932230" w:rsidP="00E24B8A">
            <w:pPr>
              <w:pStyle w:val="Tabletext"/>
              <w:keepNext/>
              <w:jc w:val="center"/>
            </w:pPr>
            <w:r w:rsidRPr="00310498">
              <w:t>0.82</w:t>
            </w:r>
          </w:p>
          <w:p w14:paraId="0A7C8E16" w14:textId="77777777" w:rsidR="00932230" w:rsidRPr="00310498" w:rsidRDefault="00932230" w:rsidP="00E24B8A">
            <w:pPr>
              <w:pStyle w:val="Tabletext"/>
              <w:keepNext/>
              <w:jc w:val="center"/>
            </w:pPr>
            <w:r w:rsidRPr="00310498">
              <w:t>(0.52, 1.29)</w:t>
            </w:r>
          </w:p>
        </w:tc>
        <w:tc>
          <w:tcPr>
            <w:tcW w:w="520" w:type="pct"/>
            <w:shd w:val="clear" w:color="auto" w:fill="auto"/>
            <w:tcMar>
              <w:left w:w="20" w:type="dxa"/>
              <w:right w:w="20" w:type="dxa"/>
            </w:tcMar>
            <w:vAlign w:val="center"/>
          </w:tcPr>
          <w:p w14:paraId="67638DD3" w14:textId="77777777" w:rsidR="00932230" w:rsidRPr="00310498" w:rsidRDefault="00932230" w:rsidP="00E24B8A">
            <w:pPr>
              <w:pStyle w:val="Tabletext"/>
              <w:keepNext/>
              <w:jc w:val="center"/>
            </w:pPr>
            <w:r w:rsidRPr="00310498">
              <w:t>30 (57.7)</w:t>
            </w:r>
          </w:p>
        </w:tc>
        <w:tc>
          <w:tcPr>
            <w:tcW w:w="448" w:type="pct"/>
            <w:shd w:val="clear" w:color="auto" w:fill="auto"/>
            <w:tcMar>
              <w:left w:w="20" w:type="dxa"/>
              <w:right w:w="20" w:type="dxa"/>
            </w:tcMar>
            <w:vAlign w:val="center"/>
          </w:tcPr>
          <w:p w14:paraId="7144BB74" w14:textId="77777777" w:rsidR="00932230" w:rsidRPr="00310498" w:rsidRDefault="00932230" w:rsidP="00E24B8A">
            <w:pPr>
              <w:pStyle w:val="Tabletext"/>
              <w:keepNext/>
              <w:jc w:val="center"/>
            </w:pPr>
            <w:r w:rsidRPr="00310498">
              <w:t>32 (49.2)</w:t>
            </w:r>
          </w:p>
        </w:tc>
        <w:tc>
          <w:tcPr>
            <w:tcW w:w="521" w:type="pct"/>
            <w:shd w:val="clear" w:color="auto" w:fill="auto"/>
            <w:tcMar>
              <w:left w:w="20" w:type="dxa"/>
              <w:right w:w="20" w:type="dxa"/>
            </w:tcMar>
            <w:vAlign w:val="center"/>
          </w:tcPr>
          <w:p w14:paraId="74D84F3E" w14:textId="77777777" w:rsidR="00932230" w:rsidRPr="00310498" w:rsidRDefault="00932230" w:rsidP="00E24B8A">
            <w:pPr>
              <w:pStyle w:val="Tabletext"/>
              <w:keepNext/>
              <w:jc w:val="center"/>
            </w:pPr>
            <w:r w:rsidRPr="00310498">
              <w:t>1.17</w:t>
            </w:r>
          </w:p>
          <w:p w14:paraId="2964F257" w14:textId="77777777" w:rsidR="00932230" w:rsidRPr="00310498" w:rsidRDefault="00932230" w:rsidP="00E24B8A">
            <w:pPr>
              <w:pStyle w:val="Tabletext"/>
              <w:keepNext/>
              <w:jc w:val="center"/>
            </w:pPr>
            <w:r w:rsidRPr="00310498">
              <w:t>(0.83, 1.65)</w:t>
            </w:r>
          </w:p>
        </w:tc>
        <w:tc>
          <w:tcPr>
            <w:tcW w:w="698" w:type="pct"/>
            <w:shd w:val="clear" w:color="auto" w:fill="auto"/>
            <w:tcMar>
              <w:left w:w="20" w:type="dxa"/>
              <w:right w:w="20" w:type="dxa"/>
            </w:tcMar>
            <w:vAlign w:val="center"/>
          </w:tcPr>
          <w:p w14:paraId="20B1ADFA" w14:textId="7D390248" w:rsidR="00932230" w:rsidRPr="00310498" w:rsidRDefault="00932230" w:rsidP="00E24B8A">
            <w:pPr>
              <w:pStyle w:val="Tabletext"/>
              <w:keepNext/>
              <w:jc w:val="center"/>
            </w:pPr>
            <w:r w:rsidRPr="00310498">
              <w:t>0.70</w:t>
            </w:r>
          </w:p>
          <w:p w14:paraId="5B6C1667" w14:textId="1F39DD32" w:rsidR="00932230" w:rsidRPr="00310498" w:rsidRDefault="00932230" w:rsidP="00E24B8A">
            <w:pPr>
              <w:pStyle w:val="Tabletext"/>
              <w:keepNext/>
              <w:jc w:val="center"/>
            </w:pPr>
            <w:r w:rsidRPr="00310498">
              <w:t>(0.</w:t>
            </w:r>
            <w:r w:rsidR="00A0075B">
              <w:t>40</w:t>
            </w:r>
            <w:r w:rsidRPr="00310498">
              <w:t>, 1.2</w:t>
            </w:r>
            <w:r w:rsidR="00A0075B">
              <w:t>4</w:t>
            </w:r>
            <w:r w:rsidRPr="00310498">
              <w:t>)</w:t>
            </w:r>
          </w:p>
        </w:tc>
        <w:tc>
          <w:tcPr>
            <w:tcW w:w="653" w:type="pct"/>
            <w:vAlign w:val="center"/>
          </w:tcPr>
          <w:p w14:paraId="19A0D4A8" w14:textId="5D171862" w:rsidR="00932230" w:rsidRPr="00310498" w:rsidRDefault="0042535C" w:rsidP="00E24B8A">
            <w:pPr>
              <w:pStyle w:val="Tabletext"/>
              <w:keepNext/>
              <w:jc w:val="center"/>
            </w:pPr>
            <w:r w:rsidRPr="00310498">
              <w:t>-0.1</w:t>
            </w:r>
            <w:r w:rsidR="0023575A" w:rsidRPr="00310498">
              <w:t>7</w:t>
            </w:r>
            <w:r w:rsidRPr="00310498">
              <w:t xml:space="preserve"> </w:t>
            </w:r>
            <w:r w:rsidRPr="00310498">
              <w:br/>
              <w:t>(-0.3</w:t>
            </w:r>
            <w:r w:rsidR="0023575A" w:rsidRPr="00310498">
              <w:t>7</w:t>
            </w:r>
            <w:r w:rsidRPr="00310498">
              <w:t>,</w:t>
            </w:r>
            <w:r w:rsidR="00A0075B">
              <w:t xml:space="preserve"> </w:t>
            </w:r>
            <w:r w:rsidRPr="00310498">
              <w:t>0.0</w:t>
            </w:r>
            <w:r w:rsidR="0023575A" w:rsidRPr="00310498">
              <w:t>3</w:t>
            </w:r>
            <w:r w:rsidRPr="00310498">
              <w:t>)</w:t>
            </w:r>
          </w:p>
        </w:tc>
      </w:tr>
      <w:tr w:rsidR="00044C94" w:rsidRPr="00310498" w14:paraId="04B91CC2" w14:textId="00150834" w:rsidTr="00A0075B">
        <w:trPr>
          <w:trHeight w:val="277"/>
        </w:trPr>
        <w:tc>
          <w:tcPr>
            <w:tcW w:w="741" w:type="pct"/>
            <w:shd w:val="clear" w:color="auto" w:fill="auto"/>
            <w:tcMar>
              <w:left w:w="20" w:type="dxa"/>
              <w:right w:w="20" w:type="dxa"/>
            </w:tcMar>
            <w:vAlign w:val="center"/>
          </w:tcPr>
          <w:p w14:paraId="25E9B9AB" w14:textId="77777777" w:rsidR="0023575A" w:rsidRPr="00310498" w:rsidRDefault="0023575A" w:rsidP="00E24B8A">
            <w:pPr>
              <w:pStyle w:val="Tabletext"/>
              <w:keepNext/>
            </w:pPr>
            <w:r w:rsidRPr="00310498">
              <w:t>Any SAE</w:t>
            </w:r>
          </w:p>
        </w:tc>
        <w:tc>
          <w:tcPr>
            <w:tcW w:w="448" w:type="pct"/>
            <w:shd w:val="clear" w:color="auto" w:fill="auto"/>
            <w:tcMar>
              <w:left w:w="20" w:type="dxa"/>
              <w:right w:w="20" w:type="dxa"/>
            </w:tcMar>
            <w:vAlign w:val="center"/>
          </w:tcPr>
          <w:p w14:paraId="12848FCB" w14:textId="77777777" w:rsidR="0023575A" w:rsidRPr="00310498" w:rsidRDefault="0023575A" w:rsidP="00E24B8A">
            <w:pPr>
              <w:pStyle w:val="Tabletext"/>
              <w:keepNext/>
              <w:jc w:val="center"/>
            </w:pPr>
            <w:r w:rsidRPr="00310498">
              <w:t>13 (29.5)</w:t>
            </w:r>
          </w:p>
        </w:tc>
        <w:tc>
          <w:tcPr>
            <w:tcW w:w="448" w:type="pct"/>
            <w:shd w:val="clear" w:color="auto" w:fill="auto"/>
            <w:tcMar>
              <w:left w:w="20" w:type="dxa"/>
              <w:right w:w="20" w:type="dxa"/>
            </w:tcMar>
            <w:vAlign w:val="center"/>
          </w:tcPr>
          <w:p w14:paraId="028D1AD8" w14:textId="77777777" w:rsidR="0023575A" w:rsidRPr="00310498" w:rsidRDefault="0023575A" w:rsidP="00E24B8A">
            <w:pPr>
              <w:pStyle w:val="Tabletext"/>
              <w:keepNext/>
              <w:jc w:val="center"/>
            </w:pPr>
            <w:r w:rsidRPr="00310498">
              <w:t>15 (32.6)</w:t>
            </w:r>
          </w:p>
        </w:tc>
        <w:tc>
          <w:tcPr>
            <w:tcW w:w="522" w:type="pct"/>
            <w:shd w:val="clear" w:color="auto" w:fill="auto"/>
            <w:tcMar>
              <w:left w:w="20" w:type="dxa"/>
              <w:right w:w="20" w:type="dxa"/>
            </w:tcMar>
            <w:vAlign w:val="center"/>
          </w:tcPr>
          <w:p w14:paraId="7A4B7781" w14:textId="77777777" w:rsidR="0023575A" w:rsidRPr="00310498" w:rsidRDefault="0023575A" w:rsidP="00E24B8A">
            <w:pPr>
              <w:pStyle w:val="Tabletext"/>
              <w:keepNext/>
              <w:jc w:val="center"/>
            </w:pPr>
            <w:r w:rsidRPr="00310498">
              <w:t>0.91</w:t>
            </w:r>
          </w:p>
          <w:p w14:paraId="3C34820F" w14:textId="77777777" w:rsidR="0023575A" w:rsidRPr="00310498" w:rsidRDefault="0023575A" w:rsidP="00E24B8A">
            <w:pPr>
              <w:pStyle w:val="Tabletext"/>
              <w:keepNext/>
              <w:jc w:val="center"/>
            </w:pPr>
            <w:r w:rsidRPr="00310498">
              <w:t>(0.49, 1.68)</w:t>
            </w:r>
          </w:p>
        </w:tc>
        <w:tc>
          <w:tcPr>
            <w:tcW w:w="520" w:type="pct"/>
            <w:shd w:val="clear" w:color="auto" w:fill="auto"/>
            <w:tcMar>
              <w:left w:w="20" w:type="dxa"/>
              <w:right w:w="20" w:type="dxa"/>
            </w:tcMar>
            <w:vAlign w:val="center"/>
          </w:tcPr>
          <w:p w14:paraId="456E3D1C" w14:textId="77777777" w:rsidR="0023575A" w:rsidRPr="00310498" w:rsidRDefault="0023575A" w:rsidP="00E24B8A">
            <w:pPr>
              <w:pStyle w:val="Tabletext"/>
              <w:keepNext/>
              <w:jc w:val="center"/>
            </w:pPr>
            <w:r w:rsidRPr="00310498">
              <w:t>14 (26.9)</w:t>
            </w:r>
          </w:p>
        </w:tc>
        <w:tc>
          <w:tcPr>
            <w:tcW w:w="448" w:type="pct"/>
            <w:shd w:val="clear" w:color="auto" w:fill="auto"/>
            <w:tcMar>
              <w:left w:w="20" w:type="dxa"/>
              <w:right w:w="20" w:type="dxa"/>
            </w:tcMar>
            <w:vAlign w:val="center"/>
          </w:tcPr>
          <w:p w14:paraId="312B35D6" w14:textId="77777777" w:rsidR="0023575A" w:rsidRPr="00310498" w:rsidRDefault="0023575A" w:rsidP="00E24B8A">
            <w:pPr>
              <w:pStyle w:val="Tabletext"/>
              <w:keepNext/>
              <w:jc w:val="center"/>
            </w:pPr>
            <w:r w:rsidRPr="00310498">
              <w:t>20 (30.8)</w:t>
            </w:r>
          </w:p>
        </w:tc>
        <w:tc>
          <w:tcPr>
            <w:tcW w:w="521" w:type="pct"/>
            <w:shd w:val="clear" w:color="auto" w:fill="auto"/>
            <w:tcMar>
              <w:left w:w="20" w:type="dxa"/>
              <w:right w:w="20" w:type="dxa"/>
            </w:tcMar>
            <w:vAlign w:val="center"/>
          </w:tcPr>
          <w:p w14:paraId="61BD2456" w14:textId="77777777" w:rsidR="0023575A" w:rsidRPr="00310498" w:rsidRDefault="0023575A" w:rsidP="00E24B8A">
            <w:pPr>
              <w:pStyle w:val="Tabletext"/>
              <w:keepNext/>
              <w:jc w:val="center"/>
            </w:pPr>
            <w:r w:rsidRPr="00310498">
              <w:t>0.88</w:t>
            </w:r>
          </w:p>
          <w:p w14:paraId="3027F007" w14:textId="77777777" w:rsidR="0023575A" w:rsidRPr="00310498" w:rsidRDefault="0023575A" w:rsidP="00E24B8A">
            <w:pPr>
              <w:pStyle w:val="Tabletext"/>
              <w:keepNext/>
              <w:jc w:val="center"/>
            </w:pPr>
            <w:r w:rsidRPr="00310498">
              <w:t>(0.49, 1.56)</w:t>
            </w:r>
          </w:p>
        </w:tc>
        <w:tc>
          <w:tcPr>
            <w:tcW w:w="698" w:type="pct"/>
            <w:shd w:val="clear" w:color="auto" w:fill="auto"/>
            <w:tcMar>
              <w:left w:w="20" w:type="dxa"/>
              <w:right w:w="20" w:type="dxa"/>
            </w:tcMar>
            <w:vAlign w:val="center"/>
          </w:tcPr>
          <w:p w14:paraId="07300EE5" w14:textId="0F196DC5" w:rsidR="0023575A" w:rsidRPr="00310498" w:rsidRDefault="0023575A" w:rsidP="00E24B8A">
            <w:pPr>
              <w:pStyle w:val="Tabletext"/>
              <w:keepNext/>
              <w:jc w:val="center"/>
            </w:pPr>
            <w:r w:rsidRPr="00310498">
              <w:t>1.03</w:t>
            </w:r>
          </w:p>
          <w:p w14:paraId="59B80C34" w14:textId="0522E429" w:rsidR="0023575A" w:rsidRPr="00310498" w:rsidRDefault="0023575A" w:rsidP="00E24B8A">
            <w:pPr>
              <w:pStyle w:val="Tabletext"/>
              <w:keepNext/>
              <w:jc w:val="center"/>
            </w:pPr>
            <w:r w:rsidRPr="00310498">
              <w:t>(0.44, 2.4</w:t>
            </w:r>
            <w:r w:rsidR="00A0075B">
              <w:t>1</w:t>
            </w:r>
            <w:r w:rsidRPr="00310498">
              <w:t>)</w:t>
            </w:r>
          </w:p>
        </w:tc>
        <w:tc>
          <w:tcPr>
            <w:tcW w:w="653" w:type="pct"/>
            <w:vAlign w:val="center"/>
          </w:tcPr>
          <w:p w14:paraId="41E8525C" w14:textId="5A0F5B5D" w:rsidR="0023575A" w:rsidRPr="00310498" w:rsidRDefault="0023575A" w:rsidP="00E24B8A">
            <w:pPr>
              <w:pStyle w:val="Tabletext"/>
              <w:keepNext/>
              <w:jc w:val="center"/>
            </w:pPr>
            <w:r w:rsidRPr="00310498">
              <w:t xml:space="preserve">0.03 </w:t>
            </w:r>
            <w:r w:rsidRPr="00310498">
              <w:br/>
              <w:t>(-0.16,</w:t>
            </w:r>
            <w:r w:rsidR="00A0075B">
              <w:t xml:space="preserve"> </w:t>
            </w:r>
            <w:r w:rsidRPr="00310498">
              <w:t>0.</w:t>
            </w:r>
            <w:r w:rsidR="006F0E2D" w:rsidRPr="00310498">
              <w:t>21</w:t>
            </w:r>
            <w:r w:rsidRPr="00310498">
              <w:t>)</w:t>
            </w:r>
          </w:p>
        </w:tc>
      </w:tr>
      <w:tr w:rsidR="00044C94" w:rsidRPr="00310498" w14:paraId="07E1547C" w14:textId="089E2DC4" w:rsidTr="00A0075B">
        <w:trPr>
          <w:trHeight w:val="277"/>
        </w:trPr>
        <w:tc>
          <w:tcPr>
            <w:tcW w:w="741" w:type="pct"/>
            <w:shd w:val="clear" w:color="auto" w:fill="auto"/>
            <w:tcMar>
              <w:left w:w="20" w:type="dxa"/>
              <w:right w:w="20" w:type="dxa"/>
            </w:tcMar>
            <w:vAlign w:val="center"/>
          </w:tcPr>
          <w:p w14:paraId="4C90E73D" w14:textId="77777777" w:rsidR="0023575A" w:rsidRPr="00310498" w:rsidRDefault="0023575A" w:rsidP="00E24B8A">
            <w:pPr>
              <w:pStyle w:val="Tabletext"/>
              <w:keepNext/>
            </w:pPr>
            <w:r w:rsidRPr="00310498">
              <w:t>Drug-related SAE</w:t>
            </w:r>
          </w:p>
        </w:tc>
        <w:tc>
          <w:tcPr>
            <w:tcW w:w="448" w:type="pct"/>
            <w:shd w:val="clear" w:color="auto" w:fill="auto"/>
            <w:tcMar>
              <w:left w:w="20" w:type="dxa"/>
              <w:right w:w="20" w:type="dxa"/>
            </w:tcMar>
            <w:vAlign w:val="center"/>
          </w:tcPr>
          <w:p w14:paraId="6E03E1CE" w14:textId="77777777" w:rsidR="0023575A" w:rsidRPr="00310498" w:rsidRDefault="0023575A" w:rsidP="00E24B8A">
            <w:pPr>
              <w:pStyle w:val="Tabletext"/>
              <w:keepNext/>
              <w:jc w:val="center"/>
            </w:pPr>
            <w:r w:rsidRPr="00310498">
              <w:t>5 (11.4)</w:t>
            </w:r>
          </w:p>
        </w:tc>
        <w:tc>
          <w:tcPr>
            <w:tcW w:w="448" w:type="pct"/>
            <w:shd w:val="clear" w:color="auto" w:fill="auto"/>
            <w:tcMar>
              <w:left w:w="20" w:type="dxa"/>
              <w:right w:w="20" w:type="dxa"/>
            </w:tcMar>
            <w:vAlign w:val="center"/>
          </w:tcPr>
          <w:p w14:paraId="25FA8317" w14:textId="77777777" w:rsidR="0023575A" w:rsidRPr="00310498" w:rsidRDefault="0023575A" w:rsidP="00E24B8A">
            <w:pPr>
              <w:pStyle w:val="Tabletext"/>
              <w:keepNext/>
              <w:jc w:val="center"/>
            </w:pPr>
            <w:r w:rsidRPr="00310498">
              <w:t>10 (21.7)</w:t>
            </w:r>
          </w:p>
        </w:tc>
        <w:tc>
          <w:tcPr>
            <w:tcW w:w="522" w:type="pct"/>
            <w:shd w:val="clear" w:color="auto" w:fill="auto"/>
            <w:tcMar>
              <w:left w:w="20" w:type="dxa"/>
              <w:right w:w="20" w:type="dxa"/>
            </w:tcMar>
            <w:vAlign w:val="center"/>
          </w:tcPr>
          <w:p w14:paraId="1683C886" w14:textId="77777777" w:rsidR="0023575A" w:rsidRPr="00310498" w:rsidRDefault="0023575A" w:rsidP="00E24B8A">
            <w:pPr>
              <w:pStyle w:val="Tabletext"/>
              <w:keepNext/>
              <w:jc w:val="center"/>
            </w:pPr>
            <w:r w:rsidRPr="00310498">
              <w:t>0.52</w:t>
            </w:r>
          </w:p>
          <w:p w14:paraId="58B074E0" w14:textId="77777777" w:rsidR="0023575A" w:rsidRPr="00310498" w:rsidRDefault="0023575A" w:rsidP="00E24B8A">
            <w:pPr>
              <w:pStyle w:val="Tabletext"/>
              <w:keepNext/>
              <w:jc w:val="center"/>
            </w:pPr>
            <w:r w:rsidRPr="00310498">
              <w:t>(0.19, 1.41)</w:t>
            </w:r>
          </w:p>
        </w:tc>
        <w:tc>
          <w:tcPr>
            <w:tcW w:w="520" w:type="pct"/>
            <w:shd w:val="clear" w:color="auto" w:fill="auto"/>
            <w:tcMar>
              <w:left w:w="20" w:type="dxa"/>
              <w:right w:w="20" w:type="dxa"/>
            </w:tcMar>
            <w:vAlign w:val="center"/>
          </w:tcPr>
          <w:p w14:paraId="0480980F" w14:textId="77777777" w:rsidR="0023575A" w:rsidRPr="00310498" w:rsidRDefault="0023575A" w:rsidP="00E24B8A">
            <w:pPr>
              <w:pStyle w:val="Tabletext"/>
              <w:keepNext/>
              <w:jc w:val="center"/>
            </w:pPr>
            <w:r w:rsidRPr="00310498">
              <w:t>9 (17.3)</w:t>
            </w:r>
          </w:p>
        </w:tc>
        <w:tc>
          <w:tcPr>
            <w:tcW w:w="448" w:type="pct"/>
            <w:shd w:val="clear" w:color="auto" w:fill="auto"/>
            <w:tcMar>
              <w:left w:w="20" w:type="dxa"/>
              <w:right w:w="20" w:type="dxa"/>
            </w:tcMar>
            <w:vAlign w:val="center"/>
          </w:tcPr>
          <w:p w14:paraId="54563364" w14:textId="77777777" w:rsidR="0023575A" w:rsidRPr="00310498" w:rsidRDefault="0023575A" w:rsidP="00E24B8A">
            <w:pPr>
              <w:pStyle w:val="Tabletext"/>
              <w:keepNext/>
              <w:jc w:val="center"/>
            </w:pPr>
            <w:r w:rsidRPr="00310498">
              <w:t>9 (13.8)</w:t>
            </w:r>
          </w:p>
        </w:tc>
        <w:tc>
          <w:tcPr>
            <w:tcW w:w="521" w:type="pct"/>
            <w:shd w:val="clear" w:color="auto" w:fill="auto"/>
            <w:tcMar>
              <w:left w:w="20" w:type="dxa"/>
              <w:right w:w="20" w:type="dxa"/>
            </w:tcMar>
            <w:vAlign w:val="center"/>
          </w:tcPr>
          <w:p w14:paraId="09FE6929" w14:textId="77777777" w:rsidR="0023575A" w:rsidRPr="00310498" w:rsidRDefault="0023575A" w:rsidP="00E24B8A">
            <w:pPr>
              <w:pStyle w:val="Tabletext"/>
              <w:keepNext/>
              <w:jc w:val="center"/>
            </w:pPr>
            <w:r w:rsidRPr="00310498">
              <w:t>1.25</w:t>
            </w:r>
          </w:p>
          <w:p w14:paraId="0014F79B" w14:textId="77777777" w:rsidR="0023575A" w:rsidRPr="00310498" w:rsidRDefault="0023575A" w:rsidP="00E24B8A">
            <w:pPr>
              <w:pStyle w:val="Tabletext"/>
              <w:keepNext/>
              <w:jc w:val="center"/>
            </w:pPr>
            <w:r w:rsidRPr="00310498">
              <w:t>(0.53, 2.92)</w:t>
            </w:r>
          </w:p>
        </w:tc>
        <w:tc>
          <w:tcPr>
            <w:tcW w:w="698" w:type="pct"/>
            <w:shd w:val="clear" w:color="auto" w:fill="auto"/>
            <w:tcMar>
              <w:left w:w="20" w:type="dxa"/>
              <w:right w:w="20" w:type="dxa"/>
            </w:tcMar>
            <w:vAlign w:val="center"/>
          </w:tcPr>
          <w:p w14:paraId="3F6BA124" w14:textId="7774A4B6" w:rsidR="0023575A" w:rsidRPr="00310498" w:rsidRDefault="0023575A" w:rsidP="00E24B8A">
            <w:pPr>
              <w:pStyle w:val="Tabletext"/>
              <w:keepNext/>
              <w:jc w:val="center"/>
            </w:pPr>
            <w:r w:rsidRPr="00310498">
              <w:t>0.4</w:t>
            </w:r>
            <w:r w:rsidR="00A0075B">
              <w:t>2</w:t>
            </w:r>
          </w:p>
          <w:p w14:paraId="1F11C5E3" w14:textId="35EFB729" w:rsidR="0023575A" w:rsidRPr="00310498" w:rsidRDefault="0023575A" w:rsidP="00E24B8A">
            <w:pPr>
              <w:pStyle w:val="Tabletext"/>
              <w:keepNext/>
              <w:jc w:val="center"/>
            </w:pPr>
            <w:r w:rsidRPr="00310498">
              <w:t>(0.11, 1.55)</w:t>
            </w:r>
          </w:p>
        </w:tc>
        <w:tc>
          <w:tcPr>
            <w:tcW w:w="653" w:type="pct"/>
            <w:vAlign w:val="center"/>
          </w:tcPr>
          <w:p w14:paraId="374E5C05" w14:textId="1A30F0FA" w:rsidR="0023575A" w:rsidRPr="00310498" w:rsidRDefault="0023575A" w:rsidP="00E24B8A">
            <w:pPr>
              <w:pStyle w:val="Tabletext"/>
              <w:keepNext/>
              <w:jc w:val="center"/>
            </w:pPr>
            <w:r w:rsidRPr="00310498">
              <w:t>-0.</w:t>
            </w:r>
            <w:r w:rsidR="006F0E2D" w:rsidRPr="00310498">
              <w:t>06</w:t>
            </w:r>
            <w:r w:rsidRPr="00310498">
              <w:t xml:space="preserve"> </w:t>
            </w:r>
            <w:r w:rsidRPr="00310498">
              <w:br/>
              <w:t>(-0.</w:t>
            </w:r>
            <w:r w:rsidR="006F0E2D" w:rsidRPr="00310498">
              <w:t>20</w:t>
            </w:r>
            <w:r w:rsidRPr="00310498">
              <w:t>,</w:t>
            </w:r>
            <w:r w:rsidR="00A0075B">
              <w:t xml:space="preserve"> </w:t>
            </w:r>
            <w:r w:rsidRPr="00310498">
              <w:t>0.0</w:t>
            </w:r>
            <w:r w:rsidR="006F0E2D" w:rsidRPr="00310498">
              <w:t>8</w:t>
            </w:r>
            <w:r w:rsidRPr="00310498">
              <w:t>)</w:t>
            </w:r>
          </w:p>
        </w:tc>
      </w:tr>
      <w:tr w:rsidR="00044C94" w:rsidRPr="00310498" w14:paraId="04363CF9" w14:textId="65F1CB9E" w:rsidTr="00A0075B">
        <w:trPr>
          <w:trHeight w:val="277"/>
        </w:trPr>
        <w:tc>
          <w:tcPr>
            <w:tcW w:w="741" w:type="pct"/>
            <w:shd w:val="clear" w:color="auto" w:fill="auto"/>
            <w:tcMar>
              <w:left w:w="20" w:type="dxa"/>
              <w:right w:w="20" w:type="dxa"/>
            </w:tcMar>
            <w:vAlign w:val="center"/>
          </w:tcPr>
          <w:p w14:paraId="6A72C34E" w14:textId="77777777" w:rsidR="0023575A" w:rsidRPr="00310498" w:rsidRDefault="0023575A" w:rsidP="00E24B8A">
            <w:pPr>
              <w:pStyle w:val="Tabletext"/>
              <w:keepNext/>
            </w:pPr>
            <w:r w:rsidRPr="00310498">
              <w:t>Any immune-related TEAE</w:t>
            </w:r>
          </w:p>
        </w:tc>
        <w:tc>
          <w:tcPr>
            <w:tcW w:w="448" w:type="pct"/>
            <w:shd w:val="clear" w:color="auto" w:fill="auto"/>
            <w:tcMar>
              <w:left w:w="20" w:type="dxa"/>
              <w:right w:w="20" w:type="dxa"/>
            </w:tcMar>
            <w:vAlign w:val="center"/>
          </w:tcPr>
          <w:p w14:paraId="4FBB7242" w14:textId="77777777" w:rsidR="0023575A" w:rsidRPr="00310498" w:rsidRDefault="0023575A" w:rsidP="00E24B8A">
            <w:pPr>
              <w:pStyle w:val="Tabletext"/>
              <w:keepNext/>
              <w:jc w:val="center"/>
            </w:pPr>
            <w:r w:rsidRPr="00310498">
              <w:t>19 (43.2)</w:t>
            </w:r>
          </w:p>
        </w:tc>
        <w:tc>
          <w:tcPr>
            <w:tcW w:w="448" w:type="pct"/>
            <w:shd w:val="clear" w:color="auto" w:fill="auto"/>
            <w:tcMar>
              <w:left w:w="20" w:type="dxa"/>
              <w:right w:w="20" w:type="dxa"/>
            </w:tcMar>
            <w:vAlign w:val="center"/>
          </w:tcPr>
          <w:p w14:paraId="651B2F88" w14:textId="77777777" w:rsidR="0023575A" w:rsidRPr="00310498" w:rsidRDefault="0023575A" w:rsidP="00E24B8A">
            <w:pPr>
              <w:pStyle w:val="Tabletext"/>
              <w:keepNext/>
              <w:jc w:val="center"/>
            </w:pPr>
            <w:r w:rsidRPr="00310498">
              <w:t>10 (21.7)</w:t>
            </w:r>
          </w:p>
        </w:tc>
        <w:tc>
          <w:tcPr>
            <w:tcW w:w="522" w:type="pct"/>
            <w:shd w:val="clear" w:color="auto" w:fill="auto"/>
            <w:tcMar>
              <w:left w:w="20" w:type="dxa"/>
              <w:right w:w="20" w:type="dxa"/>
            </w:tcMar>
            <w:vAlign w:val="center"/>
          </w:tcPr>
          <w:p w14:paraId="5EFB6147" w14:textId="77777777" w:rsidR="0023575A" w:rsidRPr="00310498" w:rsidRDefault="0023575A" w:rsidP="00E24B8A">
            <w:pPr>
              <w:pStyle w:val="Tabletext"/>
              <w:keepNext/>
              <w:jc w:val="center"/>
              <w:rPr>
                <w:b/>
                <w:bCs/>
              </w:rPr>
            </w:pPr>
            <w:r w:rsidRPr="00310498">
              <w:rPr>
                <w:b/>
                <w:bCs/>
              </w:rPr>
              <w:t>1.99</w:t>
            </w:r>
          </w:p>
          <w:p w14:paraId="6CCFB7B5" w14:textId="77777777" w:rsidR="0023575A" w:rsidRPr="00310498" w:rsidRDefault="0023575A" w:rsidP="00E24B8A">
            <w:pPr>
              <w:pStyle w:val="Tabletext"/>
              <w:keepNext/>
              <w:jc w:val="center"/>
            </w:pPr>
            <w:r w:rsidRPr="00310498">
              <w:rPr>
                <w:b/>
                <w:bCs/>
              </w:rPr>
              <w:t>(1.04, 3.78)</w:t>
            </w:r>
          </w:p>
        </w:tc>
        <w:tc>
          <w:tcPr>
            <w:tcW w:w="520" w:type="pct"/>
            <w:shd w:val="clear" w:color="auto" w:fill="auto"/>
            <w:tcMar>
              <w:left w:w="20" w:type="dxa"/>
              <w:right w:w="20" w:type="dxa"/>
            </w:tcMar>
            <w:vAlign w:val="center"/>
          </w:tcPr>
          <w:p w14:paraId="77C78F90" w14:textId="77777777" w:rsidR="0023575A" w:rsidRPr="00310498" w:rsidRDefault="0023575A" w:rsidP="00E24B8A">
            <w:pPr>
              <w:pStyle w:val="Tabletext"/>
              <w:keepNext/>
              <w:jc w:val="center"/>
            </w:pPr>
            <w:r w:rsidRPr="00310498">
              <w:t>38 (73.1)</w:t>
            </w:r>
          </w:p>
        </w:tc>
        <w:tc>
          <w:tcPr>
            <w:tcW w:w="448" w:type="pct"/>
            <w:shd w:val="clear" w:color="auto" w:fill="auto"/>
            <w:tcMar>
              <w:left w:w="20" w:type="dxa"/>
              <w:right w:w="20" w:type="dxa"/>
            </w:tcMar>
            <w:vAlign w:val="center"/>
          </w:tcPr>
          <w:p w14:paraId="3DDB8E69" w14:textId="77777777" w:rsidR="0023575A" w:rsidRPr="00310498" w:rsidRDefault="0023575A" w:rsidP="00E24B8A">
            <w:pPr>
              <w:pStyle w:val="Tabletext"/>
              <w:keepNext/>
              <w:jc w:val="center"/>
            </w:pPr>
            <w:r w:rsidRPr="00310498">
              <w:t>24 (36.9)</w:t>
            </w:r>
          </w:p>
        </w:tc>
        <w:tc>
          <w:tcPr>
            <w:tcW w:w="521" w:type="pct"/>
            <w:shd w:val="clear" w:color="auto" w:fill="auto"/>
            <w:tcMar>
              <w:left w:w="20" w:type="dxa"/>
              <w:right w:w="20" w:type="dxa"/>
            </w:tcMar>
            <w:vAlign w:val="center"/>
          </w:tcPr>
          <w:p w14:paraId="2AF318CE" w14:textId="77777777" w:rsidR="0023575A" w:rsidRPr="00310498" w:rsidRDefault="0023575A" w:rsidP="00E24B8A">
            <w:pPr>
              <w:pStyle w:val="Tabletext"/>
              <w:keepNext/>
              <w:jc w:val="center"/>
              <w:rPr>
                <w:b/>
                <w:bCs/>
              </w:rPr>
            </w:pPr>
            <w:r w:rsidRPr="00310498">
              <w:rPr>
                <w:b/>
                <w:bCs/>
              </w:rPr>
              <w:t>1.98</w:t>
            </w:r>
          </w:p>
          <w:p w14:paraId="4B0B5553" w14:textId="77777777" w:rsidR="0023575A" w:rsidRPr="00310498" w:rsidRDefault="0023575A" w:rsidP="00E24B8A">
            <w:pPr>
              <w:pStyle w:val="Tabletext"/>
              <w:keepNext/>
              <w:jc w:val="center"/>
              <w:rPr>
                <w:b/>
                <w:bCs/>
              </w:rPr>
            </w:pPr>
            <w:r w:rsidRPr="00310498">
              <w:rPr>
                <w:b/>
                <w:bCs/>
              </w:rPr>
              <w:t>(1.38, 2.83)</w:t>
            </w:r>
          </w:p>
        </w:tc>
        <w:tc>
          <w:tcPr>
            <w:tcW w:w="698" w:type="pct"/>
            <w:shd w:val="clear" w:color="auto" w:fill="auto"/>
            <w:tcMar>
              <w:left w:w="20" w:type="dxa"/>
              <w:right w:w="20" w:type="dxa"/>
            </w:tcMar>
            <w:vAlign w:val="center"/>
          </w:tcPr>
          <w:p w14:paraId="0CD53DBA" w14:textId="6A0D70F7" w:rsidR="0023575A" w:rsidRPr="00310498" w:rsidRDefault="0023575A" w:rsidP="00E24B8A">
            <w:pPr>
              <w:pStyle w:val="Tabletext"/>
              <w:keepNext/>
              <w:jc w:val="center"/>
            </w:pPr>
            <w:r w:rsidRPr="00310498">
              <w:t>1.0</w:t>
            </w:r>
            <w:r w:rsidR="00A0075B">
              <w:t>1</w:t>
            </w:r>
          </w:p>
          <w:p w14:paraId="6BADC39D" w14:textId="20B3B0F0" w:rsidR="0023575A" w:rsidRPr="00310498" w:rsidRDefault="0023575A" w:rsidP="00E24B8A">
            <w:pPr>
              <w:pStyle w:val="Tabletext"/>
              <w:keepNext/>
              <w:jc w:val="center"/>
            </w:pPr>
            <w:r w:rsidRPr="00310498">
              <w:t>(0.48, 2.10)</w:t>
            </w:r>
          </w:p>
        </w:tc>
        <w:tc>
          <w:tcPr>
            <w:tcW w:w="653" w:type="pct"/>
            <w:vAlign w:val="center"/>
          </w:tcPr>
          <w:p w14:paraId="081D65A3" w14:textId="629979C4" w:rsidR="0023575A" w:rsidRPr="00310498" w:rsidRDefault="0023575A" w:rsidP="00E24B8A">
            <w:pPr>
              <w:pStyle w:val="Tabletext"/>
              <w:keepNext/>
              <w:jc w:val="center"/>
            </w:pPr>
            <w:r w:rsidRPr="00310498">
              <w:t>-0.</w:t>
            </w:r>
            <w:r w:rsidR="001F6D08" w:rsidRPr="00310498">
              <w:t>30</w:t>
            </w:r>
            <w:r w:rsidRPr="00310498">
              <w:t xml:space="preserve"> </w:t>
            </w:r>
            <w:r w:rsidRPr="00310498">
              <w:br/>
              <w:t>(-0.</w:t>
            </w:r>
            <w:r w:rsidR="001F6D08" w:rsidRPr="00310498">
              <w:t>49</w:t>
            </w:r>
            <w:r w:rsidRPr="00310498">
              <w:t>,</w:t>
            </w:r>
            <w:r w:rsidR="00A0075B">
              <w:t xml:space="preserve"> </w:t>
            </w:r>
            <w:r w:rsidRPr="00310498">
              <w:t>0.</w:t>
            </w:r>
            <w:r w:rsidR="00923A6D" w:rsidRPr="00310498">
              <w:t>11</w:t>
            </w:r>
            <w:r w:rsidRPr="00310498">
              <w:t>)</w:t>
            </w:r>
          </w:p>
        </w:tc>
      </w:tr>
      <w:tr w:rsidR="00044C94" w:rsidRPr="00310498" w14:paraId="3E288CBD" w14:textId="03CD87C1" w:rsidTr="00A0075B">
        <w:trPr>
          <w:trHeight w:val="277"/>
        </w:trPr>
        <w:tc>
          <w:tcPr>
            <w:tcW w:w="741" w:type="pct"/>
            <w:shd w:val="clear" w:color="auto" w:fill="auto"/>
            <w:tcMar>
              <w:left w:w="20" w:type="dxa"/>
              <w:right w:w="20" w:type="dxa"/>
            </w:tcMar>
            <w:vAlign w:val="center"/>
          </w:tcPr>
          <w:p w14:paraId="2FCDD554" w14:textId="77777777" w:rsidR="0023575A" w:rsidRPr="00310498" w:rsidRDefault="0023575A" w:rsidP="00E24B8A">
            <w:pPr>
              <w:pStyle w:val="Tabletext"/>
              <w:keepNext/>
            </w:pPr>
            <w:r w:rsidRPr="00310498">
              <w:t>Any infusion-related TEAE</w:t>
            </w:r>
          </w:p>
        </w:tc>
        <w:tc>
          <w:tcPr>
            <w:tcW w:w="448" w:type="pct"/>
            <w:shd w:val="clear" w:color="auto" w:fill="auto"/>
            <w:tcMar>
              <w:left w:w="20" w:type="dxa"/>
              <w:right w:w="20" w:type="dxa"/>
            </w:tcMar>
            <w:vAlign w:val="center"/>
          </w:tcPr>
          <w:p w14:paraId="067DCC30" w14:textId="77777777" w:rsidR="0023575A" w:rsidRPr="00310498" w:rsidRDefault="0023575A" w:rsidP="00E24B8A">
            <w:pPr>
              <w:pStyle w:val="Tabletext"/>
              <w:keepNext/>
              <w:jc w:val="center"/>
            </w:pPr>
            <w:r w:rsidRPr="00310498">
              <w:t>3 (6.8)</w:t>
            </w:r>
          </w:p>
        </w:tc>
        <w:tc>
          <w:tcPr>
            <w:tcW w:w="448" w:type="pct"/>
            <w:shd w:val="clear" w:color="auto" w:fill="auto"/>
            <w:tcMar>
              <w:left w:w="20" w:type="dxa"/>
              <w:right w:w="20" w:type="dxa"/>
            </w:tcMar>
            <w:vAlign w:val="center"/>
          </w:tcPr>
          <w:p w14:paraId="230F0AA8" w14:textId="77777777" w:rsidR="0023575A" w:rsidRPr="00310498" w:rsidRDefault="0023575A" w:rsidP="00E24B8A">
            <w:pPr>
              <w:pStyle w:val="Tabletext"/>
              <w:keepNext/>
              <w:jc w:val="center"/>
            </w:pPr>
            <w:r w:rsidRPr="00310498">
              <w:t>7 (15.2)</w:t>
            </w:r>
          </w:p>
        </w:tc>
        <w:tc>
          <w:tcPr>
            <w:tcW w:w="522" w:type="pct"/>
            <w:shd w:val="clear" w:color="auto" w:fill="auto"/>
            <w:tcMar>
              <w:left w:w="20" w:type="dxa"/>
              <w:right w:w="20" w:type="dxa"/>
            </w:tcMar>
            <w:vAlign w:val="center"/>
          </w:tcPr>
          <w:p w14:paraId="131891DF" w14:textId="77777777" w:rsidR="0023575A" w:rsidRPr="00310498" w:rsidRDefault="0023575A" w:rsidP="00E24B8A">
            <w:pPr>
              <w:pStyle w:val="Tabletext"/>
              <w:keepNext/>
              <w:jc w:val="center"/>
            </w:pPr>
            <w:r w:rsidRPr="00310498">
              <w:t>0.45</w:t>
            </w:r>
          </w:p>
          <w:p w14:paraId="30A0CC63" w14:textId="77777777" w:rsidR="0023575A" w:rsidRPr="00310498" w:rsidRDefault="0023575A" w:rsidP="00E24B8A">
            <w:pPr>
              <w:pStyle w:val="Tabletext"/>
              <w:keepNext/>
              <w:jc w:val="center"/>
            </w:pPr>
            <w:r w:rsidRPr="00310498">
              <w:t>(0.12, 1.62)</w:t>
            </w:r>
          </w:p>
        </w:tc>
        <w:tc>
          <w:tcPr>
            <w:tcW w:w="520" w:type="pct"/>
            <w:shd w:val="clear" w:color="auto" w:fill="auto"/>
            <w:tcMar>
              <w:left w:w="20" w:type="dxa"/>
              <w:right w:w="20" w:type="dxa"/>
            </w:tcMar>
            <w:vAlign w:val="center"/>
          </w:tcPr>
          <w:p w14:paraId="23CDCA88" w14:textId="77777777" w:rsidR="0023575A" w:rsidRPr="00310498" w:rsidRDefault="0023575A" w:rsidP="00E24B8A">
            <w:pPr>
              <w:pStyle w:val="Tabletext"/>
              <w:keepNext/>
              <w:jc w:val="center"/>
            </w:pPr>
            <w:r w:rsidRPr="00310498">
              <w:t>12 (23.1)</w:t>
            </w:r>
          </w:p>
        </w:tc>
        <w:tc>
          <w:tcPr>
            <w:tcW w:w="448" w:type="pct"/>
            <w:shd w:val="clear" w:color="auto" w:fill="auto"/>
            <w:tcMar>
              <w:left w:w="20" w:type="dxa"/>
              <w:right w:w="20" w:type="dxa"/>
            </w:tcMar>
            <w:vAlign w:val="center"/>
          </w:tcPr>
          <w:p w14:paraId="28DF91B5" w14:textId="77777777" w:rsidR="0023575A" w:rsidRPr="00310498" w:rsidRDefault="0023575A" w:rsidP="00E24B8A">
            <w:pPr>
              <w:pStyle w:val="Tabletext"/>
              <w:keepNext/>
              <w:jc w:val="center"/>
            </w:pPr>
            <w:r w:rsidRPr="00310498">
              <w:t>13 (20.0)</w:t>
            </w:r>
          </w:p>
        </w:tc>
        <w:tc>
          <w:tcPr>
            <w:tcW w:w="521" w:type="pct"/>
            <w:shd w:val="clear" w:color="auto" w:fill="auto"/>
            <w:tcMar>
              <w:left w:w="20" w:type="dxa"/>
              <w:right w:w="20" w:type="dxa"/>
            </w:tcMar>
            <w:vAlign w:val="center"/>
          </w:tcPr>
          <w:p w14:paraId="23E59F7A" w14:textId="77777777" w:rsidR="0023575A" w:rsidRPr="00310498" w:rsidRDefault="0023575A" w:rsidP="00E24B8A">
            <w:pPr>
              <w:pStyle w:val="Tabletext"/>
              <w:keepNext/>
              <w:jc w:val="center"/>
            </w:pPr>
            <w:r w:rsidRPr="00310498">
              <w:t>1.15</w:t>
            </w:r>
          </w:p>
          <w:p w14:paraId="3B23D32D" w14:textId="77777777" w:rsidR="0023575A" w:rsidRPr="00310498" w:rsidRDefault="0023575A" w:rsidP="00E24B8A">
            <w:pPr>
              <w:pStyle w:val="Tabletext"/>
              <w:keepNext/>
              <w:jc w:val="center"/>
            </w:pPr>
            <w:r w:rsidRPr="00310498">
              <w:t>(0.58, 2.31)</w:t>
            </w:r>
          </w:p>
        </w:tc>
        <w:tc>
          <w:tcPr>
            <w:tcW w:w="698" w:type="pct"/>
            <w:shd w:val="clear" w:color="auto" w:fill="auto"/>
            <w:tcMar>
              <w:left w:w="20" w:type="dxa"/>
              <w:right w:w="20" w:type="dxa"/>
            </w:tcMar>
            <w:vAlign w:val="center"/>
          </w:tcPr>
          <w:p w14:paraId="6869469A" w14:textId="2897AEAC" w:rsidR="0023575A" w:rsidRPr="00310498" w:rsidRDefault="0023575A" w:rsidP="00E24B8A">
            <w:pPr>
              <w:pStyle w:val="Tabletext"/>
              <w:keepNext/>
              <w:jc w:val="center"/>
            </w:pPr>
            <w:r w:rsidRPr="00310498">
              <w:t>0.39</w:t>
            </w:r>
          </w:p>
          <w:p w14:paraId="29C6794F" w14:textId="74ADB70E" w:rsidR="0023575A" w:rsidRPr="00310498" w:rsidRDefault="0023575A" w:rsidP="00E24B8A">
            <w:pPr>
              <w:pStyle w:val="Tabletext"/>
              <w:keepNext/>
              <w:jc w:val="center"/>
            </w:pPr>
            <w:r w:rsidRPr="00310498">
              <w:t>(0.09, 1.7</w:t>
            </w:r>
            <w:r w:rsidR="00A0075B">
              <w:t>1</w:t>
            </w:r>
            <w:r w:rsidRPr="00310498">
              <w:t>)</w:t>
            </w:r>
          </w:p>
        </w:tc>
        <w:tc>
          <w:tcPr>
            <w:tcW w:w="653" w:type="pct"/>
            <w:vAlign w:val="center"/>
          </w:tcPr>
          <w:p w14:paraId="7EDDB11B" w14:textId="34E130F7" w:rsidR="0023575A" w:rsidRPr="00310498" w:rsidRDefault="0023575A" w:rsidP="00E24B8A">
            <w:pPr>
              <w:pStyle w:val="Tabletext"/>
              <w:keepNext/>
              <w:jc w:val="center"/>
            </w:pPr>
            <w:r w:rsidRPr="00310498">
              <w:t>-0.</w:t>
            </w:r>
            <w:r w:rsidR="00DF2DF0" w:rsidRPr="00310498">
              <w:t>16</w:t>
            </w:r>
            <w:r w:rsidRPr="00310498">
              <w:br/>
              <w:t>(-0.3</w:t>
            </w:r>
            <w:r w:rsidR="00DF2DF0" w:rsidRPr="00310498">
              <w:t>0</w:t>
            </w:r>
            <w:r w:rsidRPr="00310498">
              <w:t>,</w:t>
            </w:r>
            <w:r w:rsidR="00A0075B">
              <w:t xml:space="preserve"> </w:t>
            </w:r>
            <w:r w:rsidR="00DF2DF0" w:rsidRPr="00310498">
              <w:t>-</w:t>
            </w:r>
            <w:r w:rsidRPr="00310498">
              <w:t>0.0</w:t>
            </w:r>
            <w:r w:rsidR="00DF2DF0" w:rsidRPr="00310498">
              <w:t>3</w:t>
            </w:r>
            <w:r w:rsidRPr="00310498">
              <w:t>)</w:t>
            </w:r>
          </w:p>
        </w:tc>
      </w:tr>
      <w:tr w:rsidR="00044C94" w:rsidRPr="00310498" w14:paraId="2493EB48" w14:textId="4B2EAA0F" w:rsidTr="00A0075B">
        <w:trPr>
          <w:trHeight w:val="283"/>
        </w:trPr>
        <w:tc>
          <w:tcPr>
            <w:tcW w:w="741" w:type="pct"/>
            <w:shd w:val="clear" w:color="auto" w:fill="auto"/>
            <w:tcMar>
              <w:left w:w="20" w:type="dxa"/>
              <w:right w:w="20" w:type="dxa"/>
            </w:tcMar>
            <w:vAlign w:val="center"/>
          </w:tcPr>
          <w:p w14:paraId="34ABFB9D" w14:textId="77777777" w:rsidR="0023575A" w:rsidRPr="00310498" w:rsidRDefault="0023575A" w:rsidP="00E24B8A">
            <w:pPr>
              <w:pStyle w:val="Tabletext"/>
              <w:keepNext/>
            </w:pPr>
            <w:r w:rsidRPr="00310498">
              <w:t>Any TEAE leading to treatment discontinuation</w:t>
            </w:r>
          </w:p>
        </w:tc>
        <w:tc>
          <w:tcPr>
            <w:tcW w:w="448" w:type="pct"/>
            <w:shd w:val="clear" w:color="auto" w:fill="auto"/>
            <w:tcMar>
              <w:left w:w="20" w:type="dxa"/>
              <w:right w:w="20" w:type="dxa"/>
            </w:tcMar>
            <w:vAlign w:val="center"/>
          </w:tcPr>
          <w:p w14:paraId="44E07E6A" w14:textId="77777777" w:rsidR="0023575A" w:rsidRPr="00310498" w:rsidRDefault="0023575A" w:rsidP="00E24B8A">
            <w:pPr>
              <w:pStyle w:val="Tabletext"/>
              <w:keepNext/>
              <w:jc w:val="center"/>
            </w:pPr>
            <w:r w:rsidRPr="00310498">
              <w:t>9 (20.5)</w:t>
            </w:r>
          </w:p>
        </w:tc>
        <w:tc>
          <w:tcPr>
            <w:tcW w:w="448" w:type="pct"/>
            <w:shd w:val="clear" w:color="auto" w:fill="auto"/>
            <w:tcMar>
              <w:left w:w="20" w:type="dxa"/>
              <w:right w:w="20" w:type="dxa"/>
            </w:tcMar>
            <w:vAlign w:val="center"/>
          </w:tcPr>
          <w:p w14:paraId="735E942D" w14:textId="77777777" w:rsidR="0023575A" w:rsidRPr="00310498" w:rsidRDefault="0023575A" w:rsidP="00E24B8A">
            <w:pPr>
              <w:pStyle w:val="Tabletext"/>
              <w:keepNext/>
              <w:jc w:val="center"/>
            </w:pPr>
            <w:r w:rsidRPr="00310498">
              <w:t>7 (15.2)</w:t>
            </w:r>
          </w:p>
        </w:tc>
        <w:tc>
          <w:tcPr>
            <w:tcW w:w="522" w:type="pct"/>
            <w:shd w:val="clear" w:color="auto" w:fill="auto"/>
            <w:tcMar>
              <w:left w:w="20" w:type="dxa"/>
              <w:right w:w="20" w:type="dxa"/>
            </w:tcMar>
            <w:vAlign w:val="center"/>
          </w:tcPr>
          <w:p w14:paraId="0E67833A" w14:textId="77777777" w:rsidR="0023575A" w:rsidRPr="00310498" w:rsidRDefault="0023575A" w:rsidP="00E24B8A">
            <w:pPr>
              <w:pStyle w:val="Tabletext"/>
              <w:keepNext/>
              <w:jc w:val="center"/>
            </w:pPr>
            <w:r w:rsidRPr="00310498">
              <w:t>1.34</w:t>
            </w:r>
          </w:p>
          <w:p w14:paraId="34220BBB" w14:textId="77777777" w:rsidR="0023575A" w:rsidRPr="00310498" w:rsidRDefault="0023575A" w:rsidP="00E24B8A">
            <w:pPr>
              <w:pStyle w:val="Tabletext"/>
              <w:keepNext/>
              <w:jc w:val="center"/>
            </w:pPr>
            <w:r w:rsidRPr="00310498">
              <w:t>(0.55, 3.30)</w:t>
            </w:r>
          </w:p>
        </w:tc>
        <w:tc>
          <w:tcPr>
            <w:tcW w:w="520" w:type="pct"/>
            <w:shd w:val="clear" w:color="auto" w:fill="auto"/>
            <w:tcMar>
              <w:left w:w="20" w:type="dxa"/>
              <w:right w:w="20" w:type="dxa"/>
            </w:tcMar>
            <w:vAlign w:val="center"/>
          </w:tcPr>
          <w:p w14:paraId="1928DF99" w14:textId="77777777" w:rsidR="0023575A" w:rsidRPr="00310498" w:rsidRDefault="0023575A" w:rsidP="00E24B8A">
            <w:pPr>
              <w:pStyle w:val="Tabletext"/>
              <w:keepNext/>
              <w:jc w:val="center"/>
            </w:pPr>
            <w:r w:rsidRPr="00310498">
              <w:t>9 (17.3)</w:t>
            </w:r>
          </w:p>
        </w:tc>
        <w:tc>
          <w:tcPr>
            <w:tcW w:w="448" w:type="pct"/>
            <w:shd w:val="clear" w:color="auto" w:fill="auto"/>
            <w:tcMar>
              <w:left w:w="20" w:type="dxa"/>
              <w:right w:w="20" w:type="dxa"/>
            </w:tcMar>
            <w:vAlign w:val="center"/>
          </w:tcPr>
          <w:p w14:paraId="5016C22E" w14:textId="77777777" w:rsidR="0023575A" w:rsidRPr="00310498" w:rsidRDefault="0023575A" w:rsidP="00E24B8A">
            <w:pPr>
              <w:pStyle w:val="Tabletext"/>
              <w:keepNext/>
              <w:jc w:val="center"/>
            </w:pPr>
            <w:r w:rsidRPr="00310498">
              <w:t>9 (13.8)</w:t>
            </w:r>
          </w:p>
        </w:tc>
        <w:tc>
          <w:tcPr>
            <w:tcW w:w="521" w:type="pct"/>
            <w:shd w:val="clear" w:color="auto" w:fill="auto"/>
            <w:tcMar>
              <w:left w:w="20" w:type="dxa"/>
              <w:right w:w="20" w:type="dxa"/>
            </w:tcMar>
            <w:vAlign w:val="center"/>
          </w:tcPr>
          <w:p w14:paraId="14243123" w14:textId="77777777" w:rsidR="0023575A" w:rsidRPr="00310498" w:rsidRDefault="0023575A" w:rsidP="00E24B8A">
            <w:pPr>
              <w:pStyle w:val="Tabletext"/>
              <w:keepNext/>
              <w:jc w:val="center"/>
            </w:pPr>
            <w:r w:rsidRPr="00310498">
              <w:t>1.25</w:t>
            </w:r>
          </w:p>
          <w:p w14:paraId="4B7DB7B3" w14:textId="77777777" w:rsidR="0023575A" w:rsidRPr="00310498" w:rsidRDefault="0023575A" w:rsidP="00E24B8A">
            <w:pPr>
              <w:pStyle w:val="Tabletext"/>
              <w:keepNext/>
              <w:jc w:val="center"/>
            </w:pPr>
            <w:r w:rsidRPr="00310498">
              <w:t>(0.53, 2.92)</w:t>
            </w:r>
          </w:p>
        </w:tc>
        <w:tc>
          <w:tcPr>
            <w:tcW w:w="698" w:type="pct"/>
            <w:shd w:val="clear" w:color="auto" w:fill="auto"/>
            <w:tcMar>
              <w:left w:w="20" w:type="dxa"/>
              <w:right w:w="20" w:type="dxa"/>
            </w:tcMar>
            <w:vAlign w:val="center"/>
          </w:tcPr>
          <w:p w14:paraId="30FD1968" w14:textId="47549902" w:rsidR="0023575A" w:rsidRPr="00310498" w:rsidRDefault="0023575A" w:rsidP="00E24B8A">
            <w:pPr>
              <w:pStyle w:val="Tabletext"/>
              <w:keepNext/>
              <w:jc w:val="center"/>
            </w:pPr>
            <w:r w:rsidRPr="00310498">
              <w:t>1.07</w:t>
            </w:r>
          </w:p>
          <w:p w14:paraId="78C47A47" w14:textId="01476BD5" w:rsidR="0023575A" w:rsidRPr="00310498" w:rsidRDefault="0023575A" w:rsidP="00E24B8A">
            <w:pPr>
              <w:pStyle w:val="Tabletext"/>
              <w:keepNext/>
              <w:jc w:val="center"/>
            </w:pPr>
            <w:r w:rsidRPr="00310498">
              <w:t>(0.31, 3.69)</w:t>
            </w:r>
          </w:p>
        </w:tc>
        <w:tc>
          <w:tcPr>
            <w:tcW w:w="653" w:type="pct"/>
            <w:vAlign w:val="center"/>
          </w:tcPr>
          <w:p w14:paraId="583EEFF8" w14:textId="3E2048A0" w:rsidR="0023575A" w:rsidRPr="00310498" w:rsidRDefault="00D95912" w:rsidP="00E24B8A">
            <w:pPr>
              <w:pStyle w:val="Tabletext"/>
              <w:keepNext/>
              <w:jc w:val="center"/>
            </w:pPr>
            <w:r w:rsidRPr="00310498">
              <w:t>0.03</w:t>
            </w:r>
            <w:r w:rsidR="0023575A" w:rsidRPr="00310498">
              <w:t xml:space="preserve"> </w:t>
            </w:r>
            <w:r w:rsidR="0023575A" w:rsidRPr="00310498">
              <w:br/>
              <w:t>(-0.</w:t>
            </w:r>
            <w:r w:rsidRPr="00310498">
              <w:t>13,</w:t>
            </w:r>
            <w:r w:rsidR="00A0075B">
              <w:t xml:space="preserve"> </w:t>
            </w:r>
            <w:r w:rsidRPr="00310498">
              <w:t>0.19</w:t>
            </w:r>
            <w:r w:rsidR="0023575A" w:rsidRPr="00310498">
              <w:t>)</w:t>
            </w:r>
          </w:p>
        </w:tc>
      </w:tr>
      <w:tr w:rsidR="00044C94" w:rsidRPr="00310498" w14:paraId="1238805F" w14:textId="6EFDCC02" w:rsidTr="00A0075B">
        <w:trPr>
          <w:trHeight w:val="277"/>
        </w:trPr>
        <w:tc>
          <w:tcPr>
            <w:tcW w:w="741" w:type="pct"/>
            <w:shd w:val="clear" w:color="auto" w:fill="auto"/>
            <w:tcMar>
              <w:left w:w="20" w:type="dxa"/>
              <w:right w:w="20" w:type="dxa"/>
            </w:tcMar>
            <w:vAlign w:val="center"/>
          </w:tcPr>
          <w:p w14:paraId="59B5FBCD" w14:textId="77777777" w:rsidR="0023575A" w:rsidRPr="00310498" w:rsidRDefault="0023575A" w:rsidP="00E24B8A">
            <w:pPr>
              <w:pStyle w:val="Tabletext"/>
              <w:keepNext/>
            </w:pPr>
            <w:r w:rsidRPr="00310498">
              <w:t>TEAEs leading to death</w:t>
            </w:r>
          </w:p>
        </w:tc>
        <w:tc>
          <w:tcPr>
            <w:tcW w:w="448" w:type="pct"/>
            <w:shd w:val="clear" w:color="auto" w:fill="auto"/>
            <w:tcMar>
              <w:left w:w="20" w:type="dxa"/>
              <w:right w:w="20" w:type="dxa"/>
            </w:tcMar>
            <w:vAlign w:val="center"/>
          </w:tcPr>
          <w:p w14:paraId="3589CEBA" w14:textId="77777777" w:rsidR="0023575A" w:rsidRPr="00310498" w:rsidRDefault="0023575A" w:rsidP="00E24B8A">
            <w:pPr>
              <w:pStyle w:val="Tabletext"/>
              <w:keepNext/>
              <w:jc w:val="center"/>
            </w:pPr>
            <w:r w:rsidRPr="00310498">
              <w:t>0 (0.0)</w:t>
            </w:r>
          </w:p>
        </w:tc>
        <w:tc>
          <w:tcPr>
            <w:tcW w:w="448" w:type="pct"/>
            <w:shd w:val="clear" w:color="auto" w:fill="auto"/>
            <w:tcMar>
              <w:left w:w="20" w:type="dxa"/>
              <w:right w:w="20" w:type="dxa"/>
            </w:tcMar>
            <w:vAlign w:val="center"/>
          </w:tcPr>
          <w:p w14:paraId="02CC7497" w14:textId="77777777" w:rsidR="0023575A" w:rsidRPr="00310498" w:rsidRDefault="0023575A" w:rsidP="00E24B8A">
            <w:pPr>
              <w:pStyle w:val="Tabletext"/>
              <w:keepNext/>
              <w:jc w:val="center"/>
            </w:pPr>
            <w:r w:rsidRPr="00310498">
              <w:t>1 (2.2)</w:t>
            </w:r>
          </w:p>
        </w:tc>
        <w:tc>
          <w:tcPr>
            <w:tcW w:w="522" w:type="pct"/>
            <w:shd w:val="clear" w:color="auto" w:fill="auto"/>
            <w:tcMar>
              <w:left w:w="20" w:type="dxa"/>
              <w:right w:w="20" w:type="dxa"/>
            </w:tcMar>
            <w:vAlign w:val="center"/>
          </w:tcPr>
          <w:p w14:paraId="78A16F1D" w14:textId="77777777" w:rsidR="0023575A" w:rsidRPr="00310498" w:rsidRDefault="0023575A" w:rsidP="00E24B8A">
            <w:pPr>
              <w:pStyle w:val="Tabletext"/>
              <w:keepNext/>
              <w:jc w:val="center"/>
            </w:pPr>
            <w:r w:rsidRPr="00310498">
              <w:t>0.35</w:t>
            </w:r>
          </w:p>
          <w:p w14:paraId="64309675" w14:textId="77777777" w:rsidR="0023575A" w:rsidRPr="00310498" w:rsidRDefault="0023575A" w:rsidP="00E24B8A">
            <w:pPr>
              <w:pStyle w:val="Tabletext"/>
              <w:keepNext/>
              <w:jc w:val="center"/>
            </w:pPr>
            <w:r w:rsidRPr="00310498">
              <w:t>(0.01, 8.33)</w:t>
            </w:r>
          </w:p>
        </w:tc>
        <w:tc>
          <w:tcPr>
            <w:tcW w:w="520" w:type="pct"/>
            <w:shd w:val="clear" w:color="auto" w:fill="auto"/>
            <w:tcMar>
              <w:left w:w="20" w:type="dxa"/>
              <w:right w:w="20" w:type="dxa"/>
            </w:tcMar>
            <w:vAlign w:val="center"/>
          </w:tcPr>
          <w:p w14:paraId="3708FF10" w14:textId="77777777" w:rsidR="0023575A" w:rsidRPr="00310498" w:rsidRDefault="0023575A" w:rsidP="00E24B8A">
            <w:pPr>
              <w:pStyle w:val="Tabletext"/>
              <w:keepNext/>
              <w:jc w:val="center"/>
            </w:pPr>
            <w:r w:rsidRPr="00310498">
              <w:t>2 (3.8)</w:t>
            </w:r>
          </w:p>
        </w:tc>
        <w:tc>
          <w:tcPr>
            <w:tcW w:w="448" w:type="pct"/>
            <w:shd w:val="clear" w:color="auto" w:fill="auto"/>
            <w:tcMar>
              <w:left w:w="20" w:type="dxa"/>
              <w:right w:w="20" w:type="dxa"/>
            </w:tcMar>
            <w:vAlign w:val="center"/>
          </w:tcPr>
          <w:p w14:paraId="6F2DEC9D" w14:textId="77777777" w:rsidR="0023575A" w:rsidRPr="00310498" w:rsidRDefault="0023575A" w:rsidP="00E24B8A">
            <w:pPr>
              <w:pStyle w:val="Tabletext"/>
              <w:keepNext/>
              <w:jc w:val="center"/>
            </w:pPr>
            <w:r w:rsidRPr="00310498">
              <w:t>0 (0.0)</w:t>
            </w:r>
          </w:p>
        </w:tc>
        <w:tc>
          <w:tcPr>
            <w:tcW w:w="521" w:type="pct"/>
            <w:shd w:val="clear" w:color="auto" w:fill="auto"/>
            <w:tcMar>
              <w:left w:w="20" w:type="dxa"/>
              <w:right w:w="20" w:type="dxa"/>
            </w:tcMar>
            <w:vAlign w:val="center"/>
          </w:tcPr>
          <w:p w14:paraId="4FDB4124" w14:textId="77777777" w:rsidR="0023575A" w:rsidRPr="00310498" w:rsidRDefault="0023575A" w:rsidP="00E24B8A">
            <w:pPr>
              <w:pStyle w:val="Tabletext"/>
              <w:keepNext/>
              <w:jc w:val="center"/>
            </w:pPr>
            <w:r w:rsidRPr="00310498">
              <w:t>6.23</w:t>
            </w:r>
          </w:p>
          <w:p w14:paraId="295ED088" w14:textId="77777777" w:rsidR="0023575A" w:rsidRPr="00310498" w:rsidRDefault="0023575A" w:rsidP="00E24B8A">
            <w:pPr>
              <w:pStyle w:val="Tabletext"/>
              <w:keepNext/>
              <w:jc w:val="center"/>
            </w:pPr>
            <w:r w:rsidRPr="00310498">
              <w:t>(0.31, 126.9)</w:t>
            </w:r>
          </w:p>
        </w:tc>
        <w:tc>
          <w:tcPr>
            <w:tcW w:w="698" w:type="pct"/>
            <w:shd w:val="clear" w:color="auto" w:fill="auto"/>
            <w:tcMar>
              <w:left w:w="20" w:type="dxa"/>
              <w:right w:w="20" w:type="dxa"/>
            </w:tcMar>
            <w:vAlign w:val="center"/>
          </w:tcPr>
          <w:p w14:paraId="3572ABB4" w14:textId="2C00819A" w:rsidR="0023575A" w:rsidRPr="00310498" w:rsidRDefault="0023575A" w:rsidP="00E24B8A">
            <w:pPr>
              <w:pStyle w:val="Tabletext"/>
              <w:keepNext/>
              <w:jc w:val="center"/>
            </w:pPr>
            <w:r w:rsidRPr="00310498">
              <w:t>0.06</w:t>
            </w:r>
          </w:p>
          <w:p w14:paraId="0B31D802" w14:textId="5AE0BA32" w:rsidR="0023575A" w:rsidRPr="00310498" w:rsidRDefault="0023575A" w:rsidP="00E24B8A">
            <w:pPr>
              <w:pStyle w:val="Tabletext"/>
              <w:keepNext/>
              <w:jc w:val="center"/>
            </w:pPr>
            <w:r w:rsidRPr="00310498">
              <w:t>(0.00, 5.11)</w:t>
            </w:r>
          </w:p>
        </w:tc>
        <w:tc>
          <w:tcPr>
            <w:tcW w:w="653" w:type="pct"/>
            <w:vAlign w:val="center"/>
          </w:tcPr>
          <w:p w14:paraId="1988597F" w14:textId="778EF43E" w:rsidR="0023575A" w:rsidRPr="00310498" w:rsidRDefault="0023575A" w:rsidP="00E24B8A">
            <w:pPr>
              <w:pStyle w:val="Tabletext"/>
              <w:keepNext/>
              <w:jc w:val="center"/>
            </w:pPr>
            <w:r w:rsidRPr="00310498">
              <w:t xml:space="preserve">-0.19 </w:t>
            </w:r>
            <w:r w:rsidRPr="00310498">
              <w:br/>
              <w:t>(-0.38,</w:t>
            </w:r>
            <w:r w:rsidR="00A0075B">
              <w:t xml:space="preserve"> </w:t>
            </w:r>
            <w:r w:rsidRPr="00310498">
              <w:t>0.00)</w:t>
            </w:r>
          </w:p>
        </w:tc>
      </w:tr>
    </w:tbl>
    <w:p w14:paraId="06F50A8E" w14:textId="77777777" w:rsidR="00E24B8A" w:rsidRPr="00310498" w:rsidRDefault="00E24B8A" w:rsidP="00D17A65">
      <w:pPr>
        <w:pStyle w:val="TableFigureFooter"/>
      </w:pPr>
      <w:r w:rsidRPr="00310498">
        <w:t>Source: Table 2.36, p118 of the submission.</w:t>
      </w:r>
    </w:p>
    <w:p w14:paraId="1CA18678" w14:textId="7123A35E" w:rsidR="00485DF5" w:rsidRPr="00310498" w:rsidRDefault="00485DF5" w:rsidP="00D17A65">
      <w:pPr>
        <w:pStyle w:val="TableFigureFooter"/>
      </w:pPr>
      <w:r w:rsidRPr="00310498">
        <w:t xml:space="preserve">CI = confidence interval; dostar = dostarlimab; durva = durvalumab; ITC= indirect treatment comparison; </w:t>
      </w:r>
      <w:r w:rsidR="0041670E" w:rsidRPr="00310498">
        <w:t>PC = paclitaxel + carboplatin</w:t>
      </w:r>
      <w:r w:rsidRPr="00310498">
        <w:t xml:space="preserve">; RR = relative risk; SAE= serious adverse event; TEAE= treatment emergent adverse event. </w:t>
      </w:r>
    </w:p>
    <w:p w14:paraId="134CEAD0" w14:textId="77777777" w:rsidR="00B318CC" w:rsidRPr="00310498" w:rsidRDefault="00B318CC" w:rsidP="00D17A65">
      <w:pPr>
        <w:pStyle w:val="TableFigureFooter"/>
      </w:pPr>
      <w:r w:rsidRPr="00310498">
        <w:rPr>
          <w:b/>
          <w:bCs/>
        </w:rPr>
        <w:t>Bold</w:t>
      </w:r>
      <w:r w:rsidRPr="00310498">
        <w:t xml:space="preserve"> indicates values where the 95% CI of the relative risk did not include ‘1’</w:t>
      </w:r>
    </w:p>
    <w:p w14:paraId="2194C154" w14:textId="0E5602D2" w:rsidR="005A0AD9" w:rsidRPr="00310498" w:rsidRDefault="005A0AD9" w:rsidP="00D17A65">
      <w:pPr>
        <w:pStyle w:val="TableFigureFooter"/>
      </w:pPr>
      <w:r w:rsidRPr="00310498">
        <w:t>a Naïve unanchored comparison</w:t>
      </w:r>
      <w:r w:rsidR="00683AF5" w:rsidRPr="00310498">
        <w:t xml:space="preserve"> of </w:t>
      </w:r>
      <w:r w:rsidR="002112A5" w:rsidRPr="00310498">
        <w:t xml:space="preserve">risk of </w:t>
      </w:r>
      <w:r w:rsidR="00683AF5" w:rsidRPr="00310498">
        <w:t xml:space="preserve">AEs for </w:t>
      </w:r>
      <w:r w:rsidR="002112A5" w:rsidRPr="00310498">
        <w:t xml:space="preserve">treatment with </w:t>
      </w:r>
      <w:r w:rsidR="00683AF5" w:rsidRPr="00310498">
        <w:t>du</w:t>
      </w:r>
      <w:r w:rsidR="004C69AE" w:rsidRPr="00310498">
        <w:t>r</w:t>
      </w:r>
      <w:r w:rsidR="00683AF5" w:rsidRPr="00310498">
        <w:t xml:space="preserve">valumab + PC </w:t>
      </w:r>
      <w:r w:rsidR="002112A5" w:rsidRPr="00310498">
        <w:t xml:space="preserve">(DUO-E) </w:t>
      </w:r>
      <w:r w:rsidR="00683AF5" w:rsidRPr="00310498">
        <w:t>versus dos</w:t>
      </w:r>
      <w:r w:rsidR="004C69AE" w:rsidRPr="00310498">
        <w:t>t</w:t>
      </w:r>
      <w:r w:rsidR="00683AF5" w:rsidRPr="00310498">
        <w:t>a</w:t>
      </w:r>
      <w:r w:rsidR="004C69AE" w:rsidRPr="00310498">
        <w:t>r</w:t>
      </w:r>
      <w:r w:rsidR="00683AF5" w:rsidRPr="00310498">
        <w:t>limab + PC</w:t>
      </w:r>
      <w:r w:rsidRPr="00310498">
        <w:t>.</w:t>
      </w:r>
    </w:p>
    <w:p w14:paraId="398A5AB8" w14:textId="77777777" w:rsidR="00485DF5" w:rsidRPr="00A0075B" w:rsidRDefault="00485DF5" w:rsidP="00485DF5">
      <w:pPr>
        <w:pStyle w:val="4-SubsectionHeading"/>
        <w:rPr>
          <w:iCs/>
        </w:rPr>
      </w:pPr>
      <w:bookmarkStart w:id="57" w:name="_Toc174923387"/>
      <w:bookmarkStart w:id="58" w:name="_Toc176785109"/>
      <w:r w:rsidRPr="00A0075B">
        <w:rPr>
          <w:iCs/>
        </w:rPr>
        <w:t>Benefits/harms</w:t>
      </w:r>
      <w:bookmarkEnd w:id="57"/>
      <w:bookmarkEnd w:id="58"/>
    </w:p>
    <w:p w14:paraId="6ECEC9D1" w14:textId="4C080E62" w:rsidR="00485DF5" w:rsidRPr="00310498" w:rsidRDefault="00F267A0" w:rsidP="00485DF5">
      <w:pPr>
        <w:pStyle w:val="3-BodyText"/>
      </w:pPr>
      <w:r w:rsidRPr="00310498">
        <w:t>B</w:t>
      </w:r>
      <w:r w:rsidR="00485DF5" w:rsidRPr="00310498">
        <w:t xml:space="preserve">enefits and harms </w:t>
      </w:r>
      <w:r w:rsidRPr="00310498">
        <w:t>were</w:t>
      </w:r>
      <w:r w:rsidR="00485DF5" w:rsidRPr="00310498">
        <w:t xml:space="preserve"> not presented </w:t>
      </w:r>
      <w:r w:rsidR="00AC3C61" w:rsidRPr="00310498">
        <w:t xml:space="preserve">for the comparison of durvalumab + PC and dostarlimab + PC </w:t>
      </w:r>
      <w:r w:rsidR="00485DF5" w:rsidRPr="00310498">
        <w:t xml:space="preserve">as the submission made a claim of non-inferiority. </w:t>
      </w:r>
    </w:p>
    <w:p w14:paraId="54209386" w14:textId="77777777" w:rsidR="00BC2E66" w:rsidRPr="00310498" w:rsidRDefault="00BC2E66" w:rsidP="00BC2E66">
      <w:pPr>
        <w:pStyle w:val="3-BodyText"/>
        <w:numPr>
          <w:ilvl w:val="1"/>
          <w:numId w:val="1"/>
        </w:numPr>
        <w:spacing w:before="0"/>
      </w:pPr>
      <w:r w:rsidRPr="00310498">
        <w:t>On the basis of direct comparison evidence presented by the submission in the pMMR population, for every 100 patients treated with durvalumab + PC + olaparib in comparison with PC:</w:t>
      </w:r>
    </w:p>
    <w:p w14:paraId="00C86149" w14:textId="21775860" w:rsidR="00BC2E66" w:rsidRPr="00310498" w:rsidRDefault="00BC2E66" w:rsidP="00BC2E66">
      <w:pPr>
        <w:pStyle w:val="ListParagraph"/>
        <w:ind w:left="1134"/>
        <w:jc w:val="both"/>
      </w:pPr>
      <w:r w:rsidRPr="00310498">
        <w:t>Approximately 2</w:t>
      </w:r>
      <w:r w:rsidR="00F201E8" w:rsidRPr="00310498">
        <w:t>0</w:t>
      </w:r>
      <w:r w:rsidRPr="00310498">
        <w:t xml:space="preserve"> additional patients will remain progression-free </w:t>
      </w:r>
      <w:r w:rsidR="005C2FC4" w:rsidRPr="00310498">
        <w:t xml:space="preserve">at </w:t>
      </w:r>
      <w:r w:rsidRPr="00310498">
        <w:t>12 months</w:t>
      </w:r>
      <w:r w:rsidR="00F201E8" w:rsidRPr="00310498">
        <w:t xml:space="preserve"> (see </w:t>
      </w:r>
      <w:r w:rsidR="00F201E8" w:rsidRPr="00310498">
        <w:fldChar w:fldCharType="begin" w:fldLock="1"/>
      </w:r>
      <w:r w:rsidR="00F201E8" w:rsidRPr="00310498">
        <w:instrText xml:space="preserve"> REF _Ref174966006 \h </w:instrText>
      </w:r>
      <w:r w:rsidR="00310498" w:rsidRPr="00310498">
        <w:instrText xml:space="preserve"> \* MERGEFORMAT </w:instrText>
      </w:r>
      <w:r w:rsidR="00F201E8" w:rsidRPr="00310498">
        <w:fldChar w:fldCharType="separate"/>
      </w:r>
      <w:r w:rsidR="002C52D8" w:rsidRPr="00310498">
        <w:t xml:space="preserve">Table </w:t>
      </w:r>
      <w:r w:rsidR="002C52D8">
        <w:rPr>
          <w:noProof/>
        </w:rPr>
        <w:t>5</w:t>
      </w:r>
      <w:r w:rsidR="00F201E8" w:rsidRPr="00310498">
        <w:fldChar w:fldCharType="end"/>
      </w:r>
      <w:r w:rsidR="00F201E8" w:rsidRPr="00310498">
        <w:t>); and</w:t>
      </w:r>
    </w:p>
    <w:p w14:paraId="1B530A89" w14:textId="71211AF1" w:rsidR="00BC2E66" w:rsidRPr="00310498" w:rsidRDefault="00BC2E66" w:rsidP="00BC2E66">
      <w:pPr>
        <w:pStyle w:val="ListParagraph"/>
        <w:ind w:left="1134" w:hanging="357"/>
        <w:jc w:val="both"/>
      </w:pPr>
      <w:r w:rsidRPr="00310498">
        <w:t xml:space="preserve">Approximately </w:t>
      </w:r>
      <w:r w:rsidR="00187D6A">
        <w:t>17</w:t>
      </w:r>
      <w:r w:rsidR="00187D6A" w:rsidRPr="00310498">
        <w:t xml:space="preserve"> </w:t>
      </w:r>
      <w:r w:rsidRPr="00310498">
        <w:t>additional patients will experience any immune-related TEAEs</w:t>
      </w:r>
      <w:r w:rsidR="00F67A42" w:rsidRPr="00310498">
        <w:t xml:space="preserve"> (see</w:t>
      </w:r>
      <w:r w:rsidR="002C52D8">
        <w:t xml:space="preserve"> </w:t>
      </w:r>
      <w:r w:rsidR="002C52D8">
        <w:fldChar w:fldCharType="begin" w:fldLock="1"/>
      </w:r>
      <w:r w:rsidR="002C52D8">
        <w:instrText xml:space="preserve"> REF _Ref174980195 \h </w:instrText>
      </w:r>
      <w:r w:rsidR="002C52D8">
        <w:fldChar w:fldCharType="separate"/>
      </w:r>
      <w:r w:rsidR="002C52D8" w:rsidRPr="00310498">
        <w:t xml:space="preserve">Table </w:t>
      </w:r>
      <w:r w:rsidR="002C52D8">
        <w:rPr>
          <w:noProof/>
        </w:rPr>
        <w:t>13</w:t>
      </w:r>
      <w:r w:rsidR="002C52D8">
        <w:fldChar w:fldCharType="end"/>
      </w:r>
      <w:r w:rsidR="00287103" w:rsidRPr="00310498">
        <w:t>)</w:t>
      </w:r>
      <w:r w:rsidRPr="00310498">
        <w:t>.</w:t>
      </w:r>
    </w:p>
    <w:p w14:paraId="54BB0004" w14:textId="77777777" w:rsidR="00485DF5" w:rsidRPr="00A0075B" w:rsidRDefault="00485DF5" w:rsidP="00485DF5">
      <w:pPr>
        <w:pStyle w:val="4-SubsectionHeading"/>
        <w:rPr>
          <w:iCs/>
        </w:rPr>
      </w:pPr>
      <w:bookmarkStart w:id="59" w:name="_Toc174923388"/>
      <w:bookmarkStart w:id="60" w:name="_Toc176785110"/>
      <w:r w:rsidRPr="00A0075B">
        <w:rPr>
          <w:iCs/>
        </w:rPr>
        <w:t>Clinical claim</w:t>
      </w:r>
      <w:bookmarkEnd w:id="59"/>
      <w:bookmarkEnd w:id="60"/>
    </w:p>
    <w:p w14:paraId="24FC69B4" w14:textId="25665624" w:rsidR="00485DF5" w:rsidRPr="00310498" w:rsidRDefault="00485DF5" w:rsidP="00485DF5">
      <w:pPr>
        <w:pStyle w:val="3-BodyText"/>
      </w:pPr>
      <w:r w:rsidRPr="00310498">
        <w:t>The submission provided the following clinical claims:</w:t>
      </w:r>
    </w:p>
    <w:p w14:paraId="2DD6FA1D" w14:textId="441A7189" w:rsidR="00485DF5" w:rsidRPr="00310498" w:rsidRDefault="00485DF5" w:rsidP="000853D9">
      <w:pPr>
        <w:pStyle w:val="ListParagraph"/>
        <w:ind w:left="993" w:hanging="284"/>
      </w:pPr>
      <w:r w:rsidRPr="00310498">
        <w:t xml:space="preserve">durvalumab + PC is non-inferior in terms of efficacy and safety to dostarlimab </w:t>
      </w:r>
      <w:r w:rsidR="005012D1" w:rsidRPr="00310498">
        <w:t xml:space="preserve">+ </w:t>
      </w:r>
      <w:r w:rsidRPr="00310498">
        <w:t>PC</w:t>
      </w:r>
      <w:r w:rsidR="0083527F" w:rsidRPr="00310498">
        <w:t xml:space="preserve"> in patients with </w:t>
      </w:r>
      <w:r w:rsidR="00F6165F" w:rsidRPr="00310498">
        <w:t>d</w:t>
      </w:r>
      <w:r w:rsidR="0083527F" w:rsidRPr="00310498">
        <w:t>MMR EC</w:t>
      </w:r>
      <w:r w:rsidR="0088549F" w:rsidRPr="00310498">
        <w:t xml:space="preserve">; </w:t>
      </w:r>
    </w:p>
    <w:p w14:paraId="064374BE" w14:textId="024B1CFD" w:rsidR="0088549F" w:rsidRDefault="0088549F" w:rsidP="004944AF">
      <w:pPr>
        <w:pStyle w:val="ListParagraph"/>
        <w:ind w:left="993" w:hanging="284"/>
        <w:jc w:val="both"/>
      </w:pPr>
      <w:r w:rsidRPr="00310498">
        <w:lastRenderedPageBreak/>
        <w:t>durvalumab + PC is superior in terms of efficacy and non-inferior in terms of safety compared to PC in patients with dMMR EC</w:t>
      </w:r>
      <w:r w:rsidR="007B38F5">
        <w:t xml:space="preserve">. However, this was </w:t>
      </w:r>
      <w:r w:rsidR="002F4CE3" w:rsidRPr="00310498">
        <w:t xml:space="preserve">considered to be a supplementary comparison during evaluation as dostarlimab </w:t>
      </w:r>
      <w:r w:rsidR="004944AF" w:rsidRPr="00310498">
        <w:t>is PBS-listed in this group</w:t>
      </w:r>
      <w:r w:rsidR="00187D6A">
        <w:t>;</w:t>
      </w:r>
      <w:r w:rsidR="00187D6A" w:rsidRPr="00187D6A">
        <w:t xml:space="preserve"> </w:t>
      </w:r>
      <w:r w:rsidR="00187D6A" w:rsidRPr="00310498">
        <w:t>and</w:t>
      </w:r>
    </w:p>
    <w:p w14:paraId="13490408" w14:textId="16A3CCC3" w:rsidR="00051B57" w:rsidRPr="00310498" w:rsidRDefault="00051B57" w:rsidP="00051B57">
      <w:pPr>
        <w:pStyle w:val="ListParagraph"/>
        <w:ind w:left="993" w:hanging="284"/>
      </w:pPr>
      <w:r w:rsidRPr="00310498">
        <w:t>durvalumab + PC + olaparib is superior in terms of efficacy and inferior in terms of safety compared to PC in patients with pMMR EC</w:t>
      </w:r>
      <w:r w:rsidR="00187D6A">
        <w:t>.</w:t>
      </w:r>
      <w:r w:rsidRPr="00310498">
        <w:t xml:space="preserve"> </w:t>
      </w:r>
    </w:p>
    <w:p w14:paraId="2B4603B4" w14:textId="3FAF4B3C" w:rsidR="00485DF5" w:rsidRPr="00310498" w:rsidRDefault="00485DF5" w:rsidP="00485DF5">
      <w:pPr>
        <w:pStyle w:val="3-BodyText"/>
      </w:pPr>
      <w:r w:rsidRPr="00310498">
        <w:t xml:space="preserve">The </w:t>
      </w:r>
      <w:r w:rsidR="00FB45E5" w:rsidRPr="00310498">
        <w:t xml:space="preserve">ESC considered that the claims of superior efficacy </w:t>
      </w:r>
      <w:r w:rsidR="00187D6A">
        <w:t xml:space="preserve">versus PC alone (for both populations) </w:t>
      </w:r>
      <w:r w:rsidR="00FB45E5" w:rsidRPr="00310498">
        <w:t xml:space="preserve">were likely reasonable based on the subgroup analyses of PFS from DUO-E. However, the ESC </w:t>
      </w:r>
      <w:r w:rsidR="00187D6A">
        <w:t>consider</w:t>
      </w:r>
      <w:r w:rsidR="00187D6A" w:rsidRPr="00310498">
        <w:t>ed</w:t>
      </w:r>
      <w:r w:rsidR="00187D6A">
        <w:t xml:space="preserve"> that</w:t>
      </w:r>
      <w:r w:rsidR="00187D6A" w:rsidRPr="00310498">
        <w:t xml:space="preserve"> </w:t>
      </w:r>
      <w:r w:rsidRPr="00310498">
        <w:t>the following issues regarding DUO</w:t>
      </w:r>
      <w:r w:rsidRPr="00310498">
        <w:noBreakHyphen/>
        <w:t>E may limit the applicability and/or increase the uncertainty of the results:</w:t>
      </w:r>
    </w:p>
    <w:p w14:paraId="3808C9B6" w14:textId="0A2F6C08" w:rsidR="00485DF5" w:rsidRPr="00310498" w:rsidRDefault="00485DF5" w:rsidP="005012D1">
      <w:pPr>
        <w:pStyle w:val="ListParagraph"/>
        <w:ind w:left="993" w:hanging="284"/>
        <w:jc w:val="both"/>
      </w:pPr>
      <w:r w:rsidRPr="00310498">
        <w:t>MMR subgroup analyses in DUO-E were not predefined and hypotheses for these subgroups were not tested, and as such, these subgroup analyses are likely to be associated with a higher risk of bias and should be interpreted with caution;</w:t>
      </w:r>
    </w:p>
    <w:p w14:paraId="442F233C" w14:textId="5DB2A919" w:rsidR="00485DF5" w:rsidRPr="00310498" w:rsidRDefault="00485DF5" w:rsidP="005012D1">
      <w:pPr>
        <w:pStyle w:val="ListParagraph"/>
        <w:ind w:left="993" w:hanging="284"/>
        <w:jc w:val="both"/>
      </w:pPr>
      <w:r w:rsidRPr="00310498">
        <w:t>The results comparing durvalumab + PC + olaparib vs durvalumab + PC in DUO-E were used to justify the proposed use of durvalumab + PC for the treatment of dMMR EC and durvalumab + PC + olaparib for the treatment of pMMR. Although this comparison was a pre-specified exploratory analysis, it was not included as a treatment comparison of interest for DUO-E. Consequently, hypotheses for this comparison were not predefined and</w:t>
      </w:r>
      <w:r w:rsidR="00E664EC" w:rsidRPr="00310498">
        <w:t xml:space="preserve"> </w:t>
      </w:r>
      <w:r w:rsidRPr="00310498">
        <w:t>these analyses may be associated with a higher risk of bias. Moreover, DUO-E did not inform the efficacy of PC + olaparib to justify the addition of durvalumab in pMMR patients;</w:t>
      </w:r>
    </w:p>
    <w:p w14:paraId="5F677FA6" w14:textId="3FED8F38" w:rsidR="00485DF5" w:rsidRPr="00310498" w:rsidRDefault="00485DF5" w:rsidP="005012D1">
      <w:pPr>
        <w:pStyle w:val="ListParagraph"/>
        <w:ind w:left="993" w:hanging="284"/>
        <w:jc w:val="both"/>
      </w:pPr>
      <w:r w:rsidRPr="00310498">
        <w:t>The DUO-E OS results presented in the submission did not meet the pre-defined statistical thresholds for superiority</w:t>
      </w:r>
      <w:r w:rsidR="000B1EA6" w:rsidRPr="00310498">
        <w:t>, and as such</w:t>
      </w:r>
      <w:r w:rsidR="00905FCA" w:rsidRPr="00310498">
        <w:t xml:space="preserve"> </w:t>
      </w:r>
      <w:r w:rsidR="007F52E2" w:rsidRPr="00310498">
        <w:t xml:space="preserve">a </w:t>
      </w:r>
      <w:r w:rsidR="00905FCA" w:rsidRPr="00310498">
        <w:t>statically significant improvement in OS</w:t>
      </w:r>
      <w:r w:rsidR="007F52E2" w:rsidRPr="00310498">
        <w:t xml:space="preserve"> could not be</w:t>
      </w:r>
      <w:r w:rsidR="006E2321" w:rsidRPr="00310498">
        <w:t xml:space="preserve"> concluded for the ITT</w:t>
      </w:r>
      <w:r w:rsidR="004944AF" w:rsidRPr="00310498">
        <w:t>,</w:t>
      </w:r>
      <w:r w:rsidR="006E2321" w:rsidRPr="00310498">
        <w:t xml:space="preserve"> much less the subgroups based on MMR status</w:t>
      </w:r>
      <w:r w:rsidRPr="00310498">
        <w:t>;</w:t>
      </w:r>
    </w:p>
    <w:p w14:paraId="120469CB" w14:textId="14517019" w:rsidR="00571F41" w:rsidRPr="00310498" w:rsidRDefault="00571F41" w:rsidP="00571F41">
      <w:pPr>
        <w:pStyle w:val="ListParagraph"/>
        <w:ind w:left="993" w:hanging="284"/>
        <w:jc w:val="both"/>
      </w:pPr>
      <w:r w:rsidRPr="00310498">
        <w:t>The DUO-E PFS results indicated BRCAm and PD-L1 status may be treatment effect modifiers, and the relative proportion of A/R EC patients in Australia with BRCAm and their PD-L1 status was unknown.</w:t>
      </w:r>
      <w:r w:rsidR="00410DE6" w:rsidRPr="00310498">
        <w:t xml:space="preserve"> The requested restriction was also agnostic to BRCAm and PD-L1 status.</w:t>
      </w:r>
      <w:r w:rsidRPr="00310498">
        <w:t xml:space="preserve"> Importantly, any patient treated with 1L durvalumab + PC (with or without olaparib) </w:t>
      </w:r>
      <w:r w:rsidR="00187D6A" w:rsidRPr="00310498">
        <w:t>w</w:t>
      </w:r>
      <w:r w:rsidR="00187D6A">
        <w:t>ould</w:t>
      </w:r>
      <w:r w:rsidR="00187D6A" w:rsidRPr="00310498">
        <w:t xml:space="preserve"> </w:t>
      </w:r>
      <w:r w:rsidRPr="00310498">
        <w:t>not be eligible to receive PBS subsidised 2L pembrolizumab + lenvatinib. Therefore, if 1L durvalumab was used in a subgroup of patient</w:t>
      </w:r>
      <w:r w:rsidR="00BA3AEE" w:rsidRPr="00310498">
        <w:t>s</w:t>
      </w:r>
      <w:r w:rsidRPr="00310498">
        <w:t xml:space="preserve"> for whom it was not effective, these patients may be worse off </w:t>
      </w:r>
      <w:r w:rsidR="009248A0" w:rsidRPr="00310498">
        <w:t>compared to</w:t>
      </w:r>
      <w:r w:rsidRPr="00310498">
        <w:t xml:space="preserve"> the current treatment landscape in which they may be eligible for 2L pembrolizumab + lenvatinib</w:t>
      </w:r>
      <w:r w:rsidR="008965E3" w:rsidRPr="00310498">
        <w:t>.</w:t>
      </w:r>
    </w:p>
    <w:p w14:paraId="3B5CB43B" w14:textId="134620C3" w:rsidR="00485DF5" w:rsidRDefault="00485DF5" w:rsidP="00485DF5">
      <w:pPr>
        <w:pStyle w:val="3-BodyText"/>
      </w:pPr>
      <w:r w:rsidRPr="00310498">
        <w:t xml:space="preserve">The submission described durvalumab + PC + olaparib as inferior in terms of safety compared with PC alone in patients with pMMR EC, which the submission claimed was largely due to the increased incidence of immune-related AEs. </w:t>
      </w:r>
      <w:r w:rsidR="00FB45E5" w:rsidRPr="00310498">
        <w:t>The ESC considered that t</w:t>
      </w:r>
      <w:r w:rsidRPr="00310498">
        <w:t xml:space="preserve">his was reasonable and consistent with the safety results in both the </w:t>
      </w:r>
      <w:r w:rsidR="002C52D8">
        <w:t>whole trial population (safety analysis set)</w:t>
      </w:r>
      <w:r w:rsidR="002C52D8" w:rsidRPr="00310498">
        <w:t xml:space="preserve"> </w:t>
      </w:r>
      <w:r w:rsidRPr="00310498">
        <w:t>and by MMR status in DUO-E.</w:t>
      </w:r>
    </w:p>
    <w:p w14:paraId="5239CEE2" w14:textId="04639CBB" w:rsidR="00827CAD" w:rsidRPr="00A0075B" w:rsidRDefault="00827CAD" w:rsidP="001C4AEF">
      <w:pPr>
        <w:pStyle w:val="3-BodyText"/>
        <w:keepNext/>
        <w:numPr>
          <w:ilvl w:val="0"/>
          <w:numId w:val="0"/>
        </w:numPr>
        <w:outlineLvl w:val="2"/>
        <w:rPr>
          <w:u w:val="single"/>
        </w:rPr>
      </w:pPr>
      <w:r w:rsidRPr="00A0075B">
        <w:rPr>
          <w:u w:val="single"/>
        </w:rPr>
        <w:lastRenderedPageBreak/>
        <w:t>dMMR population</w:t>
      </w:r>
    </w:p>
    <w:p w14:paraId="26C81209" w14:textId="5DAAB490" w:rsidR="00051B57" w:rsidRPr="00380518" w:rsidRDefault="00051B57" w:rsidP="00051B57">
      <w:pPr>
        <w:pStyle w:val="3-BodyText"/>
      </w:pPr>
      <w:r w:rsidRPr="00310498">
        <w:t xml:space="preserve">The submission claimed that based on the ITCs conducted for the dMMR EC population, durvalumab + PC is non-inferior to dostarlimab </w:t>
      </w:r>
      <w:r w:rsidR="002C52D8">
        <w:t>+</w:t>
      </w:r>
      <w:r w:rsidRPr="00310498">
        <w:t xml:space="preserve"> PC in terms of efficacy and safety. The ESC considered that this claim was likely reasonable, but noted the issues outlined in paragraph </w:t>
      </w:r>
      <w:r w:rsidRPr="00380518">
        <w:fldChar w:fldCharType="begin" w:fldLock="1"/>
      </w:r>
      <w:r w:rsidRPr="00380518">
        <w:instrText xml:space="preserve"> REF _Ref175841308 \r \h  \* MERGEFORMAT </w:instrText>
      </w:r>
      <w:r w:rsidRPr="00380518">
        <w:fldChar w:fldCharType="separate"/>
      </w:r>
      <w:r w:rsidR="00A0075B">
        <w:t>6.45</w:t>
      </w:r>
      <w:r w:rsidRPr="00380518">
        <w:fldChar w:fldCharType="end"/>
      </w:r>
      <w:r w:rsidRPr="00380518">
        <w:t>.</w:t>
      </w:r>
    </w:p>
    <w:p w14:paraId="6468BB15" w14:textId="77777777" w:rsidR="00051B57" w:rsidRPr="00380518" w:rsidRDefault="00051B57" w:rsidP="00051B57">
      <w:pPr>
        <w:pStyle w:val="3-BodyText"/>
        <w:rPr>
          <w:iCs/>
          <w:snapToGrid w:val="0"/>
        </w:rPr>
      </w:pPr>
      <w:r w:rsidRPr="00380518">
        <w:rPr>
          <w:iCs/>
          <w:snapToGrid w:val="0"/>
        </w:rPr>
        <w:t xml:space="preserve">The PBAC considered that the claim that durvalumab + PC was non-inferior compared to dostarlimab + PC in terms of both comparative effectiveness and safety in patients with dMMR EC was reasonable. </w:t>
      </w:r>
    </w:p>
    <w:p w14:paraId="4CC48930" w14:textId="6BF0B560" w:rsidR="00827CAD" w:rsidRPr="00A0075B" w:rsidRDefault="00827CAD" w:rsidP="00380518">
      <w:pPr>
        <w:pStyle w:val="3-BodyText"/>
        <w:numPr>
          <w:ilvl w:val="0"/>
          <w:numId w:val="0"/>
        </w:numPr>
        <w:outlineLvl w:val="2"/>
        <w:rPr>
          <w:u w:val="single"/>
        </w:rPr>
      </w:pPr>
      <w:bookmarkStart w:id="61" w:name="_Hlk76376200"/>
      <w:r w:rsidRPr="00A0075B">
        <w:rPr>
          <w:u w:val="single"/>
        </w:rPr>
        <w:t>pMMR population</w:t>
      </w:r>
    </w:p>
    <w:p w14:paraId="0B98675E" w14:textId="4E87D9F9" w:rsidR="00827CAD" w:rsidRPr="00380518" w:rsidRDefault="00827CAD" w:rsidP="00827CAD">
      <w:pPr>
        <w:pStyle w:val="3-BodyText"/>
        <w:rPr>
          <w:iCs/>
          <w:snapToGrid w:val="0"/>
        </w:rPr>
      </w:pPr>
      <w:r w:rsidRPr="00380518">
        <w:rPr>
          <w:iCs/>
          <w:snapToGrid w:val="0"/>
        </w:rPr>
        <w:t xml:space="preserve">The PBAC did not comment on the effectiveness or safety of durvalumab + olaparib + PC compared to PC in the pMMR EC population. </w:t>
      </w:r>
    </w:p>
    <w:p w14:paraId="1AF7D6B9" w14:textId="77777777" w:rsidR="00485DF5" w:rsidRPr="00A0075B" w:rsidRDefault="00485DF5" w:rsidP="00485DF5">
      <w:pPr>
        <w:pStyle w:val="4-SubsectionHeading"/>
        <w:rPr>
          <w:iCs/>
        </w:rPr>
      </w:pPr>
      <w:bookmarkStart w:id="62" w:name="_Toc174923389"/>
      <w:bookmarkStart w:id="63" w:name="_Toc176785111"/>
      <w:bookmarkEnd w:id="61"/>
      <w:r w:rsidRPr="00A0075B">
        <w:rPr>
          <w:iCs/>
        </w:rPr>
        <w:t>Economic analysis</w:t>
      </w:r>
      <w:bookmarkEnd w:id="62"/>
      <w:bookmarkEnd w:id="63"/>
      <w:r w:rsidRPr="00A0075B">
        <w:rPr>
          <w:iCs/>
        </w:rPr>
        <w:t xml:space="preserve"> </w:t>
      </w:r>
    </w:p>
    <w:p w14:paraId="30F53C38" w14:textId="5D9BD600" w:rsidR="00485DF5" w:rsidRPr="00310498" w:rsidRDefault="00485DF5" w:rsidP="00485DF5">
      <w:pPr>
        <w:pStyle w:val="3-BodyText"/>
      </w:pPr>
      <w:r w:rsidRPr="00310498">
        <w:t xml:space="preserve">The submission presented both a </w:t>
      </w:r>
      <w:r w:rsidR="00227272" w:rsidRPr="00310498">
        <w:t>CMA (durvalumab + PC compared to dostarlimab + PC in dMMR EC)</w:t>
      </w:r>
      <w:r w:rsidR="00227272">
        <w:t xml:space="preserve"> and a </w:t>
      </w:r>
      <w:r w:rsidRPr="00310498">
        <w:t>cost effectiveness analysis (durvalumab + PC + olaparib compared to PC in pMMR EC).</w:t>
      </w:r>
    </w:p>
    <w:p w14:paraId="49826AEC" w14:textId="77777777" w:rsidR="00227272" w:rsidRPr="00A0075B" w:rsidRDefault="00227272" w:rsidP="00227272">
      <w:pPr>
        <w:pStyle w:val="3-BodyText"/>
        <w:numPr>
          <w:ilvl w:val="0"/>
          <w:numId w:val="0"/>
        </w:numPr>
        <w:ind w:left="720" w:hanging="720"/>
        <w:outlineLvl w:val="2"/>
        <w:rPr>
          <w:u w:val="single"/>
        </w:rPr>
      </w:pPr>
      <w:bookmarkStart w:id="64" w:name="_Toc176785112"/>
      <w:r w:rsidRPr="00A0075B">
        <w:rPr>
          <w:u w:val="single"/>
        </w:rPr>
        <w:t>CMA versus dostarlimab (dMMR)</w:t>
      </w:r>
    </w:p>
    <w:p w14:paraId="2B4CC27E" w14:textId="108EA071" w:rsidR="00227272" w:rsidRPr="00310498" w:rsidRDefault="00227272" w:rsidP="00227272">
      <w:pPr>
        <w:pStyle w:val="3-BodyText"/>
      </w:pPr>
      <w:r w:rsidRPr="00310498">
        <w:t xml:space="preserve">Based on the results of the ITC, the submission concluded that durvalumab + PC is non-inferior in terms of efficacy and safety compared </w:t>
      </w:r>
      <w:r w:rsidR="002C52D8">
        <w:t>with</w:t>
      </w:r>
      <w:r w:rsidR="002C52D8" w:rsidRPr="00310498">
        <w:t xml:space="preserve"> </w:t>
      </w:r>
      <w:r w:rsidRPr="00310498">
        <w:t>dostarlimab + PC in dMMR EC patients. On this basis, the submission presented a CMA comparing durvalumab + PC with dostarlimab + PC in patients with dMMR EC</w:t>
      </w:r>
      <w:r>
        <w:t>,</w:t>
      </w:r>
      <w:r w:rsidRPr="00310498">
        <w:t xml:space="preserve"> as outlined in </w:t>
      </w:r>
      <w:r w:rsidRPr="00310498">
        <w:fldChar w:fldCharType="begin" w:fldLock="1"/>
      </w:r>
      <w:r w:rsidRPr="00310498">
        <w:instrText xml:space="preserve"> REF _Ref174910192 \h  \* MERGEFORMAT </w:instrText>
      </w:r>
      <w:r w:rsidRPr="00310498">
        <w:fldChar w:fldCharType="separate"/>
      </w:r>
      <w:r w:rsidR="002C52D8" w:rsidRPr="00310498">
        <w:t xml:space="preserve">Table </w:t>
      </w:r>
      <w:r w:rsidR="002C52D8">
        <w:rPr>
          <w:noProof/>
        </w:rPr>
        <w:t>16</w:t>
      </w:r>
      <w:r w:rsidRPr="00310498">
        <w:fldChar w:fldCharType="end"/>
      </w:r>
      <w:r w:rsidRPr="00310498">
        <w:t xml:space="preserve">. </w:t>
      </w:r>
    </w:p>
    <w:p w14:paraId="3ACE1EAF" w14:textId="236DD052" w:rsidR="00227272" w:rsidRPr="00310498" w:rsidRDefault="00227272" w:rsidP="00227272">
      <w:pPr>
        <w:pStyle w:val="Caption"/>
      </w:pPr>
      <w:bookmarkStart w:id="65" w:name="_Ref174910192"/>
      <w:r w:rsidRPr="00310498">
        <w:lastRenderedPageBreak/>
        <w:t xml:space="preserve">Table </w:t>
      </w:r>
      <w:r w:rsidRPr="00310498">
        <w:fldChar w:fldCharType="begin" w:fldLock="1"/>
      </w:r>
      <w:r w:rsidRPr="00310498">
        <w:instrText xml:space="preserve"> SEQ Table \* ARABIC </w:instrText>
      </w:r>
      <w:r w:rsidRPr="00310498">
        <w:fldChar w:fldCharType="separate"/>
      </w:r>
      <w:r w:rsidR="002C52D8">
        <w:rPr>
          <w:noProof/>
        </w:rPr>
        <w:t>16</w:t>
      </w:r>
      <w:r w:rsidRPr="00310498">
        <w:rPr>
          <w:noProof/>
        </w:rPr>
        <w:fldChar w:fldCharType="end"/>
      </w:r>
      <w:bookmarkEnd w:id="65"/>
      <w:r w:rsidRPr="00310498">
        <w:t>: 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42"/>
      </w:tblGrid>
      <w:tr w:rsidR="00227272" w:rsidRPr="00310498" w14:paraId="3146119F" w14:textId="77777777" w:rsidTr="00A0075B">
        <w:tc>
          <w:tcPr>
            <w:tcW w:w="1838" w:type="dxa"/>
            <w:tcMar>
              <w:left w:w="20" w:type="dxa"/>
              <w:right w:w="20" w:type="dxa"/>
            </w:tcMar>
            <w:vAlign w:val="center"/>
          </w:tcPr>
          <w:p w14:paraId="107C0149" w14:textId="77777777" w:rsidR="00227272" w:rsidRPr="00310498" w:rsidRDefault="00227272" w:rsidP="00022017">
            <w:pPr>
              <w:pStyle w:val="In-tableHeading"/>
              <w:rPr>
                <w:lang w:val="en-AU"/>
              </w:rPr>
            </w:pPr>
            <w:r w:rsidRPr="00310498">
              <w:rPr>
                <w:lang w:val="en-AU"/>
              </w:rPr>
              <w:t>Component</w:t>
            </w:r>
          </w:p>
        </w:tc>
        <w:tc>
          <w:tcPr>
            <w:tcW w:w="7342" w:type="dxa"/>
            <w:tcMar>
              <w:left w:w="20" w:type="dxa"/>
              <w:right w:w="20" w:type="dxa"/>
            </w:tcMar>
            <w:vAlign w:val="center"/>
          </w:tcPr>
          <w:p w14:paraId="0049FB9B" w14:textId="77777777" w:rsidR="00227272" w:rsidRPr="00310498" w:rsidRDefault="00227272" w:rsidP="00022017">
            <w:pPr>
              <w:pStyle w:val="In-tableHeading"/>
              <w:rPr>
                <w:lang w:val="en-AU"/>
              </w:rPr>
            </w:pPr>
            <w:r w:rsidRPr="00310498">
              <w:rPr>
                <w:lang w:val="en-AU"/>
              </w:rPr>
              <w:t>Claim or assumption</w:t>
            </w:r>
          </w:p>
        </w:tc>
      </w:tr>
      <w:tr w:rsidR="00227272" w:rsidRPr="00310498" w14:paraId="4F710C7C" w14:textId="77777777" w:rsidTr="00A0075B">
        <w:tc>
          <w:tcPr>
            <w:tcW w:w="1838" w:type="dxa"/>
            <w:tcMar>
              <w:left w:w="20" w:type="dxa"/>
              <w:right w:w="20" w:type="dxa"/>
            </w:tcMar>
            <w:vAlign w:val="center"/>
          </w:tcPr>
          <w:p w14:paraId="681ECFF6" w14:textId="77777777" w:rsidR="00227272" w:rsidRPr="00310498" w:rsidRDefault="00227272" w:rsidP="00022017">
            <w:pPr>
              <w:pStyle w:val="Tabletext"/>
              <w:keepNext/>
              <w:keepLines/>
            </w:pPr>
            <w:r w:rsidRPr="00310498">
              <w:t>Therapeutic claim: effectiveness</w:t>
            </w:r>
          </w:p>
        </w:tc>
        <w:tc>
          <w:tcPr>
            <w:tcW w:w="7342" w:type="dxa"/>
            <w:tcMar>
              <w:left w:w="20" w:type="dxa"/>
              <w:right w:w="20" w:type="dxa"/>
            </w:tcMar>
          </w:tcPr>
          <w:p w14:paraId="011CF85F" w14:textId="77777777" w:rsidR="00227272" w:rsidRPr="00310498" w:rsidRDefault="00227272" w:rsidP="00022017">
            <w:pPr>
              <w:pStyle w:val="Tabletext"/>
              <w:keepNext/>
              <w:keepLines/>
            </w:pPr>
            <w:r w:rsidRPr="00310498">
              <w:t>Durvalumab added to PC was assumed to be non-inferior in terms of efficacy compared with dostarlimab added to PC.</w:t>
            </w:r>
          </w:p>
        </w:tc>
      </w:tr>
      <w:tr w:rsidR="00227272" w:rsidRPr="00310498" w14:paraId="6AC1A3EB" w14:textId="77777777" w:rsidTr="00A0075B">
        <w:tc>
          <w:tcPr>
            <w:tcW w:w="1838" w:type="dxa"/>
            <w:tcMar>
              <w:left w:w="20" w:type="dxa"/>
              <w:right w:w="20" w:type="dxa"/>
            </w:tcMar>
            <w:vAlign w:val="center"/>
          </w:tcPr>
          <w:p w14:paraId="3EF8BED3" w14:textId="77777777" w:rsidR="00227272" w:rsidRPr="00310498" w:rsidRDefault="00227272" w:rsidP="00022017">
            <w:pPr>
              <w:pStyle w:val="Tabletext"/>
              <w:keepNext/>
              <w:keepLines/>
            </w:pPr>
            <w:r w:rsidRPr="00310498">
              <w:t>Therapeutic claim: safety</w:t>
            </w:r>
          </w:p>
        </w:tc>
        <w:tc>
          <w:tcPr>
            <w:tcW w:w="7342" w:type="dxa"/>
            <w:tcMar>
              <w:left w:w="20" w:type="dxa"/>
              <w:right w:w="20" w:type="dxa"/>
            </w:tcMar>
          </w:tcPr>
          <w:p w14:paraId="67BD786C" w14:textId="77777777" w:rsidR="00227272" w:rsidRPr="00310498" w:rsidRDefault="00227272" w:rsidP="00022017">
            <w:pPr>
              <w:pStyle w:val="Tabletext"/>
              <w:keepNext/>
              <w:keepLines/>
            </w:pPr>
            <w:r w:rsidRPr="00310498">
              <w:t>Durvalumab added to PC was assumed to be non-inferior in terms of safety compared with dostarlimab added to PC.</w:t>
            </w:r>
          </w:p>
        </w:tc>
      </w:tr>
      <w:tr w:rsidR="00227272" w:rsidRPr="00310498" w14:paraId="55C920AD" w14:textId="77777777" w:rsidTr="00A0075B">
        <w:tc>
          <w:tcPr>
            <w:tcW w:w="1838" w:type="dxa"/>
            <w:tcMar>
              <w:left w:w="20" w:type="dxa"/>
              <w:right w:w="20" w:type="dxa"/>
            </w:tcMar>
            <w:vAlign w:val="center"/>
          </w:tcPr>
          <w:p w14:paraId="21BA62A9" w14:textId="77777777" w:rsidR="00227272" w:rsidRPr="00310498" w:rsidRDefault="00227272" w:rsidP="00022017">
            <w:pPr>
              <w:pStyle w:val="Tabletext"/>
              <w:keepNext/>
              <w:keepLines/>
            </w:pPr>
            <w:r w:rsidRPr="00310498">
              <w:t>Evidence base</w:t>
            </w:r>
          </w:p>
        </w:tc>
        <w:tc>
          <w:tcPr>
            <w:tcW w:w="7342" w:type="dxa"/>
            <w:tcMar>
              <w:left w:w="20" w:type="dxa"/>
              <w:right w:w="20" w:type="dxa"/>
            </w:tcMar>
          </w:tcPr>
          <w:p w14:paraId="0667C3A4" w14:textId="77777777" w:rsidR="00227272" w:rsidRPr="00310498" w:rsidRDefault="00227272" w:rsidP="00022017">
            <w:pPr>
              <w:pStyle w:val="Tabletext"/>
              <w:keepNext/>
              <w:keepLines/>
            </w:pPr>
            <w:r w:rsidRPr="00310498">
              <w:t>Indirect comparison of outcomes for durvalumab and dostarlimab using DUO-E (placebo-controlled RCT investigating addition of durvalumab to PC) and RUBY (placebo-controlled RCT investigating addition of dostarlimab to PC) in dMMR patients with EC, with PC as the common reference in the analysis.</w:t>
            </w:r>
          </w:p>
        </w:tc>
      </w:tr>
      <w:tr w:rsidR="00227272" w:rsidRPr="00310498" w14:paraId="038EB8F9" w14:textId="77777777" w:rsidTr="00A0075B">
        <w:tc>
          <w:tcPr>
            <w:tcW w:w="1838" w:type="dxa"/>
            <w:tcMar>
              <w:left w:w="20" w:type="dxa"/>
              <w:right w:w="20" w:type="dxa"/>
            </w:tcMar>
            <w:vAlign w:val="center"/>
          </w:tcPr>
          <w:p w14:paraId="1FF76C3C" w14:textId="77777777" w:rsidR="00227272" w:rsidRPr="00310498" w:rsidRDefault="00227272" w:rsidP="00022017">
            <w:pPr>
              <w:pStyle w:val="Tabletext"/>
              <w:keepNext/>
              <w:keepLines/>
            </w:pPr>
            <w:r w:rsidRPr="00310498">
              <w:t>Equi-effective doses</w:t>
            </w:r>
          </w:p>
        </w:tc>
        <w:tc>
          <w:tcPr>
            <w:tcW w:w="7342" w:type="dxa"/>
            <w:tcMar>
              <w:left w:w="20" w:type="dxa"/>
              <w:right w:w="20" w:type="dxa"/>
            </w:tcMar>
          </w:tcPr>
          <w:p w14:paraId="71FFF609" w14:textId="77777777" w:rsidR="00227272" w:rsidRPr="00310498" w:rsidRDefault="00227272" w:rsidP="00022017">
            <w:pPr>
              <w:pStyle w:val="Tabletext"/>
              <w:keepNext/>
              <w:keepLines/>
            </w:pPr>
            <w:r w:rsidRPr="00310498">
              <w:t>In DUO-E, durvalumab was administered as 1,120mg every three weeks by IV infusion for a maximum of 6 cycles (with carboplatin + paclitaxel), followed by 1500mg every four weeks by IV infusion as maintenance. In RUBY, dostarlimab was administered as 500mg every three weeks by IV infusion for a maximum of 6 cycles (with carboplatin + paclitaxel), followed by 1000mg every six weeks by IV infusion as maintenance.</w:t>
            </w:r>
          </w:p>
        </w:tc>
      </w:tr>
      <w:tr w:rsidR="00227272" w:rsidRPr="00310498" w14:paraId="7C4506E8" w14:textId="77777777" w:rsidTr="00A0075B">
        <w:tc>
          <w:tcPr>
            <w:tcW w:w="1838" w:type="dxa"/>
            <w:tcMar>
              <w:left w:w="20" w:type="dxa"/>
              <w:right w:w="20" w:type="dxa"/>
            </w:tcMar>
            <w:vAlign w:val="center"/>
          </w:tcPr>
          <w:p w14:paraId="155AEC1F" w14:textId="77777777" w:rsidR="00227272" w:rsidRPr="00310498" w:rsidRDefault="00227272" w:rsidP="00022017">
            <w:pPr>
              <w:pStyle w:val="Tabletext"/>
              <w:keepNext/>
              <w:keepLines/>
            </w:pPr>
            <w:r w:rsidRPr="00310498">
              <w:t>Direct medicine costs</w:t>
            </w:r>
          </w:p>
        </w:tc>
        <w:tc>
          <w:tcPr>
            <w:tcW w:w="7342" w:type="dxa"/>
            <w:tcMar>
              <w:left w:w="20" w:type="dxa"/>
              <w:right w:w="20" w:type="dxa"/>
            </w:tcMar>
          </w:tcPr>
          <w:p w14:paraId="5C21158F" w14:textId="0CEF18B8" w:rsidR="00227272" w:rsidRPr="00310498" w:rsidRDefault="00227272" w:rsidP="00022017">
            <w:pPr>
              <w:pStyle w:val="Tabletext"/>
              <w:keepNext/>
              <w:keepLines/>
            </w:pPr>
            <w:r>
              <w:t>The submission c</w:t>
            </w:r>
            <w:r w:rsidRPr="00310498">
              <w:t>alculat</w:t>
            </w:r>
            <w:r>
              <w:t>ed the</w:t>
            </w:r>
            <w:r w:rsidRPr="00310498">
              <w:t xml:space="preserve"> equi-effective doses based on the total number of milligrams administered over the maximum 36-month treatment duration assumed for all patients, based on the treatment duration estimated in the November 2023 dostarlimab model</w:t>
            </w:r>
            <w:r>
              <w:t xml:space="preserve"> (the submission assumed the same average treatment duration for each arm)</w:t>
            </w:r>
            <w:r w:rsidRPr="00310498">
              <w:t>. On this basis, patients were assumed to receive 5.1 initiation doses for both durvalumab and dostarlimab, and the number of maintenance doses was calculated based on the respective dosage regimens for dostarlimab (administered 4 weekly, resulting in 18 maintenance doses) and dostarlimab (administered 6 weekly resulting in 12 maintenance doses). Given that IV chemotherapy drugs in Australia are costed through the Efficient Funding of Chemotherapy scheme, the equi-effective doses used in the CMA are based on the most efficient combination of vials required to provide the number of milligrams needed each infusion.</w:t>
            </w:r>
          </w:p>
        </w:tc>
      </w:tr>
      <w:tr w:rsidR="00227272" w:rsidRPr="00310498" w14:paraId="1DB78923" w14:textId="77777777" w:rsidTr="00A0075B">
        <w:tc>
          <w:tcPr>
            <w:tcW w:w="1838" w:type="dxa"/>
            <w:tcMar>
              <w:left w:w="20" w:type="dxa"/>
              <w:right w:w="20" w:type="dxa"/>
            </w:tcMar>
            <w:vAlign w:val="center"/>
          </w:tcPr>
          <w:p w14:paraId="7F26EB10" w14:textId="77777777" w:rsidR="00227272" w:rsidRPr="00310498" w:rsidRDefault="00227272" w:rsidP="00022017">
            <w:pPr>
              <w:pStyle w:val="Tabletext"/>
              <w:keepNext/>
              <w:keepLines/>
            </w:pPr>
            <w:r w:rsidRPr="00310498">
              <w:t>Other costs or cost offsets</w:t>
            </w:r>
          </w:p>
        </w:tc>
        <w:tc>
          <w:tcPr>
            <w:tcW w:w="7342" w:type="dxa"/>
            <w:tcMar>
              <w:left w:w="20" w:type="dxa"/>
              <w:right w:w="20" w:type="dxa"/>
            </w:tcMar>
          </w:tcPr>
          <w:p w14:paraId="1314BD86" w14:textId="4B93F939" w:rsidR="00227272" w:rsidRPr="00310498" w:rsidRDefault="00227272" w:rsidP="00022017">
            <w:pPr>
              <w:pStyle w:val="Tabletext"/>
              <w:keepNext/>
              <w:keepLines/>
            </w:pPr>
            <w:r w:rsidRPr="00310498">
              <w:t>Given that durvalumab in dMMR will join the risk-share arrangement in place for dostarlimab, and given the advice from clinicians that, given the treatment paradigm in this setting, few patients will remain on treatment for longer than three years, the CMA assume</w:t>
            </w:r>
            <w:r>
              <w:t>d</w:t>
            </w:r>
            <w:r w:rsidRPr="00310498">
              <w:t xml:space="preserve"> that all dMMR patients treated with durvalumab will cease therapy at month 36.</w:t>
            </w:r>
          </w:p>
        </w:tc>
      </w:tr>
    </w:tbl>
    <w:p w14:paraId="2514B3D2" w14:textId="77777777" w:rsidR="00227272" w:rsidRPr="00310498" w:rsidRDefault="00227272" w:rsidP="00227272">
      <w:pPr>
        <w:pStyle w:val="Tabletext"/>
        <w:keepNext/>
        <w:keepLines/>
        <w:rPr>
          <w:sz w:val="18"/>
          <w:szCs w:val="18"/>
        </w:rPr>
      </w:pPr>
      <w:r w:rsidRPr="00310498">
        <w:rPr>
          <w:sz w:val="18"/>
          <w:szCs w:val="18"/>
        </w:rPr>
        <w:t>Source: Table 3.38, p175 of the submission.</w:t>
      </w:r>
    </w:p>
    <w:p w14:paraId="26434A4B" w14:textId="77777777" w:rsidR="00227272" w:rsidRPr="00310498" w:rsidRDefault="00227272" w:rsidP="00A327E7">
      <w:pPr>
        <w:pStyle w:val="Tabletext"/>
        <w:keepLines/>
        <w:spacing w:after="120"/>
        <w:rPr>
          <w:sz w:val="18"/>
          <w:szCs w:val="18"/>
        </w:rPr>
      </w:pPr>
      <w:r w:rsidRPr="00310498">
        <w:rPr>
          <w:sz w:val="18"/>
          <w:szCs w:val="18"/>
        </w:rPr>
        <w:t>CMA = cost-minimisation approach; dMMR = deficient mismatch repair; PC = paclitaxel + carboplatin; RCT = randomised controlled trial</w:t>
      </w:r>
    </w:p>
    <w:p w14:paraId="7E85F243" w14:textId="72BC9DDA" w:rsidR="00227272" w:rsidRPr="00310498" w:rsidRDefault="00227272" w:rsidP="00227272">
      <w:pPr>
        <w:pStyle w:val="3-BodyText"/>
      </w:pPr>
      <w:bookmarkStart w:id="66" w:name="_Ref179810889"/>
      <w:r w:rsidRPr="00310498">
        <w:t xml:space="preserve">For both durvalumab and dostarlimab, the equi-effective dose was based on the number of doses of dostarlimab as reported in the dostarlimab November 2023 </w:t>
      </w:r>
      <w:r>
        <w:t>public summary document,</w:t>
      </w:r>
      <w:r w:rsidRPr="00310498">
        <w:t xml:space="preserve"> i.e. 5.1 initiation and 12.0 maintenance doses</w:t>
      </w:r>
      <w:r>
        <w:t>. This</w:t>
      </w:r>
      <w:r w:rsidRPr="00310498">
        <w:t xml:space="preserve"> was based on a mean duration of therapy of 88.9 weeks (20.5 months) (Table 18, dostarlimab PSD, November 2023 PBAC meeting), accounting for differences in maintenance dosing schedules (per paragraph </w:t>
      </w:r>
      <w:r w:rsidRPr="00310498">
        <w:fldChar w:fldCharType="begin" w:fldLock="1"/>
      </w:r>
      <w:r w:rsidRPr="00310498">
        <w:instrText xml:space="preserve"> REF _Ref175907998 \r \h  \* MERGEFORMAT </w:instrText>
      </w:r>
      <w:r w:rsidRPr="00310498">
        <w:fldChar w:fldCharType="separate"/>
      </w:r>
      <w:r w:rsidR="00A0075B">
        <w:t>6.67</w:t>
      </w:r>
      <w:r w:rsidRPr="00310498">
        <w:fldChar w:fldCharType="end"/>
      </w:r>
      <w:r w:rsidRPr="00310498">
        <w:t>). The ESC noted that this mean duration of therapy was based on the economic model provided in the dostarlimab submission</w:t>
      </w:r>
      <w:r>
        <w:t>,</w:t>
      </w:r>
      <w:r w:rsidRPr="00310498">
        <w:t xml:space="preserve"> and did not account for the revisions to the economic model recommended by the PBAC (per paragraph 7.8, dostarlimab PSD, November 2023 PBAC meeting).</w:t>
      </w:r>
      <w:bookmarkEnd w:id="66"/>
    </w:p>
    <w:p w14:paraId="284CB92C" w14:textId="15D8262D" w:rsidR="00227272" w:rsidRPr="00310498" w:rsidRDefault="00227272" w:rsidP="00022017">
      <w:pPr>
        <w:pStyle w:val="3-BodyText"/>
      </w:pPr>
      <w:r w:rsidRPr="00310498">
        <w:t xml:space="preserve">The submission assumed the same average duration of therapy for dostarlimab and durvalumab. The submission did not test the reasonableness of this assumption (e.g. by extrapolating the duration of therapy observed in the trials – noting extrapolation would be required given the differences in duration of follow-up in the trials), and as such it was unclear if this was reasonable. </w:t>
      </w:r>
      <w:r>
        <w:t>The ESC noted that i</w:t>
      </w:r>
      <w:r w:rsidRPr="00310498">
        <w:t xml:space="preserve">f durvalumab were used for a longer duration than dostarlimab in clinical practice, this assumption would not be conservative. </w:t>
      </w:r>
      <w:r w:rsidR="00930EA8">
        <w:t>The PBAC considered that it was difficult to estimate any potential differences in the mean (extrapolated) duration of treatment between durvalumab and dostarlimab in the dMMR population given</w:t>
      </w:r>
      <w:r w:rsidR="002333E6">
        <w:t xml:space="preserve"> the</w:t>
      </w:r>
      <w:r w:rsidR="00930EA8">
        <w:t xml:space="preserve">: </w:t>
      </w:r>
      <w:r w:rsidR="002333E6">
        <w:t>dMMR population comprised a</w:t>
      </w:r>
      <w:r w:rsidR="00930EA8">
        <w:t xml:space="preserve"> </w:t>
      </w:r>
      <w:r w:rsidR="00930EA8">
        <w:lastRenderedPageBreak/>
        <w:t xml:space="preserve">relatively small subgroup </w:t>
      </w:r>
      <w:r w:rsidR="002333E6">
        <w:t>of each of the trials;</w:t>
      </w:r>
      <w:r w:rsidR="00930EA8">
        <w:t xml:space="preserve"> and differences in baseline characteristics between the trials (as shown in </w:t>
      </w:r>
      <w:r w:rsidR="00930EA8">
        <w:fldChar w:fldCharType="begin" w:fldLock="1"/>
      </w:r>
      <w:r w:rsidR="00930EA8">
        <w:instrText xml:space="preserve"> REF _Ref174979710 \h </w:instrText>
      </w:r>
      <w:r w:rsidR="00930EA8">
        <w:fldChar w:fldCharType="separate"/>
      </w:r>
      <w:r w:rsidR="00930EA8" w:rsidRPr="00310498">
        <w:t xml:space="preserve">Table </w:t>
      </w:r>
      <w:r w:rsidR="00930EA8">
        <w:rPr>
          <w:noProof/>
        </w:rPr>
        <w:t>11</w:t>
      </w:r>
      <w:r w:rsidR="00930EA8">
        <w:fldChar w:fldCharType="end"/>
      </w:r>
      <w:r w:rsidR="00930EA8">
        <w:t xml:space="preserve">). </w:t>
      </w:r>
    </w:p>
    <w:p w14:paraId="2268A687" w14:textId="5C335A62" w:rsidR="00227272" w:rsidRPr="00310498" w:rsidRDefault="00227272" w:rsidP="00227272">
      <w:pPr>
        <w:pStyle w:val="3-BodyText"/>
        <w:rPr>
          <w:lang w:bidi="en-US"/>
        </w:rPr>
      </w:pPr>
      <w:r w:rsidRPr="00310498">
        <w:t>The ESC considered that an additional uncertainty in the calculation of equi−effective doses was that the doses applied in the November 2023 dostarlimab economic evaluation included assumptions around dosage reduction and discontinuation rates which may be unique to dostarlimab and may not be applicable to durvalumab. For dostarlimab, the model incorporated dose intensities of 94.7% and 97.3% for initiation and maintenance doses, respectively (Table 18, dostarlimab PSD, November 2023 PBAC meeting), whereas dose intensity was not incorporated in the durvalumab CMA.</w:t>
      </w:r>
    </w:p>
    <w:bookmarkStart w:id="67" w:name="_Ref175907998"/>
    <w:p w14:paraId="23C93ED8" w14:textId="0801E94D" w:rsidR="00227272" w:rsidRPr="00310498" w:rsidRDefault="00227272" w:rsidP="00227272">
      <w:pPr>
        <w:pStyle w:val="3-BodyText"/>
      </w:pPr>
      <w:r w:rsidRPr="00310498">
        <w:fldChar w:fldCharType="begin" w:fldLock="1"/>
      </w:r>
      <w:r w:rsidRPr="00310498">
        <w:instrText xml:space="preserve"> REF _Ref174911009 \h  \* MERGEFORMAT </w:instrText>
      </w:r>
      <w:r w:rsidRPr="00310498">
        <w:fldChar w:fldCharType="separate"/>
      </w:r>
      <w:r w:rsidR="002C52D8" w:rsidRPr="00310498">
        <w:t xml:space="preserve">Table </w:t>
      </w:r>
      <w:r w:rsidR="002C52D8">
        <w:rPr>
          <w:noProof/>
        </w:rPr>
        <w:t>17</w:t>
      </w:r>
      <w:r w:rsidRPr="00310498">
        <w:fldChar w:fldCharType="end"/>
      </w:r>
      <w:r w:rsidRPr="00310498">
        <w:t xml:space="preserve"> provides an overview of the establishment of the equi-effective doses. The CMA base case for dMMR EC assumed patients receiving either durvalumab or dostarlimab will have received 5.1 induction doses. The number of maintenance doses was based on a treatment duration in the maintenance phase of 72 weeks and was assumed to differ based on the different maintenance regimens between the drugs, with durvalumab maintenance administered four-weekly (18 maintenance doses) and dostarlimab maintenance administered six-weekly (12 maintenance doses). The equi-effective doses, based on a maximum treatment duration of 36 months, were estimated as: </w:t>
      </w:r>
    </w:p>
    <w:p w14:paraId="7A7CA7FA" w14:textId="391F50B9" w:rsidR="00227272" w:rsidRPr="00310498" w:rsidRDefault="00227272" w:rsidP="00227272">
      <w:pPr>
        <w:pStyle w:val="3-BodyText"/>
        <w:numPr>
          <w:ilvl w:val="0"/>
          <w:numId w:val="0"/>
        </w:numPr>
        <w:ind w:left="720" w:firstLine="720"/>
      </w:pPr>
      <w:r>
        <w:t>durvalumab 32,712</w:t>
      </w:r>
      <w:r w:rsidR="00862A63">
        <w:t> </w:t>
      </w:r>
      <w:r>
        <w:t>mg = dostarlimab 14,550</w:t>
      </w:r>
      <w:r w:rsidR="00862A63">
        <w:t> </w:t>
      </w:r>
      <w:r>
        <w:t>mg.</w:t>
      </w:r>
      <w:r w:rsidRPr="20A0B79E">
        <w:rPr>
          <w:color w:val="3366FF"/>
        </w:rPr>
        <w:t xml:space="preserve"> </w:t>
      </w:r>
      <w:bookmarkEnd w:id="67"/>
    </w:p>
    <w:p w14:paraId="1B4514EA" w14:textId="2D422420" w:rsidR="00227272" w:rsidRPr="00310498" w:rsidRDefault="00227272" w:rsidP="00227272">
      <w:pPr>
        <w:pStyle w:val="Caption"/>
      </w:pPr>
      <w:bookmarkStart w:id="68" w:name="_Ref174911009"/>
      <w:r>
        <w:t xml:space="preserve">Table </w:t>
      </w:r>
      <w:r w:rsidRPr="20A0B79E">
        <w:fldChar w:fldCharType="begin" w:fldLock="1"/>
      </w:r>
      <w:r>
        <w:instrText xml:space="preserve"> SEQ Table \* ARABIC </w:instrText>
      </w:r>
      <w:r w:rsidRPr="20A0B79E">
        <w:fldChar w:fldCharType="separate"/>
      </w:r>
      <w:r w:rsidR="002C52D8" w:rsidRPr="20A0B79E">
        <w:rPr>
          <w:noProof/>
        </w:rPr>
        <w:t>17</w:t>
      </w:r>
      <w:r w:rsidRPr="20A0B79E">
        <w:rPr>
          <w:noProof/>
        </w:rPr>
        <w:fldChar w:fldCharType="end"/>
      </w:r>
      <w:bookmarkEnd w:id="68"/>
      <w:r>
        <w:t>:</w:t>
      </w:r>
      <w:r>
        <w:tab/>
        <w:t xml:space="preserve"> Equi-effective dose over 36-month treatment duration </w:t>
      </w:r>
    </w:p>
    <w:tbl>
      <w:tblPr>
        <w:tblW w:w="5000" w:type="pct"/>
        <w:tblLook w:val="04A0" w:firstRow="1" w:lastRow="0" w:firstColumn="1" w:lastColumn="0" w:noHBand="0" w:noVBand="1"/>
      </w:tblPr>
      <w:tblGrid>
        <w:gridCol w:w="1300"/>
        <w:gridCol w:w="1291"/>
        <w:gridCol w:w="1090"/>
        <w:gridCol w:w="1492"/>
        <w:gridCol w:w="1291"/>
        <w:gridCol w:w="1043"/>
        <w:gridCol w:w="1533"/>
      </w:tblGrid>
      <w:tr w:rsidR="00227272" w:rsidRPr="00310498" w14:paraId="00424607" w14:textId="77777777" w:rsidTr="00022017">
        <w:trPr>
          <w:trHeight w:val="20"/>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40087C" w14:textId="77777777" w:rsidR="00227272" w:rsidRPr="00310498" w:rsidRDefault="00227272" w:rsidP="00022017">
            <w:pPr>
              <w:keepNext/>
              <w:keepLines/>
              <w:jc w:val="center"/>
              <w:rPr>
                <w:rFonts w:ascii="Arial Narrow" w:hAnsi="Arial Narrow" w:cs="Times New Roman"/>
                <w:color w:val="000000"/>
                <w:sz w:val="20"/>
                <w:szCs w:val="20"/>
              </w:rPr>
            </w:pPr>
            <w:r w:rsidRPr="00310498">
              <w:rPr>
                <w:rFonts w:ascii="Arial Narrow" w:hAnsi="Arial Narrow" w:cs="Times New Roman"/>
                <w:color w:val="000000"/>
                <w:sz w:val="20"/>
                <w:szCs w:val="20"/>
              </w:rPr>
              <w:t> </w:t>
            </w:r>
          </w:p>
        </w:tc>
        <w:tc>
          <w:tcPr>
            <w:tcW w:w="214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7924EB7" w14:textId="77777777" w:rsidR="00227272" w:rsidRPr="00310498" w:rsidRDefault="00227272" w:rsidP="00022017">
            <w:pPr>
              <w:pStyle w:val="In-tableHeading"/>
              <w:jc w:val="center"/>
              <w:rPr>
                <w:lang w:val="en-AU"/>
              </w:rPr>
            </w:pPr>
            <w:r w:rsidRPr="00310498">
              <w:rPr>
                <w:lang w:val="en-AU"/>
              </w:rPr>
              <w:t>Durvalumab</w:t>
            </w:r>
          </w:p>
        </w:tc>
        <w:tc>
          <w:tcPr>
            <w:tcW w:w="2139" w:type="pct"/>
            <w:gridSpan w:val="3"/>
            <w:tcBorders>
              <w:top w:val="single" w:sz="4" w:space="0" w:color="auto"/>
              <w:left w:val="nil"/>
              <w:bottom w:val="single" w:sz="4" w:space="0" w:color="auto"/>
              <w:right w:val="single" w:sz="4" w:space="0" w:color="auto"/>
            </w:tcBorders>
            <w:shd w:val="clear" w:color="auto" w:fill="auto"/>
            <w:noWrap/>
            <w:vAlign w:val="center"/>
            <w:hideMark/>
          </w:tcPr>
          <w:p w14:paraId="72E2C23B" w14:textId="77777777" w:rsidR="00227272" w:rsidRPr="00310498" w:rsidRDefault="00227272" w:rsidP="00022017">
            <w:pPr>
              <w:pStyle w:val="In-tableHeading"/>
              <w:jc w:val="center"/>
              <w:rPr>
                <w:lang w:val="en-AU"/>
              </w:rPr>
            </w:pPr>
            <w:r w:rsidRPr="00310498">
              <w:rPr>
                <w:lang w:val="en-AU"/>
              </w:rPr>
              <w:t>Dostarlimab</w:t>
            </w:r>
          </w:p>
        </w:tc>
      </w:tr>
      <w:tr w:rsidR="00227272" w:rsidRPr="00310498" w14:paraId="6C3C55EC" w14:textId="77777777" w:rsidTr="00022017">
        <w:trPr>
          <w:trHeight w:val="20"/>
        </w:trPr>
        <w:tc>
          <w:tcPr>
            <w:tcW w:w="719" w:type="pct"/>
            <w:vMerge/>
            <w:tcBorders>
              <w:top w:val="single" w:sz="4" w:space="0" w:color="auto"/>
              <w:left w:val="single" w:sz="4" w:space="0" w:color="auto"/>
              <w:bottom w:val="single" w:sz="4" w:space="0" w:color="000000"/>
              <w:right w:val="single" w:sz="4" w:space="0" w:color="auto"/>
            </w:tcBorders>
            <w:vAlign w:val="center"/>
            <w:hideMark/>
          </w:tcPr>
          <w:p w14:paraId="09851FF0" w14:textId="77777777" w:rsidR="00227272" w:rsidRPr="00310498" w:rsidRDefault="00227272" w:rsidP="00022017">
            <w:pPr>
              <w:keepNext/>
              <w:keepLines/>
              <w:rPr>
                <w:rFonts w:ascii="Arial Narrow" w:hAnsi="Arial Narrow" w:cs="Times New Roman"/>
                <w:color w:val="000000"/>
                <w:sz w:val="20"/>
                <w:szCs w:val="20"/>
              </w:rPr>
            </w:pPr>
          </w:p>
        </w:tc>
        <w:tc>
          <w:tcPr>
            <w:tcW w:w="714" w:type="pct"/>
            <w:tcBorders>
              <w:top w:val="nil"/>
              <w:left w:val="nil"/>
              <w:bottom w:val="single" w:sz="4" w:space="0" w:color="auto"/>
              <w:right w:val="single" w:sz="4" w:space="0" w:color="auto"/>
            </w:tcBorders>
            <w:shd w:val="clear" w:color="auto" w:fill="auto"/>
            <w:vAlign w:val="center"/>
            <w:hideMark/>
          </w:tcPr>
          <w:p w14:paraId="5326DFCD" w14:textId="77777777" w:rsidR="00227272" w:rsidRPr="00310498" w:rsidRDefault="00227272" w:rsidP="00022017">
            <w:pPr>
              <w:pStyle w:val="In-tableHeading"/>
              <w:jc w:val="center"/>
              <w:rPr>
                <w:lang w:val="en-AU"/>
              </w:rPr>
            </w:pPr>
            <w:r w:rsidRPr="00310498">
              <w:rPr>
                <w:lang w:val="en-AU"/>
              </w:rPr>
              <w:t>Milligrams administered per infusion</w:t>
            </w:r>
          </w:p>
        </w:tc>
        <w:tc>
          <w:tcPr>
            <w:tcW w:w="603" w:type="pct"/>
            <w:tcBorders>
              <w:top w:val="nil"/>
              <w:left w:val="nil"/>
              <w:bottom w:val="single" w:sz="4" w:space="0" w:color="auto"/>
              <w:right w:val="single" w:sz="4" w:space="0" w:color="auto"/>
            </w:tcBorders>
            <w:shd w:val="clear" w:color="auto" w:fill="auto"/>
            <w:vAlign w:val="center"/>
            <w:hideMark/>
          </w:tcPr>
          <w:p w14:paraId="1564AABC" w14:textId="77777777" w:rsidR="00227272" w:rsidRPr="00310498" w:rsidRDefault="00227272" w:rsidP="00022017">
            <w:pPr>
              <w:pStyle w:val="In-tableHeading"/>
              <w:jc w:val="center"/>
              <w:rPr>
                <w:lang w:val="en-AU"/>
              </w:rPr>
            </w:pPr>
            <w:r w:rsidRPr="00310498">
              <w:rPr>
                <w:lang w:val="en-AU"/>
              </w:rPr>
              <w:t>Number of infusions</w:t>
            </w:r>
          </w:p>
        </w:tc>
        <w:tc>
          <w:tcPr>
            <w:tcW w:w="825" w:type="pct"/>
            <w:tcBorders>
              <w:top w:val="nil"/>
              <w:left w:val="nil"/>
              <w:bottom w:val="single" w:sz="4" w:space="0" w:color="auto"/>
              <w:right w:val="single" w:sz="4" w:space="0" w:color="auto"/>
            </w:tcBorders>
            <w:shd w:val="clear" w:color="auto" w:fill="auto"/>
            <w:vAlign w:val="center"/>
            <w:hideMark/>
          </w:tcPr>
          <w:p w14:paraId="51F6AEBC" w14:textId="77777777" w:rsidR="00227272" w:rsidRPr="00310498" w:rsidRDefault="00227272" w:rsidP="00022017">
            <w:pPr>
              <w:pStyle w:val="In-tableHeading"/>
              <w:jc w:val="center"/>
              <w:rPr>
                <w:lang w:val="en-AU"/>
              </w:rPr>
            </w:pPr>
            <w:r w:rsidRPr="00310498">
              <w:rPr>
                <w:lang w:val="en-AU"/>
              </w:rPr>
              <w:t>Total milligrams administered per course</w:t>
            </w:r>
          </w:p>
        </w:tc>
        <w:tc>
          <w:tcPr>
            <w:tcW w:w="714" w:type="pct"/>
            <w:tcBorders>
              <w:top w:val="nil"/>
              <w:left w:val="nil"/>
              <w:bottom w:val="single" w:sz="4" w:space="0" w:color="auto"/>
              <w:right w:val="single" w:sz="4" w:space="0" w:color="auto"/>
            </w:tcBorders>
            <w:shd w:val="clear" w:color="auto" w:fill="auto"/>
            <w:vAlign w:val="center"/>
            <w:hideMark/>
          </w:tcPr>
          <w:p w14:paraId="7F9A4439" w14:textId="77777777" w:rsidR="00227272" w:rsidRPr="00310498" w:rsidRDefault="00227272" w:rsidP="00022017">
            <w:pPr>
              <w:pStyle w:val="In-tableHeading"/>
              <w:jc w:val="center"/>
              <w:rPr>
                <w:lang w:val="en-AU"/>
              </w:rPr>
            </w:pPr>
            <w:r w:rsidRPr="00310498">
              <w:rPr>
                <w:lang w:val="en-AU"/>
              </w:rPr>
              <w:t>Milligrams administered per infusion</w:t>
            </w:r>
          </w:p>
        </w:tc>
        <w:tc>
          <w:tcPr>
            <w:tcW w:w="577" w:type="pct"/>
            <w:tcBorders>
              <w:top w:val="nil"/>
              <w:left w:val="nil"/>
              <w:bottom w:val="single" w:sz="4" w:space="0" w:color="auto"/>
              <w:right w:val="single" w:sz="4" w:space="0" w:color="auto"/>
            </w:tcBorders>
            <w:shd w:val="clear" w:color="auto" w:fill="auto"/>
            <w:vAlign w:val="center"/>
            <w:hideMark/>
          </w:tcPr>
          <w:p w14:paraId="5C384E6B" w14:textId="77777777" w:rsidR="00227272" w:rsidRPr="00310498" w:rsidRDefault="00227272" w:rsidP="00022017">
            <w:pPr>
              <w:pStyle w:val="In-tableHeading"/>
              <w:jc w:val="center"/>
              <w:rPr>
                <w:lang w:val="en-AU"/>
              </w:rPr>
            </w:pPr>
            <w:r w:rsidRPr="00310498">
              <w:rPr>
                <w:lang w:val="en-AU"/>
              </w:rPr>
              <w:t>Number of infusions</w:t>
            </w:r>
          </w:p>
        </w:tc>
        <w:tc>
          <w:tcPr>
            <w:tcW w:w="848" w:type="pct"/>
            <w:tcBorders>
              <w:top w:val="nil"/>
              <w:left w:val="nil"/>
              <w:bottom w:val="single" w:sz="4" w:space="0" w:color="auto"/>
              <w:right w:val="single" w:sz="4" w:space="0" w:color="auto"/>
            </w:tcBorders>
            <w:shd w:val="clear" w:color="auto" w:fill="auto"/>
            <w:vAlign w:val="center"/>
            <w:hideMark/>
          </w:tcPr>
          <w:p w14:paraId="772547B1" w14:textId="77777777" w:rsidR="00227272" w:rsidRPr="00310498" w:rsidRDefault="00227272" w:rsidP="00022017">
            <w:pPr>
              <w:pStyle w:val="In-tableHeading"/>
              <w:jc w:val="center"/>
              <w:rPr>
                <w:lang w:val="en-AU"/>
              </w:rPr>
            </w:pPr>
            <w:r w:rsidRPr="00310498">
              <w:rPr>
                <w:lang w:val="en-AU"/>
              </w:rPr>
              <w:t>Total milligrams administered per course</w:t>
            </w:r>
          </w:p>
        </w:tc>
      </w:tr>
      <w:tr w:rsidR="00227272" w:rsidRPr="00310498" w14:paraId="0B813ED5" w14:textId="77777777" w:rsidTr="00022017">
        <w:trPr>
          <w:trHeight w:val="2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14:paraId="61B92C0E" w14:textId="77777777" w:rsidR="00227272" w:rsidRPr="00310498" w:rsidRDefault="00227272" w:rsidP="00022017">
            <w:pPr>
              <w:pStyle w:val="Tabletext"/>
              <w:keepNext/>
              <w:keepLines/>
            </w:pPr>
            <w:r w:rsidRPr="00310498">
              <w:t>Induction</w:t>
            </w:r>
          </w:p>
        </w:tc>
        <w:tc>
          <w:tcPr>
            <w:tcW w:w="714" w:type="pct"/>
            <w:tcBorders>
              <w:top w:val="nil"/>
              <w:left w:val="nil"/>
              <w:bottom w:val="single" w:sz="4" w:space="0" w:color="auto"/>
              <w:right w:val="single" w:sz="4" w:space="0" w:color="auto"/>
            </w:tcBorders>
            <w:shd w:val="clear" w:color="auto" w:fill="auto"/>
            <w:noWrap/>
            <w:vAlign w:val="center"/>
            <w:hideMark/>
          </w:tcPr>
          <w:p w14:paraId="17DBEF87" w14:textId="77777777" w:rsidR="00227272" w:rsidRPr="00310498" w:rsidRDefault="00227272" w:rsidP="00022017">
            <w:pPr>
              <w:pStyle w:val="Tabletext"/>
              <w:keepNext/>
              <w:keepLines/>
              <w:jc w:val="center"/>
            </w:pPr>
            <w:r w:rsidRPr="00310498">
              <w:t>1,120</w:t>
            </w:r>
          </w:p>
        </w:tc>
        <w:tc>
          <w:tcPr>
            <w:tcW w:w="603" w:type="pct"/>
            <w:tcBorders>
              <w:top w:val="nil"/>
              <w:left w:val="nil"/>
              <w:bottom w:val="single" w:sz="4" w:space="0" w:color="auto"/>
              <w:right w:val="single" w:sz="4" w:space="0" w:color="auto"/>
            </w:tcBorders>
            <w:shd w:val="clear" w:color="auto" w:fill="auto"/>
            <w:noWrap/>
            <w:vAlign w:val="center"/>
            <w:hideMark/>
          </w:tcPr>
          <w:p w14:paraId="6B80CABC" w14:textId="77777777" w:rsidR="00227272" w:rsidRPr="00310498" w:rsidRDefault="00227272" w:rsidP="00022017">
            <w:pPr>
              <w:pStyle w:val="Tabletext"/>
              <w:keepNext/>
              <w:keepLines/>
              <w:jc w:val="center"/>
            </w:pPr>
            <w:r w:rsidRPr="00310498">
              <w:t>5.1</w:t>
            </w:r>
          </w:p>
        </w:tc>
        <w:tc>
          <w:tcPr>
            <w:tcW w:w="825" w:type="pct"/>
            <w:tcBorders>
              <w:top w:val="nil"/>
              <w:left w:val="nil"/>
              <w:bottom w:val="single" w:sz="4" w:space="0" w:color="auto"/>
              <w:right w:val="single" w:sz="4" w:space="0" w:color="auto"/>
            </w:tcBorders>
            <w:shd w:val="clear" w:color="auto" w:fill="auto"/>
            <w:noWrap/>
            <w:vAlign w:val="center"/>
            <w:hideMark/>
          </w:tcPr>
          <w:p w14:paraId="46EE6D15" w14:textId="77777777" w:rsidR="00227272" w:rsidRPr="00310498" w:rsidRDefault="00227272" w:rsidP="00022017">
            <w:pPr>
              <w:pStyle w:val="Tabletext"/>
              <w:keepNext/>
              <w:keepLines/>
              <w:jc w:val="center"/>
            </w:pPr>
            <w:r w:rsidRPr="00310498">
              <w:t>5,712</w:t>
            </w:r>
          </w:p>
        </w:tc>
        <w:tc>
          <w:tcPr>
            <w:tcW w:w="714" w:type="pct"/>
            <w:tcBorders>
              <w:top w:val="nil"/>
              <w:left w:val="nil"/>
              <w:bottom w:val="single" w:sz="4" w:space="0" w:color="auto"/>
              <w:right w:val="single" w:sz="4" w:space="0" w:color="auto"/>
            </w:tcBorders>
            <w:shd w:val="clear" w:color="auto" w:fill="auto"/>
            <w:noWrap/>
            <w:vAlign w:val="center"/>
            <w:hideMark/>
          </w:tcPr>
          <w:p w14:paraId="43DB8FED" w14:textId="77777777" w:rsidR="00227272" w:rsidRPr="00310498" w:rsidRDefault="00227272" w:rsidP="00022017">
            <w:pPr>
              <w:pStyle w:val="Tabletext"/>
              <w:keepNext/>
              <w:keepLines/>
              <w:jc w:val="center"/>
            </w:pPr>
            <w:r w:rsidRPr="00310498">
              <w:t>500</w:t>
            </w:r>
          </w:p>
        </w:tc>
        <w:tc>
          <w:tcPr>
            <w:tcW w:w="577" w:type="pct"/>
            <w:tcBorders>
              <w:top w:val="nil"/>
              <w:left w:val="nil"/>
              <w:bottom w:val="single" w:sz="4" w:space="0" w:color="auto"/>
              <w:right w:val="single" w:sz="4" w:space="0" w:color="auto"/>
            </w:tcBorders>
            <w:shd w:val="clear" w:color="auto" w:fill="auto"/>
            <w:noWrap/>
            <w:vAlign w:val="center"/>
            <w:hideMark/>
          </w:tcPr>
          <w:p w14:paraId="592D5402" w14:textId="77777777" w:rsidR="00227272" w:rsidRPr="00310498" w:rsidRDefault="00227272" w:rsidP="00022017">
            <w:pPr>
              <w:pStyle w:val="Tabletext"/>
              <w:keepNext/>
              <w:keepLines/>
              <w:jc w:val="center"/>
            </w:pPr>
            <w:r w:rsidRPr="00310498">
              <w:t>5.1</w:t>
            </w:r>
          </w:p>
        </w:tc>
        <w:tc>
          <w:tcPr>
            <w:tcW w:w="848" w:type="pct"/>
            <w:tcBorders>
              <w:top w:val="nil"/>
              <w:left w:val="nil"/>
              <w:bottom w:val="single" w:sz="4" w:space="0" w:color="auto"/>
              <w:right w:val="single" w:sz="4" w:space="0" w:color="auto"/>
            </w:tcBorders>
            <w:shd w:val="clear" w:color="auto" w:fill="auto"/>
            <w:noWrap/>
            <w:vAlign w:val="center"/>
            <w:hideMark/>
          </w:tcPr>
          <w:p w14:paraId="3AFCB38F" w14:textId="77777777" w:rsidR="00227272" w:rsidRPr="00310498" w:rsidRDefault="00227272" w:rsidP="00022017">
            <w:pPr>
              <w:pStyle w:val="Tabletext"/>
              <w:keepNext/>
              <w:keepLines/>
              <w:jc w:val="center"/>
            </w:pPr>
            <w:r w:rsidRPr="00310498">
              <w:t>2,550</w:t>
            </w:r>
          </w:p>
        </w:tc>
      </w:tr>
      <w:tr w:rsidR="00227272" w:rsidRPr="00310498" w14:paraId="59C68E86" w14:textId="77777777" w:rsidTr="00022017">
        <w:trPr>
          <w:trHeight w:val="2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14:paraId="78542899" w14:textId="77777777" w:rsidR="00227272" w:rsidRPr="00310498" w:rsidRDefault="00227272" w:rsidP="00022017">
            <w:pPr>
              <w:pStyle w:val="Tabletext"/>
              <w:keepNext/>
              <w:keepLines/>
            </w:pPr>
            <w:r w:rsidRPr="00310498">
              <w:t>Maintenance</w:t>
            </w:r>
          </w:p>
        </w:tc>
        <w:tc>
          <w:tcPr>
            <w:tcW w:w="714" w:type="pct"/>
            <w:tcBorders>
              <w:top w:val="nil"/>
              <w:left w:val="nil"/>
              <w:bottom w:val="single" w:sz="4" w:space="0" w:color="auto"/>
              <w:right w:val="single" w:sz="4" w:space="0" w:color="auto"/>
            </w:tcBorders>
            <w:shd w:val="clear" w:color="auto" w:fill="auto"/>
            <w:noWrap/>
            <w:vAlign w:val="center"/>
            <w:hideMark/>
          </w:tcPr>
          <w:p w14:paraId="4FA670C3" w14:textId="77777777" w:rsidR="00227272" w:rsidRPr="00310498" w:rsidRDefault="00227272" w:rsidP="00022017">
            <w:pPr>
              <w:pStyle w:val="Tabletext"/>
              <w:keepNext/>
              <w:keepLines/>
              <w:jc w:val="center"/>
            </w:pPr>
            <w:r w:rsidRPr="00310498">
              <w:t>1,500</w:t>
            </w:r>
          </w:p>
        </w:tc>
        <w:tc>
          <w:tcPr>
            <w:tcW w:w="603" w:type="pct"/>
            <w:tcBorders>
              <w:top w:val="nil"/>
              <w:left w:val="nil"/>
              <w:bottom w:val="single" w:sz="4" w:space="0" w:color="auto"/>
              <w:right w:val="single" w:sz="4" w:space="0" w:color="auto"/>
            </w:tcBorders>
            <w:shd w:val="clear" w:color="auto" w:fill="auto"/>
            <w:noWrap/>
            <w:vAlign w:val="center"/>
            <w:hideMark/>
          </w:tcPr>
          <w:p w14:paraId="3F40DA5B" w14:textId="77777777" w:rsidR="00227272" w:rsidRPr="00310498" w:rsidRDefault="00227272" w:rsidP="00022017">
            <w:pPr>
              <w:pStyle w:val="Tabletext"/>
              <w:keepNext/>
              <w:keepLines/>
              <w:jc w:val="center"/>
            </w:pPr>
            <w:r w:rsidRPr="00310498">
              <w:t>18.0</w:t>
            </w:r>
          </w:p>
        </w:tc>
        <w:tc>
          <w:tcPr>
            <w:tcW w:w="825" w:type="pct"/>
            <w:tcBorders>
              <w:top w:val="nil"/>
              <w:left w:val="nil"/>
              <w:bottom w:val="single" w:sz="4" w:space="0" w:color="auto"/>
              <w:right w:val="single" w:sz="4" w:space="0" w:color="auto"/>
            </w:tcBorders>
            <w:shd w:val="clear" w:color="auto" w:fill="auto"/>
            <w:noWrap/>
            <w:vAlign w:val="center"/>
            <w:hideMark/>
          </w:tcPr>
          <w:p w14:paraId="3605B604" w14:textId="77777777" w:rsidR="00227272" w:rsidRPr="00310498" w:rsidRDefault="00227272" w:rsidP="00022017">
            <w:pPr>
              <w:pStyle w:val="Tabletext"/>
              <w:keepNext/>
              <w:keepLines/>
              <w:jc w:val="center"/>
            </w:pPr>
            <w:r w:rsidRPr="00310498">
              <w:t>27,000</w:t>
            </w:r>
          </w:p>
        </w:tc>
        <w:tc>
          <w:tcPr>
            <w:tcW w:w="714" w:type="pct"/>
            <w:tcBorders>
              <w:top w:val="nil"/>
              <w:left w:val="nil"/>
              <w:bottom w:val="single" w:sz="4" w:space="0" w:color="auto"/>
              <w:right w:val="single" w:sz="4" w:space="0" w:color="auto"/>
            </w:tcBorders>
            <w:shd w:val="clear" w:color="auto" w:fill="auto"/>
            <w:noWrap/>
            <w:vAlign w:val="center"/>
            <w:hideMark/>
          </w:tcPr>
          <w:p w14:paraId="142492F2" w14:textId="77777777" w:rsidR="00227272" w:rsidRPr="00310498" w:rsidRDefault="00227272" w:rsidP="00022017">
            <w:pPr>
              <w:pStyle w:val="Tabletext"/>
              <w:keepNext/>
              <w:keepLines/>
              <w:jc w:val="center"/>
            </w:pPr>
            <w:r w:rsidRPr="00310498">
              <w:t>1000</w:t>
            </w:r>
          </w:p>
        </w:tc>
        <w:tc>
          <w:tcPr>
            <w:tcW w:w="577" w:type="pct"/>
            <w:tcBorders>
              <w:top w:val="nil"/>
              <w:left w:val="nil"/>
              <w:bottom w:val="single" w:sz="4" w:space="0" w:color="auto"/>
              <w:right w:val="single" w:sz="4" w:space="0" w:color="auto"/>
            </w:tcBorders>
            <w:shd w:val="clear" w:color="auto" w:fill="auto"/>
            <w:noWrap/>
            <w:vAlign w:val="center"/>
            <w:hideMark/>
          </w:tcPr>
          <w:p w14:paraId="5A25F912" w14:textId="77777777" w:rsidR="00227272" w:rsidRPr="00310498" w:rsidRDefault="00227272" w:rsidP="00022017">
            <w:pPr>
              <w:pStyle w:val="Tabletext"/>
              <w:keepNext/>
              <w:keepLines/>
              <w:jc w:val="center"/>
            </w:pPr>
            <w:r w:rsidRPr="00310498">
              <w:t>12.0</w:t>
            </w:r>
          </w:p>
        </w:tc>
        <w:tc>
          <w:tcPr>
            <w:tcW w:w="848" w:type="pct"/>
            <w:tcBorders>
              <w:top w:val="nil"/>
              <w:left w:val="nil"/>
              <w:bottom w:val="single" w:sz="4" w:space="0" w:color="auto"/>
              <w:right w:val="single" w:sz="4" w:space="0" w:color="auto"/>
            </w:tcBorders>
            <w:shd w:val="clear" w:color="auto" w:fill="auto"/>
            <w:noWrap/>
            <w:vAlign w:val="center"/>
            <w:hideMark/>
          </w:tcPr>
          <w:p w14:paraId="7DD1195A" w14:textId="77777777" w:rsidR="00227272" w:rsidRPr="00310498" w:rsidRDefault="00227272" w:rsidP="00022017">
            <w:pPr>
              <w:pStyle w:val="Tabletext"/>
              <w:keepNext/>
              <w:keepLines/>
              <w:jc w:val="center"/>
            </w:pPr>
            <w:r w:rsidRPr="00310498">
              <w:t>12,000</w:t>
            </w:r>
          </w:p>
        </w:tc>
      </w:tr>
      <w:tr w:rsidR="00227272" w:rsidRPr="00310498" w14:paraId="3E0DF4E8" w14:textId="77777777" w:rsidTr="00022017">
        <w:trPr>
          <w:trHeight w:val="2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14:paraId="31569C33" w14:textId="77777777" w:rsidR="00227272" w:rsidRPr="00310498" w:rsidRDefault="00227272" w:rsidP="00022017">
            <w:pPr>
              <w:pStyle w:val="Tabletext"/>
              <w:keepNext/>
              <w:keepLines/>
              <w:rPr>
                <w:b/>
                <w:bCs/>
              </w:rPr>
            </w:pPr>
            <w:r w:rsidRPr="00310498">
              <w:rPr>
                <w:b/>
                <w:bCs/>
              </w:rPr>
              <w:t>Total</w:t>
            </w:r>
          </w:p>
        </w:tc>
        <w:tc>
          <w:tcPr>
            <w:tcW w:w="714" w:type="pct"/>
            <w:tcBorders>
              <w:top w:val="nil"/>
              <w:left w:val="nil"/>
              <w:bottom w:val="single" w:sz="4" w:space="0" w:color="auto"/>
              <w:right w:val="single" w:sz="4" w:space="0" w:color="auto"/>
            </w:tcBorders>
            <w:shd w:val="clear" w:color="auto" w:fill="auto"/>
            <w:noWrap/>
            <w:vAlign w:val="center"/>
            <w:hideMark/>
          </w:tcPr>
          <w:p w14:paraId="62B30B1F" w14:textId="77777777" w:rsidR="00227272" w:rsidRPr="00310498" w:rsidRDefault="00227272" w:rsidP="00022017">
            <w:pPr>
              <w:pStyle w:val="Tabletext"/>
              <w:keepNext/>
              <w:keepLines/>
              <w:jc w:val="center"/>
              <w:rPr>
                <w:b/>
                <w:bCs/>
              </w:rPr>
            </w:pPr>
          </w:p>
        </w:tc>
        <w:tc>
          <w:tcPr>
            <w:tcW w:w="603" w:type="pct"/>
            <w:tcBorders>
              <w:top w:val="nil"/>
              <w:left w:val="nil"/>
              <w:bottom w:val="single" w:sz="4" w:space="0" w:color="auto"/>
              <w:right w:val="single" w:sz="4" w:space="0" w:color="auto"/>
            </w:tcBorders>
            <w:shd w:val="clear" w:color="auto" w:fill="auto"/>
            <w:noWrap/>
            <w:vAlign w:val="center"/>
            <w:hideMark/>
          </w:tcPr>
          <w:p w14:paraId="09BE7FC1" w14:textId="77777777" w:rsidR="00227272" w:rsidRPr="00310498" w:rsidRDefault="00227272" w:rsidP="00022017">
            <w:pPr>
              <w:pStyle w:val="Tabletext"/>
              <w:keepNext/>
              <w:keepLines/>
              <w:jc w:val="center"/>
              <w:rPr>
                <w:b/>
                <w:bCs/>
              </w:rPr>
            </w:pPr>
            <w:r w:rsidRPr="00310498">
              <w:rPr>
                <w:b/>
                <w:bCs/>
              </w:rPr>
              <w:t>23.1</w:t>
            </w:r>
          </w:p>
        </w:tc>
        <w:tc>
          <w:tcPr>
            <w:tcW w:w="825" w:type="pct"/>
            <w:tcBorders>
              <w:top w:val="nil"/>
              <w:left w:val="nil"/>
              <w:bottom w:val="single" w:sz="4" w:space="0" w:color="auto"/>
              <w:right w:val="single" w:sz="4" w:space="0" w:color="auto"/>
            </w:tcBorders>
            <w:shd w:val="clear" w:color="auto" w:fill="auto"/>
            <w:noWrap/>
            <w:vAlign w:val="center"/>
            <w:hideMark/>
          </w:tcPr>
          <w:p w14:paraId="6C37BA45" w14:textId="77777777" w:rsidR="00227272" w:rsidRPr="00310498" w:rsidRDefault="00227272" w:rsidP="00022017">
            <w:pPr>
              <w:pStyle w:val="Tabletext"/>
              <w:keepNext/>
              <w:keepLines/>
              <w:jc w:val="center"/>
              <w:rPr>
                <w:b/>
                <w:bCs/>
              </w:rPr>
            </w:pPr>
            <w:r w:rsidRPr="00310498">
              <w:rPr>
                <w:b/>
                <w:bCs/>
              </w:rPr>
              <w:t>32,712</w:t>
            </w:r>
          </w:p>
        </w:tc>
        <w:tc>
          <w:tcPr>
            <w:tcW w:w="714" w:type="pct"/>
            <w:tcBorders>
              <w:top w:val="nil"/>
              <w:left w:val="nil"/>
              <w:bottom w:val="single" w:sz="4" w:space="0" w:color="auto"/>
              <w:right w:val="single" w:sz="4" w:space="0" w:color="auto"/>
            </w:tcBorders>
            <w:shd w:val="clear" w:color="auto" w:fill="auto"/>
            <w:noWrap/>
            <w:vAlign w:val="center"/>
            <w:hideMark/>
          </w:tcPr>
          <w:p w14:paraId="30F1DAE2" w14:textId="77777777" w:rsidR="00227272" w:rsidRPr="00310498" w:rsidRDefault="00227272" w:rsidP="00022017">
            <w:pPr>
              <w:pStyle w:val="Tabletext"/>
              <w:keepNext/>
              <w:keepLines/>
              <w:jc w:val="center"/>
              <w:rPr>
                <w:b/>
                <w:bCs/>
              </w:rPr>
            </w:pPr>
          </w:p>
        </w:tc>
        <w:tc>
          <w:tcPr>
            <w:tcW w:w="577" w:type="pct"/>
            <w:tcBorders>
              <w:top w:val="nil"/>
              <w:left w:val="nil"/>
              <w:bottom w:val="single" w:sz="4" w:space="0" w:color="auto"/>
              <w:right w:val="single" w:sz="4" w:space="0" w:color="auto"/>
            </w:tcBorders>
            <w:shd w:val="clear" w:color="auto" w:fill="auto"/>
            <w:noWrap/>
            <w:vAlign w:val="center"/>
            <w:hideMark/>
          </w:tcPr>
          <w:p w14:paraId="4966E6A5" w14:textId="77777777" w:rsidR="00227272" w:rsidRPr="00310498" w:rsidRDefault="00227272" w:rsidP="00022017">
            <w:pPr>
              <w:pStyle w:val="Tabletext"/>
              <w:keepNext/>
              <w:keepLines/>
              <w:jc w:val="center"/>
              <w:rPr>
                <w:b/>
                <w:bCs/>
              </w:rPr>
            </w:pPr>
            <w:r w:rsidRPr="00310498">
              <w:rPr>
                <w:b/>
                <w:bCs/>
              </w:rPr>
              <w:t>17.1</w:t>
            </w:r>
          </w:p>
        </w:tc>
        <w:tc>
          <w:tcPr>
            <w:tcW w:w="848" w:type="pct"/>
            <w:tcBorders>
              <w:top w:val="nil"/>
              <w:left w:val="nil"/>
              <w:bottom w:val="single" w:sz="4" w:space="0" w:color="auto"/>
              <w:right w:val="single" w:sz="4" w:space="0" w:color="auto"/>
            </w:tcBorders>
            <w:shd w:val="clear" w:color="auto" w:fill="auto"/>
            <w:noWrap/>
            <w:vAlign w:val="center"/>
            <w:hideMark/>
          </w:tcPr>
          <w:p w14:paraId="0BAB19EB" w14:textId="77777777" w:rsidR="00227272" w:rsidRPr="00310498" w:rsidRDefault="00227272" w:rsidP="00022017">
            <w:pPr>
              <w:pStyle w:val="Tabletext"/>
              <w:keepNext/>
              <w:keepLines/>
              <w:jc w:val="center"/>
              <w:rPr>
                <w:b/>
                <w:bCs/>
              </w:rPr>
            </w:pPr>
            <w:r w:rsidRPr="00310498">
              <w:rPr>
                <w:b/>
                <w:bCs/>
              </w:rPr>
              <w:t>14,550</w:t>
            </w:r>
          </w:p>
        </w:tc>
      </w:tr>
    </w:tbl>
    <w:p w14:paraId="38794C63" w14:textId="77777777" w:rsidR="00227272" w:rsidRPr="00310498" w:rsidRDefault="00227272" w:rsidP="00D17A65">
      <w:pPr>
        <w:pStyle w:val="TableFigureFooter"/>
      </w:pPr>
      <w:r w:rsidRPr="00310498">
        <w:t>Source: Table 3.40, p178 of the submission</w:t>
      </w:r>
    </w:p>
    <w:p w14:paraId="20743F38" w14:textId="3CF873D8" w:rsidR="00227272" w:rsidRPr="00310498" w:rsidRDefault="00227272" w:rsidP="00227272">
      <w:pPr>
        <w:pStyle w:val="3-BodyText"/>
      </w:pPr>
      <w:r w:rsidRPr="00310498">
        <w:t xml:space="preserve">The CMA incorporated IV administration costs due to the different frequency of dosing between durvalumab and dostarlimab. The results of the CMA using the published price of dostarlimab are presented in </w:t>
      </w:r>
      <w:r w:rsidRPr="00310498">
        <w:fldChar w:fldCharType="begin" w:fldLock="1"/>
      </w:r>
      <w:r w:rsidRPr="00310498">
        <w:instrText xml:space="preserve"> REF _Ref174994003 \h  \* MERGEFORMAT </w:instrText>
      </w:r>
      <w:r w:rsidRPr="00310498">
        <w:fldChar w:fldCharType="separate"/>
      </w:r>
      <w:r w:rsidR="002C52D8" w:rsidRPr="00310498">
        <w:t xml:space="preserve">Table </w:t>
      </w:r>
      <w:r w:rsidR="002C52D8">
        <w:rPr>
          <w:noProof/>
        </w:rPr>
        <w:t>18</w:t>
      </w:r>
      <w:r w:rsidRPr="00310498">
        <w:fldChar w:fldCharType="end"/>
      </w:r>
      <w:r w:rsidRPr="00310498">
        <w:t xml:space="preserve">. </w:t>
      </w:r>
    </w:p>
    <w:p w14:paraId="26AA053D" w14:textId="574D36BE" w:rsidR="00227272" w:rsidRPr="00310498" w:rsidRDefault="00227272" w:rsidP="00B00960">
      <w:pPr>
        <w:pStyle w:val="Caption"/>
        <w:spacing w:before="0"/>
      </w:pPr>
      <w:bookmarkStart w:id="69" w:name="_Ref174994003"/>
      <w:r w:rsidRPr="00310498">
        <w:t xml:space="preserve">Table </w:t>
      </w:r>
      <w:r w:rsidRPr="00310498">
        <w:fldChar w:fldCharType="begin" w:fldLock="1"/>
      </w:r>
      <w:r w:rsidRPr="00310498">
        <w:instrText xml:space="preserve"> SEQ Table \* ARABIC </w:instrText>
      </w:r>
      <w:r w:rsidRPr="00310498">
        <w:fldChar w:fldCharType="separate"/>
      </w:r>
      <w:r w:rsidR="002C52D8">
        <w:rPr>
          <w:noProof/>
        </w:rPr>
        <w:t>18</w:t>
      </w:r>
      <w:r w:rsidRPr="00310498">
        <w:rPr>
          <w:noProof/>
        </w:rPr>
        <w:fldChar w:fldCharType="end"/>
      </w:r>
      <w:bookmarkEnd w:id="69"/>
      <w:r w:rsidRPr="00310498">
        <w:t>: Cost per course over the maximum 36-month total treatment duration for durvalumab and dostarlimab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703"/>
        <w:gridCol w:w="2142"/>
        <w:gridCol w:w="1763"/>
        <w:gridCol w:w="1739"/>
      </w:tblGrid>
      <w:tr w:rsidR="00227272" w:rsidRPr="00310498" w14:paraId="09957C3A" w14:textId="77777777" w:rsidTr="20A0B79E">
        <w:trPr>
          <w:trHeight w:val="20"/>
        </w:trPr>
        <w:tc>
          <w:tcPr>
            <w:tcW w:w="936" w:type="pct"/>
            <w:shd w:val="clear" w:color="auto" w:fill="auto"/>
            <w:vAlign w:val="center"/>
            <w:hideMark/>
          </w:tcPr>
          <w:p w14:paraId="6397A9FC" w14:textId="77777777" w:rsidR="00227272" w:rsidRPr="00310498" w:rsidRDefault="00227272" w:rsidP="00022017">
            <w:pPr>
              <w:pStyle w:val="In-tableHeading"/>
              <w:rPr>
                <w:lang w:val="en-AU"/>
              </w:rPr>
            </w:pPr>
            <w:r w:rsidRPr="00310498">
              <w:rPr>
                <w:lang w:val="en-AU"/>
              </w:rPr>
              <w:t>Assumed price of dostarlimab</w:t>
            </w:r>
          </w:p>
        </w:tc>
        <w:tc>
          <w:tcPr>
            <w:tcW w:w="942" w:type="pct"/>
            <w:shd w:val="clear" w:color="auto" w:fill="auto"/>
            <w:noWrap/>
            <w:vAlign w:val="center"/>
            <w:hideMark/>
          </w:tcPr>
          <w:p w14:paraId="4C61048F" w14:textId="77777777" w:rsidR="00227272" w:rsidRPr="00310498" w:rsidRDefault="00227272" w:rsidP="00022017">
            <w:pPr>
              <w:pStyle w:val="In-tableHeading"/>
              <w:jc w:val="center"/>
              <w:rPr>
                <w:lang w:val="en-AU"/>
              </w:rPr>
            </w:pPr>
            <w:r w:rsidRPr="00310498">
              <w:rPr>
                <w:lang w:val="en-AU"/>
              </w:rPr>
              <w:t>Treatment</w:t>
            </w:r>
          </w:p>
        </w:tc>
        <w:tc>
          <w:tcPr>
            <w:tcW w:w="1185" w:type="pct"/>
            <w:shd w:val="clear" w:color="auto" w:fill="auto"/>
            <w:vAlign w:val="center"/>
            <w:hideMark/>
          </w:tcPr>
          <w:p w14:paraId="40F8BDE3" w14:textId="77777777" w:rsidR="00227272" w:rsidRPr="00310498" w:rsidRDefault="00227272" w:rsidP="00022017">
            <w:pPr>
              <w:pStyle w:val="In-tableHeading"/>
              <w:jc w:val="center"/>
              <w:rPr>
                <w:lang w:val="en-AU"/>
              </w:rPr>
            </w:pPr>
            <w:r w:rsidRPr="00310498">
              <w:rPr>
                <w:lang w:val="en-AU"/>
              </w:rPr>
              <w:t>Total drug acquisition cost (DPMQ)</w:t>
            </w:r>
          </w:p>
        </w:tc>
        <w:tc>
          <w:tcPr>
            <w:tcW w:w="975" w:type="pct"/>
            <w:shd w:val="clear" w:color="auto" w:fill="auto"/>
            <w:vAlign w:val="center"/>
            <w:hideMark/>
          </w:tcPr>
          <w:p w14:paraId="21998270" w14:textId="77777777" w:rsidR="00227272" w:rsidRPr="00310498" w:rsidRDefault="00227272" w:rsidP="00022017">
            <w:pPr>
              <w:pStyle w:val="In-tableHeading"/>
              <w:jc w:val="center"/>
              <w:rPr>
                <w:lang w:val="en-AU"/>
              </w:rPr>
            </w:pPr>
            <w:r w:rsidRPr="00310498">
              <w:rPr>
                <w:lang w:val="en-AU"/>
              </w:rPr>
              <w:t>IV administration costs</w:t>
            </w:r>
          </w:p>
        </w:tc>
        <w:tc>
          <w:tcPr>
            <w:tcW w:w="962" w:type="pct"/>
            <w:shd w:val="clear" w:color="auto" w:fill="auto"/>
            <w:vAlign w:val="center"/>
            <w:hideMark/>
          </w:tcPr>
          <w:p w14:paraId="192DB56B" w14:textId="77777777" w:rsidR="00227272" w:rsidRPr="00310498" w:rsidRDefault="00227272" w:rsidP="00022017">
            <w:pPr>
              <w:pStyle w:val="In-tableHeading"/>
              <w:jc w:val="center"/>
              <w:rPr>
                <w:lang w:val="en-AU"/>
              </w:rPr>
            </w:pPr>
            <w:r w:rsidRPr="00310498">
              <w:rPr>
                <w:lang w:val="en-AU"/>
              </w:rPr>
              <w:t>Total cost per course</w:t>
            </w:r>
          </w:p>
        </w:tc>
      </w:tr>
      <w:tr w:rsidR="00227272" w:rsidRPr="00310498" w14:paraId="664A539E" w14:textId="77777777" w:rsidTr="20A0B79E">
        <w:trPr>
          <w:trHeight w:val="20"/>
        </w:trPr>
        <w:tc>
          <w:tcPr>
            <w:tcW w:w="936" w:type="pct"/>
            <w:vMerge w:val="restart"/>
            <w:shd w:val="clear" w:color="auto" w:fill="auto"/>
            <w:vAlign w:val="center"/>
            <w:hideMark/>
          </w:tcPr>
          <w:p w14:paraId="46CB72F2" w14:textId="77777777" w:rsidR="00227272" w:rsidRPr="00310498" w:rsidRDefault="00227272" w:rsidP="00022017">
            <w:pPr>
              <w:pStyle w:val="Tabletext"/>
              <w:keepNext/>
            </w:pPr>
            <w:r w:rsidRPr="00310498">
              <w:t>Published price of dostarlimab</w:t>
            </w:r>
          </w:p>
        </w:tc>
        <w:tc>
          <w:tcPr>
            <w:tcW w:w="942" w:type="pct"/>
            <w:shd w:val="clear" w:color="auto" w:fill="auto"/>
            <w:noWrap/>
            <w:vAlign w:val="center"/>
            <w:hideMark/>
          </w:tcPr>
          <w:p w14:paraId="06057866" w14:textId="77777777" w:rsidR="00227272" w:rsidRPr="00310498" w:rsidRDefault="00227272" w:rsidP="00022017">
            <w:pPr>
              <w:pStyle w:val="Tabletext"/>
              <w:keepNext/>
              <w:jc w:val="center"/>
            </w:pPr>
            <w:r w:rsidRPr="00310498">
              <w:t>Durvalumab</w:t>
            </w:r>
          </w:p>
        </w:tc>
        <w:tc>
          <w:tcPr>
            <w:tcW w:w="1185" w:type="pct"/>
            <w:shd w:val="clear" w:color="auto" w:fill="auto"/>
            <w:noWrap/>
            <w:vAlign w:val="center"/>
          </w:tcPr>
          <w:p w14:paraId="1AE8834D" w14:textId="3BB829E8" w:rsidR="00227272" w:rsidRPr="00310498" w:rsidRDefault="00227272" w:rsidP="00022017">
            <w:pPr>
              <w:pStyle w:val="Tabletext"/>
              <w:keepNext/>
              <w:jc w:val="center"/>
            </w:pPr>
            <w:r w:rsidRPr="00310498">
              <w:t>$</w:t>
            </w:r>
            <w:r w:rsidR="00864EAF" w:rsidRPr="00864EAF">
              <w:rPr>
                <w:color w:val="000000"/>
                <w:shd w:val="solid" w:color="000000" w:fill="000000"/>
                <w14:textFill>
                  <w14:solidFill>
                    <w14:srgbClr w14:val="000000">
                      <w14:alpha w14:val="100000"/>
                    </w14:srgbClr>
                  </w14:solidFill>
                </w14:textFill>
              </w:rPr>
              <w:t>|</w:t>
            </w:r>
          </w:p>
        </w:tc>
        <w:tc>
          <w:tcPr>
            <w:tcW w:w="975" w:type="pct"/>
            <w:shd w:val="clear" w:color="auto" w:fill="auto"/>
            <w:noWrap/>
            <w:vAlign w:val="center"/>
          </w:tcPr>
          <w:p w14:paraId="6501D4D2" w14:textId="77777777" w:rsidR="00227272" w:rsidRPr="00310498" w:rsidRDefault="00227272" w:rsidP="00022017">
            <w:pPr>
              <w:pStyle w:val="Tabletext"/>
              <w:keepNext/>
              <w:jc w:val="center"/>
            </w:pPr>
            <w:r w:rsidRPr="00310498">
              <w:t>$2,842.46</w:t>
            </w:r>
          </w:p>
        </w:tc>
        <w:tc>
          <w:tcPr>
            <w:tcW w:w="962" w:type="pct"/>
            <w:shd w:val="clear" w:color="auto" w:fill="auto"/>
            <w:noWrap/>
            <w:vAlign w:val="center"/>
          </w:tcPr>
          <w:p w14:paraId="124E70CE" w14:textId="07D760C6" w:rsidR="00227272" w:rsidRPr="00310498" w:rsidRDefault="00227272" w:rsidP="00022017">
            <w:pPr>
              <w:pStyle w:val="Tabletext"/>
              <w:keepNext/>
              <w:jc w:val="center"/>
            </w:pPr>
            <w:r w:rsidRPr="00310498">
              <w:t>$</w:t>
            </w:r>
            <w:r w:rsidR="00864EAF" w:rsidRPr="00864EAF">
              <w:rPr>
                <w:color w:val="000000"/>
                <w:shd w:val="solid" w:color="000000" w:fill="000000"/>
                <w14:textFill>
                  <w14:solidFill>
                    <w14:srgbClr w14:val="000000">
                      <w14:alpha w14:val="100000"/>
                    </w14:srgbClr>
                  </w14:solidFill>
                </w14:textFill>
              </w:rPr>
              <w:t>|</w:t>
            </w:r>
          </w:p>
        </w:tc>
      </w:tr>
      <w:tr w:rsidR="00227272" w:rsidRPr="00310498" w14:paraId="423DE5D0" w14:textId="77777777" w:rsidTr="20A0B79E">
        <w:trPr>
          <w:trHeight w:val="20"/>
        </w:trPr>
        <w:tc>
          <w:tcPr>
            <w:tcW w:w="936" w:type="pct"/>
            <w:vMerge/>
            <w:vAlign w:val="center"/>
            <w:hideMark/>
          </w:tcPr>
          <w:p w14:paraId="4C76CADC" w14:textId="77777777" w:rsidR="00227272" w:rsidRPr="00310498" w:rsidRDefault="00227272" w:rsidP="00022017">
            <w:pPr>
              <w:pStyle w:val="Tabletext"/>
              <w:keepNext/>
            </w:pPr>
          </w:p>
        </w:tc>
        <w:tc>
          <w:tcPr>
            <w:tcW w:w="942" w:type="pct"/>
            <w:shd w:val="clear" w:color="auto" w:fill="auto"/>
            <w:noWrap/>
            <w:vAlign w:val="center"/>
            <w:hideMark/>
          </w:tcPr>
          <w:p w14:paraId="04513A6F" w14:textId="77777777" w:rsidR="00227272" w:rsidRPr="00310498" w:rsidRDefault="00227272" w:rsidP="00022017">
            <w:pPr>
              <w:pStyle w:val="Tabletext"/>
              <w:keepNext/>
              <w:jc w:val="center"/>
            </w:pPr>
            <w:r w:rsidRPr="00310498">
              <w:t>Dostarlimab</w:t>
            </w:r>
          </w:p>
        </w:tc>
        <w:tc>
          <w:tcPr>
            <w:tcW w:w="1185" w:type="pct"/>
            <w:shd w:val="clear" w:color="auto" w:fill="auto"/>
            <w:noWrap/>
            <w:vAlign w:val="center"/>
          </w:tcPr>
          <w:p w14:paraId="3B3B6601" w14:textId="77777777" w:rsidR="00227272" w:rsidRPr="00310498" w:rsidRDefault="00227272" w:rsidP="00022017">
            <w:pPr>
              <w:pStyle w:val="Tabletext"/>
              <w:keepNext/>
              <w:jc w:val="center"/>
            </w:pPr>
            <w:r>
              <w:t>$133,629.19</w:t>
            </w:r>
          </w:p>
        </w:tc>
        <w:tc>
          <w:tcPr>
            <w:tcW w:w="975" w:type="pct"/>
            <w:shd w:val="clear" w:color="auto" w:fill="auto"/>
            <w:noWrap/>
            <w:vAlign w:val="center"/>
          </w:tcPr>
          <w:p w14:paraId="70C4F83F" w14:textId="77777777" w:rsidR="00227272" w:rsidRPr="00310498" w:rsidRDefault="00227272" w:rsidP="00022017">
            <w:pPr>
              <w:pStyle w:val="Tabletext"/>
              <w:keepNext/>
              <w:jc w:val="center"/>
            </w:pPr>
            <w:r w:rsidRPr="00310498">
              <w:t>$2,104.16</w:t>
            </w:r>
          </w:p>
        </w:tc>
        <w:tc>
          <w:tcPr>
            <w:tcW w:w="962" w:type="pct"/>
            <w:shd w:val="clear" w:color="auto" w:fill="auto"/>
            <w:noWrap/>
            <w:vAlign w:val="center"/>
          </w:tcPr>
          <w:p w14:paraId="4F747874" w14:textId="77777777" w:rsidR="00227272" w:rsidRPr="00310498" w:rsidRDefault="00227272" w:rsidP="00022017">
            <w:pPr>
              <w:pStyle w:val="Tabletext"/>
              <w:keepNext/>
              <w:jc w:val="center"/>
            </w:pPr>
            <w:r>
              <w:t>$135,733.34</w:t>
            </w:r>
          </w:p>
        </w:tc>
      </w:tr>
      <w:tr w:rsidR="00227272" w:rsidRPr="00310498" w14:paraId="72CD3063" w14:textId="77777777" w:rsidTr="20A0B79E">
        <w:trPr>
          <w:trHeight w:val="20"/>
        </w:trPr>
        <w:tc>
          <w:tcPr>
            <w:tcW w:w="936" w:type="pct"/>
            <w:vMerge/>
            <w:vAlign w:val="center"/>
            <w:hideMark/>
          </w:tcPr>
          <w:p w14:paraId="5BA63713" w14:textId="77777777" w:rsidR="00227272" w:rsidRPr="00310498" w:rsidRDefault="00227272" w:rsidP="00022017">
            <w:pPr>
              <w:pStyle w:val="Tabletext"/>
              <w:keepNext/>
            </w:pPr>
          </w:p>
        </w:tc>
        <w:tc>
          <w:tcPr>
            <w:tcW w:w="942" w:type="pct"/>
            <w:shd w:val="clear" w:color="auto" w:fill="auto"/>
            <w:noWrap/>
            <w:vAlign w:val="center"/>
            <w:hideMark/>
          </w:tcPr>
          <w:p w14:paraId="129BBDEE" w14:textId="77777777" w:rsidR="00227272" w:rsidRPr="00310498" w:rsidRDefault="00227272" w:rsidP="00022017">
            <w:pPr>
              <w:pStyle w:val="Tabletext"/>
              <w:keepNext/>
              <w:jc w:val="center"/>
            </w:pPr>
            <w:r w:rsidRPr="00310498">
              <w:t>Incremental</w:t>
            </w:r>
          </w:p>
        </w:tc>
        <w:tc>
          <w:tcPr>
            <w:tcW w:w="1185" w:type="pct"/>
            <w:shd w:val="clear" w:color="auto" w:fill="auto"/>
            <w:noWrap/>
            <w:vAlign w:val="center"/>
          </w:tcPr>
          <w:p w14:paraId="7BD207C2" w14:textId="6B02C02D" w:rsidR="00227272" w:rsidRPr="00310498" w:rsidRDefault="00227272" w:rsidP="00022017">
            <w:pPr>
              <w:pStyle w:val="Tabletext"/>
              <w:keepNext/>
              <w:jc w:val="center"/>
            </w:pPr>
            <w:r w:rsidRPr="00310498">
              <w:t>-$</w:t>
            </w:r>
            <w:r w:rsidR="00864EAF" w:rsidRPr="00864EAF">
              <w:rPr>
                <w:color w:val="000000"/>
                <w:shd w:val="solid" w:color="000000" w:fill="000000"/>
                <w14:textFill>
                  <w14:solidFill>
                    <w14:srgbClr w14:val="000000">
                      <w14:alpha w14:val="100000"/>
                    </w14:srgbClr>
                  </w14:solidFill>
                </w14:textFill>
              </w:rPr>
              <w:t>|</w:t>
            </w:r>
          </w:p>
        </w:tc>
        <w:tc>
          <w:tcPr>
            <w:tcW w:w="975" w:type="pct"/>
            <w:shd w:val="clear" w:color="auto" w:fill="auto"/>
            <w:noWrap/>
            <w:vAlign w:val="center"/>
          </w:tcPr>
          <w:p w14:paraId="43809570" w14:textId="77777777" w:rsidR="00227272" w:rsidRPr="00310498" w:rsidRDefault="00227272" w:rsidP="00022017">
            <w:pPr>
              <w:pStyle w:val="Tabletext"/>
              <w:keepNext/>
              <w:jc w:val="center"/>
            </w:pPr>
            <w:r w:rsidRPr="00310498">
              <w:t>$738</w:t>
            </w:r>
          </w:p>
        </w:tc>
        <w:tc>
          <w:tcPr>
            <w:tcW w:w="962" w:type="pct"/>
            <w:shd w:val="clear" w:color="auto" w:fill="auto"/>
            <w:noWrap/>
            <w:vAlign w:val="center"/>
          </w:tcPr>
          <w:p w14:paraId="36F1BC2F" w14:textId="553B2FD6" w:rsidR="00227272" w:rsidRPr="00310498" w:rsidRDefault="00227272" w:rsidP="00022017">
            <w:pPr>
              <w:pStyle w:val="Tabletext"/>
              <w:keepNext/>
              <w:jc w:val="center"/>
            </w:pPr>
            <w:r w:rsidRPr="00310498">
              <w:t>-$</w:t>
            </w:r>
            <w:r w:rsidR="00864EAF" w:rsidRPr="00864EAF">
              <w:rPr>
                <w:color w:val="000000"/>
                <w:shd w:val="solid" w:color="000000" w:fill="000000"/>
                <w14:textFill>
                  <w14:solidFill>
                    <w14:srgbClr w14:val="000000">
                      <w14:alpha w14:val="100000"/>
                    </w14:srgbClr>
                  </w14:solidFill>
                </w14:textFill>
              </w:rPr>
              <w:t>|</w:t>
            </w:r>
          </w:p>
        </w:tc>
      </w:tr>
    </w:tbl>
    <w:p w14:paraId="44C63396" w14:textId="77777777" w:rsidR="00227272" w:rsidRPr="00310498" w:rsidRDefault="00227272" w:rsidP="00227272">
      <w:pPr>
        <w:pStyle w:val="FooterTableFigure"/>
      </w:pPr>
      <w:r w:rsidRPr="00310498">
        <w:t>Source: Table 3.41, p179 of the submission.</w:t>
      </w:r>
    </w:p>
    <w:p w14:paraId="455B6058" w14:textId="3987B9B8" w:rsidR="005F7FB9" w:rsidRPr="00A0075B" w:rsidRDefault="00FE66F1" w:rsidP="00BD5398">
      <w:pPr>
        <w:pStyle w:val="2-SectionHeading"/>
        <w:numPr>
          <w:ilvl w:val="0"/>
          <w:numId w:val="0"/>
        </w:numPr>
        <w:outlineLvl w:val="2"/>
        <w:rPr>
          <w:b w:val="0"/>
          <w:u w:val="single"/>
        </w:rPr>
      </w:pPr>
      <w:r w:rsidRPr="00A0075B">
        <w:rPr>
          <w:rFonts w:eastAsiaTheme="minorHAnsi" w:cstheme="minorBidi"/>
          <w:b w:val="0"/>
          <w:snapToGrid/>
          <w:sz w:val="24"/>
          <w:szCs w:val="22"/>
          <w:u w:val="single"/>
        </w:rPr>
        <w:t xml:space="preserve">CUA versus </w:t>
      </w:r>
      <w:r w:rsidR="00315692" w:rsidRPr="00A0075B">
        <w:rPr>
          <w:rFonts w:eastAsiaTheme="minorHAnsi" w:cstheme="minorBidi"/>
          <w:b w:val="0"/>
          <w:snapToGrid/>
          <w:sz w:val="24"/>
          <w:szCs w:val="22"/>
          <w:u w:val="single"/>
        </w:rPr>
        <w:t>PC alone (pMMR)</w:t>
      </w:r>
      <w:bookmarkEnd w:id="64"/>
    </w:p>
    <w:p w14:paraId="4B13EEFC" w14:textId="794193DC" w:rsidR="00485DF5" w:rsidRPr="00310498" w:rsidRDefault="00485DF5" w:rsidP="00485DF5">
      <w:pPr>
        <w:pStyle w:val="3-BodyText"/>
      </w:pPr>
      <w:r w:rsidRPr="00310498">
        <w:t xml:space="preserve">The submission presented a stepped economic evaluation for patients with advanced, metastatic or recurrent pMMR EC to compare durvalumab + PC + olaparib vs PC based </w:t>
      </w:r>
      <w:r w:rsidRPr="00310498">
        <w:lastRenderedPageBreak/>
        <w:t>on the DUO-E trial. The type of economic evaluation presented was a cost-utility analysis</w:t>
      </w:r>
      <w:r w:rsidR="00586117" w:rsidRPr="00310498">
        <w:t xml:space="preserve"> (CUA)</w:t>
      </w:r>
      <w:r w:rsidRPr="00310498">
        <w:t>.</w:t>
      </w:r>
      <w:r w:rsidR="001E3FDA">
        <w:t xml:space="preserve"> </w:t>
      </w:r>
      <w:r w:rsidR="00742841" w:rsidRPr="7EE24840">
        <w:rPr>
          <w:color w:val="000000" w:themeColor="text1"/>
        </w:rPr>
        <w:t>|</w:t>
      </w:r>
      <w:r w:rsidR="00742841">
        <w:t xml:space="preserve"> </w:t>
      </w:r>
      <w:r w:rsidR="00742841" w:rsidRPr="7EE24840">
        <w:rPr>
          <w:color w:val="000000" w:themeColor="text1"/>
        </w:rPr>
        <w:t>|</w:t>
      </w:r>
      <w:r w:rsidR="00742841">
        <w:t xml:space="preserve"> </w:t>
      </w:r>
      <w:r w:rsidR="00742841" w:rsidRPr="7EE24840">
        <w:rPr>
          <w:color w:val="000000" w:themeColor="text1"/>
        </w:rPr>
        <w:t>|</w:t>
      </w:r>
      <w:r w:rsidR="00742841">
        <w:t xml:space="preserve"> </w:t>
      </w:r>
      <w:r w:rsidR="00742841" w:rsidRPr="7EE24840">
        <w:rPr>
          <w:color w:val="000000" w:themeColor="text1"/>
        </w:rPr>
        <w:t>|</w:t>
      </w:r>
      <w:r w:rsidR="00742841">
        <w:t xml:space="preserve"> </w:t>
      </w:r>
      <w:r w:rsidR="00742841" w:rsidRPr="7EE24840">
        <w:rPr>
          <w:color w:val="000000" w:themeColor="text1"/>
        </w:rPr>
        <w:t>|</w:t>
      </w:r>
      <w:r w:rsidR="00AB29BE" w:rsidRPr="00310498">
        <w:t>.</w:t>
      </w:r>
      <w:r w:rsidR="001E3FDA" w:rsidRPr="00310498">
        <w:t xml:space="preserve"> </w:t>
      </w:r>
      <w:bookmarkStart w:id="70" w:name="_Ref196732794"/>
      <w:r w:rsidR="001E3FDA">
        <w:rPr>
          <w:rStyle w:val="FootnoteReference"/>
        </w:rPr>
        <w:footnoteReference w:id="9"/>
      </w:r>
      <w:bookmarkEnd w:id="70"/>
    </w:p>
    <w:p w14:paraId="56C40DB1" w14:textId="26715573" w:rsidR="00485DF5" w:rsidRPr="00310498" w:rsidRDefault="006E5498" w:rsidP="00F267A0">
      <w:pPr>
        <w:pStyle w:val="Caption"/>
        <w:rPr>
          <w:rStyle w:val="CommentReference"/>
          <w:b/>
          <w:szCs w:val="24"/>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A27FA9" w:rsidRPr="00A27FA9">
        <w:rPr>
          <w:rStyle w:val="CommentReference"/>
          <w:b/>
          <w:szCs w:val="24"/>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006A2F0E">
        <w:rPr>
          <w:rStyle w:val="CommentReference"/>
          <w:b/>
          <w:szCs w:val="24"/>
          <w:vertAlign w:val="superscript"/>
        </w:rPr>
        <w:fldChar w:fldCharType="begin" w:fldLock="1"/>
      </w:r>
      <w:r w:rsidR="006A2F0E">
        <w:rPr>
          <w:rStyle w:val="CommentReference"/>
          <w:b/>
          <w:szCs w:val="24"/>
          <w:vertAlign w:val="superscript"/>
        </w:rPr>
        <w:instrText xml:space="preserve"> NOTEREF _Ref196732794 \h </w:instrText>
      </w:r>
      <w:r w:rsidR="006A2F0E">
        <w:rPr>
          <w:rStyle w:val="CommentReference"/>
          <w:b/>
          <w:szCs w:val="24"/>
          <w:vertAlign w:val="superscript"/>
        </w:rPr>
      </w:r>
      <w:r w:rsidR="006A2F0E">
        <w:rPr>
          <w:rStyle w:val="CommentReference"/>
          <w:b/>
          <w:szCs w:val="24"/>
          <w:vertAlign w:val="superscript"/>
        </w:rPr>
        <w:fldChar w:fldCharType="separate"/>
      </w:r>
      <w:r w:rsidR="006A2F0E">
        <w:rPr>
          <w:rStyle w:val="CommentReference"/>
          <w:b/>
          <w:szCs w:val="24"/>
          <w:vertAlign w:val="superscript"/>
        </w:rPr>
        <w:t>8</w:t>
      </w:r>
      <w:r w:rsidR="006A2F0E">
        <w:rPr>
          <w:rStyle w:val="CommentReference"/>
          <w:b/>
          <w:szCs w:val="24"/>
          <w:vertAlign w:val="superscript"/>
        </w:rPr>
        <w:fldChar w:fldCharType="end"/>
      </w:r>
    </w:p>
    <w:tbl>
      <w:tblPr>
        <w:tblStyle w:val="AZTable"/>
        <w:tblW w:w="5000" w:type="pct"/>
        <w:tblLayout w:type="fixed"/>
        <w:tblLook w:val="04A0" w:firstRow="1" w:lastRow="0" w:firstColumn="1" w:lastColumn="0" w:noHBand="0" w:noVBand="1"/>
      </w:tblPr>
      <w:tblGrid>
        <w:gridCol w:w="1555"/>
        <w:gridCol w:w="2268"/>
        <w:gridCol w:w="5217"/>
      </w:tblGrid>
      <w:tr w:rsidR="00485DF5" w:rsidRPr="00310498" w14:paraId="4855077A" w14:textId="77777777" w:rsidTr="00D8719F">
        <w:trPr>
          <w:cnfStyle w:val="100000000000" w:firstRow="1" w:lastRow="0" w:firstColumn="0" w:lastColumn="0" w:oddVBand="0" w:evenVBand="0" w:oddHBand="0" w:evenHBand="0" w:firstRowFirstColumn="0" w:firstRowLastColumn="0" w:lastRowFirstColumn="0" w:lastRowLastColumn="0"/>
          <w:tblHeader/>
        </w:trPr>
        <w:tc>
          <w:tcPr>
            <w:tcW w:w="1555" w:type="dxa"/>
            <w:shd w:val="clear" w:color="auto" w:fill="auto"/>
            <w:tcMar>
              <w:left w:w="20" w:type="dxa"/>
              <w:right w:w="20" w:type="dxa"/>
            </w:tcMar>
          </w:tcPr>
          <w:p w14:paraId="3A4E1877" w14:textId="61117BBE" w:rsidR="00485DF5" w:rsidRPr="00FE32D4" w:rsidRDefault="00750261" w:rsidP="00F267A0">
            <w:pPr>
              <w:pStyle w:val="In-tableHeading"/>
              <w:rPr>
                <w:sz w:val="20"/>
                <w:szCs w:val="20"/>
                <w:highlight w:val="darkGray"/>
                <w:lang w:val="en-AU" w:eastAsia="en-AU"/>
              </w:rPr>
            </w:pPr>
            <w:r w:rsidRPr="00750261">
              <w:rPr>
                <w:sz w:val="20"/>
                <w:szCs w:val="20"/>
                <w:lang w:val="en-AU" w:eastAsia="en-AU"/>
              </w:rPr>
              <w:t>|</w:t>
            </w:r>
            <w:r w:rsidR="00A27FA9" w:rsidRPr="00A27FA9">
              <w:rPr>
                <w:sz w:val="20"/>
                <w:szCs w:val="20"/>
                <w:lang w:val="en-AU" w:eastAsia="en-AU"/>
              </w:rPr>
              <w:t xml:space="preserve"> </w:t>
            </w:r>
          </w:p>
        </w:tc>
        <w:tc>
          <w:tcPr>
            <w:tcW w:w="2268" w:type="dxa"/>
            <w:shd w:val="clear" w:color="auto" w:fill="auto"/>
            <w:tcMar>
              <w:left w:w="20" w:type="dxa"/>
              <w:right w:w="20" w:type="dxa"/>
            </w:tcMar>
          </w:tcPr>
          <w:p w14:paraId="610D6CEA" w14:textId="607BEFFD" w:rsidR="00485DF5" w:rsidRPr="00FE32D4" w:rsidRDefault="00750261" w:rsidP="00F267A0">
            <w:pPr>
              <w:pStyle w:val="In-tableHeading"/>
              <w:rPr>
                <w:sz w:val="20"/>
                <w:szCs w:val="20"/>
                <w:highlight w:val="darkGray"/>
                <w:lang w:val="en-AU" w:eastAsia="en-AU"/>
              </w:rPr>
            </w:pPr>
            <w:r w:rsidRPr="00750261">
              <w:rPr>
                <w:sz w:val="20"/>
                <w:szCs w:val="20"/>
                <w:lang w:val="en-AU" w:eastAsia="en-AU"/>
              </w:rPr>
              <w:t>|</w:t>
            </w:r>
            <w:r w:rsidRPr="00A27FA9">
              <w:rPr>
                <w:sz w:val="20"/>
                <w:szCs w:val="20"/>
                <w:lang w:val="en-AU" w:eastAsia="en-AU"/>
              </w:rPr>
              <w:t xml:space="preserve"> </w:t>
            </w:r>
          </w:p>
        </w:tc>
        <w:tc>
          <w:tcPr>
            <w:tcW w:w="5217" w:type="dxa"/>
            <w:tcMar>
              <w:left w:w="20" w:type="dxa"/>
              <w:right w:w="20" w:type="dxa"/>
            </w:tcMar>
          </w:tcPr>
          <w:p w14:paraId="5B18251F" w14:textId="66801950" w:rsidR="00485DF5" w:rsidRPr="00FE32D4" w:rsidRDefault="00750261" w:rsidP="00F267A0">
            <w:pPr>
              <w:pStyle w:val="In-tableHeading"/>
              <w:rPr>
                <w:sz w:val="20"/>
                <w:szCs w:val="20"/>
                <w:highlight w:val="darkGray"/>
                <w:lang w:val="en-AU"/>
              </w:rPr>
            </w:pPr>
            <w:r w:rsidRPr="00750261">
              <w:rPr>
                <w:sz w:val="20"/>
                <w:szCs w:val="20"/>
                <w:lang w:val="en-AU" w:eastAsia="en-AU"/>
              </w:rPr>
              <w:t>|</w:t>
            </w:r>
            <w:r>
              <w:rPr>
                <w:sz w:val="20"/>
                <w:szCs w:val="20"/>
                <w:lang w:val="en-AU" w:eastAsia="en-AU"/>
              </w:rPr>
              <w:t xml:space="preserve"> </w:t>
            </w:r>
          </w:p>
        </w:tc>
      </w:tr>
      <w:tr w:rsidR="00485DF5" w:rsidRPr="00310498" w14:paraId="3E56AC19" w14:textId="77777777" w:rsidTr="00D8719F">
        <w:tc>
          <w:tcPr>
            <w:tcW w:w="1555" w:type="dxa"/>
            <w:tcMar>
              <w:left w:w="20" w:type="dxa"/>
              <w:right w:w="20" w:type="dxa"/>
            </w:tcMar>
            <w:vAlign w:val="center"/>
          </w:tcPr>
          <w:p w14:paraId="010CBEC6" w14:textId="21FEB548" w:rsidR="00485DF5" w:rsidRPr="00FE32D4" w:rsidRDefault="00750261" w:rsidP="00F267A0">
            <w:pPr>
              <w:pStyle w:val="Tabletext"/>
              <w:keepNext/>
              <w:rPr>
                <w:highlight w:val="darkGray"/>
              </w:rPr>
            </w:pPr>
            <w:r w:rsidRPr="00750261">
              <w:t>|</w:t>
            </w:r>
            <w:r>
              <w:t xml:space="preserve"> </w:t>
            </w:r>
            <w:r w:rsidRPr="00750261">
              <w:t>|</w:t>
            </w:r>
          </w:p>
        </w:tc>
        <w:tc>
          <w:tcPr>
            <w:tcW w:w="2268" w:type="dxa"/>
            <w:tcMar>
              <w:left w:w="20" w:type="dxa"/>
              <w:right w:w="20" w:type="dxa"/>
            </w:tcMar>
            <w:vAlign w:val="center"/>
          </w:tcPr>
          <w:p w14:paraId="506F2191" w14:textId="77777777" w:rsidR="00750261" w:rsidRDefault="00750261" w:rsidP="00F267A0">
            <w:pPr>
              <w:pStyle w:val="Tabletext"/>
              <w:keepNext/>
              <w:rPr>
                <w:color w:val="000000" w:themeColor="text1"/>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p w14:paraId="3DD9FB5F" w14:textId="585BAFAB" w:rsidR="00485DF5" w:rsidRPr="00FE32D4" w:rsidRDefault="00750261" w:rsidP="00F267A0">
            <w:pPr>
              <w:pStyle w:val="Tabletext"/>
              <w:keepNext/>
              <w:rPr>
                <w:highlight w:val="darkGray"/>
              </w:rPr>
            </w:pPr>
            <w:r>
              <w:t xml:space="preserve"> </w:t>
            </w:r>
            <w:r w:rsidRPr="7EE24840">
              <w:rPr>
                <w:color w:val="000000" w:themeColor="text1"/>
              </w:rPr>
              <w:t>|</w:t>
            </w:r>
            <w:r>
              <w:t xml:space="preserve"> </w:t>
            </w:r>
            <w:r w:rsidRPr="7EE24840">
              <w:rPr>
                <w:color w:val="000000" w:themeColor="text1"/>
              </w:rPr>
              <w:t>|</w:t>
            </w:r>
          </w:p>
        </w:tc>
        <w:tc>
          <w:tcPr>
            <w:tcW w:w="5217" w:type="dxa"/>
            <w:tcMar>
              <w:left w:w="20" w:type="dxa"/>
              <w:right w:w="20" w:type="dxa"/>
            </w:tcMar>
            <w:vAlign w:val="center"/>
          </w:tcPr>
          <w:p w14:paraId="6E8D5083" w14:textId="75896355" w:rsidR="00485DF5" w:rsidRPr="00FE32D4" w:rsidRDefault="00750261" w:rsidP="00F267A0">
            <w:pPr>
              <w:pStyle w:val="Tabletext"/>
              <w:keepNext/>
              <w:rPr>
                <w:highlight w:val="darkGray"/>
              </w:rPr>
            </w:pPr>
            <w:r w:rsidRPr="00750261">
              <w:t>|</w:t>
            </w:r>
            <w:r>
              <w:t xml:space="preserve"> </w:t>
            </w:r>
          </w:p>
        </w:tc>
      </w:tr>
      <w:tr w:rsidR="00485DF5" w:rsidRPr="00310498" w14:paraId="19108297" w14:textId="77777777" w:rsidTr="00D8719F">
        <w:tc>
          <w:tcPr>
            <w:tcW w:w="1555" w:type="dxa"/>
            <w:tcMar>
              <w:left w:w="20" w:type="dxa"/>
              <w:right w:w="20" w:type="dxa"/>
            </w:tcMar>
            <w:vAlign w:val="center"/>
          </w:tcPr>
          <w:p w14:paraId="1E151453" w14:textId="406C7BCE" w:rsidR="00485DF5" w:rsidRPr="00FE32D4" w:rsidRDefault="00750261" w:rsidP="00F267A0">
            <w:pPr>
              <w:pStyle w:val="Tabletext"/>
              <w:keepNext/>
              <w:rPr>
                <w:highlight w:val="darkGray"/>
              </w:rPr>
            </w:pPr>
            <w:r w:rsidRPr="00750261">
              <w:t>|</w:t>
            </w:r>
            <w:r>
              <w:t xml:space="preserve"> </w:t>
            </w:r>
            <w:r w:rsidRPr="00750261">
              <w:t>|</w:t>
            </w:r>
            <w:r>
              <w:t xml:space="preserve"> </w:t>
            </w:r>
            <w:r w:rsidRPr="00750261">
              <w:t>|</w:t>
            </w:r>
          </w:p>
        </w:tc>
        <w:tc>
          <w:tcPr>
            <w:tcW w:w="2268" w:type="dxa"/>
            <w:tcMar>
              <w:left w:w="20" w:type="dxa"/>
              <w:right w:w="20" w:type="dxa"/>
            </w:tcMar>
            <w:vAlign w:val="center"/>
          </w:tcPr>
          <w:p w14:paraId="29B97471" w14:textId="3845AE1A" w:rsidR="00485DF5" w:rsidRPr="00FE32D4" w:rsidRDefault="00750261" w:rsidP="00F267A0">
            <w:pPr>
              <w:pStyle w:val="Tabletext"/>
              <w:keepNext/>
              <w:rPr>
                <w:highlight w:val="darkGray"/>
              </w:rPr>
            </w:pPr>
            <w:r w:rsidRPr="00750261">
              <w:t>|</w:t>
            </w:r>
          </w:p>
        </w:tc>
        <w:tc>
          <w:tcPr>
            <w:tcW w:w="5217" w:type="dxa"/>
            <w:tcMar>
              <w:left w:w="20" w:type="dxa"/>
              <w:right w:w="20" w:type="dxa"/>
            </w:tcMar>
            <w:vAlign w:val="center"/>
          </w:tcPr>
          <w:p w14:paraId="4AB4E70C" w14:textId="6442F6C3" w:rsidR="00485DF5" w:rsidRPr="00FE32D4" w:rsidRDefault="003F1222" w:rsidP="00F267A0">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50261">
              <w:rPr>
                <w:color w:val="000000" w:themeColor="text1"/>
              </w:rPr>
              <w:t xml:space="preserve"> </w:t>
            </w:r>
            <w:r w:rsidR="00750261" w:rsidRPr="00750261">
              <w:t>|</w:t>
            </w:r>
          </w:p>
        </w:tc>
      </w:tr>
      <w:tr w:rsidR="00485DF5" w:rsidRPr="00310498" w14:paraId="3CA25162" w14:textId="77777777" w:rsidTr="00D8719F">
        <w:tc>
          <w:tcPr>
            <w:tcW w:w="1555" w:type="dxa"/>
            <w:tcMar>
              <w:left w:w="20" w:type="dxa"/>
              <w:right w:w="20" w:type="dxa"/>
            </w:tcMar>
            <w:vAlign w:val="center"/>
          </w:tcPr>
          <w:p w14:paraId="296E9C6B" w14:textId="746D47EB" w:rsidR="00485DF5" w:rsidRPr="00FE32D4" w:rsidRDefault="00750261" w:rsidP="00F267A0">
            <w:pPr>
              <w:pStyle w:val="Tabletext"/>
              <w:keepNext/>
              <w:rPr>
                <w:highlight w:val="darkGray"/>
              </w:rPr>
            </w:pPr>
            <w:r w:rsidRPr="00750261">
              <w:t>|</w:t>
            </w:r>
          </w:p>
        </w:tc>
        <w:tc>
          <w:tcPr>
            <w:tcW w:w="2268" w:type="dxa"/>
            <w:tcMar>
              <w:left w:w="20" w:type="dxa"/>
              <w:right w:w="20" w:type="dxa"/>
            </w:tcMar>
            <w:vAlign w:val="center"/>
          </w:tcPr>
          <w:p w14:paraId="13738C3E" w14:textId="4237B1B1" w:rsidR="00485DF5" w:rsidRPr="00FE32D4" w:rsidRDefault="007D7637" w:rsidP="00F267A0">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5217" w:type="dxa"/>
            <w:tcMar>
              <w:left w:w="20" w:type="dxa"/>
              <w:right w:w="20" w:type="dxa"/>
            </w:tcMar>
            <w:vAlign w:val="center"/>
          </w:tcPr>
          <w:p w14:paraId="52D7D20E" w14:textId="6D74508A" w:rsidR="00485DF5" w:rsidRPr="00FE32D4" w:rsidRDefault="00750261" w:rsidP="00F267A0">
            <w:pPr>
              <w:pStyle w:val="Tabletext"/>
              <w:keepNext/>
              <w:rPr>
                <w:highlight w:val="darkGray"/>
              </w:rPr>
            </w:pPr>
            <w:r w:rsidRPr="00750261">
              <w:t>|</w:t>
            </w:r>
          </w:p>
        </w:tc>
      </w:tr>
      <w:tr w:rsidR="00485DF5" w:rsidRPr="00310498" w14:paraId="44F112EC" w14:textId="77777777" w:rsidTr="00D8719F">
        <w:tc>
          <w:tcPr>
            <w:tcW w:w="1555" w:type="dxa"/>
            <w:tcMar>
              <w:left w:w="20" w:type="dxa"/>
              <w:right w:w="20" w:type="dxa"/>
            </w:tcMar>
            <w:vAlign w:val="center"/>
          </w:tcPr>
          <w:p w14:paraId="3A18DE77" w14:textId="068EC6CA" w:rsidR="00485DF5" w:rsidRPr="00FE32D4" w:rsidRDefault="00750261" w:rsidP="00F267A0">
            <w:pPr>
              <w:pStyle w:val="Tabletext"/>
              <w:keepNext/>
              <w:rPr>
                <w:highlight w:val="darkGray"/>
              </w:rPr>
            </w:pPr>
            <w:r w:rsidRPr="00750261">
              <w:t>|</w:t>
            </w:r>
            <w:r>
              <w:t xml:space="preserve"> </w:t>
            </w:r>
            <w:r w:rsidRPr="00750261">
              <w:t>|</w:t>
            </w:r>
          </w:p>
        </w:tc>
        <w:tc>
          <w:tcPr>
            <w:tcW w:w="2268" w:type="dxa"/>
            <w:tcMar>
              <w:left w:w="20" w:type="dxa"/>
              <w:right w:w="20" w:type="dxa"/>
            </w:tcMar>
            <w:vAlign w:val="center"/>
          </w:tcPr>
          <w:p w14:paraId="671B481B" w14:textId="02547F0E" w:rsidR="00485DF5" w:rsidRPr="00FE32D4" w:rsidRDefault="00750261" w:rsidP="00F267A0">
            <w:pPr>
              <w:pStyle w:val="Tabletext"/>
              <w:keepNext/>
              <w:rPr>
                <w:highlight w:val="darkGray"/>
              </w:rPr>
            </w:pPr>
            <w:r w:rsidRPr="00750261">
              <w:t>|</w:t>
            </w:r>
            <w:r>
              <w:t xml:space="preserve"> </w:t>
            </w:r>
            <w:r w:rsidRPr="00750261">
              <w:t>|</w:t>
            </w:r>
          </w:p>
        </w:tc>
        <w:tc>
          <w:tcPr>
            <w:tcW w:w="5217" w:type="dxa"/>
            <w:tcMar>
              <w:left w:w="20" w:type="dxa"/>
              <w:right w:w="20" w:type="dxa"/>
            </w:tcMar>
            <w:vAlign w:val="center"/>
          </w:tcPr>
          <w:p w14:paraId="1CAA1B96" w14:textId="65E31FE8" w:rsidR="00485DF5" w:rsidRPr="00FE32D4" w:rsidRDefault="006E5498" w:rsidP="00F267A0">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D7637">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r>
      <w:tr w:rsidR="00485DF5" w:rsidRPr="00310498" w14:paraId="4FF6DC06" w14:textId="77777777" w:rsidTr="00D8719F">
        <w:tc>
          <w:tcPr>
            <w:tcW w:w="1555" w:type="dxa"/>
            <w:tcMar>
              <w:left w:w="20" w:type="dxa"/>
              <w:right w:w="20" w:type="dxa"/>
            </w:tcMar>
            <w:vAlign w:val="center"/>
          </w:tcPr>
          <w:p w14:paraId="6F6FC1DF" w14:textId="7E24A307" w:rsidR="00485DF5" w:rsidRPr="00FE32D4" w:rsidRDefault="007D7637" w:rsidP="00F267A0">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2268" w:type="dxa"/>
            <w:tcMar>
              <w:left w:w="20" w:type="dxa"/>
              <w:right w:w="20" w:type="dxa"/>
            </w:tcMar>
            <w:vAlign w:val="center"/>
          </w:tcPr>
          <w:p w14:paraId="2D6D758F" w14:textId="68C46882" w:rsidR="00485DF5" w:rsidRPr="00FE32D4" w:rsidRDefault="00750261" w:rsidP="00F267A0">
            <w:pPr>
              <w:pStyle w:val="Tabletext"/>
              <w:keepNext/>
              <w:rPr>
                <w:highlight w:val="darkGray"/>
              </w:rPr>
            </w:pPr>
            <w:r w:rsidRPr="00750261">
              <w:t>|</w:t>
            </w:r>
            <w:r>
              <w:t xml:space="preserve"> </w:t>
            </w:r>
            <w:r w:rsidRPr="00750261">
              <w:t>|</w:t>
            </w:r>
            <w:r>
              <w:t xml:space="preserve"> </w:t>
            </w:r>
            <w:r w:rsidRPr="00750261">
              <w:t>|</w:t>
            </w:r>
            <w:r>
              <w:t xml:space="preserve"> </w:t>
            </w:r>
          </w:p>
        </w:tc>
        <w:tc>
          <w:tcPr>
            <w:tcW w:w="5217" w:type="dxa"/>
            <w:tcMar>
              <w:left w:w="20" w:type="dxa"/>
              <w:right w:w="20" w:type="dxa"/>
            </w:tcMar>
            <w:vAlign w:val="center"/>
          </w:tcPr>
          <w:p w14:paraId="5B43B801" w14:textId="192D83FF" w:rsidR="00485DF5" w:rsidRPr="00FE32D4" w:rsidRDefault="00750261" w:rsidP="00F267A0">
            <w:pPr>
              <w:pStyle w:val="Tabletext"/>
              <w:keepNext/>
              <w:rPr>
                <w:highlight w:val="darkGray"/>
              </w:rPr>
            </w:pPr>
            <w:r w:rsidRPr="00750261">
              <w:t>|</w:t>
            </w:r>
          </w:p>
        </w:tc>
      </w:tr>
      <w:tr w:rsidR="00485DF5" w:rsidRPr="00310498" w14:paraId="0C62A4F9" w14:textId="77777777" w:rsidTr="00D8719F">
        <w:tc>
          <w:tcPr>
            <w:tcW w:w="1555" w:type="dxa"/>
            <w:tcMar>
              <w:left w:w="20" w:type="dxa"/>
              <w:right w:w="20" w:type="dxa"/>
            </w:tcMar>
            <w:vAlign w:val="center"/>
          </w:tcPr>
          <w:p w14:paraId="4C63ADF7" w14:textId="33F74B7B" w:rsidR="00485DF5" w:rsidRPr="00FE32D4" w:rsidRDefault="00750261" w:rsidP="00F267A0">
            <w:pPr>
              <w:pStyle w:val="Tabletext"/>
              <w:keepNext/>
              <w:rPr>
                <w:highlight w:val="darkGray"/>
              </w:rPr>
            </w:pPr>
            <w:r w:rsidRPr="00750261">
              <w:t>|</w:t>
            </w:r>
            <w:r>
              <w:t xml:space="preserve"> </w:t>
            </w:r>
            <w:r w:rsidRPr="00750261">
              <w:t>|</w:t>
            </w:r>
          </w:p>
        </w:tc>
        <w:tc>
          <w:tcPr>
            <w:tcW w:w="2268" w:type="dxa"/>
            <w:tcMar>
              <w:left w:w="20" w:type="dxa"/>
              <w:right w:w="20" w:type="dxa"/>
            </w:tcMar>
            <w:vAlign w:val="center"/>
          </w:tcPr>
          <w:p w14:paraId="2715CA21" w14:textId="6DA89ED3" w:rsidR="00485DF5" w:rsidRPr="00FE32D4" w:rsidRDefault="007D7637" w:rsidP="00F267A0">
            <w:pPr>
              <w:pStyle w:val="Tabletext"/>
              <w:keepNext/>
              <w:rPr>
                <w:highlight w:val="darkGray"/>
              </w:rPr>
            </w:pP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5217" w:type="dxa"/>
            <w:tcMar>
              <w:left w:w="20" w:type="dxa"/>
              <w:right w:w="20" w:type="dxa"/>
            </w:tcMar>
            <w:vAlign w:val="center"/>
          </w:tcPr>
          <w:p w14:paraId="09F80EF6" w14:textId="273D8185" w:rsidR="00485DF5" w:rsidRPr="00FE32D4" w:rsidRDefault="00750261" w:rsidP="00F267A0">
            <w:pPr>
              <w:pStyle w:val="Tabletext"/>
              <w:keepNext/>
              <w:rPr>
                <w:highlight w:val="darkGray"/>
              </w:rPr>
            </w:pPr>
            <w:r w:rsidRPr="00750261">
              <w:t>|</w:t>
            </w:r>
          </w:p>
        </w:tc>
      </w:tr>
      <w:tr w:rsidR="00485DF5" w:rsidRPr="00310498" w14:paraId="4F4A64D1" w14:textId="77777777" w:rsidTr="00D8719F">
        <w:tc>
          <w:tcPr>
            <w:tcW w:w="1555" w:type="dxa"/>
            <w:tcMar>
              <w:left w:w="20" w:type="dxa"/>
              <w:right w:w="20" w:type="dxa"/>
            </w:tcMar>
            <w:vAlign w:val="center"/>
          </w:tcPr>
          <w:p w14:paraId="3F5FA160" w14:textId="68990CED" w:rsidR="00485DF5" w:rsidRPr="00FE32D4" w:rsidRDefault="00750261" w:rsidP="00F267A0">
            <w:pPr>
              <w:pStyle w:val="Tabletext"/>
              <w:keepNext/>
              <w:rPr>
                <w:highlight w:val="darkGray"/>
              </w:rPr>
            </w:pPr>
            <w:r w:rsidRPr="00750261">
              <w:t>|</w:t>
            </w:r>
            <w:r>
              <w:t xml:space="preserve"> </w:t>
            </w:r>
            <w:r w:rsidRPr="00750261">
              <w:t>|</w:t>
            </w:r>
          </w:p>
        </w:tc>
        <w:tc>
          <w:tcPr>
            <w:tcW w:w="2268" w:type="dxa"/>
            <w:tcMar>
              <w:left w:w="20" w:type="dxa"/>
              <w:right w:w="20" w:type="dxa"/>
            </w:tcMar>
            <w:vAlign w:val="center"/>
          </w:tcPr>
          <w:p w14:paraId="52BEAD33" w14:textId="20E7DEA1" w:rsidR="00485DF5" w:rsidRPr="00FE32D4" w:rsidRDefault="00750261" w:rsidP="00F267A0">
            <w:pPr>
              <w:pStyle w:val="Tabletext"/>
              <w:keepNext/>
              <w:rPr>
                <w:highlight w:val="darkGray"/>
              </w:rPr>
            </w:pPr>
            <w:r w:rsidRPr="00750261">
              <w:t>|</w:t>
            </w:r>
          </w:p>
        </w:tc>
        <w:tc>
          <w:tcPr>
            <w:tcW w:w="5217" w:type="dxa"/>
            <w:tcMar>
              <w:left w:w="20" w:type="dxa"/>
              <w:right w:w="20" w:type="dxa"/>
            </w:tcMar>
            <w:vAlign w:val="center"/>
          </w:tcPr>
          <w:p w14:paraId="780768BF" w14:textId="08BDEE6D" w:rsidR="00485DF5" w:rsidRPr="00FE32D4" w:rsidRDefault="007D7637" w:rsidP="00F267A0">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r>
      <w:tr w:rsidR="00485DF5" w:rsidRPr="00310498" w14:paraId="75A976AF" w14:textId="77777777" w:rsidTr="00D8719F">
        <w:tc>
          <w:tcPr>
            <w:tcW w:w="1555" w:type="dxa"/>
            <w:tcMar>
              <w:left w:w="20" w:type="dxa"/>
              <w:right w:w="20" w:type="dxa"/>
            </w:tcMar>
            <w:vAlign w:val="center"/>
          </w:tcPr>
          <w:p w14:paraId="740A8276" w14:textId="1E07EA0A" w:rsidR="00485DF5" w:rsidRPr="00FE32D4" w:rsidRDefault="00750261" w:rsidP="00F267A0">
            <w:pPr>
              <w:pStyle w:val="Tabletext"/>
              <w:keepNext/>
              <w:rPr>
                <w:highlight w:val="darkGray"/>
              </w:rPr>
            </w:pPr>
            <w:r w:rsidRPr="00750261">
              <w:t>|</w:t>
            </w:r>
            <w:r>
              <w:t xml:space="preserve"> </w:t>
            </w:r>
            <w:r w:rsidRPr="00750261">
              <w:t>|</w:t>
            </w:r>
          </w:p>
        </w:tc>
        <w:tc>
          <w:tcPr>
            <w:tcW w:w="2268" w:type="dxa"/>
            <w:tcMar>
              <w:left w:w="20" w:type="dxa"/>
              <w:right w:w="20" w:type="dxa"/>
            </w:tcMar>
            <w:vAlign w:val="center"/>
          </w:tcPr>
          <w:p w14:paraId="0149D9CF" w14:textId="522B3F37" w:rsidR="00A27FA9" w:rsidRPr="00A27FA9" w:rsidRDefault="00C11DD6" w:rsidP="00F267A0">
            <w:pPr>
              <w:pStyle w:val="Tabletext"/>
              <w:keepN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A27FA9" w:rsidRPr="00A27FA9">
              <w:t xml:space="preserve"> </w:t>
            </w:r>
          </w:p>
          <w:p w14:paraId="5B8975FA" w14:textId="7AE09D84" w:rsidR="00485DF5" w:rsidRPr="00FE32D4" w:rsidRDefault="00C11DD6" w:rsidP="00F267A0">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5217" w:type="dxa"/>
            <w:tcMar>
              <w:left w:w="20" w:type="dxa"/>
              <w:right w:w="20" w:type="dxa"/>
            </w:tcMar>
            <w:vAlign w:val="center"/>
          </w:tcPr>
          <w:p w14:paraId="390B6C3D" w14:textId="64829D74" w:rsidR="00A27FA9" w:rsidRPr="00A27FA9" w:rsidRDefault="003F1222" w:rsidP="00F267A0">
            <w:pPr>
              <w:pStyle w:val="Tabletext"/>
              <w:keepN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511A367F" w14:textId="563F3A7E" w:rsidR="00485DF5" w:rsidRPr="00FE32D4" w:rsidRDefault="003F1222" w:rsidP="00F267A0">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r>
      <w:tr w:rsidR="00485DF5" w:rsidRPr="00310498" w14:paraId="31F70BAC" w14:textId="77777777" w:rsidTr="00D8719F">
        <w:tc>
          <w:tcPr>
            <w:tcW w:w="1555" w:type="dxa"/>
            <w:tcMar>
              <w:left w:w="20" w:type="dxa"/>
              <w:right w:w="20" w:type="dxa"/>
            </w:tcMar>
            <w:vAlign w:val="center"/>
          </w:tcPr>
          <w:p w14:paraId="013AFB88" w14:textId="11996DC7" w:rsidR="00485DF5" w:rsidRPr="00FE32D4" w:rsidRDefault="00750261" w:rsidP="00F267A0">
            <w:pPr>
              <w:pStyle w:val="Tabletext"/>
              <w:keepNext/>
              <w:rPr>
                <w:highlight w:val="darkGray"/>
              </w:rPr>
            </w:pPr>
            <w:r w:rsidRPr="00750261">
              <w:t>|</w:t>
            </w:r>
            <w:r>
              <w:t xml:space="preserve"> </w:t>
            </w:r>
            <w:r w:rsidRPr="00750261">
              <w:t>|</w:t>
            </w:r>
          </w:p>
        </w:tc>
        <w:tc>
          <w:tcPr>
            <w:tcW w:w="2268" w:type="dxa"/>
            <w:tcMar>
              <w:left w:w="20" w:type="dxa"/>
              <w:right w:w="20" w:type="dxa"/>
            </w:tcMar>
            <w:vAlign w:val="center"/>
          </w:tcPr>
          <w:p w14:paraId="00F50480" w14:textId="7E3C38AB" w:rsidR="00A27FA9" w:rsidRPr="00A27FA9" w:rsidRDefault="003F1222" w:rsidP="00F267A0">
            <w:pPr>
              <w:pStyle w:val="Tabletext"/>
              <w:keepN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2894F216" w14:textId="2A94DB3C" w:rsidR="00485DF5" w:rsidRPr="00FE32D4" w:rsidRDefault="003F1222" w:rsidP="00F267A0">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00750261">
              <w:t>|</w:t>
            </w:r>
            <w:r w:rsidR="00750261">
              <w:t xml:space="preserve"> </w:t>
            </w:r>
            <w:r w:rsidR="00750261" w:rsidRPr="00750261">
              <w:t>|</w:t>
            </w:r>
          </w:p>
        </w:tc>
        <w:tc>
          <w:tcPr>
            <w:tcW w:w="5217" w:type="dxa"/>
            <w:tcMar>
              <w:left w:w="20" w:type="dxa"/>
              <w:right w:w="20" w:type="dxa"/>
            </w:tcMar>
            <w:vAlign w:val="center"/>
          </w:tcPr>
          <w:p w14:paraId="7517ED49" w14:textId="705234C0" w:rsidR="00485DF5" w:rsidRPr="00FE32D4" w:rsidRDefault="00D8719F" w:rsidP="00F267A0">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r>
      <w:tr w:rsidR="00485DF5" w:rsidRPr="00310498" w14:paraId="6B2EDD87" w14:textId="77777777" w:rsidTr="00D8719F">
        <w:tc>
          <w:tcPr>
            <w:tcW w:w="1555" w:type="dxa"/>
            <w:tcMar>
              <w:left w:w="20" w:type="dxa"/>
              <w:right w:w="20" w:type="dxa"/>
            </w:tcMar>
            <w:vAlign w:val="center"/>
          </w:tcPr>
          <w:p w14:paraId="6D878C97" w14:textId="3387390B" w:rsidR="00485DF5" w:rsidRPr="00FE32D4" w:rsidRDefault="00750261" w:rsidP="00F267A0">
            <w:pPr>
              <w:pStyle w:val="Tabletext"/>
              <w:keepNext/>
              <w:rPr>
                <w:highlight w:val="darkGray"/>
              </w:rPr>
            </w:pPr>
            <w:r w:rsidRPr="00750261">
              <w:t>|</w:t>
            </w:r>
          </w:p>
        </w:tc>
        <w:tc>
          <w:tcPr>
            <w:tcW w:w="2268" w:type="dxa"/>
            <w:tcMar>
              <w:left w:w="20" w:type="dxa"/>
              <w:right w:w="20" w:type="dxa"/>
            </w:tcMar>
            <w:vAlign w:val="center"/>
          </w:tcPr>
          <w:p w14:paraId="04296529" w14:textId="28EE1255" w:rsidR="00485DF5" w:rsidRPr="00FE32D4" w:rsidRDefault="00750261" w:rsidP="00F267A0">
            <w:pPr>
              <w:pStyle w:val="Tabletext"/>
              <w:keepNext/>
              <w:rPr>
                <w:highlight w:val="darkGray"/>
              </w:rPr>
            </w:pPr>
            <w:r w:rsidRPr="00750261">
              <w:t>|</w:t>
            </w:r>
            <w:r>
              <w:t xml:space="preserve"> </w:t>
            </w:r>
            <w:r w:rsidRPr="00750261">
              <w:t>|</w:t>
            </w:r>
          </w:p>
        </w:tc>
        <w:tc>
          <w:tcPr>
            <w:tcW w:w="5217" w:type="dxa"/>
            <w:tcMar>
              <w:left w:w="20" w:type="dxa"/>
              <w:right w:w="20" w:type="dxa"/>
            </w:tcMar>
            <w:vAlign w:val="center"/>
          </w:tcPr>
          <w:p w14:paraId="431A8360" w14:textId="689CDB20" w:rsidR="00485DF5" w:rsidRPr="00FE32D4" w:rsidRDefault="00750261" w:rsidP="00F267A0">
            <w:pPr>
              <w:pStyle w:val="Tabletext"/>
              <w:keepNext/>
              <w:rPr>
                <w:highlight w:val="darkGray"/>
              </w:rPr>
            </w:pPr>
            <w:r w:rsidRPr="00750261">
              <w:t>|</w:t>
            </w:r>
          </w:p>
        </w:tc>
      </w:tr>
    </w:tbl>
    <w:p w14:paraId="0956B337" w14:textId="475B2D23" w:rsidR="00A27FA9" w:rsidRPr="00A27FA9" w:rsidRDefault="00D8719F" w:rsidP="00D17A65">
      <w:pPr>
        <w:pStyle w:val="TableFigureFooter"/>
        <w:rPr>
          <w:rStyle w:val="CommentReference"/>
          <w:b w:val="0"/>
          <w:sz w:val="18"/>
          <w:szCs w:val="22"/>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82AC0" w:rsidRPr="7EE24840">
        <w:rPr>
          <w:color w:val="000000" w:themeColor="text1"/>
        </w:rPr>
        <w:t>|</w:t>
      </w:r>
      <w:r w:rsidR="00782AC0">
        <w:t xml:space="preserve"> </w:t>
      </w:r>
      <w:r w:rsidR="00782AC0" w:rsidRPr="7EE24840">
        <w:rPr>
          <w:color w:val="000000" w:themeColor="text1"/>
        </w:rPr>
        <w:t>|</w:t>
      </w:r>
    </w:p>
    <w:p w14:paraId="7FF57435" w14:textId="44A5870B" w:rsidR="00485DF5" w:rsidRPr="00310498" w:rsidRDefault="00976CE9"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476340AF" w14:textId="04499F3E" w:rsidR="00485DF5" w:rsidRPr="00310498" w:rsidRDefault="00946BC1"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3D2C38" w:rsidRPr="00B80F89">
        <w:rPr>
          <w:rFonts w:cstheme="minorHAnsi"/>
          <w:b/>
          <w:sz w:val="32"/>
          <w:szCs w:val="28"/>
        </w:rPr>
        <w:t xml:space="preserve"> </w:t>
      </w:r>
      <w:r w:rsidR="00282289" w:rsidRPr="00B80F89">
        <w:rPr>
          <w:rStyle w:val="CommentReference"/>
          <w:rFonts w:asciiTheme="minorHAnsi" w:hAnsiTheme="minorHAnsi" w:cstheme="minorHAnsi"/>
          <w:b w:val="0"/>
          <w:sz w:val="24"/>
          <w:szCs w:val="32"/>
          <w:vertAlign w:val="superscript"/>
        </w:rPr>
        <w:fldChar w:fldCharType="begin" w:fldLock="1"/>
      </w:r>
      <w:r w:rsidR="00282289" w:rsidRPr="00B80F89">
        <w:rPr>
          <w:rStyle w:val="CommentReference"/>
          <w:rFonts w:asciiTheme="minorHAnsi" w:hAnsiTheme="minorHAnsi" w:cstheme="minorHAnsi"/>
          <w:b w:val="0"/>
          <w:sz w:val="24"/>
          <w:szCs w:val="32"/>
          <w:vertAlign w:val="superscript"/>
        </w:rPr>
        <w:instrText xml:space="preserve"> NOTEREF _Ref196732794 \h </w:instrText>
      </w:r>
      <w:r w:rsidR="00B80F89" w:rsidRPr="00B80F89">
        <w:rPr>
          <w:rStyle w:val="CommentReference"/>
          <w:rFonts w:asciiTheme="minorHAnsi" w:hAnsiTheme="minorHAnsi" w:cstheme="minorHAnsi"/>
          <w:b w:val="0"/>
          <w:sz w:val="24"/>
          <w:szCs w:val="32"/>
          <w:vertAlign w:val="superscript"/>
        </w:rPr>
        <w:instrText xml:space="preserve"> \* MERGEFORMAT </w:instrText>
      </w:r>
      <w:r w:rsidR="00282289" w:rsidRPr="00B80F89">
        <w:rPr>
          <w:rStyle w:val="CommentReference"/>
          <w:rFonts w:asciiTheme="minorHAnsi" w:hAnsiTheme="minorHAnsi" w:cstheme="minorHAnsi"/>
          <w:b w:val="0"/>
          <w:sz w:val="24"/>
          <w:szCs w:val="32"/>
          <w:vertAlign w:val="superscript"/>
        </w:rPr>
      </w:r>
      <w:r w:rsidR="00282289" w:rsidRPr="00B80F89">
        <w:rPr>
          <w:rStyle w:val="CommentReference"/>
          <w:rFonts w:asciiTheme="minorHAnsi" w:hAnsiTheme="minorHAnsi" w:cstheme="minorHAnsi"/>
          <w:b w:val="0"/>
          <w:sz w:val="24"/>
          <w:szCs w:val="32"/>
          <w:vertAlign w:val="superscript"/>
        </w:rPr>
        <w:fldChar w:fldCharType="separate"/>
      </w:r>
      <w:r w:rsidR="00282289" w:rsidRPr="00B80F89">
        <w:rPr>
          <w:rStyle w:val="CommentReference"/>
          <w:rFonts w:asciiTheme="minorHAnsi" w:hAnsiTheme="minorHAnsi" w:cstheme="minorHAnsi"/>
          <w:b w:val="0"/>
          <w:sz w:val="24"/>
          <w:szCs w:val="32"/>
          <w:vertAlign w:val="superscript"/>
        </w:rPr>
        <w:t>8</w:t>
      </w:r>
      <w:r w:rsidR="00282289" w:rsidRPr="00B80F89">
        <w:rPr>
          <w:rStyle w:val="CommentReference"/>
          <w:rFonts w:asciiTheme="minorHAnsi" w:hAnsiTheme="minorHAnsi" w:cstheme="minorHAnsi"/>
          <w:b w:val="0"/>
          <w:sz w:val="24"/>
          <w:szCs w:val="32"/>
          <w:vertAlign w:val="superscript"/>
        </w:rPr>
        <w:fldChar w:fldCharType="end"/>
      </w:r>
    </w:p>
    <w:p w14:paraId="45B54733" w14:textId="7BE8C054" w:rsidR="00485DF5" w:rsidRPr="00310498" w:rsidRDefault="00946BC1"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rsidRPr="00A27FA9">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rsidRPr="00A27FA9">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rsidRPr="00A27FA9">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rsidRPr="00A27FA9">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rsidRPr="00A27FA9">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rsidRPr="00A27FA9">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t xml:space="preserve"> </w:t>
      </w:r>
      <w:r w:rsidR="006A2F0E" w:rsidRPr="7EE24840">
        <w:rPr>
          <w:color w:val="000000" w:themeColor="text1"/>
        </w:rPr>
        <w:t>|</w:t>
      </w:r>
      <w:r w:rsidR="006A2F0E" w:rsidRPr="00B80F89">
        <w:rPr>
          <w:rFonts w:cstheme="minorHAnsi"/>
          <w:sz w:val="32"/>
          <w:szCs w:val="28"/>
        </w:rPr>
        <w:t xml:space="preserve"> </w:t>
      </w:r>
      <w:r w:rsidR="00282289" w:rsidRPr="00B80F89">
        <w:rPr>
          <w:rStyle w:val="CommentReference"/>
          <w:rFonts w:asciiTheme="minorHAnsi" w:hAnsiTheme="minorHAnsi" w:cstheme="minorHAnsi"/>
          <w:b w:val="0"/>
          <w:sz w:val="24"/>
          <w:szCs w:val="32"/>
          <w:vertAlign w:val="superscript"/>
        </w:rPr>
        <w:fldChar w:fldCharType="begin" w:fldLock="1"/>
      </w:r>
      <w:r w:rsidR="00282289" w:rsidRPr="00B80F89">
        <w:rPr>
          <w:rStyle w:val="CommentReference"/>
          <w:rFonts w:asciiTheme="minorHAnsi" w:hAnsiTheme="minorHAnsi" w:cstheme="minorHAnsi"/>
          <w:b w:val="0"/>
          <w:sz w:val="24"/>
          <w:szCs w:val="32"/>
          <w:vertAlign w:val="superscript"/>
        </w:rPr>
        <w:instrText xml:space="preserve"> NOTEREF _Ref196732794 \h </w:instrText>
      </w:r>
      <w:r w:rsidR="00B80F89" w:rsidRPr="00B80F89">
        <w:rPr>
          <w:rStyle w:val="CommentReference"/>
          <w:rFonts w:asciiTheme="minorHAnsi" w:hAnsiTheme="minorHAnsi" w:cstheme="minorHAnsi"/>
          <w:b w:val="0"/>
          <w:sz w:val="24"/>
          <w:szCs w:val="32"/>
          <w:vertAlign w:val="superscript"/>
        </w:rPr>
        <w:instrText xml:space="preserve"> \* MERGEFORMAT </w:instrText>
      </w:r>
      <w:r w:rsidR="00282289" w:rsidRPr="00B80F89">
        <w:rPr>
          <w:rStyle w:val="CommentReference"/>
          <w:rFonts w:asciiTheme="minorHAnsi" w:hAnsiTheme="minorHAnsi" w:cstheme="minorHAnsi"/>
          <w:b w:val="0"/>
          <w:sz w:val="24"/>
          <w:szCs w:val="32"/>
          <w:vertAlign w:val="superscript"/>
        </w:rPr>
      </w:r>
      <w:r w:rsidR="00282289" w:rsidRPr="00B80F89">
        <w:rPr>
          <w:rStyle w:val="CommentReference"/>
          <w:rFonts w:asciiTheme="minorHAnsi" w:hAnsiTheme="minorHAnsi" w:cstheme="minorHAnsi"/>
          <w:b w:val="0"/>
          <w:sz w:val="24"/>
          <w:szCs w:val="32"/>
          <w:vertAlign w:val="superscript"/>
        </w:rPr>
        <w:fldChar w:fldCharType="separate"/>
      </w:r>
      <w:r w:rsidR="00282289" w:rsidRPr="00B80F89">
        <w:rPr>
          <w:rStyle w:val="CommentReference"/>
          <w:rFonts w:asciiTheme="minorHAnsi" w:hAnsiTheme="minorHAnsi" w:cstheme="minorHAnsi"/>
          <w:b w:val="0"/>
          <w:sz w:val="24"/>
          <w:szCs w:val="32"/>
          <w:vertAlign w:val="superscript"/>
        </w:rPr>
        <w:t>8</w:t>
      </w:r>
      <w:r w:rsidR="00282289" w:rsidRPr="00B80F89">
        <w:rPr>
          <w:rStyle w:val="CommentReference"/>
          <w:rFonts w:asciiTheme="minorHAnsi" w:hAnsiTheme="minorHAnsi" w:cstheme="minorHAnsi"/>
          <w:b w:val="0"/>
          <w:sz w:val="24"/>
          <w:szCs w:val="32"/>
          <w:vertAlign w:val="superscript"/>
        </w:rPr>
        <w:fldChar w:fldCharType="end"/>
      </w:r>
    </w:p>
    <w:p w14:paraId="56795042" w14:textId="5AD23F0F" w:rsidR="00485DF5" w:rsidRPr="00310498" w:rsidRDefault="00976CE9" w:rsidP="006A2F0E">
      <w:pPr>
        <w:pStyle w:val="Caption"/>
        <w:rPr>
          <w:rStyle w:val="CommentReference"/>
          <w:b/>
          <w:szCs w:val="24"/>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3D2C38">
        <w:rPr>
          <w:rStyle w:val="CommentReference"/>
          <w:b/>
          <w:szCs w:val="24"/>
        </w:rPr>
        <w:t xml:space="preserve"> </w:t>
      </w:r>
      <w:r w:rsidR="00282289">
        <w:rPr>
          <w:rStyle w:val="CommentReference"/>
          <w:b/>
          <w:szCs w:val="24"/>
          <w:vertAlign w:val="superscript"/>
        </w:rPr>
        <w:fldChar w:fldCharType="begin" w:fldLock="1"/>
      </w:r>
      <w:r w:rsidR="00282289">
        <w:rPr>
          <w:rStyle w:val="CommentReference"/>
          <w:b/>
          <w:szCs w:val="24"/>
          <w:vertAlign w:val="superscript"/>
        </w:rPr>
        <w:instrText xml:space="preserve"> NOTEREF _Ref196732794 \h </w:instrText>
      </w:r>
      <w:r w:rsidR="00282289">
        <w:rPr>
          <w:rStyle w:val="CommentReference"/>
          <w:b/>
          <w:szCs w:val="24"/>
          <w:vertAlign w:val="superscript"/>
        </w:rPr>
      </w:r>
      <w:r w:rsidR="00282289">
        <w:rPr>
          <w:rStyle w:val="CommentReference"/>
          <w:b/>
          <w:szCs w:val="24"/>
          <w:vertAlign w:val="superscript"/>
        </w:rPr>
        <w:fldChar w:fldCharType="separate"/>
      </w:r>
      <w:r w:rsidR="00282289">
        <w:rPr>
          <w:rStyle w:val="CommentReference"/>
          <w:b/>
          <w:szCs w:val="24"/>
          <w:vertAlign w:val="superscript"/>
        </w:rPr>
        <w:t>8</w:t>
      </w:r>
      <w:r w:rsidR="00282289">
        <w:rPr>
          <w:rStyle w:val="CommentReference"/>
          <w:b/>
          <w:szCs w:val="24"/>
          <w:vertAlign w:val="superscript"/>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828"/>
        <w:gridCol w:w="2978"/>
        <w:gridCol w:w="2099"/>
      </w:tblGrid>
      <w:tr w:rsidR="00485DF5" w:rsidRPr="00310498" w14:paraId="3E29F46C" w14:textId="77777777">
        <w:trPr>
          <w:tblHeader/>
        </w:trPr>
        <w:tc>
          <w:tcPr>
            <w:tcW w:w="628" w:type="pct"/>
            <w:vAlign w:val="center"/>
          </w:tcPr>
          <w:p w14:paraId="0708E0ED" w14:textId="3D0E53E2" w:rsidR="00485DF5" w:rsidRPr="008E0263" w:rsidRDefault="000C08DD">
            <w:pPr>
              <w:pStyle w:val="In-tableHeading"/>
              <w:rPr>
                <w:highlight w:val="darkGray"/>
                <w:lang w:val="en-AU"/>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1564" w:type="pct"/>
            <w:vAlign w:val="center"/>
          </w:tcPr>
          <w:p w14:paraId="7AA99B9E" w14:textId="3CA0633A" w:rsidR="00485DF5" w:rsidRPr="008E0263" w:rsidRDefault="000C08DD">
            <w:pPr>
              <w:pStyle w:val="In-tableHeading"/>
              <w:rPr>
                <w:highlight w:val="darkGray"/>
                <w:lang w:val="en-AU"/>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7EE24840">
              <w:rPr>
                <w:color w:val="000000" w:themeColor="text1"/>
              </w:rPr>
              <w:t>|</w:t>
            </w:r>
          </w:p>
        </w:tc>
        <w:tc>
          <w:tcPr>
            <w:tcW w:w="1647" w:type="pct"/>
            <w:vAlign w:val="center"/>
          </w:tcPr>
          <w:p w14:paraId="57C3ED17" w14:textId="311C2FFE" w:rsidR="00485DF5" w:rsidRPr="008E0263" w:rsidRDefault="00976CE9">
            <w:pPr>
              <w:pStyle w:val="In-tableHeading"/>
              <w:rPr>
                <w:highlight w:val="darkGray"/>
                <w:lang w:val="en-AU"/>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7EE24840">
              <w:rPr>
                <w:color w:val="000000" w:themeColor="text1"/>
              </w:rPr>
              <w:t>|</w:t>
            </w:r>
          </w:p>
        </w:tc>
        <w:tc>
          <w:tcPr>
            <w:tcW w:w="1161" w:type="pct"/>
            <w:vAlign w:val="center"/>
          </w:tcPr>
          <w:p w14:paraId="126B6C64" w14:textId="04C99875" w:rsidR="00485DF5" w:rsidRPr="008E0263" w:rsidRDefault="00750261">
            <w:pPr>
              <w:pStyle w:val="In-tableHeading"/>
              <w:rPr>
                <w:highlight w:val="darkGray"/>
                <w:lang w:val="en-AU"/>
              </w:rPr>
            </w:pPr>
            <w:r w:rsidRPr="7EE24840">
              <w:rPr>
                <w:color w:val="000000" w:themeColor="text1"/>
              </w:rPr>
              <w:t>|</w:t>
            </w:r>
            <w:r>
              <w:t xml:space="preserve"> </w:t>
            </w:r>
            <w:r w:rsidRPr="7EE24840">
              <w:rPr>
                <w:color w:val="000000" w:themeColor="text1"/>
              </w:rPr>
              <w:t>|</w:t>
            </w:r>
          </w:p>
        </w:tc>
      </w:tr>
      <w:tr w:rsidR="00485DF5" w:rsidRPr="00310498" w14:paraId="4D4A98F5" w14:textId="77777777" w:rsidTr="00DE1FEA">
        <w:tc>
          <w:tcPr>
            <w:tcW w:w="628" w:type="pct"/>
          </w:tcPr>
          <w:p w14:paraId="6A92A0A2" w14:textId="47FDF2BA" w:rsidR="00485DF5" w:rsidRPr="008E0263" w:rsidRDefault="00750261" w:rsidP="00DE1FEA">
            <w:pPr>
              <w:pStyle w:val="Tabletext"/>
              <w:rPr>
                <w:highlight w:val="darkGray"/>
              </w:rPr>
            </w:pPr>
            <w:r w:rsidRPr="7EE24840">
              <w:rPr>
                <w:color w:val="000000" w:themeColor="text1"/>
              </w:rPr>
              <w:t>|</w:t>
            </w:r>
            <w:r>
              <w:t xml:space="preserve"> </w:t>
            </w:r>
            <w:r w:rsidRPr="7EE24840">
              <w:rPr>
                <w:color w:val="000000" w:themeColor="text1"/>
              </w:rPr>
              <w:t>|</w:t>
            </w:r>
          </w:p>
        </w:tc>
        <w:tc>
          <w:tcPr>
            <w:tcW w:w="1564" w:type="pct"/>
          </w:tcPr>
          <w:p w14:paraId="1629590C" w14:textId="00CC7BEA" w:rsidR="00485DF5" w:rsidRPr="008E0263" w:rsidRDefault="000C08D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1647" w:type="pct"/>
          </w:tcPr>
          <w:p w14:paraId="4B49CDF1" w14:textId="52D8D0AC" w:rsidR="00485DF5" w:rsidRPr="008E0263" w:rsidRDefault="000C08D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1161" w:type="pct"/>
          </w:tcPr>
          <w:p w14:paraId="696E734F" w14:textId="522DA7FC" w:rsidR="00485DF5" w:rsidRPr="008E0263" w:rsidRDefault="000C08D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r>
      <w:tr w:rsidR="00485DF5" w:rsidRPr="00310498" w14:paraId="070A966D" w14:textId="77777777" w:rsidTr="00DE1FEA">
        <w:tc>
          <w:tcPr>
            <w:tcW w:w="628" w:type="pct"/>
          </w:tcPr>
          <w:p w14:paraId="41DAC120" w14:textId="54CFAB97" w:rsidR="00485DF5" w:rsidRPr="008E0263" w:rsidRDefault="00750261" w:rsidP="00DE1FEA">
            <w:pPr>
              <w:pStyle w:val="Tabletext"/>
              <w:rPr>
                <w:highlight w:val="darkGray"/>
              </w:rPr>
            </w:pPr>
            <w:r w:rsidRPr="7EE24840">
              <w:rPr>
                <w:color w:val="000000" w:themeColor="text1"/>
              </w:rPr>
              <w:t>|</w:t>
            </w:r>
          </w:p>
        </w:tc>
        <w:tc>
          <w:tcPr>
            <w:tcW w:w="1564" w:type="pct"/>
          </w:tcPr>
          <w:p w14:paraId="002FC577" w14:textId="04ABD782" w:rsidR="00485DF5" w:rsidRPr="008E0263" w:rsidRDefault="000C08D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7EE24840">
              <w:rPr>
                <w:color w:val="000000" w:themeColor="text1"/>
              </w:rPr>
              <w:t>|</w:t>
            </w:r>
          </w:p>
        </w:tc>
        <w:tc>
          <w:tcPr>
            <w:tcW w:w="1647" w:type="pct"/>
          </w:tcPr>
          <w:p w14:paraId="43B71BBB" w14:textId="71099567" w:rsidR="00485DF5" w:rsidRPr="008E0263" w:rsidRDefault="000C08D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1161" w:type="pct"/>
          </w:tcPr>
          <w:p w14:paraId="62AFA2EF" w14:textId="765FFE66" w:rsidR="00485DF5" w:rsidRPr="008E0263" w:rsidRDefault="00750261" w:rsidP="00DE1FEA">
            <w:pPr>
              <w:pStyle w:val="Tabletext"/>
              <w:rPr>
                <w:highlight w:val="darkGray"/>
              </w:rPr>
            </w:pPr>
            <w:r w:rsidRPr="7EE24840">
              <w:rPr>
                <w:color w:val="000000" w:themeColor="text1"/>
              </w:rPr>
              <w:t>|</w:t>
            </w:r>
            <w:r>
              <w:t xml:space="preserve"> </w:t>
            </w:r>
            <w:r w:rsidR="00A27FA9" w:rsidRPr="00A27FA9">
              <w:t xml:space="preserve"> </w:t>
            </w:r>
          </w:p>
        </w:tc>
      </w:tr>
      <w:tr w:rsidR="00485DF5" w:rsidRPr="00310498" w14:paraId="77BD8F36" w14:textId="77777777" w:rsidTr="00DE1FEA">
        <w:tc>
          <w:tcPr>
            <w:tcW w:w="628" w:type="pct"/>
          </w:tcPr>
          <w:p w14:paraId="3C3980C8" w14:textId="15EED35C" w:rsidR="00485DF5" w:rsidRPr="008E0263" w:rsidRDefault="00750261" w:rsidP="00DE1FEA">
            <w:pPr>
              <w:pStyle w:val="Tabletext"/>
              <w:rPr>
                <w:highlight w:val="darkGray"/>
              </w:rPr>
            </w:pPr>
            <w:r w:rsidRPr="7EE24840">
              <w:rPr>
                <w:color w:val="000000" w:themeColor="text1"/>
              </w:rPr>
              <w:t>|</w:t>
            </w:r>
            <w:r>
              <w:t xml:space="preserve"> </w:t>
            </w:r>
            <w:r w:rsidRPr="7EE24840">
              <w:rPr>
                <w:color w:val="000000" w:themeColor="text1"/>
              </w:rPr>
              <w:t>|</w:t>
            </w:r>
          </w:p>
        </w:tc>
        <w:tc>
          <w:tcPr>
            <w:tcW w:w="1564" w:type="pct"/>
          </w:tcPr>
          <w:p w14:paraId="050E4071" w14:textId="5221F8D5" w:rsidR="00485DF5" w:rsidRPr="008E0263" w:rsidRDefault="00750261" w:rsidP="00DE1FEA">
            <w:pPr>
              <w:pStyle w:val="Tabletext"/>
              <w:rPr>
                <w:highlight w:val="darkGray"/>
              </w:rPr>
            </w:pPr>
            <w:r w:rsidRPr="7EE24840">
              <w:rPr>
                <w:color w:val="000000" w:themeColor="text1"/>
              </w:rPr>
              <w:t>|</w:t>
            </w:r>
            <w:r>
              <w:t xml:space="preserve"> </w:t>
            </w:r>
            <w:r w:rsidRPr="7EE24840">
              <w:rPr>
                <w:color w:val="000000" w:themeColor="text1"/>
              </w:rPr>
              <w:t>|</w:t>
            </w:r>
          </w:p>
        </w:tc>
        <w:tc>
          <w:tcPr>
            <w:tcW w:w="1647" w:type="pct"/>
          </w:tcPr>
          <w:p w14:paraId="0ECAE2FB" w14:textId="01EDB425" w:rsidR="00485DF5" w:rsidRPr="008E0263" w:rsidRDefault="00750261" w:rsidP="00DE1FEA">
            <w:pPr>
              <w:pStyle w:val="Tabletext"/>
              <w:rPr>
                <w:highlight w:val="darkGray"/>
              </w:rPr>
            </w:pPr>
            <w:r w:rsidRPr="7EE24840">
              <w:rPr>
                <w:color w:val="000000" w:themeColor="text1"/>
              </w:rPr>
              <w:t>|</w:t>
            </w:r>
          </w:p>
        </w:tc>
        <w:tc>
          <w:tcPr>
            <w:tcW w:w="1161" w:type="pct"/>
          </w:tcPr>
          <w:p w14:paraId="187265F1" w14:textId="2E9D21ED" w:rsidR="00485DF5" w:rsidRPr="008E0263" w:rsidRDefault="00C11396"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r>
      <w:tr w:rsidR="00485DF5" w:rsidRPr="00310498" w14:paraId="57F3197F" w14:textId="77777777" w:rsidTr="00DE1FEA">
        <w:tc>
          <w:tcPr>
            <w:tcW w:w="628" w:type="pct"/>
          </w:tcPr>
          <w:p w14:paraId="3E2C0174" w14:textId="5C4F9FE5" w:rsidR="00485DF5" w:rsidRPr="008E0263" w:rsidRDefault="00750261" w:rsidP="00DE1FEA">
            <w:pPr>
              <w:pStyle w:val="Tabletext"/>
              <w:rPr>
                <w:highlight w:val="darkGray"/>
              </w:rPr>
            </w:pPr>
            <w:r w:rsidRPr="7EE24840">
              <w:rPr>
                <w:color w:val="000000" w:themeColor="text1"/>
              </w:rPr>
              <w:t>|</w:t>
            </w:r>
            <w:r>
              <w:t xml:space="preserve"> </w:t>
            </w:r>
            <w:r w:rsidRPr="7EE24840">
              <w:rPr>
                <w:color w:val="000000" w:themeColor="text1"/>
              </w:rPr>
              <w:t>|</w:t>
            </w:r>
          </w:p>
        </w:tc>
        <w:tc>
          <w:tcPr>
            <w:tcW w:w="1564" w:type="pct"/>
          </w:tcPr>
          <w:p w14:paraId="39409C47" w14:textId="78543184" w:rsidR="00485DF5" w:rsidRPr="008E0263" w:rsidRDefault="00750261" w:rsidP="00DE1FEA">
            <w:pPr>
              <w:pStyle w:val="Tabletext"/>
              <w:rPr>
                <w:highlight w:val="darkGray"/>
              </w:rPr>
            </w:pPr>
            <w:r w:rsidRPr="7EE24840">
              <w:rPr>
                <w:color w:val="000000" w:themeColor="text1"/>
              </w:rPr>
              <w:t>|</w:t>
            </w:r>
          </w:p>
        </w:tc>
        <w:tc>
          <w:tcPr>
            <w:tcW w:w="1647" w:type="pct"/>
          </w:tcPr>
          <w:p w14:paraId="7EB82129" w14:textId="74F7F29E" w:rsidR="00485DF5" w:rsidRPr="008E0263" w:rsidRDefault="00750261" w:rsidP="00DE1FEA">
            <w:pPr>
              <w:pStyle w:val="Tabletext"/>
              <w:rPr>
                <w:highlight w:val="darkGray"/>
              </w:rPr>
            </w:pPr>
            <w:r w:rsidRPr="7EE24840">
              <w:rPr>
                <w:color w:val="000000" w:themeColor="text1"/>
              </w:rPr>
              <w:t>|</w:t>
            </w:r>
          </w:p>
        </w:tc>
        <w:tc>
          <w:tcPr>
            <w:tcW w:w="1161" w:type="pct"/>
          </w:tcPr>
          <w:p w14:paraId="78DD2C22" w14:textId="5B2B4450" w:rsidR="00485DF5" w:rsidRPr="008E0263" w:rsidRDefault="00750261" w:rsidP="00DE1FEA">
            <w:pPr>
              <w:pStyle w:val="Tabletext"/>
              <w:rPr>
                <w:highlight w:val="darkGray"/>
              </w:rPr>
            </w:pPr>
            <w:r w:rsidRPr="7EE24840">
              <w:rPr>
                <w:color w:val="000000" w:themeColor="text1"/>
              </w:rPr>
              <w:t>|</w:t>
            </w:r>
          </w:p>
        </w:tc>
      </w:tr>
      <w:tr w:rsidR="00485DF5" w:rsidRPr="00310498" w14:paraId="6E580422" w14:textId="77777777" w:rsidTr="00DE1FEA">
        <w:tc>
          <w:tcPr>
            <w:tcW w:w="628" w:type="pct"/>
          </w:tcPr>
          <w:p w14:paraId="242614CD" w14:textId="603CF1C8" w:rsidR="00485DF5" w:rsidRPr="008E0263" w:rsidRDefault="00750261" w:rsidP="00DE1FEA">
            <w:pPr>
              <w:pStyle w:val="Tabletext"/>
              <w:rPr>
                <w:highlight w:val="darkGray"/>
              </w:rPr>
            </w:pPr>
            <w:r w:rsidRPr="7EE24840">
              <w:rPr>
                <w:color w:val="000000" w:themeColor="text1"/>
              </w:rPr>
              <w:t>|</w:t>
            </w:r>
            <w:r>
              <w:t xml:space="preserve"> </w:t>
            </w:r>
            <w:r w:rsidRPr="7EE24840">
              <w:rPr>
                <w:color w:val="000000" w:themeColor="text1"/>
              </w:rPr>
              <w:t>|</w:t>
            </w:r>
          </w:p>
        </w:tc>
        <w:tc>
          <w:tcPr>
            <w:tcW w:w="3211" w:type="pct"/>
            <w:gridSpan w:val="2"/>
          </w:tcPr>
          <w:p w14:paraId="5607B11D" w14:textId="4451D404" w:rsidR="00A27FA9" w:rsidRPr="00A27FA9" w:rsidRDefault="00C11396" w:rsidP="00DE1FEA">
            <w:pPr>
              <w:pStyle w:val="Table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0C08DD" w:rsidRPr="7EE24840">
              <w:rPr>
                <w:color w:val="000000" w:themeColor="text1"/>
              </w:rPr>
              <w:t>|</w:t>
            </w:r>
            <w:r w:rsidR="000C08DD">
              <w:t xml:space="preserve"> </w:t>
            </w:r>
            <w:r w:rsidR="000C08DD" w:rsidRPr="7EE24840">
              <w:rPr>
                <w:color w:val="000000" w:themeColor="text1"/>
              </w:rPr>
              <w:t>|</w:t>
            </w:r>
            <w:r w:rsidR="000C08DD">
              <w:t xml:space="preserve"> </w:t>
            </w:r>
            <w:r w:rsidR="000C08DD" w:rsidRPr="7EE24840">
              <w:rPr>
                <w:color w:val="000000" w:themeColor="text1"/>
              </w:rPr>
              <w:t>|</w:t>
            </w:r>
          </w:p>
          <w:p w14:paraId="0C5F9308" w14:textId="7347A0A5" w:rsidR="00A27FA9" w:rsidRPr="00A27FA9" w:rsidRDefault="00C11396" w:rsidP="00DE1FEA">
            <w:pPr>
              <w:pStyle w:val="Table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7EE24840">
              <w:rPr>
                <w:color w:val="000000" w:themeColor="text1"/>
              </w:rPr>
              <w:t>|</w:t>
            </w:r>
            <w:r w:rsidR="00750261">
              <w:t xml:space="preserve"> </w:t>
            </w:r>
            <w:r w:rsidR="00750261" w:rsidRPr="7EE24840">
              <w:rPr>
                <w:color w:val="000000" w:themeColor="text1"/>
              </w:rPr>
              <w:t>|</w:t>
            </w:r>
          </w:p>
          <w:p w14:paraId="1BA5451B" w14:textId="77777777" w:rsidR="00BE733D" w:rsidRDefault="00BE733D" w:rsidP="00DE1FEA">
            <w:pPr>
              <w:pStyle w:val="Tabletext"/>
              <w:rPr>
                <w:color w:val="000000" w:themeColor="text1"/>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04005BAA" w14:textId="3CC1EC90" w:rsidR="00485DF5" w:rsidRPr="008E0263" w:rsidRDefault="00BE733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7EE24840">
              <w:rPr>
                <w:color w:val="000000" w:themeColor="text1"/>
              </w:rPr>
              <w:t>|</w:t>
            </w:r>
          </w:p>
        </w:tc>
        <w:tc>
          <w:tcPr>
            <w:tcW w:w="1161" w:type="pct"/>
          </w:tcPr>
          <w:p w14:paraId="1CC93737" w14:textId="662B25D2" w:rsidR="00485DF5" w:rsidRPr="008E0263" w:rsidRDefault="00BE733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7EE24840">
              <w:rPr>
                <w:color w:val="000000" w:themeColor="text1"/>
              </w:rPr>
              <w:t>|</w:t>
            </w:r>
          </w:p>
        </w:tc>
      </w:tr>
      <w:tr w:rsidR="00485DF5" w:rsidRPr="00310498" w14:paraId="26ECA836" w14:textId="77777777" w:rsidTr="00DE1FEA">
        <w:tc>
          <w:tcPr>
            <w:tcW w:w="628" w:type="pct"/>
          </w:tcPr>
          <w:p w14:paraId="7124B89D" w14:textId="35942F49" w:rsidR="00485DF5" w:rsidRPr="008E0263" w:rsidRDefault="00750261" w:rsidP="00DE1FEA">
            <w:pPr>
              <w:pStyle w:val="Tabletext"/>
              <w:rPr>
                <w:highlight w:val="darkGray"/>
              </w:rPr>
            </w:pPr>
            <w:r w:rsidRPr="7EE24840">
              <w:rPr>
                <w:color w:val="000000" w:themeColor="text1"/>
              </w:rPr>
              <w:t>|</w:t>
            </w:r>
            <w:r>
              <w:t xml:space="preserve"> </w:t>
            </w:r>
            <w:r w:rsidRPr="7EE24840">
              <w:rPr>
                <w:color w:val="000000" w:themeColor="text1"/>
              </w:rPr>
              <w:t>|</w:t>
            </w:r>
          </w:p>
        </w:tc>
        <w:tc>
          <w:tcPr>
            <w:tcW w:w="1564" w:type="pct"/>
          </w:tcPr>
          <w:p w14:paraId="3A60890F" w14:textId="3D1C565E" w:rsidR="00BC1E59" w:rsidRPr="008E0263" w:rsidRDefault="00BE733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7EE24840">
              <w:rPr>
                <w:color w:val="000000" w:themeColor="text1"/>
              </w:rPr>
              <w:t>|</w:t>
            </w:r>
          </w:p>
          <w:tbl>
            <w:tblPr>
              <w:tblStyle w:val="TableGrid"/>
              <w:tblW w:w="0" w:type="auto"/>
              <w:tblLook w:val="04A0" w:firstRow="1" w:lastRow="0" w:firstColumn="1" w:lastColumn="0" w:noHBand="0" w:noVBand="1"/>
            </w:tblPr>
            <w:tblGrid>
              <w:gridCol w:w="1351"/>
              <w:gridCol w:w="600"/>
              <w:gridCol w:w="804"/>
            </w:tblGrid>
            <w:tr w:rsidR="00750261" w:rsidRPr="008E0263" w14:paraId="5CAC1A5B" w14:textId="77777777" w:rsidTr="00750261">
              <w:tc>
                <w:tcPr>
                  <w:tcW w:w="1351" w:type="dxa"/>
                  <w:tcMar>
                    <w:left w:w="20" w:type="dxa"/>
                    <w:right w:w="20" w:type="dxa"/>
                  </w:tcMar>
                </w:tcPr>
                <w:p w14:paraId="6FB6D6D5" w14:textId="77777777" w:rsidR="00750261" w:rsidRPr="008E0263" w:rsidRDefault="00750261" w:rsidP="00750261">
                  <w:pPr>
                    <w:pStyle w:val="Tabletext"/>
                    <w:rPr>
                      <w:highlight w:val="darkGray"/>
                    </w:rPr>
                  </w:pPr>
                </w:p>
              </w:tc>
              <w:tc>
                <w:tcPr>
                  <w:tcW w:w="600" w:type="dxa"/>
                  <w:tcMar>
                    <w:left w:w="20" w:type="dxa"/>
                    <w:right w:w="20" w:type="dxa"/>
                  </w:tcMar>
                  <w:vAlign w:val="center"/>
                </w:tcPr>
                <w:p w14:paraId="545C9D71" w14:textId="0D453EFC" w:rsidR="00750261" w:rsidRPr="008E0263" w:rsidRDefault="00750261" w:rsidP="00750261">
                  <w:pPr>
                    <w:pStyle w:val="Tabletext"/>
                    <w:jc w:val="center"/>
                    <w:rPr>
                      <w:highlight w:val="darkGray"/>
                    </w:rPr>
                  </w:pPr>
                  <w:r w:rsidRPr="00122BE6">
                    <w:rPr>
                      <w:color w:val="000000" w:themeColor="text1"/>
                    </w:rPr>
                    <w:t>|</w:t>
                  </w:r>
                </w:p>
              </w:tc>
              <w:tc>
                <w:tcPr>
                  <w:tcW w:w="804" w:type="dxa"/>
                  <w:tcMar>
                    <w:left w:w="20" w:type="dxa"/>
                    <w:right w:w="20" w:type="dxa"/>
                  </w:tcMar>
                  <w:vAlign w:val="center"/>
                </w:tcPr>
                <w:p w14:paraId="0010DFD5" w14:textId="348E062A" w:rsidR="00750261" w:rsidRPr="008E0263" w:rsidRDefault="00750261" w:rsidP="00750261">
                  <w:pPr>
                    <w:pStyle w:val="Tabletext"/>
                    <w:jc w:val="center"/>
                    <w:rPr>
                      <w:highlight w:val="darkGray"/>
                    </w:rPr>
                  </w:pPr>
                  <w:r w:rsidRPr="00122BE6">
                    <w:rPr>
                      <w:color w:val="000000" w:themeColor="text1"/>
                    </w:rPr>
                    <w:t>|</w:t>
                  </w:r>
                </w:p>
              </w:tc>
            </w:tr>
            <w:tr w:rsidR="00750261" w:rsidRPr="008E0263" w14:paraId="6A766580" w14:textId="77777777" w:rsidTr="00750261">
              <w:tc>
                <w:tcPr>
                  <w:tcW w:w="1351" w:type="dxa"/>
                  <w:tcMar>
                    <w:left w:w="20" w:type="dxa"/>
                    <w:right w:w="20" w:type="dxa"/>
                  </w:tcMar>
                </w:tcPr>
                <w:p w14:paraId="7A439C8D" w14:textId="36CDCAD5" w:rsidR="00750261" w:rsidRPr="008E0263" w:rsidRDefault="00750261" w:rsidP="00750261">
                  <w:pPr>
                    <w:pStyle w:val="Tabletext"/>
                    <w:rPr>
                      <w:highlight w:val="darkGray"/>
                    </w:rPr>
                  </w:pPr>
                  <w:r w:rsidRPr="7EE24840">
                    <w:rPr>
                      <w:color w:val="000000" w:themeColor="text1"/>
                    </w:rPr>
                    <w:t>|</w:t>
                  </w:r>
                </w:p>
              </w:tc>
              <w:tc>
                <w:tcPr>
                  <w:tcW w:w="600" w:type="dxa"/>
                  <w:tcMar>
                    <w:left w:w="20" w:type="dxa"/>
                    <w:right w:w="20" w:type="dxa"/>
                  </w:tcMar>
                  <w:vAlign w:val="center"/>
                </w:tcPr>
                <w:p w14:paraId="0ED9C868" w14:textId="478F5113" w:rsidR="00750261" w:rsidRPr="008E0263" w:rsidRDefault="00750261" w:rsidP="00750261">
                  <w:pPr>
                    <w:pStyle w:val="Tabletext"/>
                    <w:jc w:val="center"/>
                    <w:rPr>
                      <w:highlight w:val="darkGray"/>
                    </w:rPr>
                  </w:pPr>
                  <w:r w:rsidRPr="00122BE6">
                    <w:rPr>
                      <w:color w:val="000000" w:themeColor="text1"/>
                    </w:rPr>
                    <w:t>|</w:t>
                  </w:r>
                </w:p>
              </w:tc>
              <w:tc>
                <w:tcPr>
                  <w:tcW w:w="804" w:type="dxa"/>
                  <w:tcMar>
                    <w:left w:w="20" w:type="dxa"/>
                    <w:right w:w="20" w:type="dxa"/>
                  </w:tcMar>
                  <w:vAlign w:val="center"/>
                </w:tcPr>
                <w:p w14:paraId="53EA08EF" w14:textId="60261B3E" w:rsidR="00750261" w:rsidRPr="008E0263" w:rsidRDefault="00750261" w:rsidP="00750261">
                  <w:pPr>
                    <w:pStyle w:val="Tabletext"/>
                    <w:jc w:val="center"/>
                    <w:rPr>
                      <w:highlight w:val="darkGray"/>
                    </w:rPr>
                  </w:pPr>
                  <w:r w:rsidRPr="00122BE6">
                    <w:rPr>
                      <w:color w:val="000000" w:themeColor="text1"/>
                    </w:rPr>
                    <w:t>|</w:t>
                  </w:r>
                </w:p>
              </w:tc>
            </w:tr>
            <w:tr w:rsidR="00750261" w:rsidRPr="008E0263" w14:paraId="597B166D" w14:textId="77777777" w:rsidTr="00750261">
              <w:tc>
                <w:tcPr>
                  <w:tcW w:w="1351" w:type="dxa"/>
                  <w:tcMar>
                    <w:left w:w="20" w:type="dxa"/>
                    <w:right w:w="20" w:type="dxa"/>
                  </w:tcMar>
                </w:tcPr>
                <w:p w14:paraId="58C96924" w14:textId="36F8EEEC" w:rsidR="00750261" w:rsidRPr="008E0263" w:rsidRDefault="00750261" w:rsidP="00750261">
                  <w:pPr>
                    <w:pStyle w:val="Tabletext"/>
                    <w:rPr>
                      <w:highlight w:val="darkGray"/>
                    </w:rPr>
                  </w:pPr>
                  <w:r w:rsidRPr="7EE24840">
                    <w:rPr>
                      <w:color w:val="000000" w:themeColor="text1"/>
                    </w:rPr>
                    <w:t>|</w:t>
                  </w:r>
                  <w:r>
                    <w:t xml:space="preserve"> </w:t>
                  </w:r>
                  <w:r w:rsidRPr="7EE24840">
                    <w:rPr>
                      <w:color w:val="000000" w:themeColor="text1"/>
                    </w:rPr>
                    <w:t>|</w:t>
                  </w:r>
                </w:p>
              </w:tc>
              <w:tc>
                <w:tcPr>
                  <w:tcW w:w="600" w:type="dxa"/>
                  <w:tcMar>
                    <w:left w:w="20" w:type="dxa"/>
                    <w:right w:w="20" w:type="dxa"/>
                  </w:tcMar>
                  <w:vAlign w:val="center"/>
                </w:tcPr>
                <w:p w14:paraId="41D381F7" w14:textId="30F01575" w:rsidR="00750261" w:rsidRPr="008E0263" w:rsidRDefault="00750261" w:rsidP="00750261">
                  <w:pPr>
                    <w:pStyle w:val="Tabletext"/>
                    <w:jc w:val="center"/>
                    <w:rPr>
                      <w:highlight w:val="darkGray"/>
                    </w:rPr>
                  </w:pPr>
                  <w:r w:rsidRPr="00122BE6">
                    <w:rPr>
                      <w:color w:val="000000" w:themeColor="text1"/>
                    </w:rPr>
                    <w:t>|</w:t>
                  </w:r>
                </w:p>
              </w:tc>
              <w:tc>
                <w:tcPr>
                  <w:tcW w:w="804" w:type="dxa"/>
                  <w:tcMar>
                    <w:left w:w="20" w:type="dxa"/>
                    <w:right w:w="20" w:type="dxa"/>
                  </w:tcMar>
                  <w:vAlign w:val="center"/>
                </w:tcPr>
                <w:p w14:paraId="6A2DAC2E" w14:textId="0573ED9E" w:rsidR="00750261" w:rsidRPr="008E0263" w:rsidRDefault="00750261" w:rsidP="00750261">
                  <w:pPr>
                    <w:pStyle w:val="Tabletext"/>
                    <w:jc w:val="center"/>
                    <w:rPr>
                      <w:highlight w:val="darkGray"/>
                    </w:rPr>
                  </w:pPr>
                  <w:r w:rsidRPr="00122BE6">
                    <w:rPr>
                      <w:color w:val="000000" w:themeColor="text1"/>
                    </w:rPr>
                    <w:t>|</w:t>
                  </w:r>
                </w:p>
              </w:tc>
            </w:tr>
            <w:tr w:rsidR="00750261" w:rsidRPr="008E0263" w14:paraId="0BE430B5" w14:textId="77777777" w:rsidTr="00750261">
              <w:tc>
                <w:tcPr>
                  <w:tcW w:w="1351" w:type="dxa"/>
                  <w:tcMar>
                    <w:left w:w="20" w:type="dxa"/>
                    <w:right w:w="20" w:type="dxa"/>
                  </w:tcMar>
                </w:tcPr>
                <w:p w14:paraId="4E986880" w14:textId="2824A4A0" w:rsidR="00750261" w:rsidRPr="008E0263" w:rsidRDefault="00750261" w:rsidP="00750261">
                  <w:pPr>
                    <w:pStyle w:val="Tabletext"/>
                    <w:rPr>
                      <w:highlight w:val="darkGray"/>
                    </w:rPr>
                  </w:pPr>
                  <w:r w:rsidRPr="7EE24840">
                    <w:rPr>
                      <w:color w:val="000000" w:themeColor="text1"/>
                    </w:rPr>
                    <w:t>|</w:t>
                  </w:r>
                  <w:r>
                    <w:t xml:space="preserve"> </w:t>
                  </w:r>
                  <w:r w:rsidRPr="7EE24840">
                    <w:rPr>
                      <w:color w:val="000000" w:themeColor="text1"/>
                    </w:rPr>
                    <w:t>|</w:t>
                  </w:r>
                </w:p>
              </w:tc>
              <w:tc>
                <w:tcPr>
                  <w:tcW w:w="600" w:type="dxa"/>
                  <w:tcMar>
                    <w:left w:w="20" w:type="dxa"/>
                    <w:right w:w="20" w:type="dxa"/>
                  </w:tcMar>
                  <w:vAlign w:val="center"/>
                </w:tcPr>
                <w:p w14:paraId="47EDC998" w14:textId="4B6F7E25" w:rsidR="00750261" w:rsidRPr="008E0263" w:rsidRDefault="00750261" w:rsidP="00750261">
                  <w:pPr>
                    <w:pStyle w:val="Tabletext"/>
                    <w:jc w:val="center"/>
                    <w:rPr>
                      <w:highlight w:val="darkGray"/>
                    </w:rPr>
                  </w:pPr>
                  <w:r w:rsidRPr="00122BE6">
                    <w:rPr>
                      <w:color w:val="000000" w:themeColor="text1"/>
                    </w:rPr>
                    <w:t>|</w:t>
                  </w:r>
                </w:p>
              </w:tc>
              <w:tc>
                <w:tcPr>
                  <w:tcW w:w="804" w:type="dxa"/>
                  <w:tcMar>
                    <w:left w:w="20" w:type="dxa"/>
                    <w:right w:w="20" w:type="dxa"/>
                  </w:tcMar>
                  <w:vAlign w:val="center"/>
                </w:tcPr>
                <w:p w14:paraId="085BB6EC" w14:textId="0F4730AE" w:rsidR="00750261" w:rsidRPr="008E0263" w:rsidRDefault="00750261" w:rsidP="00750261">
                  <w:pPr>
                    <w:pStyle w:val="Tabletext"/>
                    <w:jc w:val="center"/>
                    <w:rPr>
                      <w:highlight w:val="darkGray"/>
                    </w:rPr>
                  </w:pPr>
                  <w:r w:rsidRPr="00122BE6">
                    <w:rPr>
                      <w:color w:val="000000" w:themeColor="text1"/>
                    </w:rPr>
                    <w:t>|</w:t>
                  </w:r>
                </w:p>
              </w:tc>
            </w:tr>
            <w:tr w:rsidR="00750261" w:rsidRPr="008E0263" w14:paraId="78AE5C87" w14:textId="77777777" w:rsidTr="00750261">
              <w:tc>
                <w:tcPr>
                  <w:tcW w:w="1351" w:type="dxa"/>
                  <w:tcMar>
                    <w:left w:w="20" w:type="dxa"/>
                    <w:right w:w="20" w:type="dxa"/>
                  </w:tcMar>
                </w:tcPr>
                <w:p w14:paraId="2B77130D" w14:textId="4AC54718" w:rsidR="00750261" w:rsidRPr="008E0263" w:rsidRDefault="00750261" w:rsidP="00750261">
                  <w:pPr>
                    <w:pStyle w:val="Tabletext"/>
                    <w:rPr>
                      <w:highlight w:val="darkGray"/>
                    </w:rPr>
                  </w:pPr>
                  <w:r w:rsidRPr="7EE24840">
                    <w:rPr>
                      <w:color w:val="000000" w:themeColor="text1"/>
                    </w:rPr>
                    <w:t>|</w:t>
                  </w:r>
                </w:p>
              </w:tc>
              <w:tc>
                <w:tcPr>
                  <w:tcW w:w="600" w:type="dxa"/>
                  <w:tcMar>
                    <w:left w:w="20" w:type="dxa"/>
                    <w:right w:w="20" w:type="dxa"/>
                  </w:tcMar>
                  <w:vAlign w:val="center"/>
                </w:tcPr>
                <w:p w14:paraId="1222AF85" w14:textId="39233184" w:rsidR="00750261" w:rsidRPr="008E0263" w:rsidRDefault="00750261" w:rsidP="00750261">
                  <w:pPr>
                    <w:pStyle w:val="Tabletext"/>
                    <w:jc w:val="center"/>
                    <w:rPr>
                      <w:highlight w:val="darkGray"/>
                    </w:rPr>
                  </w:pPr>
                  <w:r w:rsidRPr="00122BE6">
                    <w:rPr>
                      <w:color w:val="000000" w:themeColor="text1"/>
                    </w:rPr>
                    <w:t>|</w:t>
                  </w:r>
                </w:p>
              </w:tc>
              <w:tc>
                <w:tcPr>
                  <w:tcW w:w="804" w:type="dxa"/>
                  <w:tcMar>
                    <w:left w:w="20" w:type="dxa"/>
                    <w:right w:w="20" w:type="dxa"/>
                  </w:tcMar>
                  <w:vAlign w:val="center"/>
                </w:tcPr>
                <w:p w14:paraId="57B433F8" w14:textId="162F7889" w:rsidR="00750261" w:rsidRPr="008E0263" w:rsidRDefault="00750261" w:rsidP="00750261">
                  <w:pPr>
                    <w:pStyle w:val="Tabletext"/>
                    <w:jc w:val="center"/>
                    <w:rPr>
                      <w:highlight w:val="darkGray"/>
                    </w:rPr>
                  </w:pPr>
                  <w:r w:rsidRPr="00122BE6">
                    <w:rPr>
                      <w:color w:val="000000" w:themeColor="text1"/>
                    </w:rPr>
                    <w:t>|</w:t>
                  </w:r>
                </w:p>
              </w:tc>
            </w:tr>
          </w:tbl>
          <w:p w14:paraId="2FF7589D" w14:textId="69457CA6" w:rsidR="00485DF5" w:rsidRPr="008E0263" w:rsidRDefault="00485DF5" w:rsidP="00DE1FEA">
            <w:pPr>
              <w:pStyle w:val="Tabletext"/>
              <w:rPr>
                <w:highlight w:val="darkGray"/>
              </w:rPr>
            </w:pPr>
          </w:p>
        </w:tc>
        <w:tc>
          <w:tcPr>
            <w:tcW w:w="1647" w:type="pct"/>
          </w:tcPr>
          <w:p w14:paraId="4AF63009" w14:textId="0801F95A" w:rsidR="00691B3D" w:rsidRPr="008E0263" w:rsidRDefault="00BE733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7EE24840">
              <w:rPr>
                <w:color w:val="000000" w:themeColor="text1"/>
              </w:rPr>
              <w:t>|</w:t>
            </w:r>
          </w:p>
          <w:tbl>
            <w:tblPr>
              <w:tblStyle w:val="TableGrid"/>
              <w:tblW w:w="0" w:type="auto"/>
              <w:tblLook w:val="04A0" w:firstRow="1" w:lastRow="0" w:firstColumn="1" w:lastColumn="0" w:noHBand="0" w:noVBand="1"/>
            </w:tblPr>
            <w:tblGrid>
              <w:gridCol w:w="1413"/>
              <w:gridCol w:w="720"/>
              <w:gridCol w:w="720"/>
            </w:tblGrid>
            <w:tr w:rsidR="00750261" w:rsidRPr="008E0263" w14:paraId="5663093C" w14:textId="77777777" w:rsidTr="00750261">
              <w:tc>
                <w:tcPr>
                  <w:tcW w:w="1413" w:type="dxa"/>
                  <w:tcMar>
                    <w:left w:w="20" w:type="dxa"/>
                    <w:right w:w="20" w:type="dxa"/>
                  </w:tcMar>
                </w:tcPr>
                <w:p w14:paraId="619D9DDD" w14:textId="77777777" w:rsidR="00750261" w:rsidRPr="008E0263" w:rsidRDefault="00750261" w:rsidP="00750261">
                  <w:pPr>
                    <w:pStyle w:val="Tabletext"/>
                    <w:rPr>
                      <w:highlight w:val="darkGray"/>
                    </w:rPr>
                  </w:pPr>
                </w:p>
              </w:tc>
              <w:tc>
                <w:tcPr>
                  <w:tcW w:w="720" w:type="dxa"/>
                  <w:tcMar>
                    <w:left w:w="20" w:type="dxa"/>
                    <w:right w:w="20" w:type="dxa"/>
                  </w:tcMar>
                  <w:vAlign w:val="center"/>
                </w:tcPr>
                <w:p w14:paraId="76BE03E5" w14:textId="362FE29B" w:rsidR="00750261" w:rsidRPr="008E0263" w:rsidRDefault="00750261" w:rsidP="00750261">
                  <w:pPr>
                    <w:pStyle w:val="Tabletext"/>
                    <w:jc w:val="center"/>
                    <w:rPr>
                      <w:highlight w:val="darkGray"/>
                    </w:rPr>
                  </w:pPr>
                  <w:r w:rsidRPr="00A61850">
                    <w:rPr>
                      <w:color w:val="000000" w:themeColor="text1"/>
                    </w:rPr>
                    <w:t>|</w:t>
                  </w:r>
                </w:p>
              </w:tc>
              <w:tc>
                <w:tcPr>
                  <w:tcW w:w="720" w:type="dxa"/>
                  <w:tcMar>
                    <w:left w:w="20" w:type="dxa"/>
                    <w:right w:w="20" w:type="dxa"/>
                  </w:tcMar>
                  <w:vAlign w:val="center"/>
                </w:tcPr>
                <w:p w14:paraId="72A85582" w14:textId="66152F0B" w:rsidR="00750261" w:rsidRPr="008E0263" w:rsidRDefault="00750261" w:rsidP="00750261">
                  <w:pPr>
                    <w:pStyle w:val="Tabletext"/>
                    <w:jc w:val="center"/>
                    <w:rPr>
                      <w:highlight w:val="darkGray"/>
                    </w:rPr>
                  </w:pPr>
                  <w:r w:rsidRPr="00575387">
                    <w:rPr>
                      <w:color w:val="000000" w:themeColor="text1"/>
                    </w:rPr>
                    <w:t>|</w:t>
                  </w:r>
                </w:p>
              </w:tc>
            </w:tr>
            <w:tr w:rsidR="00750261" w:rsidRPr="008E0263" w14:paraId="3B9B2133" w14:textId="77777777" w:rsidTr="00750261">
              <w:tc>
                <w:tcPr>
                  <w:tcW w:w="1413" w:type="dxa"/>
                  <w:tcMar>
                    <w:left w:w="20" w:type="dxa"/>
                    <w:right w:w="20" w:type="dxa"/>
                  </w:tcMar>
                </w:tcPr>
                <w:p w14:paraId="002EB8AD" w14:textId="5BAF0C8F" w:rsidR="00750261" w:rsidRPr="008E0263" w:rsidRDefault="00750261" w:rsidP="00750261">
                  <w:pPr>
                    <w:pStyle w:val="Tabletext"/>
                    <w:rPr>
                      <w:highlight w:val="darkGray"/>
                    </w:rPr>
                  </w:pPr>
                  <w:r w:rsidRPr="7EE24840">
                    <w:rPr>
                      <w:color w:val="000000" w:themeColor="text1"/>
                    </w:rPr>
                    <w:t>|</w:t>
                  </w:r>
                  <w:r>
                    <w:t xml:space="preserve"> </w:t>
                  </w:r>
                  <w:r w:rsidRPr="7EE24840">
                    <w:rPr>
                      <w:color w:val="000000" w:themeColor="text1"/>
                    </w:rPr>
                    <w:t>|</w:t>
                  </w:r>
                </w:p>
              </w:tc>
              <w:tc>
                <w:tcPr>
                  <w:tcW w:w="720" w:type="dxa"/>
                  <w:tcMar>
                    <w:left w:w="20" w:type="dxa"/>
                    <w:right w:w="20" w:type="dxa"/>
                  </w:tcMar>
                  <w:vAlign w:val="center"/>
                </w:tcPr>
                <w:p w14:paraId="1B6F843D" w14:textId="55BAB7EC" w:rsidR="00750261" w:rsidRPr="008E0263" w:rsidRDefault="00750261" w:rsidP="00750261">
                  <w:pPr>
                    <w:pStyle w:val="Tabletext"/>
                    <w:jc w:val="center"/>
                    <w:rPr>
                      <w:highlight w:val="darkGray"/>
                    </w:rPr>
                  </w:pPr>
                  <w:r w:rsidRPr="00A61850">
                    <w:rPr>
                      <w:color w:val="000000" w:themeColor="text1"/>
                    </w:rPr>
                    <w:t>|</w:t>
                  </w:r>
                </w:p>
              </w:tc>
              <w:tc>
                <w:tcPr>
                  <w:tcW w:w="720" w:type="dxa"/>
                  <w:tcMar>
                    <w:left w:w="20" w:type="dxa"/>
                    <w:right w:w="20" w:type="dxa"/>
                  </w:tcMar>
                  <w:vAlign w:val="center"/>
                </w:tcPr>
                <w:p w14:paraId="2030E544" w14:textId="772ECD65" w:rsidR="00750261" w:rsidRPr="008E0263" w:rsidRDefault="00750261" w:rsidP="00750261">
                  <w:pPr>
                    <w:pStyle w:val="Tabletext"/>
                    <w:jc w:val="center"/>
                    <w:rPr>
                      <w:highlight w:val="darkGray"/>
                    </w:rPr>
                  </w:pPr>
                  <w:r w:rsidRPr="00575387">
                    <w:rPr>
                      <w:color w:val="000000" w:themeColor="text1"/>
                    </w:rPr>
                    <w:t>|</w:t>
                  </w:r>
                </w:p>
              </w:tc>
            </w:tr>
            <w:tr w:rsidR="00750261" w:rsidRPr="008E0263" w14:paraId="3CD62651" w14:textId="77777777" w:rsidTr="00750261">
              <w:tc>
                <w:tcPr>
                  <w:tcW w:w="1413" w:type="dxa"/>
                  <w:tcMar>
                    <w:left w:w="20" w:type="dxa"/>
                    <w:right w:w="20" w:type="dxa"/>
                  </w:tcMar>
                </w:tcPr>
                <w:p w14:paraId="145224A2" w14:textId="39F3C85D" w:rsidR="00750261" w:rsidRPr="008E0263" w:rsidRDefault="00750261" w:rsidP="00750261">
                  <w:pPr>
                    <w:pStyle w:val="Tabletext"/>
                    <w:rPr>
                      <w:highlight w:val="darkGray"/>
                    </w:rPr>
                  </w:pPr>
                  <w:r w:rsidRPr="7EE24840">
                    <w:rPr>
                      <w:color w:val="000000" w:themeColor="text1"/>
                    </w:rPr>
                    <w:t>|</w:t>
                  </w:r>
                  <w:r>
                    <w:t xml:space="preserve"> </w:t>
                  </w:r>
                  <w:r w:rsidRPr="7EE24840">
                    <w:rPr>
                      <w:color w:val="000000" w:themeColor="text1"/>
                    </w:rPr>
                    <w:t>|</w:t>
                  </w:r>
                </w:p>
              </w:tc>
              <w:tc>
                <w:tcPr>
                  <w:tcW w:w="720" w:type="dxa"/>
                  <w:tcMar>
                    <w:left w:w="20" w:type="dxa"/>
                    <w:right w:w="20" w:type="dxa"/>
                  </w:tcMar>
                  <w:vAlign w:val="center"/>
                </w:tcPr>
                <w:p w14:paraId="2E541E23" w14:textId="598A94C6" w:rsidR="00750261" w:rsidRPr="008E0263" w:rsidRDefault="00750261" w:rsidP="00750261">
                  <w:pPr>
                    <w:pStyle w:val="Tabletext"/>
                    <w:jc w:val="center"/>
                    <w:rPr>
                      <w:highlight w:val="darkGray"/>
                    </w:rPr>
                  </w:pPr>
                  <w:r w:rsidRPr="00A61850">
                    <w:rPr>
                      <w:color w:val="000000" w:themeColor="text1"/>
                    </w:rPr>
                    <w:t>|</w:t>
                  </w:r>
                </w:p>
              </w:tc>
              <w:tc>
                <w:tcPr>
                  <w:tcW w:w="720" w:type="dxa"/>
                  <w:tcMar>
                    <w:left w:w="20" w:type="dxa"/>
                    <w:right w:w="20" w:type="dxa"/>
                  </w:tcMar>
                  <w:vAlign w:val="center"/>
                </w:tcPr>
                <w:p w14:paraId="6C1502E6" w14:textId="347A5E26" w:rsidR="00750261" w:rsidRPr="008E0263" w:rsidRDefault="00750261" w:rsidP="00750261">
                  <w:pPr>
                    <w:pStyle w:val="Tabletext"/>
                    <w:jc w:val="center"/>
                    <w:rPr>
                      <w:highlight w:val="darkGray"/>
                    </w:rPr>
                  </w:pPr>
                  <w:r w:rsidRPr="00575387">
                    <w:rPr>
                      <w:color w:val="000000" w:themeColor="text1"/>
                    </w:rPr>
                    <w:t>|</w:t>
                  </w:r>
                </w:p>
              </w:tc>
            </w:tr>
            <w:tr w:rsidR="00750261" w:rsidRPr="008E0263" w14:paraId="7C5FBCBC" w14:textId="77777777" w:rsidTr="00750261">
              <w:tc>
                <w:tcPr>
                  <w:tcW w:w="1413" w:type="dxa"/>
                  <w:tcMar>
                    <w:left w:w="20" w:type="dxa"/>
                    <w:right w:w="20" w:type="dxa"/>
                  </w:tcMar>
                </w:tcPr>
                <w:p w14:paraId="60253E06" w14:textId="22470778" w:rsidR="00750261" w:rsidRPr="008E0263" w:rsidRDefault="00750261" w:rsidP="00750261">
                  <w:pPr>
                    <w:pStyle w:val="Tabletext"/>
                    <w:rPr>
                      <w:highlight w:val="darkGray"/>
                    </w:rPr>
                  </w:pPr>
                  <w:r w:rsidRPr="7EE24840">
                    <w:rPr>
                      <w:color w:val="000000" w:themeColor="text1"/>
                    </w:rPr>
                    <w:t>|</w:t>
                  </w:r>
                  <w:r>
                    <w:t xml:space="preserve"> </w:t>
                  </w:r>
                  <w:r w:rsidRPr="7EE24840">
                    <w:rPr>
                      <w:color w:val="000000" w:themeColor="text1"/>
                    </w:rPr>
                    <w:t>|</w:t>
                  </w:r>
                </w:p>
              </w:tc>
              <w:tc>
                <w:tcPr>
                  <w:tcW w:w="720" w:type="dxa"/>
                  <w:tcMar>
                    <w:left w:w="20" w:type="dxa"/>
                    <w:right w:w="20" w:type="dxa"/>
                  </w:tcMar>
                  <w:vAlign w:val="center"/>
                </w:tcPr>
                <w:p w14:paraId="0FC95036" w14:textId="557AB910" w:rsidR="00750261" w:rsidRPr="008E0263" w:rsidRDefault="00750261" w:rsidP="00750261">
                  <w:pPr>
                    <w:pStyle w:val="Tabletext"/>
                    <w:jc w:val="center"/>
                    <w:rPr>
                      <w:highlight w:val="darkGray"/>
                    </w:rPr>
                  </w:pPr>
                  <w:r w:rsidRPr="00A61850">
                    <w:rPr>
                      <w:color w:val="000000" w:themeColor="text1"/>
                    </w:rPr>
                    <w:t>|</w:t>
                  </w:r>
                </w:p>
              </w:tc>
              <w:tc>
                <w:tcPr>
                  <w:tcW w:w="720" w:type="dxa"/>
                  <w:tcMar>
                    <w:left w:w="20" w:type="dxa"/>
                    <w:right w:w="20" w:type="dxa"/>
                  </w:tcMar>
                  <w:vAlign w:val="center"/>
                </w:tcPr>
                <w:p w14:paraId="3916EDE7" w14:textId="601A6BCF" w:rsidR="00750261" w:rsidRPr="008E0263" w:rsidRDefault="00750261" w:rsidP="00750261">
                  <w:pPr>
                    <w:pStyle w:val="Tabletext"/>
                    <w:jc w:val="center"/>
                    <w:rPr>
                      <w:highlight w:val="darkGray"/>
                    </w:rPr>
                  </w:pPr>
                  <w:r w:rsidRPr="00575387">
                    <w:rPr>
                      <w:color w:val="000000" w:themeColor="text1"/>
                    </w:rPr>
                    <w:t>|</w:t>
                  </w:r>
                </w:p>
              </w:tc>
            </w:tr>
            <w:tr w:rsidR="00750261" w:rsidRPr="008E0263" w14:paraId="3F1A7832" w14:textId="77777777" w:rsidTr="00750261">
              <w:tc>
                <w:tcPr>
                  <w:tcW w:w="1413" w:type="dxa"/>
                  <w:tcMar>
                    <w:left w:w="20" w:type="dxa"/>
                    <w:right w:w="20" w:type="dxa"/>
                  </w:tcMar>
                </w:tcPr>
                <w:p w14:paraId="16791D47" w14:textId="59F6333A" w:rsidR="00750261" w:rsidRPr="008E0263" w:rsidRDefault="00750261" w:rsidP="00750261">
                  <w:pPr>
                    <w:pStyle w:val="Tabletext"/>
                    <w:rPr>
                      <w:highlight w:val="darkGray"/>
                    </w:rPr>
                  </w:pPr>
                  <w:r w:rsidRPr="7EE24840">
                    <w:rPr>
                      <w:color w:val="000000" w:themeColor="text1"/>
                    </w:rPr>
                    <w:t>|</w:t>
                  </w:r>
                </w:p>
              </w:tc>
              <w:tc>
                <w:tcPr>
                  <w:tcW w:w="720" w:type="dxa"/>
                  <w:tcMar>
                    <w:left w:w="20" w:type="dxa"/>
                    <w:right w:w="20" w:type="dxa"/>
                  </w:tcMar>
                  <w:vAlign w:val="center"/>
                </w:tcPr>
                <w:p w14:paraId="3F64E5F7" w14:textId="70A6CB99" w:rsidR="00750261" w:rsidRPr="008E0263" w:rsidRDefault="00750261" w:rsidP="00750261">
                  <w:pPr>
                    <w:pStyle w:val="Tabletext"/>
                    <w:jc w:val="center"/>
                    <w:rPr>
                      <w:highlight w:val="darkGray"/>
                    </w:rPr>
                  </w:pPr>
                  <w:r w:rsidRPr="00A61850">
                    <w:rPr>
                      <w:color w:val="000000" w:themeColor="text1"/>
                    </w:rPr>
                    <w:t>|</w:t>
                  </w:r>
                </w:p>
              </w:tc>
              <w:tc>
                <w:tcPr>
                  <w:tcW w:w="720" w:type="dxa"/>
                  <w:tcMar>
                    <w:left w:w="20" w:type="dxa"/>
                    <w:right w:w="20" w:type="dxa"/>
                  </w:tcMar>
                  <w:vAlign w:val="center"/>
                </w:tcPr>
                <w:p w14:paraId="1CD6FEE9" w14:textId="49DD9FE5" w:rsidR="00750261" w:rsidRPr="008E0263" w:rsidRDefault="00750261" w:rsidP="00750261">
                  <w:pPr>
                    <w:pStyle w:val="Tabletext"/>
                    <w:jc w:val="center"/>
                    <w:rPr>
                      <w:highlight w:val="darkGray"/>
                    </w:rPr>
                  </w:pPr>
                  <w:r w:rsidRPr="00575387">
                    <w:rPr>
                      <w:color w:val="000000" w:themeColor="text1"/>
                    </w:rPr>
                    <w:t>|</w:t>
                  </w:r>
                </w:p>
              </w:tc>
            </w:tr>
          </w:tbl>
          <w:p w14:paraId="5EC6192C" w14:textId="19BE4EF0" w:rsidR="00485DF5" w:rsidRPr="008E0263" w:rsidRDefault="00BE733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750261" w:rsidRPr="7EE24840">
              <w:rPr>
                <w:color w:val="000000" w:themeColor="text1"/>
              </w:rPr>
              <w:t>|</w:t>
            </w:r>
          </w:p>
        </w:tc>
        <w:tc>
          <w:tcPr>
            <w:tcW w:w="1161" w:type="pct"/>
          </w:tcPr>
          <w:p w14:paraId="70C093A2" w14:textId="03940710" w:rsidR="00485DF5" w:rsidRPr="008E0263" w:rsidRDefault="00BE733D" w:rsidP="00DE1FEA">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r>
    </w:tbl>
    <w:p w14:paraId="4CF09BD0" w14:textId="49173BAE" w:rsidR="00A27FA9" w:rsidRPr="00A27FA9" w:rsidRDefault="00DB2D94"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5FFDEAEB" w14:textId="54FAFDC8" w:rsidR="00485DF5" w:rsidRPr="00310498" w:rsidRDefault="00DB2D94"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404D95AA" w14:textId="73ECE3BB" w:rsidR="0097468B" w:rsidRPr="00310498" w:rsidRDefault="006A2F0E" w:rsidP="00E37E21">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B80F89">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B80F89">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97468B" w:rsidRPr="00310498">
        <w:t>.</w:t>
      </w:r>
      <w:r w:rsidR="003D2C38" w:rsidRPr="00B80F89">
        <w:rPr>
          <w:rFonts w:cstheme="minorHAnsi"/>
          <w:sz w:val="32"/>
          <w:szCs w:val="28"/>
        </w:rPr>
        <w:t xml:space="preserve"> </w:t>
      </w:r>
      <w:r w:rsidR="00282289" w:rsidRPr="00B80F89">
        <w:rPr>
          <w:rStyle w:val="CommentReference"/>
          <w:rFonts w:asciiTheme="minorHAnsi" w:hAnsiTheme="minorHAnsi" w:cstheme="minorHAnsi"/>
          <w:b w:val="0"/>
          <w:sz w:val="24"/>
          <w:szCs w:val="32"/>
          <w:vertAlign w:val="superscript"/>
        </w:rPr>
        <w:fldChar w:fldCharType="begin" w:fldLock="1"/>
      </w:r>
      <w:r w:rsidR="00282289" w:rsidRPr="00B80F89">
        <w:rPr>
          <w:rStyle w:val="CommentReference"/>
          <w:rFonts w:asciiTheme="minorHAnsi" w:hAnsiTheme="minorHAnsi" w:cstheme="minorHAnsi"/>
          <w:b w:val="0"/>
          <w:sz w:val="24"/>
          <w:szCs w:val="32"/>
          <w:vertAlign w:val="superscript"/>
        </w:rPr>
        <w:instrText xml:space="preserve"> NOTEREF _Ref196732794 \h </w:instrText>
      </w:r>
      <w:r w:rsidR="00B80F89" w:rsidRPr="00B80F89">
        <w:rPr>
          <w:rStyle w:val="CommentReference"/>
          <w:rFonts w:asciiTheme="minorHAnsi" w:hAnsiTheme="minorHAnsi" w:cstheme="minorHAnsi"/>
          <w:b w:val="0"/>
          <w:sz w:val="24"/>
          <w:szCs w:val="32"/>
          <w:vertAlign w:val="superscript"/>
        </w:rPr>
        <w:instrText xml:space="preserve"> \* MERGEFORMAT </w:instrText>
      </w:r>
      <w:r w:rsidR="00282289" w:rsidRPr="00B80F89">
        <w:rPr>
          <w:rStyle w:val="CommentReference"/>
          <w:rFonts w:asciiTheme="minorHAnsi" w:hAnsiTheme="minorHAnsi" w:cstheme="minorHAnsi"/>
          <w:b w:val="0"/>
          <w:sz w:val="24"/>
          <w:szCs w:val="32"/>
          <w:vertAlign w:val="superscript"/>
        </w:rPr>
      </w:r>
      <w:r w:rsidR="00282289" w:rsidRPr="00B80F89">
        <w:rPr>
          <w:rStyle w:val="CommentReference"/>
          <w:rFonts w:asciiTheme="minorHAnsi" w:hAnsiTheme="minorHAnsi" w:cstheme="minorHAnsi"/>
          <w:b w:val="0"/>
          <w:sz w:val="24"/>
          <w:szCs w:val="32"/>
          <w:vertAlign w:val="superscript"/>
        </w:rPr>
        <w:fldChar w:fldCharType="separate"/>
      </w:r>
      <w:r w:rsidR="00282289" w:rsidRPr="00B80F89">
        <w:rPr>
          <w:rStyle w:val="CommentReference"/>
          <w:rFonts w:asciiTheme="minorHAnsi" w:hAnsiTheme="minorHAnsi" w:cstheme="minorHAnsi"/>
          <w:b w:val="0"/>
          <w:sz w:val="24"/>
          <w:szCs w:val="32"/>
          <w:vertAlign w:val="superscript"/>
        </w:rPr>
        <w:t>8</w:t>
      </w:r>
      <w:r w:rsidR="00282289" w:rsidRPr="00B80F89">
        <w:rPr>
          <w:rStyle w:val="CommentReference"/>
          <w:rFonts w:asciiTheme="minorHAnsi" w:hAnsiTheme="minorHAnsi" w:cstheme="minorHAnsi"/>
          <w:b w:val="0"/>
          <w:sz w:val="24"/>
          <w:szCs w:val="32"/>
          <w:vertAlign w:val="superscript"/>
        </w:rPr>
        <w:fldChar w:fldCharType="end"/>
      </w:r>
    </w:p>
    <w:p w14:paraId="523299FC" w14:textId="1B118EAD" w:rsidR="0097468B" w:rsidRPr="00310498" w:rsidRDefault="00DB2D94" w:rsidP="0097468B">
      <w:pPr>
        <w:pStyle w:val="Caption"/>
      </w:pPr>
      <w:r w:rsidRPr="7EE24840">
        <w:rPr>
          <w:color w:val="000000" w:themeColor="text1"/>
        </w:rPr>
        <w:lastRenderedPageBreak/>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000C08DD" w:rsidRPr="7EE24840">
        <w:rPr>
          <w:color w:val="000000" w:themeColor="text1"/>
        </w:rPr>
        <w:t>|</w:t>
      </w:r>
      <w:r w:rsidR="000C08DD">
        <w:t xml:space="preserve"> </w:t>
      </w:r>
      <w:bookmarkStart w:id="71" w:name="_Ref196733091"/>
      <w:r w:rsidR="000C08DD" w:rsidRPr="7EE24840">
        <w:rPr>
          <w:color w:val="000000" w:themeColor="text1"/>
        </w:rPr>
        <w:t>|</w:t>
      </w:r>
      <w:r w:rsidR="000C08DD">
        <w:t xml:space="preserve"> </w:t>
      </w:r>
      <w:bookmarkStart w:id="72" w:name="_Ref196749420"/>
      <w:r w:rsidR="00B538E7">
        <w:rPr>
          <w:rStyle w:val="FootnoteReference"/>
        </w:rPr>
        <w:footnoteReference w:id="10"/>
      </w:r>
      <w:bookmarkEnd w:id="71"/>
      <w:bookmarkEnd w:id="72"/>
    </w:p>
    <w:p w14:paraId="7A4A2AD1" w14:textId="37BC6E0E" w:rsidR="0097468B" w:rsidRPr="00310498" w:rsidRDefault="00746854" w:rsidP="0097468B">
      <w:pPr>
        <w:keepNext/>
        <w:keepLines/>
        <w:rPr>
          <w:rFonts w:ascii="Arial Narrow" w:hAnsi="Arial Narrow"/>
          <w:sz w:val="20"/>
          <w:szCs w:val="20"/>
        </w:rPr>
      </w:pPr>
      <w:r>
        <w:rPr>
          <w:noProof/>
        </w:rPr>
        <mc:AlternateContent>
          <mc:Choice Requires="wps">
            <w:drawing>
              <wp:inline distT="0" distB="0" distL="0" distR="0" wp14:anchorId="52D6E8C6" wp14:editId="19ACDE08">
                <wp:extent cx="5688330" cy="3719195"/>
                <wp:effectExtent l="0" t="0" r="26670" b="14605"/>
                <wp:docPr id="782835219" name="Rectangle 1"/>
                <wp:cNvGraphicFramePr/>
                <a:graphic xmlns:a="http://schemas.openxmlformats.org/drawingml/2006/main">
                  <a:graphicData uri="http://schemas.microsoft.com/office/word/2010/wordprocessingShape">
                    <wps:wsp>
                      <wps:cNvSpPr/>
                      <wps:spPr>
                        <a:xfrm>
                          <a:off x="0" y="0"/>
                          <a:ext cx="5688330" cy="371919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28D52E2C">
              <v:rect id="Rectangle 1" style="width:447.9pt;height:292.85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00]" strokecolor="black [480]" strokeweight="2pt" w14:anchorId="6F528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">
                <w10:anchorlock/>
              </v:rect>
            </w:pict>
          </mc:Fallback>
        </mc:AlternateContent>
      </w:r>
    </w:p>
    <w:p w14:paraId="5DE70E50" w14:textId="67C9D65C" w:rsidR="00A27FA9" w:rsidRPr="00A27FA9" w:rsidRDefault="00DB2D94" w:rsidP="00E24B8A">
      <w:pPr>
        <w:keepNext/>
        <w:keepLines/>
        <w:rPr>
          <w:rFonts w:ascii="Arial Narrow" w:hAnsi="Arial Narrow"/>
          <w:sz w:val="18"/>
          <w:szCs w:val="18"/>
        </w:rPr>
      </w:pPr>
      <w:r w:rsidRPr="00DB2D94">
        <w:rPr>
          <w:rFonts w:ascii="Arial Narrow" w:hAnsi="Arial Narrow"/>
          <w:sz w:val="18"/>
          <w:szCs w:val="18"/>
        </w:rPr>
        <w:t>| | | | |</w:t>
      </w:r>
      <w:r>
        <w:rPr>
          <w:rFonts w:ascii="Arial Narrow" w:hAnsi="Arial Narrow"/>
          <w:sz w:val="18"/>
          <w:szCs w:val="18"/>
        </w:rPr>
        <w:t xml:space="preserve"> </w:t>
      </w:r>
      <w:r w:rsidR="000C08DD" w:rsidRPr="000C08DD">
        <w:rPr>
          <w:rFonts w:ascii="Arial Narrow" w:hAnsi="Arial Narrow"/>
          <w:sz w:val="18"/>
          <w:szCs w:val="18"/>
        </w:rPr>
        <w:t>|</w:t>
      </w:r>
      <w:r w:rsidR="000C08DD">
        <w:rPr>
          <w:rFonts w:ascii="Arial Narrow" w:hAnsi="Arial Narrow"/>
          <w:sz w:val="18"/>
          <w:szCs w:val="18"/>
        </w:rPr>
        <w:t xml:space="preserve"> </w:t>
      </w:r>
      <w:r w:rsidR="000C08DD" w:rsidRPr="000C08DD">
        <w:rPr>
          <w:rFonts w:ascii="Arial Narrow" w:hAnsi="Arial Narrow"/>
          <w:sz w:val="18"/>
          <w:szCs w:val="18"/>
        </w:rPr>
        <w:t>|</w:t>
      </w:r>
      <w:r w:rsidR="000C08DD">
        <w:rPr>
          <w:rFonts w:ascii="Arial Narrow" w:hAnsi="Arial Narrow"/>
          <w:sz w:val="18"/>
          <w:szCs w:val="18"/>
        </w:rPr>
        <w:t xml:space="preserve"> </w:t>
      </w:r>
      <w:r w:rsidR="000C08DD" w:rsidRPr="000C08DD">
        <w:rPr>
          <w:rFonts w:ascii="Arial Narrow" w:hAnsi="Arial Narrow"/>
          <w:sz w:val="18"/>
          <w:szCs w:val="18"/>
        </w:rPr>
        <w:t>|</w:t>
      </w:r>
    </w:p>
    <w:p w14:paraId="078E943C" w14:textId="0D90636A" w:rsidR="00EA6CC7" w:rsidRPr="00DB2D94" w:rsidRDefault="00DB2D94" w:rsidP="00A06E1C">
      <w:pPr>
        <w:keepLines/>
        <w:rPr>
          <w:rFonts w:ascii="Arial Narrow" w:hAnsi="Arial Narrow"/>
          <w:sz w:val="18"/>
          <w:szCs w:val="18"/>
        </w:rPr>
      </w:pPr>
      <w:r w:rsidRPr="00DB2D94">
        <w:rPr>
          <w:rFonts w:ascii="Arial Narrow" w:hAnsi="Arial Narrow"/>
          <w:sz w:val="18"/>
          <w:szCs w:val="18"/>
        </w:rPr>
        <w:t>| | | | | | | | | | | | | | |</w:t>
      </w:r>
    </w:p>
    <w:p w14:paraId="1126C11F" w14:textId="5BA4299D" w:rsidR="00485DF5" w:rsidRPr="00310498" w:rsidRDefault="006A2F0E" w:rsidP="00E37E21">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F30817" w:rsidRPr="00310498">
        <w:t>.</w:t>
      </w:r>
      <w:r w:rsidR="00B538E7">
        <w:t xml:space="preserve"> </w:t>
      </w:r>
      <w:r w:rsidR="002F75CE" w:rsidRPr="002F75CE">
        <w:rPr>
          <w:vertAlign w:val="superscript"/>
        </w:rPr>
        <w:fldChar w:fldCharType="begin" w:fldLock="1"/>
      </w:r>
      <w:r w:rsidR="002F75CE" w:rsidRPr="002F75CE">
        <w:rPr>
          <w:vertAlign w:val="superscript"/>
        </w:rPr>
        <w:instrText xml:space="preserve"> NOTEREF _Ref196749420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9</w:t>
      </w:r>
      <w:r w:rsidR="002F75CE" w:rsidRPr="002F75CE">
        <w:rPr>
          <w:vertAlign w:val="superscript"/>
        </w:rPr>
        <w:fldChar w:fldCharType="end"/>
      </w:r>
    </w:p>
    <w:p w14:paraId="3C4BEE96" w14:textId="37F3795C" w:rsidR="006B3947" w:rsidRPr="00310498" w:rsidRDefault="00027947" w:rsidP="006B3947">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t xml:space="preserve"> </w:t>
      </w:r>
      <w:r w:rsidR="00651A0B" w:rsidRPr="7EE24840">
        <w:rPr>
          <w:color w:val="000000" w:themeColor="text1"/>
        </w:rPr>
        <w:t>|</w:t>
      </w:r>
      <w:r w:rsidR="00651A0B" w:rsidRPr="00A27FA9">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rsidRPr="00A27FA9">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rsidRPr="00A27FA9">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rsidRPr="00A27FA9">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rsidRPr="00A27FA9">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rsidRPr="00A27FA9">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rsidRPr="00A27FA9">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8F6980">
        <w:t xml:space="preserve"> </w:t>
      </w:r>
      <w:r w:rsidR="008F6980" w:rsidRPr="7EE24840">
        <w:rPr>
          <w:color w:val="000000" w:themeColor="text1"/>
        </w:rPr>
        <w:t>|</w:t>
      </w:r>
      <w:r w:rsidR="002F75CE">
        <w:t xml:space="preserve"> </w:t>
      </w:r>
      <w:r w:rsidR="002F75CE" w:rsidRPr="002F75CE">
        <w:rPr>
          <w:vertAlign w:val="superscript"/>
        </w:rPr>
        <w:fldChar w:fldCharType="begin" w:fldLock="1"/>
      </w:r>
      <w:r w:rsidR="002F75CE" w:rsidRPr="002F75CE">
        <w:rPr>
          <w:vertAlign w:val="superscript"/>
        </w:rPr>
        <w:instrText xml:space="preserve"> NOTEREF _Ref196749420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9</w:t>
      </w:r>
      <w:r w:rsidR="002F75CE" w:rsidRPr="002F75CE">
        <w:rPr>
          <w:vertAlign w:val="superscript"/>
        </w:rPr>
        <w:fldChar w:fldCharType="end"/>
      </w:r>
    </w:p>
    <w:p w14:paraId="47EEDC92" w14:textId="581BA771" w:rsidR="00747F7A" w:rsidRPr="00310498" w:rsidRDefault="008F6980" w:rsidP="006B3947">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t xml:space="preserve"> </w:t>
      </w:r>
      <w:r w:rsidR="00DA634F" w:rsidRPr="7EE24840">
        <w:rPr>
          <w:color w:val="000000" w:themeColor="text1"/>
        </w:rPr>
        <w:t>|</w:t>
      </w:r>
      <w:r w:rsidR="00DA634F" w:rsidRPr="00A27FA9">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rsidRPr="00A27FA9">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rsidRPr="00A27FA9">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rsidRPr="00A27FA9">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rsidRPr="00A27FA9">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rsidRPr="00A27FA9">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E251BA">
        <w:t xml:space="preserve"> </w:t>
      </w:r>
      <w:r w:rsidR="00E251BA" w:rsidRPr="7EE24840">
        <w:rPr>
          <w:color w:val="000000" w:themeColor="text1"/>
        </w:rPr>
        <w:t>|</w:t>
      </w:r>
      <w:r w:rsidR="002F75CE">
        <w:t xml:space="preserve"> </w:t>
      </w:r>
      <w:r w:rsidR="002F75CE" w:rsidRPr="002F75CE">
        <w:rPr>
          <w:vertAlign w:val="superscript"/>
        </w:rPr>
        <w:fldChar w:fldCharType="begin" w:fldLock="1"/>
      </w:r>
      <w:r w:rsidR="002F75CE" w:rsidRPr="002F75CE">
        <w:rPr>
          <w:vertAlign w:val="superscript"/>
        </w:rPr>
        <w:instrText xml:space="preserve"> NOTEREF _Ref196749420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9</w:t>
      </w:r>
      <w:r w:rsidR="002F75CE" w:rsidRPr="002F75CE">
        <w:rPr>
          <w:vertAlign w:val="superscript"/>
        </w:rPr>
        <w:fldChar w:fldCharType="end"/>
      </w:r>
    </w:p>
    <w:p w14:paraId="2970B793" w14:textId="18C6D01A" w:rsidR="00F30817" w:rsidRPr="00310498" w:rsidRDefault="0015757F" w:rsidP="00F30817">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lastRenderedPageBreak/>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rsidRPr="00A27FA9">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4627AC">
        <w:t xml:space="preserve"> </w:t>
      </w:r>
      <w:r w:rsidR="004627AC" w:rsidRPr="7EE24840">
        <w:rPr>
          <w:color w:val="000000" w:themeColor="text1"/>
        </w:rPr>
        <w:t>|</w:t>
      </w:r>
      <w:r w:rsidR="006B3947" w:rsidRPr="00310498">
        <w:t>.</w:t>
      </w:r>
      <w:r w:rsidR="009C48AB" w:rsidRPr="00310498">
        <w:t xml:space="preserve"> </w:t>
      </w:r>
      <w:bookmarkStart w:id="73" w:name="_Ref196733668"/>
      <w:r w:rsidR="0021025A">
        <w:rPr>
          <w:rStyle w:val="FootnoteReference"/>
        </w:rPr>
        <w:footnoteReference w:id="11"/>
      </w:r>
      <w:bookmarkEnd w:id="73"/>
    </w:p>
    <w:p w14:paraId="4623DA70" w14:textId="42B42BD2" w:rsidR="00F25D50" w:rsidRPr="00310498" w:rsidRDefault="00902C28"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3C42F5">
        <w:t xml:space="preserve"> </w:t>
      </w:r>
      <w:r w:rsidR="002F75CE" w:rsidRPr="002F75CE">
        <w:rPr>
          <w:vertAlign w:val="superscript"/>
        </w:rPr>
        <w:fldChar w:fldCharType="begin" w:fldLock="1"/>
      </w:r>
      <w:r w:rsidR="002F75CE" w:rsidRPr="002F75CE">
        <w:rPr>
          <w:vertAlign w:val="superscript"/>
        </w:rPr>
        <w:instrText xml:space="preserve"> NOTEREF _Ref196733668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10</w:t>
      </w:r>
      <w:r w:rsidR="002F75CE" w:rsidRPr="002F75CE">
        <w:rPr>
          <w:vertAlign w:val="superscript"/>
        </w:rPr>
        <w:fldChar w:fldCharType="end"/>
      </w:r>
    </w:p>
    <w:p w14:paraId="0943B0BA" w14:textId="104C98E1" w:rsidR="006B3947" w:rsidRPr="00310498" w:rsidRDefault="00902C28" w:rsidP="00022017">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t xml:space="preserve"> </w:t>
      </w:r>
      <w:r w:rsidR="00A923A7" w:rsidRPr="7EE24840">
        <w:rPr>
          <w:color w:val="000000" w:themeColor="text1"/>
        </w:rPr>
        <w:t>|</w:t>
      </w:r>
      <w:r w:rsidR="00A923A7"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t xml:space="preserve"> </w:t>
      </w:r>
      <w:r w:rsidR="004F0DEC" w:rsidRPr="7EE24840">
        <w:rPr>
          <w:color w:val="000000" w:themeColor="text1"/>
        </w:rPr>
        <w:t>|</w:t>
      </w:r>
      <w:r w:rsidR="004F0DEC"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t xml:space="preserve"> </w:t>
      </w:r>
      <w:r w:rsidR="00C91300" w:rsidRPr="7EE24840">
        <w:rPr>
          <w:color w:val="000000" w:themeColor="text1"/>
        </w:rPr>
        <w:t>|</w:t>
      </w:r>
      <w:r w:rsidR="00C91300" w:rsidRPr="00A27FA9">
        <w:t xml:space="preserve"> </w:t>
      </w:r>
      <w:r w:rsidR="003E625F" w:rsidRPr="7EE24840">
        <w:rPr>
          <w:color w:val="000000" w:themeColor="text1"/>
        </w:rPr>
        <w:t>|</w:t>
      </w:r>
      <w:r w:rsidR="003E625F">
        <w:t xml:space="preserve"> </w:t>
      </w:r>
      <w:r w:rsidR="003E625F" w:rsidRPr="7EE24840">
        <w:rPr>
          <w:color w:val="000000" w:themeColor="text1"/>
        </w:rPr>
        <w:t>|</w:t>
      </w:r>
      <w:r w:rsidR="003E625F">
        <w:t xml:space="preserve"> </w:t>
      </w:r>
      <w:r w:rsidR="003E625F" w:rsidRPr="7EE24840">
        <w:rPr>
          <w:color w:val="000000" w:themeColor="text1"/>
        </w:rPr>
        <w:t>|</w:t>
      </w:r>
      <w:r w:rsidR="003E625F">
        <w:t xml:space="preserve"> </w:t>
      </w:r>
      <w:r w:rsidR="003E625F" w:rsidRPr="7EE24840">
        <w:rPr>
          <w:color w:val="000000" w:themeColor="text1"/>
        </w:rPr>
        <w:t>|</w:t>
      </w:r>
      <w:r w:rsidR="003E625F">
        <w:t xml:space="preserve"> </w:t>
      </w:r>
      <w:r w:rsidR="003E625F" w:rsidRPr="7EE24840">
        <w:rPr>
          <w:color w:val="000000" w:themeColor="text1"/>
        </w:rPr>
        <w:t>|</w:t>
      </w:r>
      <w:r w:rsidR="003E625F" w:rsidRPr="00A27FA9">
        <w:t xml:space="preserve"> </w:t>
      </w:r>
      <w:r w:rsidR="003E625F" w:rsidRPr="7EE24840">
        <w:rPr>
          <w:color w:val="000000" w:themeColor="text1"/>
        </w:rPr>
        <w:t>|</w:t>
      </w:r>
      <w:r w:rsidR="003E625F">
        <w:t xml:space="preserve"> </w:t>
      </w:r>
      <w:r w:rsidR="003E625F" w:rsidRPr="7EE24840">
        <w:rPr>
          <w:color w:val="000000" w:themeColor="text1"/>
        </w:rPr>
        <w:t>|</w:t>
      </w:r>
      <w:r w:rsidR="003E625F">
        <w:t xml:space="preserve"> </w:t>
      </w:r>
      <w:r w:rsidR="003E625F" w:rsidRPr="7EE24840">
        <w:rPr>
          <w:color w:val="000000" w:themeColor="text1"/>
        </w:rPr>
        <w:t>|</w:t>
      </w:r>
      <w:r w:rsidR="003E625F">
        <w:t xml:space="preserve"> </w:t>
      </w:r>
      <w:r w:rsidR="003E625F" w:rsidRPr="7EE24840">
        <w:rPr>
          <w:color w:val="000000" w:themeColor="text1"/>
        </w:rPr>
        <w:t>|</w:t>
      </w:r>
      <w:r w:rsidR="003E625F">
        <w:t xml:space="preserve"> </w:t>
      </w:r>
      <w:r w:rsidR="003E625F" w:rsidRPr="7EE24840">
        <w:rPr>
          <w:color w:val="000000" w:themeColor="text1"/>
        </w:rPr>
        <w:t>|</w:t>
      </w:r>
      <w:r w:rsidR="003E625F" w:rsidRPr="00A27FA9">
        <w:t xml:space="preserve"> </w:t>
      </w:r>
      <w:r w:rsidR="003E625F" w:rsidRPr="7EE24840">
        <w:rPr>
          <w:color w:val="000000" w:themeColor="text1"/>
        </w:rPr>
        <w:t>|</w:t>
      </w:r>
      <w:r w:rsidR="003E625F">
        <w:t xml:space="preserve"> </w:t>
      </w:r>
      <w:r w:rsidR="003E625F" w:rsidRPr="7EE24840">
        <w:rPr>
          <w:color w:val="000000" w:themeColor="text1"/>
        </w:rPr>
        <w:t>|</w:t>
      </w:r>
      <w:r w:rsidR="003E625F">
        <w:t xml:space="preserve"> </w:t>
      </w:r>
      <w:r w:rsidR="003E625F" w:rsidRPr="7EE24840">
        <w:rPr>
          <w:color w:val="000000" w:themeColor="text1"/>
        </w:rPr>
        <w:t>|</w:t>
      </w:r>
      <w:r w:rsidR="003E625F">
        <w:t xml:space="preserve"> </w:t>
      </w:r>
      <w:r w:rsidR="003E625F" w:rsidRPr="7EE24840">
        <w:rPr>
          <w:color w:val="000000" w:themeColor="text1"/>
        </w:rPr>
        <w:t>|</w:t>
      </w:r>
      <w:r w:rsidR="003E625F">
        <w:t xml:space="preserve"> </w:t>
      </w:r>
      <w:r w:rsidR="003E625F" w:rsidRPr="7EE24840">
        <w:rPr>
          <w:color w:val="000000" w:themeColor="text1"/>
        </w:rPr>
        <w:t>|</w:t>
      </w:r>
      <w:r w:rsidR="003E625F" w:rsidRPr="00A27FA9">
        <w:t xml:space="preserve"> </w:t>
      </w:r>
      <w:r w:rsidR="002F75CE" w:rsidRPr="002F75CE">
        <w:rPr>
          <w:vertAlign w:val="superscript"/>
        </w:rPr>
        <w:fldChar w:fldCharType="begin" w:fldLock="1"/>
      </w:r>
      <w:r w:rsidR="002F75CE" w:rsidRPr="002F75CE">
        <w:rPr>
          <w:vertAlign w:val="superscript"/>
        </w:rPr>
        <w:instrText xml:space="preserve"> NOTEREF _Ref196733668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10</w:t>
      </w:r>
      <w:r w:rsidR="002F75CE" w:rsidRPr="002F75CE">
        <w:rPr>
          <w:vertAlign w:val="superscript"/>
        </w:rPr>
        <w:fldChar w:fldCharType="end"/>
      </w:r>
    </w:p>
    <w:p w14:paraId="60CCCA43" w14:textId="0200808E" w:rsidR="00485DF5" w:rsidRPr="00310498" w:rsidRDefault="003E625F" w:rsidP="00485DF5">
      <w:pPr>
        <w:pStyle w:val="3-BodyText"/>
      </w:pPr>
      <w:bookmarkStart w:id="74" w:name="_Ref196733710"/>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bookmarkEnd w:id="74"/>
      <w:r w:rsidR="002F75CE" w:rsidRPr="002F75CE">
        <w:rPr>
          <w:vertAlign w:val="superscript"/>
        </w:rPr>
        <w:fldChar w:fldCharType="begin" w:fldLock="1"/>
      </w:r>
      <w:r w:rsidR="002F75CE" w:rsidRPr="002F75CE">
        <w:rPr>
          <w:vertAlign w:val="superscript"/>
        </w:rPr>
        <w:instrText xml:space="preserve"> NOTEREF _Ref196733668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10</w:t>
      </w:r>
      <w:r w:rsidR="002F75CE" w:rsidRPr="002F75CE">
        <w:rPr>
          <w:vertAlign w:val="superscript"/>
        </w:rPr>
        <w:fldChar w:fldCharType="end"/>
      </w:r>
    </w:p>
    <w:p w14:paraId="2B7855FE" w14:textId="723A8A3C" w:rsidR="00485DF5" w:rsidRPr="00310498" w:rsidRDefault="003E625F"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2F75CE" w:rsidRPr="002F75CE">
        <w:rPr>
          <w:vertAlign w:val="superscript"/>
        </w:rPr>
        <w:fldChar w:fldCharType="begin" w:fldLock="1"/>
      </w:r>
      <w:r w:rsidR="002F75CE" w:rsidRPr="002F75CE">
        <w:rPr>
          <w:vertAlign w:val="superscript"/>
        </w:rPr>
        <w:instrText xml:space="preserve"> NOTEREF _Ref196733668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10</w:t>
      </w:r>
      <w:r w:rsidR="002F75CE" w:rsidRPr="002F75CE">
        <w:rPr>
          <w:vertAlign w:val="superscript"/>
        </w:rPr>
        <w:fldChar w:fldCharType="end"/>
      </w:r>
    </w:p>
    <w:p w14:paraId="4287A918" w14:textId="11E18568" w:rsidR="00485DF5" w:rsidRPr="00310498" w:rsidRDefault="00417D01" w:rsidP="00AD7CED">
      <w:pPr>
        <w:pStyle w:val="Caption"/>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2F75CE" w:rsidRPr="002F75CE">
        <w:rPr>
          <w:vertAlign w:val="superscript"/>
        </w:rPr>
        <w:fldChar w:fldCharType="begin" w:fldLock="1"/>
      </w:r>
      <w:r w:rsidR="002F75CE" w:rsidRPr="002F75CE">
        <w:rPr>
          <w:vertAlign w:val="superscript"/>
        </w:rPr>
        <w:instrText xml:space="preserve"> NOTEREF _Ref196733668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10</w:t>
      </w:r>
      <w:r w:rsidR="002F75CE" w:rsidRPr="002F75CE">
        <w:rPr>
          <w:vertAlign w:val="superscript"/>
        </w:rPr>
        <w:fldChar w:fldCharType="end"/>
      </w:r>
    </w:p>
    <w:tbl>
      <w:tblPr>
        <w:tblStyle w:val="HTATableshaded"/>
        <w:tblW w:w="5000" w:type="pct"/>
        <w:tblLook w:val="04A0" w:firstRow="1" w:lastRow="0" w:firstColumn="1" w:lastColumn="0" w:noHBand="0" w:noVBand="1"/>
      </w:tblPr>
      <w:tblGrid>
        <w:gridCol w:w="1315"/>
        <w:gridCol w:w="2520"/>
        <w:gridCol w:w="2761"/>
        <w:gridCol w:w="2444"/>
      </w:tblGrid>
      <w:tr w:rsidR="00962EC7" w:rsidRPr="003C42F5" w14:paraId="3397A354" w14:textId="77777777" w:rsidTr="002022BB">
        <w:trPr>
          <w:cnfStyle w:val="100000000000" w:firstRow="1" w:lastRow="0" w:firstColumn="0" w:lastColumn="0" w:oddVBand="0" w:evenVBand="0" w:oddHBand="0" w:evenHBand="0" w:firstRowFirstColumn="0" w:firstRowLastColumn="0" w:lastRowFirstColumn="0" w:lastRowLastColumn="0"/>
          <w:trHeight w:val="98"/>
        </w:trPr>
        <w:tc>
          <w:tcPr>
            <w:tcW w:w="727" w:type="pct"/>
            <w:shd w:val="clear" w:color="auto" w:fill="auto"/>
            <w:tcMar>
              <w:left w:w="20" w:type="dxa"/>
              <w:right w:w="20" w:type="dxa"/>
            </w:tcMar>
            <w:vAlign w:val="center"/>
          </w:tcPr>
          <w:p w14:paraId="696EE3EB" w14:textId="3A49F454" w:rsidR="00485DF5" w:rsidRPr="003C42F5" w:rsidRDefault="000C08DD" w:rsidP="00AD7CED">
            <w:pPr>
              <w:pStyle w:val="In-tableHeading"/>
              <w:rPr>
                <w:sz w:val="20"/>
                <w:szCs w:val="20"/>
                <w:highlight w:val="darkGray"/>
                <w:lang w:val="en-AU"/>
              </w:rPr>
            </w:pPr>
            <w:r w:rsidRPr="7EE24840">
              <w:rPr>
                <w:color w:val="000000" w:themeColor="text1"/>
              </w:rPr>
              <w:t>|</w:t>
            </w:r>
            <w:r>
              <w:t xml:space="preserve"> </w:t>
            </w:r>
            <w:r w:rsidRPr="7EE24840">
              <w:rPr>
                <w:color w:val="000000" w:themeColor="text1"/>
              </w:rPr>
              <w:t>|</w:t>
            </w:r>
          </w:p>
        </w:tc>
        <w:tc>
          <w:tcPr>
            <w:tcW w:w="1394" w:type="pct"/>
            <w:shd w:val="clear" w:color="auto" w:fill="auto"/>
            <w:tcMar>
              <w:left w:w="20" w:type="dxa"/>
              <w:right w:w="20" w:type="dxa"/>
            </w:tcMar>
            <w:vAlign w:val="center"/>
          </w:tcPr>
          <w:p w14:paraId="5E2AA548" w14:textId="2701FBED" w:rsidR="00485DF5" w:rsidRPr="003C42F5" w:rsidRDefault="00417D01" w:rsidP="00AD7CED">
            <w:pPr>
              <w:pStyle w:val="In-tableHeading"/>
              <w:jc w:val="center"/>
              <w:rPr>
                <w:sz w:val="20"/>
                <w:szCs w:val="20"/>
                <w:highlight w:val="darkGray"/>
                <w:lang w:val="en-AU"/>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1527" w:type="pct"/>
            <w:shd w:val="clear" w:color="auto" w:fill="auto"/>
            <w:tcMar>
              <w:left w:w="20" w:type="dxa"/>
              <w:right w:w="20" w:type="dxa"/>
            </w:tcMar>
            <w:vAlign w:val="center"/>
          </w:tcPr>
          <w:p w14:paraId="25139F1D" w14:textId="2864B057" w:rsidR="00485DF5" w:rsidRPr="003C42F5" w:rsidRDefault="00417D01" w:rsidP="00AD7CED">
            <w:pPr>
              <w:pStyle w:val="In-tableHeading"/>
              <w:jc w:val="center"/>
              <w:rPr>
                <w:sz w:val="20"/>
                <w:szCs w:val="20"/>
                <w:highlight w:val="darkGray"/>
                <w:lang w:val="en-AU"/>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1352" w:type="pct"/>
            <w:shd w:val="clear" w:color="auto" w:fill="auto"/>
            <w:tcMar>
              <w:left w:w="20" w:type="dxa"/>
              <w:right w:w="20" w:type="dxa"/>
            </w:tcMar>
            <w:vAlign w:val="center"/>
          </w:tcPr>
          <w:p w14:paraId="7CCBDAD9" w14:textId="5326BF0E" w:rsidR="00485DF5" w:rsidRPr="003C42F5" w:rsidRDefault="00417D01" w:rsidP="00AD7CED">
            <w:pPr>
              <w:pStyle w:val="In-tableHeading"/>
              <w:jc w:val="center"/>
              <w:rPr>
                <w:sz w:val="20"/>
                <w:szCs w:val="20"/>
                <w:highlight w:val="darkGray"/>
                <w:lang w:val="en-AU"/>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r>
      <w:tr w:rsidR="00962EC7" w:rsidRPr="003C42F5" w14:paraId="5B4A47F1" w14:textId="77777777" w:rsidTr="002022BB">
        <w:tc>
          <w:tcPr>
            <w:tcW w:w="727" w:type="pct"/>
            <w:shd w:val="clear" w:color="auto" w:fill="auto"/>
            <w:tcMar>
              <w:left w:w="20" w:type="dxa"/>
              <w:right w:w="20" w:type="dxa"/>
            </w:tcMar>
            <w:vAlign w:val="center"/>
          </w:tcPr>
          <w:p w14:paraId="5B61A7F4" w14:textId="2D4BE24E" w:rsidR="00485DF5" w:rsidRPr="003C42F5" w:rsidRDefault="000C08DD" w:rsidP="00AD7CED">
            <w:pPr>
              <w:pStyle w:val="Tabletext"/>
              <w:keepNext/>
              <w:keepLines/>
              <w:rPr>
                <w:highlight w:val="darkGray"/>
              </w:rPr>
            </w:pPr>
            <w:r w:rsidRPr="7EE24840">
              <w:rPr>
                <w:color w:val="000000" w:themeColor="text1"/>
              </w:rPr>
              <w:t>|</w:t>
            </w:r>
          </w:p>
        </w:tc>
        <w:tc>
          <w:tcPr>
            <w:tcW w:w="1394" w:type="pct"/>
            <w:shd w:val="clear" w:color="auto" w:fill="auto"/>
            <w:tcMar>
              <w:left w:w="20" w:type="dxa"/>
              <w:right w:w="20" w:type="dxa"/>
            </w:tcMar>
            <w:vAlign w:val="center"/>
          </w:tcPr>
          <w:p w14:paraId="4C751EB2" w14:textId="352FCD76" w:rsidR="00485DF5" w:rsidRPr="003C42F5" w:rsidRDefault="000C08DD" w:rsidP="00AD7CED">
            <w:pPr>
              <w:pStyle w:val="Tabletext"/>
              <w:keepNext/>
              <w:keepLines/>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A27FA9" w:rsidRPr="00A27FA9">
              <w:t xml:space="preserve"> </w:t>
            </w:r>
            <w:r w:rsidRPr="7EE24840">
              <w:rPr>
                <w:color w:val="000000" w:themeColor="text1"/>
              </w:rPr>
              <w:t>|</w:t>
            </w:r>
            <w:r>
              <w:t xml:space="preserve"> </w:t>
            </w:r>
          </w:p>
        </w:tc>
        <w:tc>
          <w:tcPr>
            <w:tcW w:w="1527" w:type="pct"/>
            <w:shd w:val="clear" w:color="auto" w:fill="auto"/>
            <w:tcMar>
              <w:left w:w="20" w:type="dxa"/>
              <w:right w:w="20" w:type="dxa"/>
            </w:tcMar>
            <w:vAlign w:val="center"/>
          </w:tcPr>
          <w:p w14:paraId="44277173" w14:textId="0E610217" w:rsidR="00485DF5" w:rsidRPr="003C42F5" w:rsidRDefault="000C08DD" w:rsidP="00AD7CED">
            <w:pPr>
              <w:pStyle w:val="Tabletext"/>
              <w:keepNext/>
              <w:keepLines/>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1352" w:type="pct"/>
            <w:shd w:val="clear" w:color="auto" w:fill="auto"/>
            <w:tcMar>
              <w:left w:w="20" w:type="dxa"/>
              <w:right w:w="20" w:type="dxa"/>
            </w:tcMar>
            <w:vAlign w:val="center"/>
          </w:tcPr>
          <w:p w14:paraId="38381A00" w14:textId="1BADB483" w:rsidR="00485DF5" w:rsidRPr="003C42F5" w:rsidRDefault="00417D01" w:rsidP="00AD7CED">
            <w:pPr>
              <w:pStyle w:val="Tabletext"/>
              <w:keepNext/>
              <w:keepLines/>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p>
        </w:tc>
      </w:tr>
      <w:tr w:rsidR="00C56007" w:rsidRPr="003C42F5" w14:paraId="5F3277E9" w14:textId="77777777" w:rsidTr="002022BB">
        <w:tc>
          <w:tcPr>
            <w:tcW w:w="727" w:type="pct"/>
            <w:tcMar>
              <w:left w:w="20" w:type="dxa"/>
              <w:right w:w="20" w:type="dxa"/>
            </w:tcMar>
            <w:vAlign w:val="center"/>
          </w:tcPr>
          <w:p w14:paraId="4BB6CF80" w14:textId="200E4B77" w:rsidR="00485DF5" w:rsidRPr="003C42F5" w:rsidRDefault="000C08DD">
            <w:pPr>
              <w:pStyle w:val="Tabletext"/>
              <w:rPr>
                <w:highlight w:val="darkGray"/>
              </w:rPr>
            </w:pPr>
            <w:r w:rsidRPr="7EE24840">
              <w:rPr>
                <w:color w:val="000000" w:themeColor="text1"/>
              </w:rPr>
              <w:t>|</w:t>
            </w:r>
          </w:p>
        </w:tc>
        <w:tc>
          <w:tcPr>
            <w:tcW w:w="1394" w:type="pct"/>
            <w:tcMar>
              <w:left w:w="20" w:type="dxa"/>
              <w:right w:w="20" w:type="dxa"/>
            </w:tcMar>
            <w:vAlign w:val="center"/>
          </w:tcPr>
          <w:p w14:paraId="3F43515E" w14:textId="24D93551" w:rsidR="00485DF5" w:rsidRPr="003C42F5" w:rsidRDefault="000C08DD">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1527" w:type="pct"/>
            <w:tcMar>
              <w:left w:w="20" w:type="dxa"/>
              <w:right w:w="20" w:type="dxa"/>
            </w:tcMar>
            <w:vAlign w:val="center"/>
          </w:tcPr>
          <w:p w14:paraId="14956442" w14:textId="6501BA9D" w:rsidR="00485DF5" w:rsidRPr="003C42F5" w:rsidRDefault="000C08DD">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1352" w:type="pct"/>
            <w:tcMar>
              <w:left w:w="20" w:type="dxa"/>
              <w:right w:w="20" w:type="dxa"/>
            </w:tcMar>
            <w:vAlign w:val="center"/>
          </w:tcPr>
          <w:p w14:paraId="4233FB0A" w14:textId="6CBD7F7A" w:rsidR="00485DF5" w:rsidRPr="003C42F5" w:rsidRDefault="000C08DD">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r>
      <w:tr w:rsidR="006F0E5E" w:rsidRPr="003C42F5" w14:paraId="08D56542" w14:textId="77777777" w:rsidTr="002022BB">
        <w:tc>
          <w:tcPr>
            <w:tcW w:w="727" w:type="pct"/>
            <w:tcMar>
              <w:left w:w="20" w:type="dxa"/>
              <w:right w:w="20" w:type="dxa"/>
            </w:tcMar>
            <w:vAlign w:val="center"/>
          </w:tcPr>
          <w:p w14:paraId="348A8309" w14:textId="15C12627" w:rsidR="007604C1" w:rsidRPr="003C42F5" w:rsidRDefault="000C08DD">
            <w:pPr>
              <w:pStyle w:val="Tabletext"/>
              <w:rPr>
                <w:highlight w:val="darkGray"/>
              </w:rPr>
            </w:pPr>
            <w:r w:rsidRPr="7EE24840">
              <w:rPr>
                <w:color w:val="000000" w:themeColor="text1"/>
              </w:rPr>
              <w:t>|</w:t>
            </w:r>
            <w:r>
              <w:t xml:space="preserve"> </w:t>
            </w:r>
            <w:r w:rsidRPr="7EE24840">
              <w:rPr>
                <w:color w:val="000000" w:themeColor="text1"/>
              </w:rPr>
              <w:t>|</w:t>
            </w:r>
          </w:p>
        </w:tc>
        <w:tc>
          <w:tcPr>
            <w:tcW w:w="1394" w:type="pct"/>
            <w:tcMar>
              <w:left w:w="20" w:type="dxa"/>
              <w:right w:w="20" w:type="dxa"/>
            </w:tcMar>
            <w:vAlign w:val="center"/>
          </w:tcPr>
          <w:p w14:paraId="40D1C9CF" w14:textId="42679EA3" w:rsidR="007604C1" w:rsidRPr="003C42F5" w:rsidRDefault="000C08DD">
            <w:pPr>
              <w:pStyle w:val="Tabletext"/>
              <w:rPr>
                <w:highlight w:val="darkGray"/>
              </w:rPr>
            </w:pPr>
            <w:r w:rsidRPr="7EE24840">
              <w:rPr>
                <w:color w:val="000000" w:themeColor="text1"/>
              </w:rPr>
              <w:t>|</w:t>
            </w:r>
            <w:r>
              <w:t xml:space="preserve"> </w:t>
            </w:r>
          </w:p>
        </w:tc>
        <w:tc>
          <w:tcPr>
            <w:tcW w:w="1527" w:type="pct"/>
            <w:tcMar>
              <w:left w:w="20" w:type="dxa"/>
              <w:right w:w="20" w:type="dxa"/>
            </w:tcMar>
            <w:vAlign w:val="center"/>
          </w:tcPr>
          <w:p w14:paraId="4B37E65C" w14:textId="3D751FFD" w:rsidR="007604C1" w:rsidRPr="003C42F5" w:rsidRDefault="000C08DD">
            <w:pPr>
              <w:pStyle w:val="Tabletext"/>
              <w:rPr>
                <w:highlight w:val="darkGray"/>
              </w:rPr>
            </w:pPr>
            <w:r w:rsidRPr="7EE24840">
              <w:rPr>
                <w:color w:val="000000" w:themeColor="text1"/>
              </w:rPr>
              <w:t>|</w:t>
            </w:r>
            <w:r>
              <w:t xml:space="preserve"> </w:t>
            </w:r>
          </w:p>
        </w:tc>
        <w:tc>
          <w:tcPr>
            <w:tcW w:w="1352" w:type="pct"/>
            <w:tcMar>
              <w:left w:w="20" w:type="dxa"/>
              <w:right w:w="20" w:type="dxa"/>
            </w:tcMar>
            <w:vAlign w:val="center"/>
          </w:tcPr>
          <w:p w14:paraId="3A8D414C" w14:textId="0B201632" w:rsidR="007604C1" w:rsidRPr="003C42F5" w:rsidRDefault="000C08DD">
            <w:pPr>
              <w:pStyle w:val="Tabletext"/>
              <w:rPr>
                <w:highlight w:val="darkGray"/>
              </w:rPr>
            </w:pPr>
            <w:r w:rsidRPr="7EE24840">
              <w:rPr>
                <w:color w:val="000000" w:themeColor="text1"/>
              </w:rPr>
              <w:t>|</w:t>
            </w:r>
            <w:r>
              <w:t xml:space="preserve"> </w:t>
            </w:r>
          </w:p>
        </w:tc>
      </w:tr>
    </w:tbl>
    <w:p w14:paraId="37E625F0" w14:textId="353B22CB" w:rsidR="00A27FA9" w:rsidRPr="00A27FA9" w:rsidRDefault="00E54ADD"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2E2F1836" w14:textId="0FEF67A4" w:rsidR="00485DF5" w:rsidRPr="00310498" w:rsidRDefault="00E54ADD"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7BA23126" w14:textId="6E52A6AB" w:rsidR="00485DF5" w:rsidRPr="00310498" w:rsidRDefault="003E625F"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2F75CE" w:rsidRPr="002F75CE">
        <w:rPr>
          <w:vertAlign w:val="superscript"/>
        </w:rPr>
        <w:fldChar w:fldCharType="begin" w:fldLock="1"/>
      </w:r>
      <w:r w:rsidR="002F75CE" w:rsidRPr="002F75CE">
        <w:rPr>
          <w:vertAlign w:val="superscript"/>
        </w:rPr>
        <w:instrText xml:space="preserve"> NOTEREF _Ref196733668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10</w:t>
      </w:r>
      <w:r w:rsidR="002F75CE" w:rsidRPr="002F75CE">
        <w:rPr>
          <w:vertAlign w:val="superscript"/>
        </w:rPr>
        <w:fldChar w:fldCharType="end"/>
      </w:r>
    </w:p>
    <w:p w14:paraId="18447BF0" w14:textId="2F00B299" w:rsidR="00485DF5" w:rsidRPr="00310498" w:rsidRDefault="003E625F"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FB0C76" w:rsidRPr="7EE24840">
        <w:rPr>
          <w:color w:val="000000" w:themeColor="text1"/>
        </w:rPr>
        <w:t>|</w:t>
      </w:r>
      <w:r w:rsidR="00FB0C76">
        <w:t xml:space="preserve"> </w:t>
      </w:r>
      <w:r w:rsidR="00FB0C76" w:rsidRPr="7EE24840">
        <w:rPr>
          <w:color w:val="000000" w:themeColor="text1"/>
        </w:rPr>
        <w:t>|</w:t>
      </w:r>
      <w:r w:rsidR="00FB0C76">
        <w:t xml:space="preserve"> </w:t>
      </w:r>
      <w:r w:rsidR="00FB0C76" w:rsidRPr="7EE24840">
        <w:rPr>
          <w:color w:val="000000" w:themeColor="text1"/>
        </w:rPr>
        <w:t>|</w:t>
      </w:r>
      <w:r w:rsidR="00FB0C76">
        <w:t xml:space="preserve"> </w:t>
      </w:r>
      <w:r w:rsidR="00FB0C76" w:rsidRPr="7EE24840">
        <w:rPr>
          <w:color w:val="000000" w:themeColor="text1"/>
        </w:rPr>
        <w:t>|</w:t>
      </w:r>
      <w:r w:rsidR="00FB0C76">
        <w:t xml:space="preserve"> </w:t>
      </w:r>
      <w:r w:rsidR="00FB0C76" w:rsidRPr="7EE24840">
        <w:rPr>
          <w:color w:val="000000" w:themeColor="text1"/>
        </w:rPr>
        <w:t>|</w:t>
      </w:r>
      <w:r w:rsidR="00FB0C76" w:rsidRPr="00A27FA9">
        <w:t xml:space="preserve"> </w:t>
      </w:r>
      <w:r w:rsidR="00FB0C76" w:rsidRPr="7EE24840">
        <w:rPr>
          <w:color w:val="000000" w:themeColor="text1"/>
        </w:rPr>
        <w:t>|</w:t>
      </w:r>
      <w:r w:rsidR="00FB0C76">
        <w:t xml:space="preserve"> </w:t>
      </w:r>
      <w:r w:rsidR="00FB0C76" w:rsidRPr="7EE24840">
        <w:rPr>
          <w:color w:val="000000" w:themeColor="text1"/>
        </w:rPr>
        <w:t>|</w:t>
      </w:r>
      <w:r w:rsidR="00FB0C76">
        <w:t xml:space="preserve"> </w:t>
      </w:r>
      <w:r w:rsidR="00FB0C76" w:rsidRPr="7EE24840">
        <w:rPr>
          <w:color w:val="000000" w:themeColor="text1"/>
        </w:rPr>
        <w:t>|</w:t>
      </w:r>
      <w:r w:rsidR="00FB0C76">
        <w:t xml:space="preserve"> </w:t>
      </w:r>
      <w:r w:rsidR="00FB0C76" w:rsidRPr="7EE24840">
        <w:rPr>
          <w:color w:val="000000" w:themeColor="text1"/>
        </w:rPr>
        <w:t>|</w:t>
      </w:r>
      <w:r w:rsidR="00FB0C76">
        <w:t xml:space="preserve"> </w:t>
      </w:r>
      <w:r w:rsidR="00FB0C76" w:rsidRPr="7EE24840">
        <w:rPr>
          <w:color w:val="000000" w:themeColor="text1"/>
        </w:rPr>
        <w:t>|</w:t>
      </w:r>
      <w:r w:rsidR="00FB0C76" w:rsidRPr="00A27FA9">
        <w:t xml:space="preserve"> </w:t>
      </w:r>
      <w:r w:rsidR="00FB0C76" w:rsidRPr="7EE24840">
        <w:rPr>
          <w:color w:val="000000" w:themeColor="text1"/>
        </w:rPr>
        <w:t>|</w:t>
      </w:r>
      <w:r w:rsidR="00FB0C76">
        <w:t xml:space="preserve"> </w:t>
      </w:r>
      <w:r w:rsidR="00FB0C76" w:rsidRPr="7EE24840">
        <w:rPr>
          <w:color w:val="000000" w:themeColor="text1"/>
        </w:rPr>
        <w:t>|</w:t>
      </w:r>
      <w:r w:rsidR="00FB0C76">
        <w:t xml:space="preserve"> </w:t>
      </w:r>
      <w:r w:rsidR="00FB0C76" w:rsidRPr="7EE24840">
        <w:rPr>
          <w:color w:val="000000" w:themeColor="text1"/>
        </w:rPr>
        <w:t>|</w:t>
      </w:r>
      <w:r w:rsidR="00FB0C76">
        <w:t xml:space="preserve"> </w:t>
      </w:r>
      <w:r w:rsidR="00FB0C76" w:rsidRPr="7EE24840">
        <w:rPr>
          <w:color w:val="000000" w:themeColor="text1"/>
        </w:rPr>
        <w:t>|</w:t>
      </w:r>
      <w:r w:rsidR="00FB0C76">
        <w:t xml:space="preserve"> </w:t>
      </w:r>
      <w:r w:rsidR="00FB0C76" w:rsidRPr="7EE24840">
        <w:rPr>
          <w:color w:val="000000" w:themeColor="text1"/>
        </w:rPr>
        <w:t>|</w:t>
      </w:r>
      <w:r w:rsidR="00FB0C76" w:rsidRPr="00A27FA9">
        <w:t xml:space="preserve"> </w:t>
      </w:r>
      <w:r w:rsidR="002F75CE" w:rsidRPr="002F75CE">
        <w:rPr>
          <w:vertAlign w:val="superscript"/>
        </w:rPr>
        <w:fldChar w:fldCharType="begin" w:fldLock="1"/>
      </w:r>
      <w:r w:rsidR="002F75CE" w:rsidRPr="002F75CE">
        <w:rPr>
          <w:vertAlign w:val="superscript"/>
        </w:rPr>
        <w:instrText xml:space="preserve"> NOTEREF _Ref196733668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10</w:t>
      </w:r>
      <w:r w:rsidR="002F75CE" w:rsidRPr="002F75CE">
        <w:rPr>
          <w:vertAlign w:val="superscript"/>
        </w:rPr>
        <w:fldChar w:fldCharType="end"/>
      </w:r>
    </w:p>
    <w:p w14:paraId="165366DA" w14:textId="7B29C11E" w:rsidR="00485DF5" w:rsidRPr="00310498" w:rsidRDefault="00FB0C76"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2F75CE" w:rsidRPr="002F75CE">
        <w:rPr>
          <w:vertAlign w:val="superscript"/>
        </w:rPr>
        <w:fldChar w:fldCharType="begin" w:fldLock="1"/>
      </w:r>
      <w:r w:rsidR="002F75CE" w:rsidRPr="002F75CE">
        <w:rPr>
          <w:vertAlign w:val="superscript"/>
        </w:rPr>
        <w:instrText xml:space="preserve"> NOTEREF _Ref196733668 \h </w:instrText>
      </w:r>
      <w:r w:rsidR="002F75CE">
        <w:rPr>
          <w:vertAlign w:val="superscript"/>
        </w:rPr>
        <w:instrText xml:space="preserve">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10</w:t>
      </w:r>
      <w:r w:rsidR="002F75CE" w:rsidRPr="002F75CE">
        <w:rPr>
          <w:vertAlign w:val="superscript"/>
        </w:rPr>
        <w:fldChar w:fldCharType="end"/>
      </w:r>
    </w:p>
    <w:p w14:paraId="189D89AC" w14:textId="45DC1425" w:rsidR="00485DF5" w:rsidRPr="00310498" w:rsidRDefault="000A746F" w:rsidP="00AD7CED">
      <w:pPr>
        <w:pStyle w:val="Caption"/>
        <w:spacing w:before="0"/>
        <w:jc w:val="left"/>
        <w:rPr>
          <w:rStyle w:val="CommentReference"/>
          <w:b/>
          <w:szCs w:val="24"/>
        </w:rPr>
      </w:pPr>
      <w:bookmarkStart w:id="75" w:name="_Ref196733797"/>
      <w:r w:rsidRPr="7EE24840">
        <w:rPr>
          <w:color w:val="000000" w:themeColor="text1"/>
        </w:rPr>
        <w:lastRenderedPageBreak/>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bookmarkStart w:id="76" w:name="_Ref196749510"/>
      <w:r w:rsidR="0021025A">
        <w:rPr>
          <w:rStyle w:val="FootnoteReference"/>
        </w:rPr>
        <w:footnoteReference w:id="12"/>
      </w:r>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4679"/>
        <w:gridCol w:w="3090"/>
      </w:tblGrid>
      <w:tr w:rsidR="00485DF5" w:rsidRPr="00711062" w14:paraId="3E67052F" w14:textId="77777777" w:rsidTr="20A0B79E">
        <w:trPr>
          <w:tblHeader/>
        </w:trPr>
        <w:tc>
          <w:tcPr>
            <w:tcW w:w="703" w:type="pct"/>
            <w:shd w:val="clear" w:color="auto" w:fill="auto"/>
            <w:vAlign w:val="center"/>
          </w:tcPr>
          <w:p w14:paraId="6EB7421B" w14:textId="5E2DF0F7" w:rsidR="00485DF5" w:rsidRPr="00DA4CB0" w:rsidRDefault="00DA4CB0" w:rsidP="00DA4CB0">
            <w:pPr>
              <w:pStyle w:val="In-tableHeading"/>
              <w:jc w:val="center"/>
            </w:pPr>
            <w:r w:rsidRPr="000A746F">
              <w:t>|</w:t>
            </w:r>
            <w:r>
              <w:t xml:space="preserve"> </w:t>
            </w:r>
          </w:p>
        </w:tc>
        <w:tc>
          <w:tcPr>
            <w:tcW w:w="2588" w:type="pct"/>
            <w:shd w:val="clear" w:color="auto" w:fill="auto"/>
            <w:vAlign w:val="center"/>
          </w:tcPr>
          <w:p w14:paraId="076FEF9C" w14:textId="5FABA652" w:rsidR="00485DF5" w:rsidRPr="00DA4CB0" w:rsidRDefault="00DA4CB0" w:rsidP="00DA4CB0">
            <w:pPr>
              <w:pStyle w:val="In-tableHeading"/>
              <w:jc w:val="center"/>
            </w:pPr>
            <w:r w:rsidRPr="000A746F">
              <w:t>|</w:t>
            </w:r>
            <w:r>
              <w:t xml:space="preserve"> </w:t>
            </w:r>
          </w:p>
        </w:tc>
        <w:tc>
          <w:tcPr>
            <w:tcW w:w="1709" w:type="pct"/>
            <w:shd w:val="clear" w:color="auto" w:fill="auto"/>
            <w:vAlign w:val="center"/>
          </w:tcPr>
          <w:p w14:paraId="20A70A0C" w14:textId="4B44FA1C" w:rsidR="00DA4CB0" w:rsidRDefault="00DA4CB0" w:rsidP="00971764">
            <w:pPr>
              <w:pStyle w:val="In-tableHeading"/>
              <w:jc w:val="center"/>
            </w:pPr>
            <w:r w:rsidRPr="000A746F">
              <w:t>|</w:t>
            </w:r>
            <w:r>
              <w:t xml:space="preserve"> </w:t>
            </w:r>
          </w:p>
          <w:p w14:paraId="2038CEEC" w14:textId="5CE6E333" w:rsidR="00485DF5" w:rsidRPr="00711062" w:rsidRDefault="00DA4CB0" w:rsidP="00971764">
            <w:pPr>
              <w:pStyle w:val="In-tableHeading"/>
              <w:jc w:val="center"/>
              <w:rPr>
                <w:highlight w:val="darkGray"/>
                <w:lang w:val="en-AU"/>
              </w:rPr>
            </w:pPr>
            <w:r w:rsidRPr="000A746F">
              <w:t>| | | | |</w:t>
            </w:r>
          </w:p>
        </w:tc>
      </w:tr>
      <w:tr w:rsidR="00485DF5" w:rsidRPr="00711062" w14:paraId="30E83493" w14:textId="77777777" w:rsidTr="20A0B79E">
        <w:tc>
          <w:tcPr>
            <w:tcW w:w="703" w:type="pct"/>
            <w:shd w:val="clear" w:color="auto" w:fill="auto"/>
            <w:vAlign w:val="center"/>
          </w:tcPr>
          <w:p w14:paraId="113EA090" w14:textId="77465EE0" w:rsidR="00485DF5" w:rsidRPr="00711062" w:rsidRDefault="00DA4CB0" w:rsidP="00971764">
            <w:pPr>
              <w:pStyle w:val="Tabletext"/>
              <w:keepNext/>
              <w:keepLines/>
              <w:rPr>
                <w:highlight w:val="darkGray"/>
              </w:rPr>
            </w:pPr>
            <w:r>
              <w:t xml:space="preserve"> </w:t>
            </w:r>
            <w:r w:rsidR="000A746F" w:rsidRPr="000A746F">
              <w:t>| | | | |</w:t>
            </w:r>
          </w:p>
        </w:tc>
        <w:tc>
          <w:tcPr>
            <w:tcW w:w="2588" w:type="pct"/>
            <w:shd w:val="clear" w:color="auto" w:fill="auto"/>
            <w:vAlign w:val="center"/>
          </w:tcPr>
          <w:p w14:paraId="2AA2688A" w14:textId="6546FF3F" w:rsidR="00485DF5" w:rsidRPr="00711062" w:rsidRDefault="00DA4CB0" w:rsidP="00971764">
            <w:pPr>
              <w:pStyle w:val="Tabletext"/>
              <w:keepNext/>
              <w:keepLines/>
              <w:rPr>
                <w:highlight w:val="darkGray"/>
              </w:rPr>
            </w:pPr>
            <w:r w:rsidRPr="000A746F">
              <w:t>| | | | |</w:t>
            </w:r>
            <w:r>
              <w:t xml:space="preserve"> </w:t>
            </w:r>
            <w:r w:rsidRPr="000A746F">
              <w:t>| | | | |</w:t>
            </w:r>
            <w:r>
              <w:t xml:space="preserve"> </w:t>
            </w:r>
            <w:r w:rsidRPr="000A746F">
              <w:t>| | | | |</w:t>
            </w:r>
            <w:r>
              <w:t xml:space="preserve"> </w:t>
            </w:r>
            <w:r w:rsidRPr="000A746F">
              <w:t xml:space="preserve">| | </w:t>
            </w:r>
          </w:p>
        </w:tc>
        <w:tc>
          <w:tcPr>
            <w:tcW w:w="1709" w:type="pct"/>
            <w:shd w:val="clear" w:color="auto" w:fill="auto"/>
            <w:vAlign w:val="center"/>
          </w:tcPr>
          <w:p w14:paraId="63CF0826" w14:textId="77777777" w:rsidR="00DA4CB0" w:rsidRDefault="00DA4CB0" w:rsidP="00971764">
            <w:pPr>
              <w:pStyle w:val="Tabletext"/>
              <w:keepNext/>
              <w:keepLines/>
            </w:pPr>
            <w:r w:rsidRPr="000A746F">
              <w:t xml:space="preserve">| | | </w:t>
            </w:r>
          </w:p>
          <w:p w14:paraId="666E4F61" w14:textId="6723CF27" w:rsidR="00485DF5" w:rsidRPr="00711062" w:rsidRDefault="00DA4CB0" w:rsidP="00971764">
            <w:pPr>
              <w:pStyle w:val="Tabletext"/>
              <w:keepNext/>
              <w:keepLines/>
              <w:rPr>
                <w:highlight w:val="darkGray"/>
              </w:rPr>
            </w:pPr>
            <w:r w:rsidRPr="000A746F">
              <w:t>| | | | |</w:t>
            </w:r>
            <w:r>
              <w:t xml:space="preserve"> </w:t>
            </w:r>
            <w:r w:rsidRPr="000A746F">
              <w:t>| | | | |</w:t>
            </w:r>
            <w:r>
              <w:t xml:space="preserve"> </w:t>
            </w:r>
            <w:r w:rsidRPr="000A746F">
              <w:t>| | | | |</w:t>
            </w:r>
          </w:p>
        </w:tc>
      </w:tr>
      <w:tr w:rsidR="0017094C" w:rsidRPr="00711062" w14:paraId="5820071C" w14:textId="77777777" w:rsidTr="20A0B79E">
        <w:tc>
          <w:tcPr>
            <w:tcW w:w="703" w:type="pct"/>
            <w:shd w:val="clear" w:color="auto" w:fill="auto"/>
            <w:vAlign w:val="center"/>
          </w:tcPr>
          <w:p w14:paraId="34D06894" w14:textId="5FD6D42A" w:rsidR="0017094C" w:rsidRPr="00711062" w:rsidRDefault="00DA4CB0" w:rsidP="00971764">
            <w:pPr>
              <w:pStyle w:val="Tabletext"/>
              <w:keepNext/>
              <w:keepLines/>
              <w:rPr>
                <w:highlight w:val="darkGray"/>
              </w:rPr>
            </w:pPr>
            <w:r w:rsidRPr="000A746F">
              <w:t>| | | | |</w:t>
            </w:r>
          </w:p>
        </w:tc>
        <w:tc>
          <w:tcPr>
            <w:tcW w:w="2588" w:type="pct"/>
            <w:shd w:val="clear" w:color="auto" w:fill="auto"/>
            <w:vAlign w:val="center"/>
          </w:tcPr>
          <w:p w14:paraId="3A48BC0D" w14:textId="36840E5E" w:rsidR="0017094C" w:rsidRPr="00711062" w:rsidRDefault="00DA4CB0" w:rsidP="00971764">
            <w:pPr>
              <w:pStyle w:val="Tabletext"/>
              <w:keepNext/>
              <w:keepLines/>
              <w:rPr>
                <w:highlight w:val="darkGray"/>
              </w:rPr>
            </w:pP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p>
        </w:tc>
        <w:tc>
          <w:tcPr>
            <w:tcW w:w="1709" w:type="pct"/>
            <w:shd w:val="clear" w:color="auto" w:fill="auto"/>
            <w:vAlign w:val="center"/>
          </w:tcPr>
          <w:p w14:paraId="136300BD" w14:textId="001A2DBC" w:rsidR="0017094C" w:rsidRPr="00711062" w:rsidRDefault="00DA4CB0" w:rsidP="00971764">
            <w:pPr>
              <w:pStyle w:val="Tabletext"/>
              <w:keepNext/>
              <w:keepLines/>
              <w:rPr>
                <w:highlight w:val="darkGray"/>
              </w:rPr>
            </w:pP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p>
        </w:tc>
      </w:tr>
      <w:tr w:rsidR="00485DF5" w:rsidRPr="00711062" w14:paraId="24E6C836" w14:textId="77777777" w:rsidTr="20A0B79E">
        <w:tc>
          <w:tcPr>
            <w:tcW w:w="703" w:type="pct"/>
            <w:shd w:val="clear" w:color="auto" w:fill="auto"/>
            <w:vAlign w:val="center"/>
          </w:tcPr>
          <w:p w14:paraId="5735BA4D" w14:textId="2C30684A" w:rsidR="00485DF5" w:rsidRPr="00711062" w:rsidRDefault="00DA4CB0" w:rsidP="00971764">
            <w:pPr>
              <w:pStyle w:val="Tabletext"/>
              <w:keepNext/>
              <w:keepLines/>
              <w:rPr>
                <w:highlight w:val="darkGray"/>
              </w:rPr>
            </w:pPr>
            <w:r w:rsidRPr="000A746F">
              <w:t>| |</w:t>
            </w:r>
          </w:p>
        </w:tc>
        <w:tc>
          <w:tcPr>
            <w:tcW w:w="2588" w:type="pct"/>
            <w:shd w:val="clear" w:color="auto" w:fill="auto"/>
            <w:vAlign w:val="center"/>
          </w:tcPr>
          <w:p w14:paraId="43390014" w14:textId="38736D0D" w:rsidR="00485DF5" w:rsidRPr="00711062" w:rsidRDefault="00DA4CB0" w:rsidP="00971764">
            <w:pPr>
              <w:pStyle w:val="Tabletext"/>
              <w:keepNext/>
              <w:keepLines/>
              <w:rPr>
                <w:highlight w:val="darkGray"/>
              </w:rPr>
            </w:pP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p>
        </w:tc>
        <w:tc>
          <w:tcPr>
            <w:tcW w:w="1709" w:type="pct"/>
            <w:shd w:val="clear" w:color="auto" w:fill="auto"/>
            <w:vAlign w:val="center"/>
          </w:tcPr>
          <w:p w14:paraId="7CC4CC83" w14:textId="7660B2CE" w:rsidR="00485DF5" w:rsidRPr="00711062" w:rsidRDefault="00DA4CB0" w:rsidP="00971764">
            <w:pPr>
              <w:pStyle w:val="Tabletext"/>
              <w:keepNext/>
              <w:keepLines/>
              <w:rPr>
                <w:highlight w:val="darkGray"/>
              </w:rPr>
            </w:pPr>
            <w:r w:rsidRPr="000A746F">
              <w:t>| | | | |</w:t>
            </w:r>
            <w:r>
              <w:t xml:space="preserve"> </w:t>
            </w:r>
            <w:r w:rsidRPr="000A746F">
              <w:t>| | | | |</w:t>
            </w:r>
          </w:p>
        </w:tc>
      </w:tr>
      <w:tr w:rsidR="00485DF5" w:rsidRPr="00711062" w14:paraId="621CC0AB" w14:textId="77777777" w:rsidTr="20A0B79E">
        <w:tc>
          <w:tcPr>
            <w:tcW w:w="703" w:type="pct"/>
            <w:shd w:val="clear" w:color="auto" w:fill="auto"/>
            <w:vAlign w:val="center"/>
          </w:tcPr>
          <w:p w14:paraId="449B7497" w14:textId="074A22A0" w:rsidR="00485DF5" w:rsidRPr="00711062" w:rsidRDefault="00DA4CB0" w:rsidP="00971764">
            <w:pPr>
              <w:pStyle w:val="Tabletext"/>
              <w:keepNext/>
              <w:keepLines/>
              <w:rPr>
                <w:highlight w:val="darkGray"/>
              </w:rPr>
            </w:pPr>
            <w:r w:rsidRPr="000A746F">
              <w:t>| |</w:t>
            </w:r>
          </w:p>
        </w:tc>
        <w:tc>
          <w:tcPr>
            <w:tcW w:w="2588" w:type="pct"/>
            <w:shd w:val="clear" w:color="auto" w:fill="auto"/>
            <w:vAlign w:val="center"/>
          </w:tcPr>
          <w:p w14:paraId="6C42E887" w14:textId="57452FDC" w:rsidR="00485DF5" w:rsidRPr="00711062" w:rsidRDefault="00DA4CB0" w:rsidP="00971764">
            <w:pPr>
              <w:pStyle w:val="Tabletext"/>
              <w:keepNext/>
              <w:keepLines/>
              <w:rPr>
                <w:highlight w:val="darkGray"/>
              </w:rPr>
            </w:pPr>
            <w:r w:rsidRPr="000A746F">
              <w:t>| | | | |</w:t>
            </w:r>
            <w:r>
              <w:t xml:space="preserve"> </w:t>
            </w:r>
            <w:r w:rsidRPr="000A746F">
              <w:t xml:space="preserve">| | | </w:t>
            </w:r>
            <w:r w:rsidR="00A27FA9" w:rsidRPr="00A27FA9">
              <w:t xml:space="preserve">  </w:t>
            </w:r>
          </w:p>
        </w:tc>
        <w:tc>
          <w:tcPr>
            <w:tcW w:w="1709" w:type="pct"/>
            <w:shd w:val="clear" w:color="auto" w:fill="auto"/>
            <w:vAlign w:val="center"/>
          </w:tcPr>
          <w:p w14:paraId="5DDF7F1F" w14:textId="1B222612" w:rsidR="00485DF5" w:rsidRPr="00711062" w:rsidRDefault="00DA4CB0" w:rsidP="00971764">
            <w:pPr>
              <w:pStyle w:val="Tabletext"/>
              <w:keepNext/>
              <w:keepLines/>
              <w:rPr>
                <w:highlight w:val="darkGray"/>
              </w:rPr>
            </w:pPr>
            <w:r w:rsidRPr="000A746F">
              <w:t>| | | | |</w:t>
            </w:r>
            <w:r>
              <w:t xml:space="preserve"> </w:t>
            </w:r>
            <w:r w:rsidRPr="000A746F">
              <w:t>| | | | |</w:t>
            </w:r>
            <w:r>
              <w:t xml:space="preserve"> </w:t>
            </w:r>
            <w:r w:rsidRPr="000A746F">
              <w:t>| | | | |</w:t>
            </w:r>
            <w:r>
              <w:t xml:space="preserve"> </w:t>
            </w:r>
            <w:r w:rsidRPr="000A746F">
              <w:t>| | | | |</w:t>
            </w:r>
            <w:r>
              <w:t xml:space="preserve"> </w:t>
            </w:r>
            <w:r w:rsidRPr="000A746F">
              <w:t>| | | | |</w:t>
            </w:r>
            <w:r>
              <w:t xml:space="preserve"> </w:t>
            </w:r>
            <w:r w:rsidRPr="000A746F">
              <w:t>| | | | |</w:t>
            </w:r>
          </w:p>
        </w:tc>
      </w:tr>
    </w:tbl>
    <w:p w14:paraId="712B40F3" w14:textId="3BE8EE9B" w:rsidR="00A27FA9" w:rsidRPr="00A27FA9" w:rsidRDefault="000A746F" w:rsidP="00E24B8A">
      <w:pPr>
        <w:pStyle w:val="FooterTableFigure"/>
        <w:keepNext/>
        <w:keepLines/>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p>
    <w:p w14:paraId="4B247018" w14:textId="55FA7721" w:rsidR="00A27FA9" w:rsidRPr="00A27FA9" w:rsidRDefault="000A746F" w:rsidP="00036D5F">
      <w:pPr>
        <w:pStyle w:val="FooterTableFigure"/>
        <w:keepNext/>
        <w:keepLines/>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p>
    <w:p w14:paraId="437616B3" w14:textId="79E5E6FF" w:rsidR="00A27FA9" w:rsidRPr="00A27FA9" w:rsidRDefault="000A746F" w:rsidP="00036D5F">
      <w:pPr>
        <w:pStyle w:val="FooterTableFigure"/>
        <w:keepNext/>
        <w:keepLines/>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p>
    <w:p w14:paraId="64D4791F" w14:textId="222971B3" w:rsidR="0041731F" w:rsidRPr="00B00960" w:rsidRDefault="000A746F" w:rsidP="00AD7CED">
      <w:pPr>
        <w:pStyle w:val="FooterTableFigure"/>
        <w:keepLines/>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0B4F2CDC" w14:textId="013F9D93" w:rsidR="00581D33" w:rsidRPr="00310498" w:rsidRDefault="00FB0C76"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F267A0" w:rsidRPr="00310498">
        <w:t xml:space="preserve"> </w:t>
      </w:r>
      <w:r w:rsidR="002F75CE" w:rsidRPr="002F75CE">
        <w:rPr>
          <w:vertAlign w:val="superscript"/>
        </w:rPr>
        <w:fldChar w:fldCharType="begin" w:fldLock="1"/>
      </w:r>
      <w:r w:rsidR="002F75CE" w:rsidRPr="002F75CE">
        <w:rPr>
          <w:vertAlign w:val="superscript"/>
        </w:rPr>
        <w:instrText xml:space="preserve"> NOTEREF _Ref196749510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11</w:t>
      </w:r>
      <w:r w:rsidR="002F75CE" w:rsidRPr="002F75CE">
        <w:rPr>
          <w:vertAlign w:val="superscript"/>
        </w:rPr>
        <w:fldChar w:fldCharType="end"/>
      </w:r>
    </w:p>
    <w:p w14:paraId="0F845A7A" w14:textId="329374EC" w:rsidR="00485DF5" w:rsidRPr="00310498" w:rsidRDefault="00393BE1" w:rsidP="00AD7CED">
      <w:pPr>
        <w:pStyle w:val="Caption"/>
        <w:rPr>
          <w:szCs w:val="24"/>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0021025A" w:rsidRPr="00310498">
        <w:t xml:space="preserve"> </w:t>
      </w:r>
      <w:r w:rsidR="002F75CE" w:rsidRPr="002F75CE">
        <w:rPr>
          <w:vertAlign w:val="superscript"/>
        </w:rPr>
        <w:fldChar w:fldCharType="begin" w:fldLock="1"/>
      </w:r>
      <w:r w:rsidR="002F75CE" w:rsidRPr="002F75CE">
        <w:rPr>
          <w:vertAlign w:val="superscript"/>
        </w:rPr>
        <w:instrText xml:space="preserve"> NOTEREF _Ref196749510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11</w:t>
      </w:r>
      <w:r w:rsidR="002F75CE" w:rsidRPr="002F75CE">
        <w:rPr>
          <w:vertAlign w:val="superscript"/>
        </w:rPr>
        <w:fldChar w:fldCharType="end"/>
      </w:r>
    </w:p>
    <w:tbl>
      <w:tblPr>
        <w:tblW w:w="5000" w:type="pct"/>
        <w:tblLook w:val="04A0" w:firstRow="1" w:lastRow="0" w:firstColumn="1" w:lastColumn="0" w:noHBand="0" w:noVBand="1"/>
      </w:tblPr>
      <w:tblGrid>
        <w:gridCol w:w="3846"/>
        <w:gridCol w:w="1683"/>
        <w:gridCol w:w="1595"/>
        <w:gridCol w:w="1916"/>
      </w:tblGrid>
      <w:tr w:rsidR="00485DF5" w:rsidRPr="00393BE1" w14:paraId="1144CD57" w14:textId="77777777" w:rsidTr="0032043A">
        <w:trPr>
          <w:trHeight w:val="252"/>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FC0E7" w14:textId="0DA57710" w:rsidR="00485DF5" w:rsidRPr="00393BE1" w:rsidRDefault="00711062" w:rsidP="00AD7CED">
            <w:pPr>
              <w:keepNext/>
              <w:keepLines/>
              <w:rPr>
                <w:rFonts w:ascii="Arial Narrow" w:hAnsi="Arial Narrow"/>
                <w:sz w:val="20"/>
                <w:szCs w:val="20"/>
              </w:rPr>
            </w:pPr>
            <w:r w:rsidRPr="00393BE1">
              <w:rPr>
                <w:rFonts w:ascii="Arial Narrow" w:hAnsi="Arial Narrow"/>
                <w:sz w:val="20"/>
                <w:szCs w:val="20"/>
              </w:rPr>
              <w:t xml:space="preserve"> </w:t>
            </w:r>
          </w:p>
        </w:tc>
        <w:tc>
          <w:tcPr>
            <w:tcW w:w="931" w:type="pct"/>
            <w:tcBorders>
              <w:top w:val="single" w:sz="4" w:space="0" w:color="auto"/>
              <w:left w:val="nil"/>
              <w:bottom w:val="single" w:sz="4" w:space="0" w:color="auto"/>
              <w:right w:val="single" w:sz="4" w:space="0" w:color="auto"/>
            </w:tcBorders>
            <w:shd w:val="clear" w:color="auto" w:fill="auto"/>
            <w:vAlign w:val="center"/>
            <w:hideMark/>
          </w:tcPr>
          <w:p w14:paraId="1CE83BCE" w14:textId="3389D64E" w:rsidR="00485DF5" w:rsidRPr="00393BE1" w:rsidRDefault="00393BE1" w:rsidP="00AD7CED">
            <w:pPr>
              <w:pStyle w:val="In-tableHeading"/>
              <w:jc w:val="center"/>
              <w:rPr>
                <w:szCs w:val="20"/>
                <w:highlight w:val="darkGray"/>
                <w:lang w:val="en-AU"/>
              </w:rPr>
            </w:pP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r w:rsidRPr="00393BE1">
              <w:rPr>
                <w:color w:val="000000" w:themeColor="text1"/>
                <w:szCs w:val="20"/>
              </w:rPr>
              <w:t>|</w:t>
            </w:r>
          </w:p>
        </w:tc>
        <w:tc>
          <w:tcPr>
            <w:tcW w:w="882" w:type="pct"/>
            <w:tcBorders>
              <w:top w:val="single" w:sz="4" w:space="0" w:color="auto"/>
              <w:left w:val="nil"/>
              <w:bottom w:val="single" w:sz="4" w:space="0" w:color="auto"/>
              <w:right w:val="single" w:sz="4" w:space="0" w:color="auto"/>
            </w:tcBorders>
            <w:shd w:val="clear" w:color="auto" w:fill="auto"/>
            <w:vAlign w:val="center"/>
            <w:hideMark/>
          </w:tcPr>
          <w:p w14:paraId="144B182B" w14:textId="5DCBD6DD" w:rsidR="00485DF5" w:rsidRPr="00393BE1" w:rsidRDefault="00393BE1" w:rsidP="00AD7CED">
            <w:pPr>
              <w:pStyle w:val="In-tableHeading"/>
              <w:jc w:val="center"/>
              <w:rPr>
                <w:szCs w:val="20"/>
                <w:highlight w:val="darkGray"/>
                <w:lang w:val="en-AU"/>
              </w:rPr>
            </w:pPr>
            <w:r w:rsidRPr="00393BE1">
              <w:rPr>
                <w:color w:val="000000" w:themeColor="text1"/>
                <w:szCs w:val="20"/>
              </w:rPr>
              <w:t>|</w:t>
            </w:r>
            <w:r w:rsidR="00A27FA9" w:rsidRPr="00393BE1">
              <w:rPr>
                <w:szCs w:val="20"/>
                <w:lang w:val="en-AU"/>
              </w:rPr>
              <w:t xml:space="preserve"> </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14:paraId="1FEAE44B" w14:textId="3AE4B93F" w:rsidR="00485DF5" w:rsidRPr="00393BE1" w:rsidRDefault="00393BE1" w:rsidP="00AD7CED">
            <w:pPr>
              <w:pStyle w:val="In-tableHeading"/>
              <w:jc w:val="center"/>
              <w:rPr>
                <w:szCs w:val="20"/>
                <w:highlight w:val="darkGray"/>
                <w:lang w:val="en-AU"/>
              </w:rPr>
            </w:pPr>
            <w:r w:rsidRPr="00393BE1">
              <w:rPr>
                <w:color w:val="000000" w:themeColor="text1"/>
                <w:szCs w:val="20"/>
              </w:rPr>
              <w:t>|</w:t>
            </w:r>
            <w:r>
              <w:rPr>
                <w:color w:val="000000" w:themeColor="text1"/>
                <w:szCs w:val="20"/>
              </w:rPr>
              <w:t xml:space="preserve"> </w:t>
            </w:r>
          </w:p>
        </w:tc>
      </w:tr>
      <w:tr w:rsidR="00485DF5" w:rsidRPr="00393BE1" w14:paraId="16B8288F" w14:textId="77777777" w:rsidTr="00DD4779">
        <w:trPr>
          <w:trHeight w:val="13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865002" w14:textId="0637BE8A" w:rsidR="00485DF5" w:rsidRPr="00393BE1" w:rsidRDefault="00393BE1" w:rsidP="00AD7CED">
            <w:pPr>
              <w:pStyle w:val="TableText0"/>
              <w:rPr>
                <w:b/>
                <w:bCs/>
                <w:iCs w:val="0"/>
                <w:sz w:val="20"/>
                <w:szCs w:val="20"/>
                <w:highlight w:val="darkGray"/>
              </w:rPr>
            </w:pPr>
            <w:r w:rsidRPr="00393BE1">
              <w:rPr>
                <w:color w:val="000000" w:themeColor="text1"/>
                <w:sz w:val="20"/>
                <w:szCs w:val="20"/>
              </w:rPr>
              <w:t>|</w:t>
            </w:r>
            <w:r w:rsidRPr="00393BE1">
              <w:rPr>
                <w:sz w:val="20"/>
                <w:szCs w:val="20"/>
              </w:rPr>
              <w:t xml:space="preserve"> </w:t>
            </w:r>
            <w:r w:rsidRPr="00393BE1">
              <w:rPr>
                <w:color w:val="000000" w:themeColor="text1"/>
                <w:sz w:val="20"/>
                <w:szCs w:val="20"/>
              </w:rPr>
              <w:t>|</w:t>
            </w:r>
            <w:r w:rsidRPr="00393BE1">
              <w:rPr>
                <w:sz w:val="20"/>
                <w:szCs w:val="20"/>
              </w:rPr>
              <w:t xml:space="preserve"> </w:t>
            </w:r>
            <w:r w:rsidRPr="00393BE1">
              <w:rPr>
                <w:color w:val="000000" w:themeColor="text1"/>
                <w:sz w:val="20"/>
                <w:szCs w:val="20"/>
              </w:rPr>
              <w:t>|</w:t>
            </w:r>
            <w:r w:rsidRPr="00393BE1">
              <w:rPr>
                <w:sz w:val="20"/>
                <w:szCs w:val="20"/>
              </w:rPr>
              <w:t xml:space="preserve"> </w:t>
            </w:r>
            <w:r w:rsidRPr="00393BE1">
              <w:rPr>
                <w:color w:val="000000" w:themeColor="text1"/>
                <w:sz w:val="20"/>
                <w:szCs w:val="20"/>
              </w:rPr>
              <w:t>|</w:t>
            </w:r>
            <w:r w:rsidRPr="00393BE1">
              <w:rPr>
                <w:sz w:val="20"/>
                <w:szCs w:val="20"/>
              </w:rPr>
              <w:t xml:space="preserve"> </w:t>
            </w:r>
            <w:r w:rsidRPr="00393BE1">
              <w:rPr>
                <w:color w:val="000000" w:themeColor="text1"/>
                <w:sz w:val="20"/>
                <w:szCs w:val="20"/>
              </w:rPr>
              <w:t>|</w:t>
            </w:r>
          </w:p>
        </w:tc>
      </w:tr>
      <w:tr w:rsidR="00393BE1" w:rsidRPr="00393BE1" w14:paraId="32D415BD" w14:textId="77777777" w:rsidTr="00C832AE">
        <w:trPr>
          <w:trHeight w:val="230"/>
        </w:trPr>
        <w:tc>
          <w:tcPr>
            <w:tcW w:w="2127" w:type="pct"/>
            <w:tcBorders>
              <w:top w:val="nil"/>
              <w:left w:val="single" w:sz="4" w:space="0" w:color="auto"/>
              <w:bottom w:val="single" w:sz="4" w:space="0" w:color="auto"/>
              <w:right w:val="single" w:sz="4" w:space="0" w:color="auto"/>
            </w:tcBorders>
            <w:shd w:val="clear" w:color="auto" w:fill="auto"/>
            <w:noWrap/>
            <w:vAlign w:val="bottom"/>
          </w:tcPr>
          <w:p w14:paraId="31F8A288" w14:textId="4331D564" w:rsidR="00393BE1" w:rsidRPr="00393BE1" w:rsidRDefault="00393BE1" w:rsidP="00393BE1">
            <w:pPr>
              <w:pStyle w:val="Tabletext"/>
              <w:keepNext/>
              <w:keepLines/>
              <w:rPr>
                <w:szCs w:val="20"/>
                <w:highlight w:val="darkGray"/>
              </w:rPr>
            </w:pP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p>
        </w:tc>
        <w:tc>
          <w:tcPr>
            <w:tcW w:w="931" w:type="pct"/>
            <w:tcBorders>
              <w:top w:val="nil"/>
              <w:left w:val="nil"/>
              <w:bottom w:val="single" w:sz="4" w:space="0" w:color="auto"/>
              <w:right w:val="single" w:sz="4" w:space="0" w:color="auto"/>
            </w:tcBorders>
            <w:shd w:val="clear" w:color="auto" w:fill="auto"/>
            <w:noWrap/>
          </w:tcPr>
          <w:p w14:paraId="2A80182B" w14:textId="32EF79A3" w:rsidR="00393BE1" w:rsidRPr="00393BE1" w:rsidRDefault="00393BE1" w:rsidP="00393BE1">
            <w:pPr>
              <w:pStyle w:val="Tabletext"/>
              <w:keepNext/>
              <w:keepLines/>
              <w:jc w:val="center"/>
              <w:rPr>
                <w:szCs w:val="20"/>
                <w:highlight w:val="darkGray"/>
              </w:rPr>
            </w:pPr>
            <w:r w:rsidRPr="00EE20C1">
              <w:rPr>
                <w:color w:val="000000" w:themeColor="text1"/>
                <w:szCs w:val="20"/>
              </w:rPr>
              <w:t>|</w:t>
            </w:r>
            <w:r w:rsidRPr="00EE20C1">
              <w:rPr>
                <w:szCs w:val="20"/>
              </w:rPr>
              <w:t xml:space="preserve"> </w:t>
            </w:r>
          </w:p>
        </w:tc>
        <w:tc>
          <w:tcPr>
            <w:tcW w:w="882" w:type="pct"/>
            <w:tcBorders>
              <w:top w:val="nil"/>
              <w:left w:val="nil"/>
              <w:bottom w:val="single" w:sz="4" w:space="0" w:color="auto"/>
              <w:right w:val="single" w:sz="4" w:space="0" w:color="auto"/>
            </w:tcBorders>
            <w:shd w:val="clear" w:color="auto" w:fill="auto"/>
            <w:noWrap/>
          </w:tcPr>
          <w:p w14:paraId="0F2BFE85" w14:textId="4E6A1093" w:rsidR="00393BE1" w:rsidRPr="00393BE1" w:rsidRDefault="00393BE1" w:rsidP="00393BE1">
            <w:pPr>
              <w:pStyle w:val="Tabletext"/>
              <w:keepNext/>
              <w:keepLines/>
              <w:jc w:val="center"/>
              <w:rPr>
                <w:szCs w:val="20"/>
                <w:highlight w:val="darkGray"/>
              </w:rPr>
            </w:pPr>
            <w:r w:rsidRPr="00EE20C1">
              <w:rPr>
                <w:color w:val="000000" w:themeColor="text1"/>
                <w:szCs w:val="20"/>
              </w:rPr>
              <w:t>|</w:t>
            </w:r>
            <w:r w:rsidRPr="00EE20C1">
              <w:rPr>
                <w:szCs w:val="20"/>
              </w:rPr>
              <w:t xml:space="preserve"> </w:t>
            </w:r>
          </w:p>
        </w:tc>
        <w:tc>
          <w:tcPr>
            <w:tcW w:w="1060" w:type="pct"/>
            <w:tcBorders>
              <w:top w:val="nil"/>
              <w:left w:val="nil"/>
              <w:bottom w:val="single" w:sz="4" w:space="0" w:color="auto"/>
              <w:right w:val="single" w:sz="4" w:space="0" w:color="auto"/>
            </w:tcBorders>
            <w:shd w:val="clear" w:color="auto" w:fill="auto"/>
            <w:noWrap/>
          </w:tcPr>
          <w:p w14:paraId="25CFE014" w14:textId="736B1B65" w:rsidR="00393BE1" w:rsidRPr="00393BE1" w:rsidRDefault="00393BE1" w:rsidP="00393BE1">
            <w:pPr>
              <w:pStyle w:val="Tabletext"/>
              <w:keepNext/>
              <w:keepLines/>
              <w:jc w:val="center"/>
              <w:rPr>
                <w:szCs w:val="20"/>
                <w:highlight w:val="darkGray"/>
              </w:rPr>
            </w:pPr>
            <w:r w:rsidRPr="00EE20C1">
              <w:rPr>
                <w:color w:val="000000" w:themeColor="text1"/>
                <w:szCs w:val="20"/>
              </w:rPr>
              <w:t>|</w:t>
            </w:r>
            <w:r w:rsidRPr="00EE20C1">
              <w:rPr>
                <w:szCs w:val="20"/>
              </w:rPr>
              <w:t xml:space="preserve"> </w:t>
            </w:r>
          </w:p>
        </w:tc>
      </w:tr>
      <w:tr w:rsidR="00393BE1" w:rsidRPr="00393BE1" w14:paraId="74934B28" w14:textId="77777777" w:rsidTr="00C832AE">
        <w:trPr>
          <w:trHeight w:val="60"/>
        </w:trPr>
        <w:tc>
          <w:tcPr>
            <w:tcW w:w="2127" w:type="pct"/>
            <w:tcBorders>
              <w:top w:val="nil"/>
              <w:left w:val="single" w:sz="4" w:space="0" w:color="auto"/>
              <w:bottom w:val="single" w:sz="4" w:space="0" w:color="auto"/>
              <w:right w:val="single" w:sz="4" w:space="0" w:color="auto"/>
            </w:tcBorders>
            <w:shd w:val="clear" w:color="auto" w:fill="auto"/>
            <w:noWrap/>
            <w:vAlign w:val="bottom"/>
            <w:hideMark/>
          </w:tcPr>
          <w:p w14:paraId="0D52CF87" w14:textId="74CB57CE" w:rsidR="00393BE1" w:rsidRPr="00393BE1" w:rsidRDefault="00393BE1" w:rsidP="00393BE1">
            <w:pPr>
              <w:pStyle w:val="Tabletext"/>
              <w:keepNext/>
              <w:keepLines/>
              <w:rPr>
                <w:szCs w:val="20"/>
                <w:highlight w:val="darkGray"/>
              </w:rPr>
            </w:pP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r w:rsidRPr="00393BE1">
              <w:rPr>
                <w:color w:val="000000" w:themeColor="text1"/>
                <w:szCs w:val="20"/>
              </w:rPr>
              <w:t>|</w:t>
            </w:r>
          </w:p>
        </w:tc>
        <w:tc>
          <w:tcPr>
            <w:tcW w:w="931" w:type="pct"/>
            <w:tcBorders>
              <w:top w:val="nil"/>
              <w:left w:val="nil"/>
              <w:bottom w:val="single" w:sz="4" w:space="0" w:color="auto"/>
              <w:right w:val="single" w:sz="4" w:space="0" w:color="auto"/>
            </w:tcBorders>
            <w:shd w:val="clear" w:color="auto" w:fill="auto"/>
            <w:noWrap/>
          </w:tcPr>
          <w:p w14:paraId="3CF015AE" w14:textId="11173B6B" w:rsidR="00393BE1" w:rsidRPr="00393BE1" w:rsidRDefault="00393BE1" w:rsidP="00393BE1">
            <w:pPr>
              <w:pStyle w:val="Tabletext"/>
              <w:keepNext/>
              <w:keepLines/>
              <w:jc w:val="center"/>
              <w:rPr>
                <w:szCs w:val="20"/>
                <w:highlight w:val="darkGray"/>
              </w:rPr>
            </w:pPr>
            <w:r w:rsidRPr="00EE20C1">
              <w:rPr>
                <w:color w:val="000000" w:themeColor="text1"/>
                <w:szCs w:val="20"/>
              </w:rPr>
              <w:t>|</w:t>
            </w:r>
            <w:r w:rsidRPr="00EE20C1">
              <w:rPr>
                <w:szCs w:val="20"/>
              </w:rPr>
              <w:t xml:space="preserve"> </w:t>
            </w:r>
          </w:p>
        </w:tc>
        <w:tc>
          <w:tcPr>
            <w:tcW w:w="882" w:type="pct"/>
            <w:tcBorders>
              <w:top w:val="nil"/>
              <w:left w:val="nil"/>
              <w:bottom w:val="single" w:sz="4" w:space="0" w:color="auto"/>
              <w:right w:val="single" w:sz="4" w:space="0" w:color="auto"/>
            </w:tcBorders>
            <w:shd w:val="clear" w:color="auto" w:fill="auto"/>
            <w:noWrap/>
          </w:tcPr>
          <w:p w14:paraId="617C916C" w14:textId="72E26D55" w:rsidR="00393BE1" w:rsidRPr="00393BE1" w:rsidRDefault="00393BE1" w:rsidP="00393BE1">
            <w:pPr>
              <w:pStyle w:val="Tabletext"/>
              <w:keepNext/>
              <w:keepLines/>
              <w:jc w:val="center"/>
              <w:rPr>
                <w:szCs w:val="20"/>
                <w:highlight w:val="darkGray"/>
              </w:rPr>
            </w:pPr>
            <w:r w:rsidRPr="00EE20C1">
              <w:rPr>
                <w:color w:val="000000" w:themeColor="text1"/>
                <w:szCs w:val="20"/>
              </w:rPr>
              <w:t>|</w:t>
            </w:r>
            <w:r w:rsidRPr="00EE20C1">
              <w:rPr>
                <w:szCs w:val="20"/>
              </w:rPr>
              <w:t xml:space="preserve"> </w:t>
            </w:r>
          </w:p>
        </w:tc>
        <w:tc>
          <w:tcPr>
            <w:tcW w:w="1060" w:type="pct"/>
            <w:tcBorders>
              <w:top w:val="nil"/>
              <w:left w:val="nil"/>
              <w:bottom w:val="single" w:sz="4" w:space="0" w:color="auto"/>
              <w:right w:val="single" w:sz="4" w:space="0" w:color="auto"/>
            </w:tcBorders>
            <w:shd w:val="clear" w:color="auto" w:fill="auto"/>
            <w:noWrap/>
          </w:tcPr>
          <w:p w14:paraId="02E3B494" w14:textId="7710803B" w:rsidR="00393BE1" w:rsidRPr="00393BE1" w:rsidRDefault="00393BE1" w:rsidP="00393BE1">
            <w:pPr>
              <w:pStyle w:val="Tabletext"/>
              <w:keepNext/>
              <w:keepLines/>
              <w:jc w:val="center"/>
              <w:rPr>
                <w:szCs w:val="20"/>
                <w:highlight w:val="darkGray"/>
              </w:rPr>
            </w:pPr>
            <w:r w:rsidRPr="00EE20C1">
              <w:rPr>
                <w:color w:val="000000" w:themeColor="text1"/>
                <w:szCs w:val="20"/>
              </w:rPr>
              <w:t>|</w:t>
            </w:r>
            <w:r w:rsidRPr="00EE20C1">
              <w:rPr>
                <w:szCs w:val="20"/>
              </w:rPr>
              <w:t xml:space="preserve"> </w:t>
            </w:r>
          </w:p>
        </w:tc>
      </w:tr>
      <w:tr w:rsidR="0032043A" w:rsidRPr="00393BE1" w14:paraId="0AC92B02" w14:textId="77777777" w:rsidTr="0032043A">
        <w:trPr>
          <w:trHeight w:val="60"/>
        </w:trPr>
        <w:tc>
          <w:tcPr>
            <w:tcW w:w="3940" w:type="pct"/>
            <w:gridSpan w:val="3"/>
            <w:tcBorders>
              <w:top w:val="nil"/>
              <w:left w:val="single" w:sz="4" w:space="0" w:color="auto"/>
              <w:bottom w:val="single" w:sz="4" w:space="0" w:color="auto"/>
              <w:right w:val="single" w:sz="4" w:space="0" w:color="auto"/>
            </w:tcBorders>
            <w:shd w:val="clear" w:color="auto" w:fill="auto"/>
            <w:noWrap/>
            <w:vAlign w:val="bottom"/>
          </w:tcPr>
          <w:p w14:paraId="2D3F3E21" w14:textId="7A15AA83" w:rsidR="0032043A" w:rsidRPr="00393BE1" w:rsidRDefault="00393BE1" w:rsidP="00AD7CED">
            <w:pPr>
              <w:pStyle w:val="Tabletext"/>
              <w:keepNext/>
              <w:keepLines/>
              <w:rPr>
                <w:szCs w:val="20"/>
                <w:highlight w:val="darkGray"/>
              </w:rPr>
            </w:pP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r w:rsidRPr="00393BE1">
              <w:rPr>
                <w:color w:val="000000" w:themeColor="text1"/>
                <w:szCs w:val="20"/>
              </w:rPr>
              <w:t>|</w:t>
            </w:r>
          </w:p>
        </w:tc>
        <w:tc>
          <w:tcPr>
            <w:tcW w:w="1060" w:type="pct"/>
            <w:tcBorders>
              <w:top w:val="nil"/>
              <w:left w:val="nil"/>
              <w:bottom w:val="single" w:sz="4" w:space="0" w:color="auto"/>
              <w:right w:val="single" w:sz="4" w:space="0" w:color="auto"/>
            </w:tcBorders>
            <w:shd w:val="clear" w:color="auto" w:fill="auto"/>
            <w:noWrap/>
            <w:vAlign w:val="center"/>
          </w:tcPr>
          <w:p w14:paraId="6E3F3B0C" w14:textId="1A8C7B3A" w:rsidR="0032043A" w:rsidRPr="00393BE1" w:rsidRDefault="00393BE1" w:rsidP="00AD7CED">
            <w:pPr>
              <w:pStyle w:val="Tabletext"/>
              <w:keepNext/>
              <w:keepLines/>
              <w:jc w:val="center"/>
              <w:rPr>
                <w:szCs w:val="20"/>
                <w:highlight w:val="darkGray"/>
              </w:rPr>
            </w:pPr>
            <w:r w:rsidRPr="00393BE1">
              <w:rPr>
                <w:color w:val="000000" w:themeColor="text1"/>
                <w:szCs w:val="20"/>
              </w:rPr>
              <w:t>|</w:t>
            </w:r>
          </w:p>
        </w:tc>
      </w:tr>
      <w:tr w:rsidR="00485DF5" w:rsidRPr="00393BE1" w14:paraId="6C79F6D7" w14:textId="77777777" w:rsidTr="00DD4779">
        <w:trPr>
          <w:trHeight w:val="60"/>
        </w:trPr>
        <w:tc>
          <w:tcPr>
            <w:tcW w:w="5000" w:type="pct"/>
            <w:gridSpan w:val="4"/>
            <w:tcBorders>
              <w:top w:val="nil"/>
              <w:left w:val="single" w:sz="4" w:space="0" w:color="auto"/>
              <w:bottom w:val="single" w:sz="4" w:space="0" w:color="auto"/>
              <w:right w:val="single" w:sz="4" w:space="0" w:color="auto"/>
            </w:tcBorders>
            <w:shd w:val="clear" w:color="auto" w:fill="auto"/>
            <w:noWrap/>
            <w:vAlign w:val="bottom"/>
          </w:tcPr>
          <w:p w14:paraId="628391B7" w14:textId="5898A9AB" w:rsidR="00485DF5" w:rsidRPr="00393BE1" w:rsidRDefault="00393BE1" w:rsidP="00AD7CED">
            <w:pPr>
              <w:pStyle w:val="TableText0"/>
              <w:rPr>
                <w:b/>
                <w:bCs/>
                <w:iCs w:val="0"/>
                <w:sz w:val="20"/>
                <w:szCs w:val="20"/>
                <w:highlight w:val="darkGray"/>
              </w:rPr>
            </w:pP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 |</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 |</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p>
        </w:tc>
      </w:tr>
      <w:tr w:rsidR="00393BE1" w:rsidRPr="00393BE1" w14:paraId="5AC108B9" w14:textId="77777777" w:rsidTr="00C93C7A">
        <w:trPr>
          <w:trHeight w:val="6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FF7C63" w14:textId="3785A83C" w:rsidR="00393BE1" w:rsidRPr="00393BE1" w:rsidRDefault="00393BE1" w:rsidP="00393BE1">
            <w:pPr>
              <w:pStyle w:val="Tabletext"/>
              <w:keepNext/>
              <w:keepLines/>
              <w:rPr>
                <w:szCs w:val="20"/>
                <w:highlight w:val="darkGray"/>
              </w:rPr>
            </w:pP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p>
        </w:tc>
        <w:tc>
          <w:tcPr>
            <w:tcW w:w="931" w:type="pct"/>
            <w:tcBorders>
              <w:top w:val="single" w:sz="4" w:space="0" w:color="auto"/>
              <w:left w:val="nil"/>
              <w:bottom w:val="single" w:sz="4" w:space="0" w:color="auto"/>
              <w:right w:val="single" w:sz="4" w:space="0" w:color="auto"/>
            </w:tcBorders>
            <w:shd w:val="clear" w:color="auto" w:fill="auto"/>
            <w:noWrap/>
          </w:tcPr>
          <w:p w14:paraId="6D539331" w14:textId="729D503E" w:rsidR="00393BE1" w:rsidRPr="00393BE1" w:rsidRDefault="00393BE1" w:rsidP="00393BE1">
            <w:pPr>
              <w:pStyle w:val="Tabletext"/>
              <w:keepNext/>
              <w:keepLines/>
              <w:jc w:val="center"/>
              <w:rPr>
                <w:szCs w:val="20"/>
                <w:highlight w:val="darkGray"/>
              </w:rPr>
            </w:pPr>
            <w:r w:rsidRPr="001F2115">
              <w:rPr>
                <w:color w:val="000000" w:themeColor="text1"/>
                <w:szCs w:val="20"/>
              </w:rPr>
              <w:t>|</w:t>
            </w:r>
            <w:r w:rsidRPr="001F2115">
              <w:rPr>
                <w:szCs w:val="20"/>
              </w:rPr>
              <w:t xml:space="preserve"> </w:t>
            </w:r>
          </w:p>
        </w:tc>
        <w:tc>
          <w:tcPr>
            <w:tcW w:w="882" w:type="pct"/>
            <w:tcBorders>
              <w:top w:val="single" w:sz="4" w:space="0" w:color="auto"/>
              <w:left w:val="nil"/>
              <w:bottom w:val="single" w:sz="4" w:space="0" w:color="auto"/>
              <w:right w:val="single" w:sz="4" w:space="0" w:color="auto"/>
            </w:tcBorders>
            <w:shd w:val="clear" w:color="auto" w:fill="auto"/>
            <w:noWrap/>
          </w:tcPr>
          <w:p w14:paraId="3A42A59A" w14:textId="2BBF9F96" w:rsidR="00393BE1" w:rsidRPr="00393BE1" w:rsidRDefault="00393BE1" w:rsidP="00393BE1">
            <w:pPr>
              <w:pStyle w:val="Tabletext"/>
              <w:keepNext/>
              <w:keepLines/>
              <w:jc w:val="center"/>
              <w:rPr>
                <w:szCs w:val="20"/>
                <w:highlight w:val="darkGray"/>
              </w:rPr>
            </w:pPr>
            <w:r w:rsidRPr="001F2115">
              <w:rPr>
                <w:color w:val="000000" w:themeColor="text1"/>
                <w:szCs w:val="20"/>
              </w:rPr>
              <w:t>|</w:t>
            </w:r>
            <w:r w:rsidRPr="001F2115">
              <w:rPr>
                <w:szCs w:val="20"/>
              </w:rPr>
              <w:t xml:space="preserve"> </w:t>
            </w:r>
          </w:p>
        </w:tc>
        <w:tc>
          <w:tcPr>
            <w:tcW w:w="1060" w:type="pct"/>
            <w:tcBorders>
              <w:top w:val="single" w:sz="4" w:space="0" w:color="auto"/>
              <w:left w:val="nil"/>
              <w:bottom w:val="single" w:sz="4" w:space="0" w:color="auto"/>
              <w:right w:val="single" w:sz="4" w:space="0" w:color="auto"/>
            </w:tcBorders>
            <w:shd w:val="clear" w:color="auto" w:fill="auto"/>
            <w:noWrap/>
          </w:tcPr>
          <w:p w14:paraId="29D7E6E1" w14:textId="2D02B112" w:rsidR="00393BE1" w:rsidRPr="00393BE1" w:rsidRDefault="00393BE1" w:rsidP="00393BE1">
            <w:pPr>
              <w:pStyle w:val="Tabletext"/>
              <w:keepNext/>
              <w:keepLines/>
              <w:jc w:val="center"/>
              <w:rPr>
                <w:szCs w:val="20"/>
                <w:highlight w:val="darkGray"/>
              </w:rPr>
            </w:pPr>
            <w:r w:rsidRPr="001F2115">
              <w:rPr>
                <w:color w:val="000000" w:themeColor="text1"/>
                <w:szCs w:val="20"/>
              </w:rPr>
              <w:t>|</w:t>
            </w:r>
            <w:r w:rsidRPr="001F2115">
              <w:rPr>
                <w:szCs w:val="20"/>
              </w:rPr>
              <w:t xml:space="preserve"> </w:t>
            </w:r>
          </w:p>
        </w:tc>
      </w:tr>
      <w:tr w:rsidR="00393BE1" w:rsidRPr="00393BE1" w14:paraId="7E192A8D" w14:textId="77777777" w:rsidTr="00C93C7A">
        <w:trPr>
          <w:trHeight w:val="60"/>
        </w:trPr>
        <w:tc>
          <w:tcPr>
            <w:tcW w:w="2127" w:type="pct"/>
            <w:tcBorders>
              <w:top w:val="nil"/>
              <w:left w:val="single" w:sz="4" w:space="0" w:color="auto"/>
              <w:bottom w:val="single" w:sz="4" w:space="0" w:color="auto"/>
              <w:right w:val="single" w:sz="4" w:space="0" w:color="auto"/>
            </w:tcBorders>
            <w:shd w:val="clear" w:color="auto" w:fill="auto"/>
            <w:noWrap/>
            <w:vAlign w:val="bottom"/>
            <w:hideMark/>
          </w:tcPr>
          <w:p w14:paraId="3A7889E2" w14:textId="4DE5D727" w:rsidR="00393BE1" w:rsidRPr="00393BE1" w:rsidRDefault="00393BE1" w:rsidP="00393BE1">
            <w:pPr>
              <w:pStyle w:val="Tabletext"/>
              <w:keepNext/>
              <w:keepLines/>
              <w:rPr>
                <w:szCs w:val="20"/>
                <w:highlight w:val="darkGray"/>
              </w:rPr>
            </w:pP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r w:rsidRPr="00393BE1">
              <w:rPr>
                <w:color w:val="000000" w:themeColor="text1"/>
                <w:szCs w:val="20"/>
              </w:rPr>
              <w:t>|</w:t>
            </w:r>
          </w:p>
        </w:tc>
        <w:tc>
          <w:tcPr>
            <w:tcW w:w="931" w:type="pct"/>
            <w:tcBorders>
              <w:top w:val="nil"/>
              <w:left w:val="nil"/>
              <w:bottom w:val="single" w:sz="4" w:space="0" w:color="auto"/>
              <w:right w:val="single" w:sz="4" w:space="0" w:color="auto"/>
            </w:tcBorders>
            <w:shd w:val="clear" w:color="auto" w:fill="auto"/>
            <w:noWrap/>
          </w:tcPr>
          <w:p w14:paraId="3D4E736D" w14:textId="1310A07A" w:rsidR="00393BE1" w:rsidRPr="00393BE1" w:rsidRDefault="00393BE1" w:rsidP="00393BE1">
            <w:pPr>
              <w:pStyle w:val="Tabletext"/>
              <w:keepNext/>
              <w:keepLines/>
              <w:jc w:val="center"/>
              <w:rPr>
                <w:szCs w:val="20"/>
                <w:highlight w:val="darkGray"/>
              </w:rPr>
            </w:pPr>
            <w:r w:rsidRPr="001F2115">
              <w:rPr>
                <w:color w:val="000000" w:themeColor="text1"/>
                <w:szCs w:val="20"/>
              </w:rPr>
              <w:t>|</w:t>
            </w:r>
            <w:r w:rsidRPr="001F2115">
              <w:rPr>
                <w:szCs w:val="20"/>
              </w:rPr>
              <w:t xml:space="preserve"> </w:t>
            </w:r>
          </w:p>
        </w:tc>
        <w:tc>
          <w:tcPr>
            <w:tcW w:w="882" w:type="pct"/>
            <w:tcBorders>
              <w:top w:val="nil"/>
              <w:left w:val="nil"/>
              <w:bottom w:val="single" w:sz="4" w:space="0" w:color="auto"/>
              <w:right w:val="single" w:sz="4" w:space="0" w:color="auto"/>
            </w:tcBorders>
            <w:shd w:val="clear" w:color="auto" w:fill="auto"/>
            <w:noWrap/>
          </w:tcPr>
          <w:p w14:paraId="05AEEBA7" w14:textId="26160262" w:rsidR="00393BE1" w:rsidRPr="00393BE1" w:rsidRDefault="00393BE1" w:rsidP="00393BE1">
            <w:pPr>
              <w:pStyle w:val="Tabletext"/>
              <w:keepNext/>
              <w:keepLines/>
              <w:jc w:val="center"/>
              <w:rPr>
                <w:szCs w:val="20"/>
                <w:highlight w:val="darkGray"/>
              </w:rPr>
            </w:pPr>
            <w:r w:rsidRPr="001F2115">
              <w:rPr>
                <w:color w:val="000000" w:themeColor="text1"/>
                <w:szCs w:val="20"/>
              </w:rPr>
              <w:t>|</w:t>
            </w:r>
            <w:r w:rsidRPr="001F2115">
              <w:rPr>
                <w:szCs w:val="20"/>
              </w:rPr>
              <w:t xml:space="preserve"> </w:t>
            </w:r>
          </w:p>
        </w:tc>
        <w:tc>
          <w:tcPr>
            <w:tcW w:w="1060" w:type="pct"/>
            <w:tcBorders>
              <w:top w:val="nil"/>
              <w:left w:val="nil"/>
              <w:bottom w:val="single" w:sz="4" w:space="0" w:color="auto"/>
              <w:right w:val="single" w:sz="4" w:space="0" w:color="auto"/>
            </w:tcBorders>
            <w:shd w:val="clear" w:color="auto" w:fill="auto"/>
            <w:noWrap/>
          </w:tcPr>
          <w:p w14:paraId="22930AFC" w14:textId="21926D11" w:rsidR="00393BE1" w:rsidRPr="00393BE1" w:rsidRDefault="00393BE1" w:rsidP="00393BE1">
            <w:pPr>
              <w:pStyle w:val="Tabletext"/>
              <w:keepNext/>
              <w:keepLines/>
              <w:jc w:val="center"/>
              <w:rPr>
                <w:szCs w:val="20"/>
                <w:highlight w:val="darkGray"/>
              </w:rPr>
            </w:pPr>
            <w:r w:rsidRPr="001F2115">
              <w:rPr>
                <w:color w:val="000000" w:themeColor="text1"/>
                <w:szCs w:val="20"/>
              </w:rPr>
              <w:t>|</w:t>
            </w:r>
            <w:r w:rsidRPr="001F2115">
              <w:rPr>
                <w:szCs w:val="20"/>
              </w:rPr>
              <w:t xml:space="preserve"> </w:t>
            </w:r>
          </w:p>
        </w:tc>
      </w:tr>
      <w:tr w:rsidR="0032043A" w:rsidRPr="00393BE1" w14:paraId="3E8B6F69" w14:textId="77777777" w:rsidTr="0032043A">
        <w:trPr>
          <w:trHeight w:val="60"/>
        </w:trPr>
        <w:tc>
          <w:tcPr>
            <w:tcW w:w="394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EAB82A" w14:textId="79DEF29C" w:rsidR="0032043A" w:rsidRPr="00393BE1" w:rsidRDefault="00393BE1" w:rsidP="00AD7CED">
            <w:pPr>
              <w:pStyle w:val="Tabletext"/>
              <w:keepNext/>
              <w:keepLines/>
              <w:rPr>
                <w:szCs w:val="20"/>
                <w:highlight w:val="darkGray"/>
              </w:rPr>
            </w:pPr>
            <w:r w:rsidRPr="00393BE1">
              <w:rPr>
                <w:color w:val="000000" w:themeColor="text1"/>
                <w:szCs w:val="20"/>
              </w:rPr>
              <w:t>|</w:t>
            </w:r>
            <w:r w:rsidRPr="00393BE1">
              <w:rPr>
                <w:szCs w:val="20"/>
              </w:rPr>
              <w:t xml:space="preserve"> </w:t>
            </w:r>
            <w:r w:rsidRPr="00393BE1">
              <w:rPr>
                <w:color w:val="000000" w:themeColor="text1"/>
                <w:szCs w:val="20"/>
              </w:rPr>
              <w:t>|</w:t>
            </w:r>
            <w:r w:rsidRPr="00393BE1">
              <w:rPr>
                <w:szCs w:val="20"/>
              </w:rPr>
              <w:t xml:space="preserve"> </w:t>
            </w:r>
            <w:r w:rsidRPr="00393BE1">
              <w:rPr>
                <w:color w:val="000000" w:themeColor="text1"/>
                <w:szCs w:val="20"/>
              </w:rPr>
              <w:t>|</w:t>
            </w:r>
          </w:p>
        </w:tc>
        <w:tc>
          <w:tcPr>
            <w:tcW w:w="1060" w:type="pct"/>
            <w:tcBorders>
              <w:top w:val="single" w:sz="4" w:space="0" w:color="auto"/>
              <w:left w:val="nil"/>
              <w:bottom w:val="single" w:sz="4" w:space="0" w:color="auto"/>
              <w:right w:val="single" w:sz="4" w:space="0" w:color="auto"/>
            </w:tcBorders>
            <w:shd w:val="clear" w:color="auto" w:fill="auto"/>
            <w:noWrap/>
            <w:vAlign w:val="bottom"/>
          </w:tcPr>
          <w:p w14:paraId="6EA80317" w14:textId="0FF027B4" w:rsidR="0032043A" w:rsidRPr="00393BE1" w:rsidRDefault="00393BE1" w:rsidP="00AD7CED">
            <w:pPr>
              <w:pStyle w:val="Tabletext"/>
              <w:keepNext/>
              <w:keepLines/>
              <w:jc w:val="center"/>
              <w:rPr>
                <w:szCs w:val="20"/>
                <w:highlight w:val="darkGray"/>
              </w:rPr>
            </w:pPr>
            <w:r w:rsidRPr="00393BE1">
              <w:rPr>
                <w:color w:val="000000" w:themeColor="text1"/>
                <w:szCs w:val="20"/>
              </w:rPr>
              <w:t>|</w:t>
            </w:r>
          </w:p>
        </w:tc>
      </w:tr>
      <w:tr w:rsidR="00485DF5" w:rsidRPr="00393BE1" w14:paraId="0CAA850E" w14:textId="77777777" w:rsidTr="00DD4779">
        <w:trPr>
          <w:trHeight w:val="60"/>
        </w:trPr>
        <w:tc>
          <w:tcPr>
            <w:tcW w:w="5000" w:type="pct"/>
            <w:gridSpan w:val="4"/>
            <w:tcBorders>
              <w:top w:val="nil"/>
              <w:left w:val="single" w:sz="4" w:space="0" w:color="auto"/>
              <w:bottom w:val="single" w:sz="4" w:space="0" w:color="auto"/>
              <w:right w:val="single" w:sz="4" w:space="0" w:color="auto"/>
            </w:tcBorders>
            <w:shd w:val="clear" w:color="auto" w:fill="auto"/>
            <w:noWrap/>
            <w:vAlign w:val="bottom"/>
          </w:tcPr>
          <w:p w14:paraId="063DD1E9" w14:textId="4D34EF75" w:rsidR="00485DF5" w:rsidRPr="00393BE1" w:rsidRDefault="00393BE1" w:rsidP="00AD7CED">
            <w:pPr>
              <w:pStyle w:val="TableText0"/>
              <w:rPr>
                <w:b/>
                <w:bCs/>
                <w:iCs w:val="0"/>
                <w:sz w:val="20"/>
                <w:szCs w:val="20"/>
                <w:highlight w:val="darkGray"/>
              </w:rPr>
            </w:pP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Pr>
                <w:b/>
                <w:bCs/>
                <w:color w:val="000000" w:themeColor="text1"/>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Pr>
                <w:b/>
                <w:bCs/>
                <w:color w:val="000000" w:themeColor="text1"/>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r w:rsidRPr="00393BE1">
              <w:rPr>
                <w:b/>
                <w:bCs/>
                <w:sz w:val="20"/>
                <w:szCs w:val="20"/>
              </w:rPr>
              <w:t xml:space="preserve"> </w:t>
            </w:r>
            <w:r w:rsidRPr="00393BE1">
              <w:rPr>
                <w:b/>
                <w:bCs/>
                <w:color w:val="000000" w:themeColor="text1"/>
                <w:sz w:val="20"/>
                <w:szCs w:val="20"/>
              </w:rPr>
              <w:t>|</w:t>
            </w:r>
          </w:p>
        </w:tc>
      </w:tr>
      <w:tr w:rsidR="00393BE1" w:rsidRPr="00393BE1" w14:paraId="5B205948" w14:textId="77777777" w:rsidTr="0032043A">
        <w:trPr>
          <w:trHeight w:val="60"/>
        </w:trPr>
        <w:tc>
          <w:tcPr>
            <w:tcW w:w="2127" w:type="pct"/>
            <w:tcBorders>
              <w:top w:val="single" w:sz="4" w:space="0" w:color="auto"/>
              <w:left w:val="single" w:sz="4" w:space="0" w:color="auto"/>
              <w:bottom w:val="single" w:sz="4" w:space="0" w:color="auto"/>
              <w:right w:val="single" w:sz="4" w:space="0" w:color="auto"/>
            </w:tcBorders>
            <w:shd w:val="clear" w:color="auto" w:fill="auto"/>
            <w:noWrap/>
          </w:tcPr>
          <w:p w14:paraId="04BF206A" w14:textId="7C1674D7" w:rsidR="00393BE1" w:rsidRPr="00393BE1" w:rsidRDefault="00393BE1" w:rsidP="00393BE1">
            <w:pPr>
              <w:pStyle w:val="Tabletext"/>
              <w:keepNext/>
              <w:keepLines/>
              <w:rPr>
                <w:szCs w:val="20"/>
                <w:highlight w:val="darkGray"/>
              </w:rPr>
            </w:pPr>
            <w:r w:rsidRPr="00393BE1">
              <w:rPr>
                <w:color w:val="000000" w:themeColor="text1"/>
                <w:szCs w:val="20"/>
              </w:rPr>
              <w:t>|</w:t>
            </w:r>
            <w:r w:rsidRPr="00393BE1">
              <w:rPr>
                <w:szCs w:val="20"/>
              </w:rPr>
              <w:t xml:space="preserve"> </w:t>
            </w:r>
            <w:r w:rsidRPr="00393BE1">
              <w:rPr>
                <w:color w:val="000000" w:themeColor="text1"/>
                <w:szCs w:val="20"/>
              </w:rPr>
              <w:t>|</w:t>
            </w:r>
          </w:p>
        </w:tc>
        <w:tc>
          <w:tcPr>
            <w:tcW w:w="931" w:type="pct"/>
            <w:tcBorders>
              <w:top w:val="single" w:sz="4" w:space="0" w:color="auto"/>
              <w:left w:val="nil"/>
              <w:bottom w:val="single" w:sz="4" w:space="0" w:color="auto"/>
              <w:right w:val="single" w:sz="4" w:space="0" w:color="auto"/>
            </w:tcBorders>
            <w:shd w:val="clear" w:color="auto" w:fill="auto"/>
            <w:noWrap/>
          </w:tcPr>
          <w:p w14:paraId="334B2A12" w14:textId="17123721" w:rsidR="00393BE1" w:rsidRPr="00393BE1" w:rsidRDefault="00393BE1" w:rsidP="00393BE1">
            <w:pPr>
              <w:pStyle w:val="Tabletext"/>
              <w:keepNext/>
              <w:keepLines/>
              <w:jc w:val="center"/>
              <w:rPr>
                <w:szCs w:val="20"/>
                <w:highlight w:val="darkGray"/>
              </w:rPr>
            </w:pPr>
            <w:r w:rsidRPr="005112B7">
              <w:rPr>
                <w:color w:val="000000" w:themeColor="text1"/>
                <w:szCs w:val="20"/>
              </w:rPr>
              <w:t>|</w:t>
            </w:r>
            <w:r w:rsidRPr="005112B7">
              <w:rPr>
                <w:szCs w:val="20"/>
              </w:rPr>
              <w:t xml:space="preserve"> </w:t>
            </w:r>
          </w:p>
        </w:tc>
        <w:tc>
          <w:tcPr>
            <w:tcW w:w="882" w:type="pct"/>
            <w:tcBorders>
              <w:top w:val="single" w:sz="4" w:space="0" w:color="auto"/>
              <w:left w:val="nil"/>
              <w:bottom w:val="single" w:sz="4" w:space="0" w:color="auto"/>
              <w:right w:val="single" w:sz="4" w:space="0" w:color="auto"/>
            </w:tcBorders>
            <w:shd w:val="clear" w:color="auto" w:fill="auto"/>
            <w:noWrap/>
          </w:tcPr>
          <w:p w14:paraId="6599CAC8" w14:textId="52BE1432" w:rsidR="00393BE1" w:rsidRPr="00393BE1" w:rsidRDefault="00393BE1" w:rsidP="00393BE1">
            <w:pPr>
              <w:pStyle w:val="Tabletext"/>
              <w:keepNext/>
              <w:keepLines/>
              <w:jc w:val="center"/>
              <w:rPr>
                <w:szCs w:val="20"/>
                <w:highlight w:val="darkGray"/>
              </w:rPr>
            </w:pPr>
            <w:r w:rsidRPr="005112B7">
              <w:rPr>
                <w:color w:val="000000" w:themeColor="text1"/>
                <w:szCs w:val="20"/>
              </w:rPr>
              <w:t>|</w:t>
            </w:r>
            <w:r w:rsidRPr="005112B7">
              <w:rPr>
                <w:szCs w:val="20"/>
              </w:rPr>
              <w:t xml:space="preserve"> </w:t>
            </w:r>
          </w:p>
        </w:tc>
        <w:tc>
          <w:tcPr>
            <w:tcW w:w="1060" w:type="pct"/>
            <w:tcBorders>
              <w:top w:val="single" w:sz="4" w:space="0" w:color="auto"/>
              <w:left w:val="nil"/>
              <w:bottom w:val="single" w:sz="4" w:space="0" w:color="auto"/>
              <w:right w:val="single" w:sz="4" w:space="0" w:color="auto"/>
            </w:tcBorders>
            <w:shd w:val="clear" w:color="auto" w:fill="auto"/>
            <w:noWrap/>
          </w:tcPr>
          <w:p w14:paraId="5805371E" w14:textId="387BDCDF" w:rsidR="00393BE1" w:rsidRPr="00393BE1" w:rsidRDefault="00393BE1" w:rsidP="00393BE1">
            <w:pPr>
              <w:pStyle w:val="Tabletext"/>
              <w:keepNext/>
              <w:keepLines/>
              <w:jc w:val="center"/>
              <w:rPr>
                <w:szCs w:val="20"/>
                <w:highlight w:val="darkGray"/>
              </w:rPr>
            </w:pPr>
            <w:r w:rsidRPr="005112B7">
              <w:rPr>
                <w:color w:val="000000" w:themeColor="text1"/>
                <w:szCs w:val="20"/>
              </w:rPr>
              <w:t>|</w:t>
            </w:r>
            <w:r w:rsidRPr="005112B7">
              <w:rPr>
                <w:szCs w:val="20"/>
              </w:rPr>
              <w:t xml:space="preserve"> </w:t>
            </w:r>
          </w:p>
        </w:tc>
      </w:tr>
      <w:tr w:rsidR="00393BE1" w:rsidRPr="00393BE1" w14:paraId="5040165A" w14:textId="77777777" w:rsidTr="0032043A">
        <w:trPr>
          <w:trHeight w:val="60"/>
        </w:trPr>
        <w:tc>
          <w:tcPr>
            <w:tcW w:w="2127" w:type="pct"/>
            <w:tcBorders>
              <w:top w:val="single" w:sz="4" w:space="0" w:color="auto"/>
              <w:left w:val="single" w:sz="4" w:space="0" w:color="auto"/>
              <w:bottom w:val="single" w:sz="4" w:space="0" w:color="auto"/>
              <w:right w:val="single" w:sz="4" w:space="0" w:color="auto"/>
            </w:tcBorders>
            <w:shd w:val="clear" w:color="auto" w:fill="auto"/>
            <w:noWrap/>
          </w:tcPr>
          <w:p w14:paraId="030E01C4" w14:textId="3CAB2500" w:rsidR="00393BE1" w:rsidRPr="00393BE1" w:rsidRDefault="00393BE1" w:rsidP="00393BE1">
            <w:pPr>
              <w:pStyle w:val="Tabletext"/>
              <w:keepNext/>
              <w:keepLines/>
              <w:rPr>
                <w:szCs w:val="20"/>
                <w:highlight w:val="darkGray"/>
              </w:rPr>
            </w:pPr>
            <w:r w:rsidRPr="00393BE1">
              <w:rPr>
                <w:color w:val="000000" w:themeColor="text1"/>
                <w:szCs w:val="20"/>
              </w:rPr>
              <w:t>|</w:t>
            </w:r>
            <w:r w:rsidRPr="00393BE1">
              <w:rPr>
                <w:szCs w:val="20"/>
              </w:rPr>
              <w:t xml:space="preserve"> </w:t>
            </w:r>
            <w:r w:rsidRPr="00393BE1">
              <w:rPr>
                <w:color w:val="000000" w:themeColor="text1"/>
                <w:szCs w:val="20"/>
              </w:rPr>
              <w:t>|</w:t>
            </w:r>
          </w:p>
        </w:tc>
        <w:tc>
          <w:tcPr>
            <w:tcW w:w="931" w:type="pct"/>
            <w:tcBorders>
              <w:top w:val="single" w:sz="4" w:space="0" w:color="auto"/>
              <w:left w:val="nil"/>
              <w:bottom w:val="single" w:sz="4" w:space="0" w:color="auto"/>
              <w:right w:val="single" w:sz="4" w:space="0" w:color="auto"/>
            </w:tcBorders>
            <w:shd w:val="clear" w:color="auto" w:fill="auto"/>
            <w:noWrap/>
          </w:tcPr>
          <w:p w14:paraId="4B66712D" w14:textId="2A9713C1" w:rsidR="00393BE1" w:rsidRPr="00393BE1" w:rsidRDefault="00393BE1" w:rsidP="00393BE1">
            <w:pPr>
              <w:pStyle w:val="Tabletext"/>
              <w:keepNext/>
              <w:keepLines/>
              <w:jc w:val="center"/>
              <w:rPr>
                <w:szCs w:val="20"/>
                <w:highlight w:val="darkGray"/>
              </w:rPr>
            </w:pPr>
            <w:r w:rsidRPr="005112B7">
              <w:rPr>
                <w:color w:val="000000" w:themeColor="text1"/>
                <w:szCs w:val="20"/>
              </w:rPr>
              <w:t>|</w:t>
            </w:r>
            <w:r w:rsidRPr="005112B7">
              <w:rPr>
                <w:szCs w:val="20"/>
              </w:rPr>
              <w:t xml:space="preserve"> </w:t>
            </w:r>
          </w:p>
        </w:tc>
        <w:tc>
          <w:tcPr>
            <w:tcW w:w="882" w:type="pct"/>
            <w:tcBorders>
              <w:top w:val="single" w:sz="4" w:space="0" w:color="auto"/>
              <w:left w:val="nil"/>
              <w:bottom w:val="single" w:sz="4" w:space="0" w:color="auto"/>
              <w:right w:val="single" w:sz="4" w:space="0" w:color="auto"/>
            </w:tcBorders>
            <w:shd w:val="clear" w:color="auto" w:fill="auto"/>
            <w:noWrap/>
          </w:tcPr>
          <w:p w14:paraId="3410B54D" w14:textId="30AC06A5" w:rsidR="00393BE1" w:rsidRPr="00393BE1" w:rsidRDefault="00393BE1" w:rsidP="00393BE1">
            <w:pPr>
              <w:pStyle w:val="Tabletext"/>
              <w:keepNext/>
              <w:keepLines/>
              <w:jc w:val="center"/>
              <w:rPr>
                <w:szCs w:val="20"/>
                <w:highlight w:val="darkGray"/>
              </w:rPr>
            </w:pPr>
            <w:r w:rsidRPr="005112B7">
              <w:rPr>
                <w:color w:val="000000" w:themeColor="text1"/>
                <w:szCs w:val="20"/>
              </w:rPr>
              <w:t>|</w:t>
            </w:r>
            <w:r w:rsidRPr="005112B7">
              <w:rPr>
                <w:szCs w:val="20"/>
              </w:rPr>
              <w:t xml:space="preserve"> </w:t>
            </w:r>
          </w:p>
        </w:tc>
        <w:tc>
          <w:tcPr>
            <w:tcW w:w="1060" w:type="pct"/>
            <w:tcBorders>
              <w:top w:val="single" w:sz="4" w:space="0" w:color="auto"/>
              <w:left w:val="nil"/>
              <w:bottom w:val="single" w:sz="4" w:space="0" w:color="auto"/>
              <w:right w:val="single" w:sz="4" w:space="0" w:color="auto"/>
            </w:tcBorders>
            <w:shd w:val="clear" w:color="auto" w:fill="auto"/>
            <w:noWrap/>
          </w:tcPr>
          <w:p w14:paraId="00080F50" w14:textId="44A69090" w:rsidR="00393BE1" w:rsidRPr="00393BE1" w:rsidRDefault="00393BE1" w:rsidP="00393BE1">
            <w:pPr>
              <w:pStyle w:val="Tabletext"/>
              <w:keepNext/>
              <w:keepLines/>
              <w:jc w:val="center"/>
              <w:rPr>
                <w:szCs w:val="20"/>
                <w:highlight w:val="darkGray"/>
              </w:rPr>
            </w:pPr>
            <w:r w:rsidRPr="005112B7">
              <w:rPr>
                <w:color w:val="000000" w:themeColor="text1"/>
                <w:szCs w:val="20"/>
              </w:rPr>
              <w:t>|</w:t>
            </w:r>
            <w:r w:rsidRPr="005112B7">
              <w:rPr>
                <w:szCs w:val="20"/>
              </w:rPr>
              <w:t xml:space="preserve"> </w:t>
            </w:r>
          </w:p>
        </w:tc>
      </w:tr>
      <w:tr w:rsidR="0032043A" w:rsidRPr="00393BE1" w14:paraId="06953923" w14:textId="77777777" w:rsidTr="0032043A">
        <w:trPr>
          <w:trHeight w:val="60"/>
        </w:trPr>
        <w:tc>
          <w:tcPr>
            <w:tcW w:w="394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83C213" w14:textId="0435D17D" w:rsidR="0032043A" w:rsidRPr="00393BE1" w:rsidRDefault="00393BE1" w:rsidP="00AD7CED">
            <w:pPr>
              <w:pStyle w:val="Tabletext"/>
              <w:keepNext/>
              <w:keepLines/>
              <w:rPr>
                <w:b/>
                <w:bCs/>
                <w:szCs w:val="20"/>
                <w:highlight w:val="darkGray"/>
              </w:rPr>
            </w:pPr>
            <w:r w:rsidRPr="00393BE1">
              <w:rPr>
                <w:b/>
                <w:bCs/>
                <w:color w:val="000000" w:themeColor="text1"/>
                <w:szCs w:val="20"/>
              </w:rPr>
              <w:t>|</w:t>
            </w:r>
            <w:r w:rsidRPr="00393BE1">
              <w:rPr>
                <w:b/>
                <w:bCs/>
                <w:szCs w:val="20"/>
              </w:rPr>
              <w:t xml:space="preserve"> </w:t>
            </w:r>
            <w:r w:rsidRPr="00393BE1">
              <w:rPr>
                <w:b/>
                <w:bCs/>
                <w:color w:val="000000" w:themeColor="text1"/>
                <w:szCs w:val="20"/>
              </w:rPr>
              <w:t>|</w:t>
            </w:r>
            <w:r w:rsidRPr="00393BE1">
              <w:rPr>
                <w:b/>
                <w:bCs/>
                <w:szCs w:val="20"/>
              </w:rPr>
              <w:t xml:space="preserve"> </w:t>
            </w:r>
            <w:r w:rsidRPr="00393BE1">
              <w:rPr>
                <w:b/>
                <w:bCs/>
                <w:color w:val="000000" w:themeColor="text1"/>
                <w:szCs w:val="20"/>
              </w:rPr>
              <w:t>|</w:t>
            </w:r>
            <w:r>
              <w:rPr>
                <w:b/>
                <w:bCs/>
                <w:color w:val="000000" w:themeColor="text1"/>
                <w:szCs w:val="20"/>
              </w:rPr>
              <w:t xml:space="preserve"> </w:t>
            </w:r>
            <w:r w:rsidRPr="00393BE1">
              <w:rPr>
                <w:b/>
                <w:bCs/>
                <w:color w:val="000000" w:themeColor="text1"/>
                <w:szCs w:val="20"/>
              </w:rPr>
              <w:t>|</w:t>
            </w:r>
            <w:r w:rsidRPr="00393BE1">
              <w:rPr>
                <w:b/>
                <w:bCs/>
                <w:szCs w:val="20"/>
              </w:rPr>
              <w:t xml:space="preserve"> </w:t>
            </w:r>
            <w:r w:rsidRPr="00393BE1">
              <w:rPr>
                <w:b/>
                <w:bCs/>
                <w:color w:val="000000" w:themeColor="text1"/>
                <w:szCs w:val="20"/>
              </w:rPr>
              <w:t>|</w:t>
            </w:r>
            <w:r w:rsidRPr="00393BE1">
              <w:rPr>
                <w:b/>
                <w:bCs/>
                <w:szCs w:val="20"/>
              </w:rPr>
              <w:t xml:space="preserve"> </w:t>
            </w:r>
            <w:r w:rsidRPr="00393BE1">
              <w:rPr>
                <w:b/>
                <w:bCs/>
                <w:color w:val="000000" w:themeColor="text1"/>
                <w:szCs w:val="20"/>
              </w:rPr>
              <w:t>|</w:t>
            </w:r>
          </w:p>
        </w:tc>
        <w:tc>
          <w:tcPr>
            <w:tcW w:w="1060" w:type="pct"/>
            <w:tcBorders>
              <w:top w:val="single" w:sz="4" w:space="0" w:color="auto"/>
              <w:left w:val="nil"/>
              <w:bottom w:val="single" w:sz="4" w:space="0" w:color="auto"/>
              <w:right w:val="single" w:sz="4" w:space="0" w:color="auto"/>
            </w:tcBorders>
            <w:shd w:val="clear" w:color="auto" w:fill="auto"/>
            <w:noWrap/>
            <w:vAlign w:val="bottom"/>
          </w:tcPr>
          <w:p w14:paraId="70B90F84" w14:textId="10E1C5AD" w:rsidR="0032043A" w:rsidRPr="00393BE1" w:rsidRDefault="00393BE1" w:rsidP="00AD7CED">
            <w:pPr>
              <w:pStyle w:val="Tabletext"/>
              <w:keepNext/>
              <w:keepLines/>
              <w:jc w:val="center"/>
              <w:rPr>
                <w:b/>
                <w:bCs/>
                <w:szCs w:val="20"/>
                <w:highlight w:val="darkGray"/>
              </w:rPr>
            </w:pPr>
            <w:r w:rsidRPr="00393BE1">
              <w:rPr>
                <w:b/>
                <w:bCs/>
                <w:color w:val="000000" w:themeColor="text1"/>
                <w:szCs w:val="20"/>
              </w:rPr>
              <w:t>|</w:t>
            </w:r>
          </w:p>
        </w:tc>
      </w:tr>
    </w:tbl>
    <w:p w14:paraId="054A71AE" w14:textId="17178366" w:rsidR="00A27FA9" w:rsidRPr="00A27FA9" w:rsidRDefault="00393BE1" w:rsidP="00AD7CED">
      <w:pPr>
        <w:pStyle w:val="TableFigureFooter"/>
        <w:keepNext/>
        <w:keepLines/>
        <w:rPr>
          <w:szCs w:val="18"/>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p w14:paraId="43639053" w14:textId="16C44495" w:rsidR="00A27FA9" w:rsidRPr="00A27FA9" w:rsidRDefault="00393BE1" w:rsidP="00AD7CED">
      <w:pPr>
        <w:pStyle w:val="TableFigureFooter"/>
        <w:keepNext/>
        <w:keepLines/>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00A27FA9" w:rsidRPr="00A27FA9">
        <w:t xml:space="preserve"> </w:t>
      </w:r>
    </w:p>
    <w:p w14:paraId="3D991F46" w14:textId="13DA8835" w:rsidR="00393BE1" w:rsidRDefault="00393BE1" w:rsidP="00AD7CED">
      <w:pPr>
        <w:pStyle w:val="TableFigureFooter"/>
        <w:keepNext/>
        <w:keepLines/>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p>
    <w:p w14:paraId="10CC4279" w14:textId="65A722FE" w:rsidR="00A27FA9" w:rsidRPr="00A27FA9" w:rsidRDefault="00393BE1" w:rsidP="00AD7CED">
      <w:pPr>
        <w:pStyle w:val="TableFigureFooter"/>
        <w:keepNext/>
        <w:keepLines/>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p w14:paraId="11D4757E" w14:textId="220F4B20" w:rsidR="00A27FA9" w:rsidRPr="00A27FA9" w:rsidRDefault="00393BE1" w:rsidP="00AD7CED">
      <w:pPr>
        <w:pStyle w:val="TableFigureFooter"/>
        <w:keepNext/>
        <w:keepLines/>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00A27FA9" w:rsidRPr="00A27FA9">
        <w:rPr>
          <w:i/>
          <w:iCs/>
        </w:rPr>
        <w:t xml:space="preserve"> </w:t>
      </w:r>
    </w:p>
    <w:p w14:paraId="25BDA2B2" w14:textId="09D9F843" w:rsidR="00485DF5" w:rsidRPr="00AD7CED" w:rsidRDefault="00393BE1" w:rsidP="00D17A65">
      <w:pPr>
        <w:pStyle w:val="TableFigureFooter"/>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p w14:paraId="0C68C6BF" w14:textId="42F89F8A" w:rsidR="005233D6" w:rsidRPr="00310498" w:rsidRDefault="00FB0C76"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393BE1">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393BE1">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393BE1">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E56384" w:rsidRPr="00310498">
        <w:t>.</w:t>
      </w:r>
      <w:r w:rsidR="00711062">
        <w:t xml:space="preserve"> </w:t>
      </w:r>
      <w:r w:rsidR="002F75CE" w:rsidRPr="002F75CE">
        <w:rPr>
          <w:vertAlign w:val="superscript"/>
        </w:rPr>
        <w:fldChar w:fldCharType="begin" w:fldLock="1"/>
      </w:r>
      <w:r w:rsidR="002F75CE" w:rsidRPr="002F75CE">
        <w:rPr>
          <w:vertAlign w:val="superscript"/>
        </w:rPr>
        <w:instrText xml:space="preserve"> NOTEREF _Ref196749510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11</w:t>
      </w:r>
      <w:r w:rsidR="002F75CE" w:rsidRPr="002F75CE">
        <w:rPr>
          <w:vertAlign w:val="superscript"/>
        </w:rPr>
        <w:fldChar w:fldCharType="end"/>
      </w:r>
    </w:p>
    <w:p w14:paraId="05F1DCA3" w14:textId="336C8ADB" w:rsidR="00E56384" w:rsidRPr="00310498" w:rsidRDefault="00393BE1" w:rsidP="00E56384">
      <w:pPr>
        <w:pStyle w:val="Caption"/>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002F75CE" w:rsidRPr="002F75CE">
        <w:rPr>
          <w:vertAlign w:val="superscript"/>
        </w:rPr>
        <w:fldChar w:fldCharType="begin" w:fldLock="1"/>
      </w:r>
      <w:r w:rsidR="002F75CE" w:rsidRPr="002F75CE">
        <w:rPr>
          <w:vertAlign w:val="superscript"/>
        </w:rPr>
        <w:instrText xml:space="preserve"> NOTEREF _Ref196749510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11</w:t>
      </w:r>
      <w:r w:rsidR="002F75CE" w:rsidRPr="002F75CE">
        <w:rPr>
          <w:vertAlign w:val="superscript"/>
        </w:rPr>
        <w:fldChar w:fldCharType="end"/>
      </w:r>
    </w:p>
    <w:tbl>
      <w:tblPr>
        <w:tblW w:w="5000" w:type="pct"/>
        <w:tblLook w:val="04A0" w:firstRow="1" w:lastRow="0" w:firstColumn="1" w:lastColumn="0" w:noHBand="0" w:noVBand="1"/>
      </w:tblPr>
      <w:tblGrid>
        <w:gridCol w:w="2689"/>
        <w:gridCol w:w="2117"/>
        <w:gridCol w:w="2117"/>
        <w:gridCol w:w="2117"/>
      </w:tblGrid>
      <w:tr w:rsidR="00E56384" w:rsidRPr="00711062" w14:paraId="5F85690D" w14:textId="77777777">
        <w:trPr>
          <w:trHeight w:val="20"/>
        </w:trPr>
        <w:tc>
          <w:tcPr>
            <w:tcW w:w="1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A1B14" w14:textId="4796725D" w:rsidR="00E56384" w:rsidRPr="00711062" w:rsidRDefault="00A27FA9">
            <w:pPr>
              <w:keepNext/>
              <w:keepLines/>
              <w:jc w:val="center"/>
              <w:rPr>
                <w:rFonts w:ascii="Arial Narrow" w:hAnsi="Arial Narrow" w:cs="Times New Roman"/>
                <w:color w:val="000000"/>
                <w:sz w:val="20"/>
                <w:szCs w:val="20"/>
                <w:highlight w:val="darkGray"/>
              </w:rPr>
            </w:pPr>
            <w:r w:rsidRPr="00A27FA9">
              <w:rPr>
                <w:rFonts w:ascii="Arial Narrow" w:hAnsi="Arial Narrow" w:cs="Times New Roman"/>
                <w:color w:val="000000"/>
                <w:sz w:val="20"/>
                <w:szCs w:val="20"/>
              </w:rPr>
              <w:t xml:space="preserve">  </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5ADD9B24" w14:textId="097C0141" w:rsidR="00E56384" w:rsidRPr="00711062" w:rsidRDefault="00393BE1">
            <w:pPr>
              <w:pStyle w:val="In-tableHeading"/>
              <w:jc w:val="center"/>
              <w:rPr>
                <w:highlight w:val="darkGray"/>
                <w:lang w:val="en-AU"/>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02959BDC" w14:textId="49FBD202" w:rsidR="00E56384" w:rsidRPr="00711062" w:rsidRDefault="00B935C4">
            <w:pPr>
              <w:pStyle w:val="In-tableHeading"/>
              <w:jc w:val="center"/>
              <w:rPr>
                <w:highlight w:val="darkGray"/>
                <w:lang w:val="en-AU"/>
              </w:rPr>
            </w:pPr>
            <w:r w:rsidRPr="7EE24840">
              <w:rPr>
                <w:color w:val="000000" w:themeColor="text1"/>
              </w:rPr>
              <w:t>|</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4088E9FD" w14:textId="7222C11E" w:rsidR="00E56384" w:rsidRPr="00711062" w:rsidRDefault="00B935C4">
            <w:pPr>
              <w:pStyle w:val="In-tableHeading"/>
              <w:jc w:val="center"/>
              <w:rPr>
                <w:highlight w:val="darkGray"/>
                <w:lang w:val="en-AU"/>
              </w:rPr>
            </w:pPr>
            <w:r w:rsidRPr="7EE24840">
              <w:rPr>
                <w:color w:val="000000" w:themeColor="text1"/>
              </w:rPr>
              <w:t>|</w:t>
            </w:r>
          </w:p>
        </w:tc>
      </w:tr>
      <w:tr w:rsidR="00B935C4" w:rsidRPr="00711062" w14:paraId="4BC92088" w14:textId="77777777" w:rsidTr="005D1D18">
        <w:trPr>
          <w:trHeight w:val="20"/>
        </w:trPr>
        <w:tc>
          <w:tcPr>
            <w:tcW w:w="1487" w:type="pct"/>
            <w:tcBorders>
              <w:top w:val="nil"/>
              <w:left w:val="single" w:sz="4" w:space="0" w:color="auto"/>
              <w:bottom w:val="single" w:sz="4" w:space="0" w:color="auto"/>
              <w:right w:val="single" w:sz="4" w:space="0" w:color="auto"/>
            </w:tcBorders>
            <w:shd w:val="clear" w:color="auto" w:fill="auto"/>
            <w:noWrap/>
            <w:hideMark/>
          </w:tcPr>
          <w:p w14:paraId="1C1BF5E9" w14:textId="580288C8" w:rsidR="00B935C4" w:rsidRPr="00711062" w:rsidRDefault="00B935C4" w:rsidP="00B935C4">
            <w:pPr>
              <w:pStyle w:val="Tabletext"/>
              <w:rPr>
                <w:highlight w:val="darkGray"/>
              </w:rPr>
            </w:pPr>
            <w:r w:rsidRPr="00A27AF8">
              <w:t xml:space="preserve"> </w:t>
            </w:r>
            <w:r w:rsidRPr="00A27AF8">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77B5AB7B" w14:textId="1A98D609" w:rsidR="00B935C4" w:rsidRPr="00711062" w:rsidRDefault="00B935C4" w:rsidP="00B935C4">
            <w:pPr>
              <w:pStyle w:val="Tabletext"/>
              <w:jc w:val="center"/>
              <w:rPr>
                <w:highlight w:val="darkGray"/>
              </w:rPr>
            </w:pPr>
            <w:r w:rsidRPr="00511ECE">
              <w:t xml:space="preserve"> </w:t>
            </w:r>
            <w:r w:rsidRPr="00511ECE">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0F808499" w14:textId="36009958" w:rsidR="00B935C4" w:rsidRPr="00711062" w:rsidRDefault="00B935C4" w:rsidP="00B935C4">
            <w:pPr>
              <w:pStyle w:val="Tabletext"/>
              <w:jc w:val="center"/>
              <w:rPr>
                <w:highlight w:val="darkGray"/>
              </w:rPr>
            </w:pPr>
            <w:r w:rsidRPr="00DC352A">
              <w:t xml:space="preserve"> </w:t>
            </w:r>
            <w:r w:rsidRPr="00DC352A">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506B9F3F" w14:textId="49EAAAC6" w:rsidR="00B935C4" w:rsidRPr="00711062" w:rsidRDefault="00B935C4" w:rsidP="00B935C4">
            <w:pPr>
              <w:pStyle w:val="Tabletext"/>
              <w:jc w:val="center"/>
              <w:rPr>
                <w:highlight w:val="darkGray"/>
              </w:rPr>
            </w:pPr>
            <w:r w:rsidRPr="00E37591">
              <w:t xml:space="preserve"> </w:t>
            </w:r>
            <w:r w:rsidRPr="00E37591">
              <w:rPr>
                <w:color w:val="000000" w:themeColor="text1"/>
              </w:rPr>
              <w:t>|</w:t>
            </w:r>
          </w:p>
        </w:tc>
      </w:tr>
      <w:tr w:rsidR="00B935C4" w:rsidRPr="00711062" w14:paraId="3741DBB8" w14:textId="77777777" w:rsidTr="005D1D18">
        <w:trPr>
          <w:trHeight w:val="20"/>
        </w:trPr>
        <w:tc>
          <w:tcPr>
            <w:tcW w:w="1487" w:type="pct"/>
            <w:tcBorders>
              <w:top w:val="nil"/>
              <w:left w:val="single" w:sz="4" w:space="0" w:color="auto"/>
              <w:bottom w:val="single" w:sz="4" w:space="0" w:color="auto"/>
              <w:right w:val="single" w:sz="4" w:space="0" w:color="auto"/>
            </w:tcBorders>
            <w:shd w:val="clear" w:color="auto" w:fill="auto"/>
            <w:noWrap/>
            <w:hideMark/>
          </w:tcPr>
          <w:p w14:paraId="7DF1E9C7" w14:textId="470AD71E" w:rsidR="00B935C4" w:rsidRPr="00711062" w:rsidRDefault="00B935C4" w:rsidP="00B935C4">
            <w:pPr>
              <w:pStyle w:val="Tabletext"/>
              <w:rPr>
                <w:highlight w:val="darkGray"/>
              </w:rPr>
            </w:pPr>
            <w:r w:rsidRPr="00A27AF8">
              <w:t xml:space="preserve"> </w:t>
            </w:r>
            <w:r w:rsidRPr="00A27AF8">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44A27878" w14:textId="68BBDF87" w:rsidR="00B935C4" w:rsidRPr="00711062" w:rsidRDefault="00B935C4" w:rsidP="00B935C4">
            <w:pPr>
              <w:pStyle w:val="Tabletext"/>
              <w:jc w:val="center"/>
              <w:rPr>
                <w:highlight w:val="darkGray"/>
              </w:rPr>
            </w:pPr>
            <w:r w:rsidRPr="00511ECE">
              <w:t xml:space="preserve"> </w:t>
            </w:r>
            <w:r w:rsidRPr="00511ECE">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27F47321" w14:textId="4EEB824D" w:rsidR="00B935C4" w:rsidRPr="00711062" w:rsidRDefault="00B935C4" w:rsidP="00B935C4">
            <w:pPr>
              <w:pStyle w:val="Tabletext"/>
              <w:jc w:val="center"/>
              <w:rPr>
                <w:highlight w:val="darkGray"/>
              </w:rPr>
            </w:pPr>
            <w:r w:rsidRPr="00DC352A">
              <w:t xml:space="preserve"> </w:t>
            </w:r>
            <w:r w:rsidRPr="00DC352A">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67F1832A" w14:textId="68ABDBC5" w:rsidR="00B935C4" w:rsidRPr="00711062" w:rsidRDefault="00B935C4" w:rsidP="00B935C4">
            <w:pPr>
              <w:pStyle w:val="Tabletext"/>
              <w:jc w:val="center"/>
              <w:rPr>
                <w:highlight w:val="darkGray"/>
              </w:rPr>
            </w:pPr>
            <w:r w:rsidRPr="00E37591">
              <w:t xml:space="preserve"> </w:t>
            </w:r>
            <w:r w:rsidRPr="00E37591">
              <w:rPr>
                <w:color w:val="000000" w:themeColor="text1"/>
              </w:rPr>
              <w:t>|</w:t>
            </w:r>
          </w:p>
        </w:tc>
      </w:tr>
      <w:tr w:rsidR="00B935C4" w:rsidRPr="00711062" w14:paraId="4430288F" w14:textId="77777777" w:rsidTr="005D1D18">
        <w:trPr>
          <w:trHeight w:val="20"/>
        </w:trPr>
        <w:tc>
          <w:tcPr>
            <w:tcW w:w="1487" w:type="pct"/>
            <w:tcBorders>
              <w:top w:val="nil"/>
              <w:left w:val="single" w:sz="4" w:space="0" w:color="auto"/>
              <w:bottom w:val="single" w:sz="4" w:space="0" w:color="auto"/>
              <w:right w:val="single" w:sz="4" w:space="0" w:color="auto"/>
            </w:tcBorders>
            <w:shd w:val="clear" w:color="auto" w:fill="auto"/>
            <w:noWrap/>
            <w:hideMark/>
          </w:tcPr>
          <w:p w14:paraId="7496E62D" w14:textId="33A47844" w:rsidR="00B935C4" w:rsidRPr="00711062" w:rsidRDefault="00B935C4" w:rsidP="00B935C4">
            <w:pPr>
              <w:pStyle w:val="Tabletext"/>
              <w:rPr>
                <w:highlight w:val="darkGray"/>
              </w:rPr>
            </w:pPr>
            <w:r w:rsidRPr="00A27AF8">
              <w:t xml:space="preserve"> </w:t>
            </w:r>
            <w:r w:rsidRPr="00A27AF8">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5C093F5C" w14:textId="33BC97D2" w:rsidR="00B935C4" w:rsidRPr="00711062" w:rsidRDefault="00B935C4" w:rsidP="00B935C4">
            <w:pPr>
              <w:pStyle w:val="Tabletext"/>
              <w:jc w:val="center"/>
              <w:rPr>
                <w:highlight w:val="darkGray"/>
              </w:rPr>
            </w:pPr>
            <w:r w:rsidRPr="00511ECE">
              <w:t xml:space="preserve"> </w:t>
            </w:r>
            <w:r w:rsidRPr="00511ECE">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69D0A5BB" w14:textId="687CE520" w:rsidR="00B935C4" w:rsidRPr="00711062" w:rsidRDefault="00B935C4" w:rsidP="00B935C4">
            <w:pPr>
              <w:pStyle w:val="Tabletext"/>
              <w:jc w:val="center"/>
              <w:rPr>
                <w:highlight w:val="darkGray"/>
              </w:rPr>
            </w:pPr>
            <w:r w:rsidRPr="00DC352A">
              <w:t xml:space="preserve"> </w:t>
            </w:r>
            <w:r w:rsidRPr="00DC352A">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0472D3B3" w14:textId="3BC53496" w:rsidR="00B935C4" w:rsidRPr="00711062" w:rsidRDefault="00B935C4" w:rsidP="00B935C4">
            <w:pPr>
              <w:pStyle w:val="Tabletext"/>
              <w:jc w:val="center"/>
              <w:rPr>
                <w:highlight w:val="darkGray"/>
              </w:rPr>
            </w:pPr>
            <w:r w:rsidRPr="00E37591">
              <w:t xml:space="preserve"> </w:t>
            </w:r>
            <w:r w:rsidRPr="00E37591">
              <w:rPr>
                <w:color w:val="000000" w:themeColor="text1"/>
              </w:rPr>
              <w:t>|</w:t>
            </w:r>
          </w:p>
        </w:tc>
      </w:tr>
      <w:tr w:rsidR="00B935C4" w:rsidRPr="00711062" w14:paraId="63B75159" w14:textId="77777777" w:rsidTr="00136071">
        <w:trPr>
          <w:trHeight w:val="20"/>
        </w:trPr>
        <w:tc>
          <w:tcPr>
            <w:tcW w:w="1487" w:type="pct"/>
            <w:tcBorders>
              <w:top w:val="nil"/>
              <w:left w:val="single" w:sz="4" w:space="0" w:color="auto"/>
              <w:bottom w:val="single" w:sz="4" w:space="0" w:color="auto"/>
              <w:right w:val="single" w:sz="4" w:space="0" w:color="auto"/>
            </w:tcBorders>
            <w:shd w:val="clear" w:color="auto" w:fill="auto"/>
            <w:vAlign w:val="bottom"/>
            <w:hideMark/>
          </w:tcPr>
          <w:p w14:paraId="0690C813" w14:textId="543334C4" w:rsidR="00B935C4" w:rsidRPr="00711062" w:rsidRDefault="00B935C4" w:rsidP="00B935C4">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7B58375F" w14:textId="0FF6B2E8" w:rsidR="00B935C4" w:rsidRPr="00711062" w:rsidRDefault="00B935C4" w:rsidP="00B935C4">
            <w:pPr>
              <w:pStyle w:val="Tabletext"/>
              <w:jc w:val="center"/>
              <w:rPr>
                <w:highlight w:val="darkGray"/>
              </w:rPr>
            </w:pPr>
            <w:r w:rsidRPr="00511ECE">
              <w:t xml:space="preserve"> </w:t>
            </w:r>
            <w:r w:rsidRPr="00511ECE">
              <w:rPr>
                <w:color w:val="000000" w:themeColor="text1"/>
              </w:rPr>
              <w:t>|</w:t>
            </w:r>
          </w:p>
        </w:tc>
        <w:tc>
          <w:tcPr>
            <w:tcW w:w="1171" w:type="pct"/>
            <w:tcBorders>
              <w:top w:val="nil"/>
              <w:left w:val="nil"/>
              <w:bottom w:val="single" w:sz="4" w:space="0" w:color="auto"/>
              <w:right w:val="single" w:sz="4" w:space="0" w:color="auto"/>
            </w:tcBorders>
            <w:shd w:val="clear" w:color="auto" w:fill="auto"/>
            <w:noWrap/>
            <w:hideMark/>
          </w:tcPr>
          <w:p w14:paraId="025139BE" w14:textId="2BF50493" w:rsidR="00B935C4" w:rsidRPr="00711062" w:rsidRDefault="00B935C4" w:rsidP="00B935C4">
            <w:pPr>
              <w:pStyle w:val="Tabletext"/>
              <w:jc w:val="center"/>
              <w:rPr>
                <w:highlight w:val="darkGray"/>
              </w:rPr>
            </w:pPr>
            <w:r w:rsidRPr="00DC352A">
              <w:t xml:space="preserve"> </w:t>
            </w:r>
            <w:r w:rsidRPr="00DC352A">
              <w:rPr>
                <w:color w:val="000000" w:themeColor="text1"/>
              </w:rPr>
              <w:t>|</w:t>
            </w:r>
          </w:p>
        </w:tc>
        <w:tc>
          <w:tcPr>
            <w:tcW w:w="1171" w:type="pct"/>
            <w:tcBorders>
              <w:top w:val="nil"/>
              <w:left w:val="nil"/>
              <w:bottom w:val="single" w:sz="4" w:space="0" w:color="auto"/>
              <w:right w:val="single" w:sz="4" w:space="0" w:color="auto"/>
            </w:tcBorders>
            <w:shd w:val="clear" w:color="auto" w:fill="auto"/>
            <w:noWrap/>
            <w:vAlign w:val="center"/>
            <w:hideMark/>
          </w:tcPr>
          <w:p w14:paraId="0120D5D1" w14:textId="28D9AF31" w:rsidR="00B935C4" w:rsidRPr="00711062" w:rsidRDefault="00B935C4" w:rsidP="00B935C4">
            <w:pPr>
              <w:pStyle w:val="Tabletext"/>
              <w:jc w:val="center"/>
              <w:rPr>
                <w:highlight w:val="darkGray"/>
              </w:rPr>
            </w:pPr>
            <w:r w:rsidRPr="00A27FA9">
              <w:t xml:space="preserve"> </w:t>
            </w:r>
          </w:p>
        </w:tc>
      </w:tr>
    </w:tbl>
    <w:p w14:paraId="2BE61285" w14:textId="61943E24" w:rsidR="00A27FA9" w:rsidRPr="00A27FA9" w:rsidRDefault="00B935C4" w:rsidP="00E56384">
      <w:pPr>
        <w:pStyle w:val="FooterTableFigure"/>
        <w:keepNext/>
        <w:keepLines/>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p w14:paraId="696F024B" w14:textId="1355FB38" w:rsidR="00E56384" w:rsidRPr="00310498" w:rsidRDefault="00B935C4" w:rsidP="00AD7CED">
      <w:pPr>
        <w:pStyle w:val="FooterTableFigure"/>
        <w:keepLines/>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p>
    <w:p w14:paraId="53ABBA96" w14:textId="5CFB8C9E" w:rsidR="00E56384" w:rsidRPr="00310498" w:rsidRDefault="00FB0C76" w:rsidP="00485DF5">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lastRenderedPageBreak/>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bookmarkStart w:id="77" w:name="_Ref196733978"/>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bookmarkStart w:id="78" w:name="_Ref196749559"/>
      <w:r w:rsidR="0021025A">
        <w:rPr>
          <w:rStyle w:val="FootnoteReference"/>
        </w:rPr>
        <w:footnoteReference w:id="13"/>
      </w:r>
      <w:bookmarkEnd w:id="77"/>
      <w:bookmarkEnd w:id="78"/>
    </w:p>
    <w:p w14:paraId="37513F70" w14:textId="74654167" w:rsidR="006041D6" w:rsidRPr="00310498" w:rsidRDefault="00FB0C76" w:rsidP="00492EEC">
      <w:pPr>
        <w:pStyle w:val="3-BodyText"/>
      </w:pPr>
      <w:bookmarkStart w:id="79" w:name="_Ref179540412"/>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rsidRPr="00A27FA9">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rsidRPr="00A27FA9">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rsidRPr="00A27FA9">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rsidRPr="00A27FA9">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rsidRPr="00A27FA9">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rsidRPr="00A27FA9">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rsidRPr="00A27FA9">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rsidRPr="00A27FA9">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t xml:space="preserve"> </w:t>
      </w:r>
      <w:r w:rsidR="003A51A2" w:rsidRPr="7EE24840">
        <w:rPr>
          <w:color w:val="000000" w:themeColor="text1"/>
        </w:rPr>
        <w:t>|</w:t>
      </w:r>
      <w:r w:rsidR="003A51A2" w:rsidRPr="00A27FA9">
        <w:t xml:space="preserve"> </w:t>
      </w:r>
      <w:r w:rsidR="002F75CE" w:rsidRPr="002F75CE">
        <w:rPr>
          <w:vertAlign w:val="superscript"/>
        </w:rPr>
        <w:fldChar w:fldCharType="begin" w:fldLock="1"/>
      </w:r>
      <w:r w:rsidR="002F75CE" w:rsidRPr="002F75CE">
        <w:rPr>
          <w:vertAlign w:val="superscript"/>
        </w:rPr>
        <w:instrText xml:space="preserve"> NOTEREF _Ref196749559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12</w:t>
      </w:r>
      <w:r w:rsidR="002F75CE" w:rsidRPr="002F75CE">
        <w:rPr>
          <w:vertAlign w:val="superscript"/>
        </w:rPr>
        <w:fldChar w:fldCharType="end"/>
      </w:r>
    </w:p>
    <w:p w14:paraId="51D09FCF" w14:textId="446A3973" w:rsidR="006041D6" w:rsidRPr="00310498" w:rsidRDefault="003A51A2" w:rsidP="003E1068">
      <w:pPr>
        <w:pStyle w:val="3-BodyText"/>
        <w:numPr>
          <w:ilvl w:val="0"/>
          <w:numId w:val="14"/>
        </w:num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002F75CE" w:rsidRPr="002F75CE">
        <w:rPr>
          <w:vertAlign w:val="superscript"/>
        </w:rPr>
        <w:fldChar w:fldCharType="begin" w:fldLock="1"/>
      </w:r>
      <w:r w:rsidR="002F75CE" w:rsidRPr="002F75CE">
        <w:rPr>
          <w:vertAlign w:val="superscript"/>
        </w:rPr>
        <w:instrText xml:space="preserve"> NOTEREF _Ref196749559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12</w:t>
      </w:r>
      <w:r w:rsidR="002F75CE" w:rsidRPr="002F75CE">
        <w:rPr>
          <w:vertAlign w:val="superscript"/>
        </w:rPr>
        <w:fldChar w:fldCharType="end"/>
      </w:r>
    </w:p>
    <w:p w14:paraId="4177BDC4" w14:textId="71213FA9" w:rsidR="006041D6" w:rsidRPr="00310498" w:rsidRDefault="003A51A2" w:rsidP="003E1068">
      <w:pPr>
        <w:pStyle w:val="3-BodyText"/>
        <w:numPr>
          <w:ilvl w:val="0"/>
          <w:numId w:val="14"/>
        </w:num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002F75CE" w:rsidRPr="002F75CE">
        <w:rPr>
          <w:vertAlign w:val="superscript"/>
        </w:rPr>
        <w:fldChar w:fldCharType="begin" w:fldLock="1"/>
      </w:r>
      <w:r w:rsidR="002F75CE" w:rsidRPr="002F75CE">
        <w:rPr>
          <w:vertAlign w:val="superscript"/>
        </w:rPr>
        <w:instrText xml:space="preserve"> NOTEREF _Ref196749559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12</w:t>
      </w:r>
      <w:r w:rsidR="002F75CE" w:rsidRPr="002F75CE">
        <w:rPr>
          <w:vertAlign w:val="superscript"/>
        </w:rPr>
        <w:fldChar w:fldCharType="end"/>
      </w:r>
      <w:r w:rsidR="00711062" w:rsidRPr="00711062">
        <w:rPr>
          <w:vertAlign w:val="superscript"/>
        </w:rPr>
        <w:fldChar w:fldCharType="begin" w:fldLock="1"/>
      </w:r>
      <w:r w:rsidR="00711062" w:rsidRPr="00711062">
        <w:rPr>
          <w:vertAlign w:val="superscript"/>
        </w:rPr>
        <w:instrText xml:space="preserve"> NOTEREF _Ref196733978 \h </w:instrText>
      </w:r>
      <w:r w:rsidR="00711062">
        <w:rPr>
          <w:vertAlign w:val="superscript"/>
        </w:rPr>
        <w:instrText xml:space="preserve"> \* MERGEFORMAT </w:instrText>
      </w:r>
      <w:r w:rsidR="00711062" w:rsidRPr="00711062">
        <w:rPr>
          <w:vertAlign w:val="superscript"/>
        </w:rPr>
      </w:r>
      <w:r w:rsidR="00711062" w:rsidRPr="00711062">
        <w:rPr>
          <w:vertAlign w:val="superscript"/>
        </w:rPr>
        <w:fldChar w:fldCharType="separate"/>
      </w:r>
      <w:r w:rsidR="00711062" w:rsidRPr="00711062">
        <w:rPr>
          <w:vertAlign w:val="superscript"/>
        </w:rPr>
        <w:fldChar w:fldCharType="end"/>
      </w:r>
    </w:p>
    <w:p w14:paraId="36081B5C" w14:textId="08A615D5" w:rsidR="006041D6" w:rsidRPr="00310498" w:rsidRDefault="003A51A2" w:rsidP="003E1068">
      <w:pPr>
        <w:pStyle w:val="3-BodyText"/>
        <w:numPr>
          <w:ilvl w:val="0"/>
          <w:numId w:val="14"/>
        </w:num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002F75CE" w:rsidRPr="002F75CE">
        <w:rPr>
          <w:vertAlign w:val="superscript"/>
        </w:rPr>
        <w:fldChar w:fldCharType="begin" w:fldLock="1"/>
      </w:r>
      <w:r w:rsidR="002F75CE" w:rsidRPr="002F75CE">
        <w:rPr>
          <w:vertAlign w:val="superscript"/>
        </w:rPr>
        <w:instrText xml:space="preserve"> NOTEREF _Ref196749559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12</w:t>
      </w:r>
      <w:r w:rsidR="002F75CE" w:rsidRPr="002F75CE">
        <w:rPr>
          <w:vertAlign w:val="superscript"/>
        </w:rPr>
        <w:fldChar w:fldCharType="end"/>
      </w:r>
    </w:p>
    <w:p w14:paraId="142B750F" w14:textId="2C656A3E" w:rsidR="006041D6" w:rsidRPr="00310498" w:rsidRDefault="003A51A2" w:rsidP="003E1068">
      <w:pPr>
        <w:pStyle w:val="3-BodyText"/>
        <w:numPr>
          <w:ilvl w:val="0"/>
          <w:numId w:val="14"/>
        </w:num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002F75CE" w:rsidRPr="002F75CE">
        <w:rPr>
          <w:vertAlign w:val="superscript"/>
        </w:rPr>
        <w:fldChar w:fldCharType="begin" w:fldLock="1"/>
      </w:r>
      <w:r w:rsidR="002F75CE" w:rsidRPr="002F75CE">
        <w:rPr>
          <w:vertAlign w:val="superscript"/>
        </w:rPr>
        <w:instrText xml:space="preserve"> NOTEREF _Ref196749559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12</w:t>
      </w:r>
      <w:r w:rsidR="002F75CE" w:rsidRPr="002F75CE">
        <w:rPr>
          <w:vertAlign w:val="superscript"/>
        </w:rPr>
        <w:fldChar w:fldCharType="end"/>
      </w:r>
    </w:p>
    <w:p w14:paraId="563A2DE8" w14:textId="063F790E" w:rsidR="00485DF5" w:rsidRPr="00310498" w:rsidRDefault="003A51A2" w:rsidP="00EB46B3">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bookmarkEnd w:id="79"/>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711062" w:rsidRPr="00711062">
        <w:rPr>
          <w:vertAlign w:val="superscript"/>
        </w:rPr>
        <w:fldChar w:fldCharType="begin" w:fldLock="1"/>
      </w:r>
      <w:r w:rsidR="00711062" w:rsidRPr="00711062">
        <w:rPr>
          <w:vertAlign w:val="superscript"/>
        </w:rPr>
        <w:instrText xml:space="preserve"> NOTEREF _Ref196733978 \h </w:instrText>
      </w:r>
      <w:r w:rsidR="00711062">
        <w:rPr>
          <w:vertAlign w:val="superscript"/>
        </w:rPr>
        <w:instrText xml:space="preserve"> \* MERGEFORMAT </w:instrText>
      </w:r>
      <w:r w:rsidR="00711062" w:rsidRPr="00711062">
        <w:rPr>
          <w:vertAlign w:val="superscript"/>
        </w:rPr>
      </w:r>
      <w:r w:rsidR="00711062" w:rsidRPr="00711062">
        <w:rPr>
          <w:vertAlign w:val="superscript"/>
        </w:rPr>
        <w:fldChar w:fldCharType="separate"/>
      </w:r>
      <w:r w:rsidR="002F75CE" w:rsidRPr="002F75CE">
        <w:rPr>
          <w:vertAlign w:val="superscript"/>
        </w:rPr>
        <w:fldChar w:fldCharType="begin" w:fldLock="1"/>
      </w:r>
      <w:r w:rsidR="002F75CE" w:rsidRPr="002F75CE">
        <w:rPr>
          <w:vertAlign w:val="superscript"/>
        </w:rPr>
        <w:instrText xml:space="preserve"> NOTEREF _Ref196749559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12</w:t>
      </w:r>
      <w:r w:rsidR="002F75CE" w:rsidRPr="002F75CE">
        <w:rPr>
          <w:vertAlign w:val="superscript"/>
        </w:rPr>
        <w:fldChar w:fldCharType="end"/>
      </w:r>
      <w:r w:rsidR="00711062" w:rsidRPr="00711062">
        <w:rPr>
          <w:vertAlign w:val="superscript"/>
        </w:rPr>
        <w:fldChar w:fldCharType="end"/>
      </w:r>
    </w:p>
    <w:p w14:paraId="10FFFB78" w14:textId="2E9EEFD8" w:rsidR="00485DF5" w:rsidRPr="00310498" w:rsidRDefault="00B935C4" w:rsidP="00EB46B3">
      <w:pPr>
        <w:pStyle w:val="Caption"/>
        <w:keepNext w:val="0"/>
        <w:keepLines w:val="0"/>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2F75CE" w:rsidRPr="002F75CE">
        <w:rPr>
          <w:vertAlign w:val="superscript"/>
        </w:rPr>
        <w:fldChar w:fldCharType="begin" w:fldLock="1"/>
      </w:r>
      <w:r w:rsidR="002F75CE" w:rsidRPr="002F75CE">
        <w:rPr>
          <w:vertAlign w:val="superscript"/>
        </w:rPr>
        <w:instrText xml:space="preserve"> NOTEREF _Ref196749559 \h  \* MERGEFORMAT </w:instrText>
      </w:r>
      <w:r w:rsidR="002F75CE" w:rsidRPr="002F75CE">
        <w:rPr>
          <w:vertAlign w:val="superscript"/>
        </w:rPr>
      </w:r>
      <w:r w:rsidR="002F75CE" w:rsidRPr="002F75CE">
        <w:rPr>
          <w:vertAlign w:val="superscript"/>
        </w:rPr>
        <w:fldChar w:fldCharType="separate"/>
      </w:r>
      <w:r w:rsidR="002F75CE" w:rsidRPr="002F75CE">
        <w:rPr>
          <w:vertAlign w:val="superscript"/>
        </w:rPr>
        <w:t>12</w:t>
      </w:r>
      <w:r w:rsidR="002F75CE" w:rsidRPr="002F75CE">
        <w:rPr>
          <w:vertAlign w:val="superscript"/>
        </w:rPr>
        <w:fldChar w:fldCharType="end"/>
      </w:r>
    </w:p>
    <w:tbl>
      <w:tblPr>
        <w:tblStyle w:val="AZTable"/>
        <w:tblW w:w="5054" w:type="pct"/>
        <w:tblLayout w:type="fixed"/>
        <w:tblLook w:val="04A0" w:firstRow="1" w:lastRow="0" w:firstColumn="1" w:lastColumn="0" w:noHBand="0" w:noVBand="1"/>
      </w:tblPr>
      <w:tblGrid>
        <w:gridCol w:w="5164"/>
        <w:gridCol w:w="1082"/>
        <w:gridCol w:w="963"/>
        <w:gridCol w:w="1086"/>
        <w:gridCol w:w="843"/>
      </w:tblGrid>
      <w:tr w:rsidR="00FE53A3" w:rsidRPr="00310498" w14:paraId="4769E33B" w14:textId="77777777" w:rsidTr="00070C9A">
        <w:trPr>
          <w:cnfStyle w:val="100000000000" w:firstRow="1" w:lastRow="0" w:firstColumn="0" w:lastColumn="0" w:oddVBand="0" w:evenVBand="0" w:oddHBand="0" w:evenHBand="0" w:firstRowFirstColumn="0" w:firstRowLastColumn="0" w:lastRowFirstColumn="0" w:lastRowLastColumn="0"/>
          <w:tblHeader/>
        </w:trPr>
        <w:tc>
          <w:tcPr>
            <w:tcW w:w="2826" w:type="pct"/>
            <w:shd w:val="clear" w:color="auto" w:fill="auto"/>
          </w:tcPr>
          <w:p w14:paraId="475EEA6F" w14:textId="3D1ED19C" w:rsidR="00485DF5" w:rsidRPr="00AC4CC4" w:rsidRDefault="003D1598" w:rsidP="006B3947">
            <w:pPr>
              <w:pStyle w:val="In-tableHeading"/>
              <w:keepNext w:val="0"/>
              <w:keepLines w:val="0"/>
              <w:rPr>
                <w:sz w:val="20"/>
                <w:szCs w:val="20"/>
                <w:highlight w:val="darkGray"/>
                <w:lang w:val="en-AU"/>
              </w:rPr>
            </w:pPr>
            <w:bookmarkStart w:id="80" w:name="_Hlk179890671"/>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p>
        </w:tc>
        <w:tc>
          <w:tcPr>
            <w:tcW w:w="592" w:type="pct"/>
            <w:tcBorders>
              <w:bottom w:val="single" w:sz="4" w:space="0" w:color="auto"/>
            </w:tcBorders>
            <w:shd w:val="clear" w:color="auto" w:fill="auto"/>
          </w:tcPr>
          <w:p w14:paraId="1F5474E0" w14:textId="73F0B16F" w:rsidR="00485DF5" w:rsidRPr="00AC4CC4" w:rsidRDefault="003D1598" w:rsidP="006B3947">
            <w:pPr>
              <w:pStyle w:val="In-tableHeading"/>
              <w:keepNext w:val="0"/>
              <w:keepLines w:val="0"/>
              <w:jc w:val="center"/>
              <w:rPr>
                <w:sz w:val="20"/>
                <w:szCs w:val="20"/>
                <w:highlight w:val="darkGray"/>
                <w:lang w:val="en-AU"/>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527" w:type="pct"/>
          </w:tcPr>
          <w:p w14:paraId="061472F8" w14:textId="0FF45E59" w:rsidR="00485DF5" w:rsidRPr="00AC4CC4" w:rsidRDefault="003D1598" w:rsidP="006B3947">
            <w:pPr>
              <w:pStyle w:val="In-tableHeading"/>
              <w:keepNext w:val="0"/>
              <w:keepLines w:val="0"/>
              <w:jc w:val="center"/>
              <w:rPr>
                <w:sz w:val="20"/>
                <w:szCs w:val="20"/>
                <w:highlight w:val="darkGray"/>
                <w:lang w:val="en-AU"/>
              </w:rPr>
            </w:pPr>
            <w:r w:rsidRPr="7EE24840">
              <w:rPr>
                <w:color w:val="000000" w:themeColor="text1"/>
              </w:rPr>
              <w:t>|</w:t>
            </w:r>
            <w:r>
              <w:t xml:space="preserve"> </w:t>
            </w:r>
            <w:r w:rsidRPr="7EE24840">
              <w:rPr>
                <w:color w:val="000000" w:themeColor="text1"/>
              </w:rPr>
              <w:t>|</w:t>
            </w:r>
            <w:r>
              <w:t xml:space="preserve"> </w:t>
            </w:r>
          </w:p>
        </w:tc>
        <w:tc>
          <w:tcPr>
            <w:tcW w:w="594" w:type="pct"/>
            <w:shd w:val="clear" w:color="auto" w:fill="auto"/>
          </w:tcPr>
          <w:p w14:paraId="598B5368" w14:textId="658F57DD" w:rsidR="00485DF5" w:rsidRPr="00AC4CC4" w:rsidRDefault="003D1598" w:rsidP="006B3947">
            <w:pPr>
              <w:pStyle w:val="In-tableHeading"/>
              <w:keepNext w:val="0"/>
              <w:keepLines w:val="0"/>
              <w:jc w:val="center"/>
              <w:rPr>
                <w:sz w:val="20"/>
                <w:szCs w:val="20"/>
                <w:highlight w:val="darkGray"/>
                <w:lang w:val="en-AU"/>
              </w:rPr>
            </w:pPr>
            <w:r w:rsidRPr="7EE24840">
              <w:rPr>
                <w:color w:val="000000" w:themeColor="text1"/>
              </w:rPr>
              <w:t>|</w:t>
            </w:r>
            <w:r>
              <w:t xml:space="preserve"> </w:t>
            </w:r>
            <w:r w:rsidRPr="7EE24840">
              <w:rPr>
                <w:color w:val="000000" w:themeColor="text1"/>
              </w:rPr>
              <w:t>|</w:t>
            </w:r>
            <w:r>
              <w:t xml:space="preserve"> </w:t>
            </w:r>
          </w:p>
        </w:tc>
        <w:tc>
          <w:tcPr>
            <w:tcW w:w="461" w:type="pct"/>
          </w:tcPr>
          <w:p w14:paraId="510BA947" w14:textId="286D2C3D" w:rsidR="00485DF5" w:rsidRPr="00AC4CC4" w:rsidRDefault="003D1598" w:rsidP="006B3947">
            <w:pPr>
              <w:pStyle w:val="In-tableHeading"/>
              <w:keepNext w:val="0"/>
              <w:keepLines w:val="0"/>
              <w:jc w:val="center"/>
              <w:rPr>
                <w:sz w:val="20"/>
                <w:szCs w:val="20"/>
                <w:highlight w:val="darkGray"/>
                <w:lang w:val="en-AU"/>
              </w:rPr>
            </w:pPr>
            <w:r w:rsidRPr="7EE24840">
              <w:rPr>
                <w:color w:val="000000" w:themeColor="text1"/>
              </w:rPr>
              <w:t>|</w:t>
            </w:r>
            <w:r>
              <w:t xml:space="preserve"> </w:t>
            </w:r>
            <w:r w:rsidRPr="7EE24840">
              <w:rPr>
                <w:color w:val="000000" w:themeColor="text1"/>
              </w:rPr>
              <w:t>|</w:t>
            </w:r>
            <w:r>
              <w:t xml:space="preserve"> </w:t>
            </w:r>
          </w:p>
        </w:tc>
      </w:tr>
      <w:bookmarkEnd w:id="80"/>
      <w:tr w:rsidR="00177939" w:rsidRPr="00310498" w14:paraId="5C20AB2C" w14:textId="77777777" w:rsidTr="00070C9A">
        <w:tc>
          <w:tcPr>
            <w:tcW w:w="2826" w:type="pct"/>
            <w:shd w:val="clear" w:color="auto" w:fill="auto"/>
            <w:vAlign w:val="center"/>
          </w:tcPr>
          <w:p w14:paraId="443F317D" w14:textId="2317AC62" w:rsidR="00177939" w:rsidRPr="00AC4CC4" w:rsidRDefault="00177939" w:rsidP="00177939">
            <w:pPr>
              <w:pStyle w:val="Tabletext"/>
              <w:rPr>
                <w:b/>
                <w:bCs/>
                <w:highlight w:val="darkGray"/>
              </w:rPr>
            </w:pPr>
            <w:r w:rsidRPr="7EE24840">
              <w:rPr>
                <w:color w:val="000000" w:themeColor="text1"/>
              </w:rPr>
              <w:t>|</w:t>
            </w:r>
            <w:r>
              <w:t xml:space="preserve"> </w:t>
            </w:r>
            <w:r w:rsidRPr="7EE24840">
              <w:rPr>
                <w:color w:val="000000" w:themeColor="text1"/>
              </w:rPr>
              <w:t>|</w:t>
            </w:r>
            <w:r>
              <w:t xml:space="preserve"> </w:t>
            </w:r>
          </w:p>
        </w:tc>
        <w:tc>
          <w:tcPr>
            <w:tcW w:w="592" w:type="pct"/>
            <w:tcBorders>
              <w:bottom w:val="single" w:sz="4" w:space="0" w:color="auto"/>
            </w:tcBorders>
            <w:shd w:val="solid" w:color="000000" w:fill="000000"/>
            <w:vAlign w:val="center"/>
          </w:tcPr>
          <w:p w14:paraId="475A6732" w14:textId="01AB4593" w:rsidR="00177939" w:rsidRPr="00AC4CC4" w:rsidRDefault="00070C9A" w:rsidP="00177939">
            <w:pPr>
              <w:pStyle w:val="Tabletext"/>
              <w:jc w:val="center"/>
              <w:rPr>
                <w:b/>
                <w:bCs/>
                <w:highlight w:val="darkGray"/>
              </w:rPr>
            </w:pPr>
            <w:r w:rsidRPr="00070C9A">
              <w:rPr>
                <w:b/>
                <w:bCs/>
                <w:color w:val="000000"/>
                <w:w w:val="29"/>
                <w14:textFill>
                  <w14:solidFill>
                    <w14:srgbClr w14:val="000000">
                      <w14:alpha w14:val="100000"/>
                    </w14:srgbClr>
                  </w14:solidFill>
                </w14:textFill>
              </w:rPr>
              <w:t>|</w:t>
            </w:r>
          </w:p>
        </w:tc>
        <w:tc>
          <w:tcPr>
            <w:tcW w:w="527" w:type="pct"/>
          </w:tcPr>
          <w:p w14:paraId="7235BA62" w14:textId="38E01C37" w:rsidR="00177939" w:rsidRPr="00AC4CC4" w:rsidRDefault="00177939" w:rsidP="00177939">
            <w:pPr>
              <w:pStyle w:val="Tabletext"/>
              <w:jc w:val="center"/>
              <w:rPr>
                <w:b/>
                <w:bCs/>
                <w:highlight w:val="darkGray"/>
              </w:rPr>
            </w:pPr>
            <w:r w:rsidRPr="005771A6">
              <w:rPr>
                <w:color w:val="000000" w:themeColor="text1"/>
              </w:rPr>
              <w:t xml:space="preserve">| </w:t>
            </w:r>
          </w:p>
        </w:tc>
        <w:tc>
          <w:tcPr>
            <w:tcW w:w="594" w:type="pct"/>
            <w:shd w:val="clear" w:color="auto" w:fill="auto"/>
            <w:vAlign w:val="center"/>
          </w:tcPr>
          <w:p w14:paraId="123C3DE9" w14:textId="1F508F4D" w:rsidR="00177939" w:rsidRPr="00AC4CC4" w:rsidRDefault="00070C9A" w:rsidP="00177939">
            <w:pPr>
              <w:pStyle w:val="Tabletext"/>
              <w:jc w:val="center"/>
              <w:rPr>
                <w:b/>
                <w:bCs/>
                <w:highlight w:val="darkGray"/>
              </w:rPr>
            </w:pPr>
            <w:r w:rsidRPr="00070C9A">
              <w:rPr>
                <w:b/>
                <w:bCs/>
                <w:color w:val="000000"/>
                <w:spacing w:val="21"/>
                <w:w w:val="42"/>
                <w:shd w:val="solid" w:color="000000" w:fill="000000"/>
                <w14:textFill>
                  <w14:solidFill>
                    <w14:srgbClr w14:val="000000">
                      <w14:alpha w14:val="100000"/>
                    </w14:srgbClr>
                  </w14:solidFill>
                </w14:textFill>
              </w:rPr>
              <w:t>|</w:t>
            </w:r>
            <w:r w:rsidR="00177939" w:rsidRPr="00A27FA9">
              <w:rPr>
                <w:b/>
                <w:bCs/>
                <w:vertAlign w:val="superscript"/>
              </w:rPr>
              <w:t xml:space="preserve"> </w:t>
            </w:r>
          </w:p>
        </w:tc>
        <w:tc>
          <w:tcPr>
            <w:tcW w:w="461" w:type="pct"/>
            <w:vAlign w:val="center"/>
          </w:tcPr>
          <w:p w14:paraId="2C1FD44F" w14:textId="1E58CF59" w:rsidR="00177939" w:rsidRPr="00AC4CC4" w:rsidRDefault="00177939" w:rsidP="00177939">
            <w:pPr>
              <w:pStyle w:val="Tabletext"/>
              <w:numPr>
                <w:ilvl w:val="0"/>
                <w:numId w:val="13"/>
              </w:numPr>
              <w:jc w:val="center"/>
              <w:rPr>
                <w:highlight w:val="darkGray"/>
              </w:rPr>
            </w:pPr>
          </w:p>
        </w:tc>
      </w:tr>
      <w:tr w:rsidR="00177939" w:rsidRPr="00310498" w:rsidDel="00865AD8" w14:paraId="490CB360" w14:textId="77777777" w:rsidTr="00070C9A">
        <w:tc>
          <w:tcPr>
            <w:tcW w:w="2826" w:type="pct"/>
            <w:shd w:val="clear" w:color="auto" w:fill="auto"/>
            <w:vAlign w:val="center"/>
          </w:tcPr>
          <w:p w14:paraId="14A6ABD0" w14:textId="3BAF212F" w:rsidR="00177939" w:rsidRPr="00AC4CC4"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592" w:type="pct"/>
            <w:tcBorders>
              <w:bottom w:val="single" w:sz="4" w:space="0" w:color="auto"/>
            </w:tcBorders>
            <w:shd w:val="solid" w:color="000000" w:fill="000000"/>
            <w:vAlign w:val="center"/>
          </w:tcPr>
          <w:p w14:paraId="591A0A53" w14:textId="511B8EEB"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570B0218" w14:textId="11AB5A71" w:rsidR="00177939" w:rsidRPr="00AC4CC4" w:rsidRDefault="00177939" w:rsidP="00177939">
            <w:pPr>
              <w:pStyle w:val="Tabletext"/>
              <w:jc w:val="center"/>
              <w:rPr>
                <w:highlight w:val="darkGray"/>
              </w:rPr>
            </w:pPr>
            <w:r w:rsidRPr="005771A6">
              <w:rPr>
                <w:color w:val="000000" w:themeColor="text1"/>
              </w:rPr>
              <w:t xml:space="preserve">| </w:t>
            </w:r>
          </w:p>
        </w:tc>
        <w:tc>
          <w:tcPr>
            <w:tcW w:w="594" w:type="pct"/>
            <w:shd w:val="clear" w:color="auto" w:fill="auto"/>
            <w:vAlign w:val="center"/>
          </w:tcPr>
          <w:p w14:paraId="5C5C3ACB" w14:textId="6E4CE92E"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b/>
                <w:bCs/>
                <w:vertAlign w:val="superscript"/>
              </w:rPr>
              <w:t xml:space="preserve"> </w:t>
            </w:r>
          </w:p>
        </w:tc>
        <w:tc>
          <w:tcPr>
            <w:tcW w:w="461" w:type="pct"/>
          </w:tcPr>
          <w:p w14:paraId="5948630C" w14:textId="1AB76BAE" w:rsidR="00177939" w:rsidRPr="00AC4CC4" w:rsidRDefault="00177939" w:rsidP="00177939">
            <w:pPr>
              <w:pStyle w:val="Tabletext"/>
              <w:jc w:val="center"/>
              <w:rPr>
                <w:highlight w:val="darkGray"/>
              </w:rPr>
            </w:pPr>
            <w:r w:rsidRPr="00CA562C">
              <w:rPr>
                <w:color w:val="000000" w:themeColor="text1"/>
              </w:rPr>
              <w:t xml:space="preserve">| </w:t>
            </w:r>
          </w:p>
        </w:tc>
      </w:tr>
      <w:tr w:rsidR="00177939" w:rsidRPr="00310498" w:rsidDel="00865AD8" w14:paraId="2D44FFF2" w14:textId="77777777" w:rsidTr="00070C9A">
        <w:tc>
          <w:tcPr>
            <w:tcW w:w="2826" w:type="pct"/>
            <w:shd w:val="clear" w:color="auto" w:fill="auto"/>
            <w:vAlign w:val="center"/>
          </w:tcPr>
          <w:p w14:paraId="074A58EC" w14:textId="425882FA" w:rsidR="00177939" w:rsidRPr="00AC4CC4"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tc>
        <w:tc>
          <w:tcPr>
            <w:tcW w:w="592" w:type="pct"/>
            <w:tcBorders>
              <w:bottom w:val="single" w:sz="4" w:space="0" w:color="auto"/>
            </w:tcBorders>
            <w:shd w:val="solid" w:color="000000" w:fill="000000"/>
            <w:vAlign w:val="center"/>
          </w:tcPr>
          <w:p w14:paraId="4A42108E" w14:textId="53692D30"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6381E19D" w14:textId="62C9E6C1" w:rsidR="00177939" w:rsidRPr="00AC4CC4" w:rsidRDefault="00177939" w:rsidP="00177939">
            <w:pPr>
              <w:pStyle w:val="Tabletext"/>
              <w:jc w:val="center"/>
              <w:rPr>
                <w:highlight w:val="darkGray"/>
              </w:rPr>
            </w:pPr>
            <w:r w:rsidRPr="005771A6">
              <w:rPr>
                <w:color w:val="000000" w:themeColor="text1"/>
              </w:rPr>
              <w:t xml:space="preserve">| </w:t>
            </w:r>
          </w:p>
        </w:tc>
        <w:tc>
          <w:tcPr>
            <w:tcW w:w="594" w:type="pct"/>
            <w:shd w:val="clear" w:color="auto" w:fill="auto"/>
            <w:vAlign w:val="center"/>
          </w:tcPr>
          <w:p w14:paraId="08B92F90" w14:textId="660259FB"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b/>
                <w:bCs/>
                <w:vertAlign w:val="superscript"/>
              </w:rPr>
              <w:t xml:space="preserve"> </w:t>
            </w:r>
          </w:p>
        </w:tc>
        <w:tc>
          <w:tcPr>
            <w:tcW w:w="461" w:type="pct"/>
          </w:tcPr>
          <w:p w14:paraId="43624D87" w14:textId="74B12AF1" w:rsidR="00177939" w:rsidRPr="00AC4CC4" w:rsidRDefault="00177939" w:rsidP="00177939">
            <w:pPr>
              <w:pStyle w:val="Tabletext"/>
              <w:jc w:val="center"/>
              <w:rPr>
                <w:highlight w:val="darkGray"/>
              </w:rPr>
            </w:pPr>
            <w:r w:rsidRPr="00CA562C">
              <w:rPr>
                <w:color w:val="000000" w:themeColor="text1"/>
              </w:rPr>
              <w:t xml:space="preserve">| </w:t>
            </w:r>
          </w:p>
        </w:tc>
      </w:tr>
      <w:tr w:rsidR="00177939" w:rsidRPr="00310498" w:rsidDel="00865AD8" w14:paraId="6844F66A" w14:textId="77777777" w:rsidTr="00070C9A">
        <w:tc>
          <w:tcPr>
            <w:tcW w:w="2826" w:type="pct"/>
            <w:shd w:val="clear" w:color="auto" w:fill="auto"/>
            <w:vAlign w:val="center"/>
          </w:tcPr>
          <w:p w14:paraId="6C5393F8" w14:textId="1B7B97C2" w:rsidR="00177939" w:rsidRPr="00AC4CC4" w:rsidDel="00865AD8"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tc>
        <w:tc>
          <w:tcPr>
            <w:tcW w:w="592" w:type="pct"/>
            <w:tcBorders>
              <w:bottom w:val="single" w:sz="4" w:space="0" w:color="auto"/>
            </w:tcBorders>
            <w:shd w:val="solid" w:color="000000" w:fill="000000"/>
            <w:vAlign w:val="center"/>
          </w:tcPr>
          <w:p w14:paraId="5D607AE4" w14:textId="327294B0" w:rsidR="00177939" w:rsidRPr="00AC4CC4" w:rsidDel="00865AD8"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595768F3" w14:textId="6A1159B8" w:rsidR="00177939" w:rsidRPr="00AC4CC4" w:rsidDel="00865AD8" w:rsidRDefault="00177939" w:rsidP="00177939">
            <w:pPr>
              <w:pStyle w:val="Tabletext"/>
              <w:jc w:val="center"/>
              <w:rPr>
                <w:highlight w:val="darkGray"/>
              </w:rPr>
            </w:pPr>
            <w:r w:rsidRPr="005771A6">
              <w:rPr>
                <w:color w:val="000000" w:themeColor="text1"/>
              </w:rPr>
              <w:t xml:space="preserve">| </w:t>
            </w:r>
          </w:p>
        </w:tc>
        <w:tc>
          <w:tcPr>
            <w:tcW w:w="594" w:type="pct"/>
            <w:shd w:val="clear" w:color="auto" w:fill="auto"/>
            <w:vAlign w:val="center"/>
          </w:tcPr>
          <w:p w14:paraId="0962103E" w14:textId="543DB996" w:rsidR="00177939" w:rsidRPr="00AC4CC4" w:rsidDel="00865AD8"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1215C576" w14:textId="0A1AE04D" w:rsidR="00177939" w:rsidRPr="00AC4CC4" w:rsidDel="00865AD8" w:rsidRDefault="00070C9A" w:rsidP="00177939">
            <w:pPr>
              <w:pStyle w:val="Tabletext"/>
              <w:jc w:val="center"/>
              <w:rPr>
                <w:highlight w:val="darkGray"/>
              </w:rPr>
            </w:pPr>
            <w:r w:rsidRPr="00070C9A">
              <w:rPr>
                <w:rFonts w:hint="eastAsia"/>
                <w:color w:val="000000"/>
                <w:w w:val="26"/>
                <w:shd w:val="solid" w:color="000000" w:fill="000000"/>
                <w:fitText w:val="118" w:id="-723258368"/>
                <w14:textFill>
                  <w14:solidFill>
                    <w14:srgbClr w14:val="000000">
                      <w14:alpha w14:val="100000"/>
                    </w14:srgbClr>
                  </w14:solidFill>
                </w14:textFill>
              </w:rPr>
              <w:t xml:space="preserve">　</w:t>
            </w:r>
            <w:r w:rsidRPr="00070C9A">
              <w:rPr>
                <w:color w:val="000000"/>
                <w:w w:val="26"/>
                <w:shd w:val="solid" w:color="000000" w:fill="000000"/>
                <w:fitText w:val="118" w:id="-723258368"/>
                <w14:textFill>
                  <w14:solidFill>
                    <w14:srgbClr w14:val="000000">
                      <w14:alpha w14:val="100000"/>
                    </w14:srgbClr>
                  </w14:solidFill>
                </w14:textFill>
              </w:rPr>
              <w:t>|</w:t>
            </w:r>
            <w:r w:rsidRPr="00070C9A">
              <w:rPr>
                <w:rFonts w:hint="eastAsia"/>
                <w:color w:val="000000"/>
                <w:spacing w:val="10"/>
                <w:w w:val="26"/>
                <w:shd w:val="solid" w:color="000000" w:fill="000000"/>
                <w:fitText w:val="118" w:id="-723258368"/>
                <w14:textFill>
                  <w14:solidFill>
                    <w14:srgbClr w14:val="000000">
                      <w14:alpha w14:val="100000"/>
                    </w14:srgbClr>
                  </w14:solidFill>
                </w14:textFill>
              </w:rPr>
              <w:t xml:space="preserve">　</w:t>
            </w:r>
            <w:r w:rsidR="00177939" w:rsidRPr="00A27FA9">
              <w:t xml:space="preserve"> </w:t>
            </w:r>
          </w:p>
        </w:tc>
      </w:tr>
      <w:tr w:rsidR="00177939" w:rsidRPr="00310498" w14:paraId="2351122D" w14:textId="77777777" w:rsidTr="00B3281B">
        <w:tc>
          <w:tcPr>
            <w:tcW w:w="2826" w:type="pct"/>
            <w:shd w:val="clear" w:color="auto" w:fill="auto"/>
            <w:vAlign w:val="center"/>
          </w:tcPr>
          <w:p w14:paraId="38AE2357" w14:textId="1AB34A92" w:rsidR="00177939" w:rsidRPr="00AC4CC4"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tc>
        <w:tc>
          <w:tcPr>
            <w:tcW w:w="592" w:type="pct"/>
            <w:shd w:val="solid" w:color="000000" w:fill="000000"/>
            <w:vAlign w:val="center"/>
          </w:tcPr>
          <w:p w14:paraId="0B8E8A7D" w14:textId="3E006BBA"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766394A1" w14:textId="78D889B9" w:rsidR="00177939" w:rsidRPr="00AC4CC4" w:rsidRDefault="00177939" w:rsidP="00177939">
            <w:pPr>
              <w:pStyle w:val="Tabletext"/>
              <w:jc w:val="center"/>
              <w:rPr>
                <w:highlight w:val="darkGray"/>
              </w:rPr>
            </w:pPr>
            <w:r w:rsidRPr="005771A6">
              <w:rPr>
                <w:color w:val="000000" w:themeColor="text1"/>
              </w:rPr>
              <w:t xml:space="preserve">| </w:t>
            </w:r>
          </w:p>
        </w:tc>
        <w:tc>
          <w:tcPr>
            <w:tcW w:w="594" w:type="pct"/>
            <w:shd w:val="clear" w:color="auto" w:fill="auto"/>
            <w:vAlign w:val="center"/>
          </w:tcPr>
          <w:p w14:paraId="6549DFAB" w14:textId="00270178"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b/>
                <w:bCs/>
                <w:vertAlign w:val="superscript"/>
              </w:rPr>
              <w:t xml:space="preserve"> </w:t>
            </w:r>
          </w:p>
        </w:tc>
        <w:tc>
          <w:tcPr>
            <w:tcW w:w="461" w:type="pct"/>
            <w:vAlign w:val="center"/>
          </w:tcPr>
          <w:p w14:paraId="5E1694A3" w14:textId="76627A38" w:rsidR="00177939" w:rsidRPr="00AC4CC4" w:rsidRDefault="00177939" w:rsidP="00177939">
            <w:pPr>
              <w:pStyle w:val="Tabletext"/>
              <w:jc w:val="center"/>
              <w:rPr>
                <w:highlight w:val="darkGray"/>
              </w:rPr>
            </w:pPr>
            <w:r w:rsidRPr="7EE24840">
              <w:rPr>
                <w:color w:val="000000" w:themeColor="text1"/>
              </w:rPr>
              <w:t>|</w:t>
            </w:r>
            <w:r>
              <w:rPr>
                <w:color w:val="000000" w:themeColor="text1"/>
              </w:rPr>
              <w:t xml:space="preserve"> </w:t>
            </w:r>
            <w:r w:rsidRPr="00A27FA9">
              <w:t xml:space="preserve"> </w:t>
            </w:r>
          </w:p>
        </w:tc>
      </w:tr>
      <w:tr w:rsidR="00F267A0" w:rsidRPr="00310498" w14:paraId="7F9D5D2B" w14:textId="77777777" w:rsidTr="00DE1FEA">
        <w:tc>
          <w:tcPr>
            <w:tcW w:w="5000" w:type="pct"/>
            <w:gridSpan w:val="5"/>
            <w:shd w:val="clear" w:color="auto" w:fill="auto"/>
            <w:vAlign w:val="center"/>
          </w:tcPr>
          <w:p w14:paraId="05C5F67D" w14:textId="3797DF58" w:rsidR="007D6004" w:rsidRPr="00AC4CC4" w:rsidRDefault="00016571" w:rsidP="006B3947">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tc>
      </w:tr>
      <w:tr w:rsidR="00177939" w:rsidRPr="00310498" w14:paraId="35C82D20" w14:textId="77777777" w:rsidTr="00070C9A">
        <w:tc>
          <w:tcPr>
            <w:tcW w:w="2826" w:type="pct"/>
            <w:shd w:val="clear" w:color="auto" w:fill="auto"/>
            <w:vAlign w:val="center"/>
          </w:tcPr>
          <w:p w14:paraId="62D91D59" w14:textId="76F79859" w:rsidR="00177939" w:rsidRPr="00AC4CC4" w:rsidRDefault="00177939" w:rsidP="00177939">
            <w:pPr>
              <w:pStyle w:val="Tabletext"/>
              <w:ind w:left="164"/>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tc>
        <w:tc>
          <w:tcPr>
            <w:tcW w:w="592" w:type="pct"/>
            <w:tcBorders>
              <w:bottom w:val="single" w:sz="4" w:space="0" w:color="auto"/>
            </w:tcBorders>
            <w:shd w:val="solid" w:color="000000" w:fill="000000"/>
            <w:vAlign w:val="center"/>
          </w:tcPr>
          <w:p w14:paraId="3E47DB44" w14:textId="196854D3"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65B38F46" w14:textId="23BA4686"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348C6CE3" w14:textId="1B9DB29D"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0A3A0EFE" w14:textId="3E8B7577"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67"/>
                <w14:textFill>
                  <w14:solidFill>
                    <w14:srgbClr w14:val="000000">
                      <w14:alpha w14:val="100000"/>
                    </w14:srgbClr>
                  </w14:solidFill>
                </w14:textFill>
              </w:rPr>
              <w:t xml:space="preserve">　</w:t>
            </w:r>
            <w:r w:rsidRPr="00070C9A">
              <w:rPr>
                <w:color w:val="000000"/>
                <w:w w:val="26"/>
                <w:shd w:val="solid" w:color="000000" w:fill="000000"/>
                <w:fitText w:val="118" w:id="-723258367"/>
                <w14:textFill>
                  <w14:solidFill>
                    <w14:srgbClr w14:val="000000">
                      <w14:alpha w14:val="100000"/>
                    </w14:srgbClr>
                  </w14:solidFill>
                </w14:textFill>
              </w:rPr>
              <w:t>|</w:t>
            </w:r>
            <w:r w:rsidRPr="00070C9A">
              <w:rPr>
                <w:rFonts w:hint="eastAsia"/>
                <w:color w:val="000000"/>
                <w:spacing w:val="10"/>
                <w:w w:val="26"/>
                <w:shd w:val="solid" w:color="000000" w:fill="000000"/>
                <w:fitText w:val="118" w:id="-723258367"/>
                <w14:textFill>
                  <w14:solidFill>
                    <w14:srgbClr w14:val="000000">
                      <w14:alpha w14:val="100000"/>
                    </w14:srgbClr>
                  </w14:solidFill>
                </w14:textFill>
              </w:rPr>
              <w:t xml:space="preserve">　</w:t>
            </w:r>
            <w:r w:rsidR="00177939" w:rsidRPr="00A27FA9">
              <w:t xml:space="preserve"> </w:t>
            </w:r>
          </w:p>
        </w:tc>
      </w:tr>
      <w:tr w:rsidR="00177939" w:rsidRPr="00310498" w14:paraId="0F2A0B0E" w14:textId="77777777" w:rsidTr="00070C9A">
        <w:tc>
          <w:tcPr>
            <w:tcW w:w="2826" w:type="pct"/>
            <w:shd w:val="clear" w:color="auto" w:fill="auto"/>
            <w:vAlign w:val="center"/>
          </w:tcPr>
          <w:p w14:paraId="5CC033C2" w14:textId="48357C98" w:rsidR="00177939" w:rsidRPr="00AC4CC4" w:rsidRDefault="00177939" w:rsidP="00177939">
            <w:pPr>
              <w:pStyle w:val="Tabletext"/>
              <w:ind w:left="164"/>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p>
        </w:tc>
        <w:tc>
          <w:tcPr>
            <w:tcW w:w="592" w:type="pct"/>
            <w:tcBorders>
              <w:bottom w:val="single" w:sz="4" w:space="0" w:color="auto"/>
            </w:tcBorders>
            <w:shd w:val="solid" w:color="000000" w:fill="000000"/>
            <w:vAlign w:val="center"/>
          </w:tcPr>
          <w:p w14:paraId="548E75DD" w14:textId="11625710"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784C77B3" w14:textId="22EA9390"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2898F4C1" w14:textId="62B412B5"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0EF26B28" w14:textId="501B6531"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66"/>
                <w14:textFill>
                  <w14:solidFill>
                    <w14:srgbClr w14:val="000000">
                      <w14:alpha w14:val="100000"/>
                    </w14:srgbClr>
                  </w14:solidFill>
                </w14:textFill>
              </w:rPr>
              <w:t xml:space="preserve">　</w:t>
            </w:r>
            <w:r w:rsidRPr="00070C9A">
              <w:rPr>
                <w:color w:val="000000"/>
                <w:w w:val="26"/>
                <w:shd w:val="solid" w:color="000000" w:fill="000000"/>
                <w:fitText w:val="118" w:id="-723258366"/>
                <w14:textFill>
                  <w14:solidFill>
                    <w14:srgbClr w14:val="000000">
                      <w14:alpha w14:val="100000"/>
                    </w14:srgbClr>
                  </w14:solidFill>
                </w14:textFill>
              </w:rPr>
              <w:t>|</w:t>
            </w:r>
            <w:r w:rsidRPr="00070C9A">
              <w:rPr>
                <w:rFonts w:hint="eastAsia"/>
                <w:color w:val="000000"/>
                <w:spacing w:val="10"/>
                <w:w w:val="26"/>
                <w:shd w:val="solid" w:color="000000" w:fill="000000"/>
                <w:fitText w:val="118" w:id="-723258366"/>
                <w14:textFill>
                  <w14:solidFill>
                    <w14:srgbClr w14:val="000000">
                      <w14:alpha w14:val="100000"/>
                    </w14:srgbClr>
                  </w14:solidFill>
                </w14:textFill>
              </w:rPr>
              <w:t xml:space="preserve">　</w:t>
            </w:r>
            <w:r w:rsidR="00177939" w:rsidRPr="00A27FA9">
              <w:t xml:space="preserve"> </w:t>
            </w:r>
          </w:p>
        </w:tc>
      </w:tr>
      <w:tr w:rsidR="00177939" w:rsidRPr="00310498" w14:paraId="3E5EBC1D" w14:textId="77777777" w:rsidTr="00070C9A">
        <w:tc>
          <w:tcPr>
            <w:tcW w:w="2826" w:type="pct"/>
            <w:shd w:val="clear" w:color="auto" w:fill="auto"/>
            <w:vAlign w:val="center"/>
          </w:tcPr>
          <w:p w14:paraId="61D09340" w14:textId="53B11C23" w:rsidR="00177939" w:rsidRPr="00AC4CC4" w:rsidRDefault="00177939" w:rsidP="00177939">
            <w:pPr>
              <w:pStyle w:val="Tabletext"/>
              <w:ind w:left="164"/>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p>
        </w:tc>
        <w:tc>
          <w:tcPr>
            <w:tcW w:w="592" w:type="pct"/>
            <w:tcBorders>
              <w:bottom w:val="single" w:sz="4" w:space="0" w:color="auto"/>
            </w:tcBorders>
            <w:shd w:val="solid" w:color="000000" w:fill="000000"/>
            <w:vAlign w:val="center"/>
          </w:tcPr>
          <w:p w14:paraId="19ADE605" w14:textId="73D10AB5"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3F5E07F6" w14:textId="57CE1426"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15644069" w14:textId="4F715C42"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4207C008" w14:textId="1F2C5E66"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65"/>
                <w14:textFill>
                  <w14:solidFill>
                    <w14:srgbClr w14:val="000000">
                      <w14:alpha w14:val="100000"/>
                    </w14:srgbClr>
                  </w14:solidFill>
                </w14:textFill>
              </w:rPr>
              <w:t xml:space="preserve">　</w:t>
            </w:r>
            <w:r w:rsidRPr="00070C9A">
              <w:rPr>
                <w:color w:val="000000"/>
                <w:w w:val="26"/>
                <w:shd w:val="solid" w:color="000000" w:fill="000000"/>
                <w:fitText w:val="118" w:id="-723258365"/>
                <w14:textFill>
                  <w14:solidFill>
                    <w14:srgbClr w14:val="000000">
                      <w14:alpha w14:val="100000"/>
                    </w14:srgbClr>
                  </w14:solidFill>
                </w14:textFill>
              </w:rPr>
              <w:t>|</w:t>
            </w:r>
            <w:r w:rsidRPr="00070C9A">
              <w:rPr>
                <w:rFonts w:hint="eastAsia"/>
                <w:color w:val="000000"/>
                <w:spacing w:val="10"/>
                <w:w w:val="26"/>
                <w:shd w:val="solid" w:color="000000" w:fill="000000"/>
                <w:fitText w:val="118" w:id="-723258365"/>
                <w14:textFill>
                  <w14:solidFill>
                    <w14:srgbClr w14:val="000000">
                      <w14:alpha w14:val="100000"/>
                    </w14:srgbClr>
                  </w14:solidFill>
                </w14:textFill>
              </w:rPr>
              <w:t xml:space="preserve">　</w:t>
            </w:r>
            <w:r w:rsidR="00177939" w:rsidRPr="00A27FA9">
              <w:t xml:space="preserve"> </w:t>
            </w:r>
          </w:p>
        </w:tc>
      </w:tr>
      <w:tr w:rsidR="00177939" w:rsidRPr="00310498" w14:paraId="20AF747B" w14:textId="77777777" w:rsidTr="00070C9A">
        <w:tc>
          <w:tcPr>
            <w:tcW w:w="2826" w:type="pct"/>
            <w:shd w:val="clear" w:color="auto" w:fill="auto"/>
            <w:vAlign w:val="center"/>
          </w:tcPr>
          <w:p w14:paraId="536369C5" w14:textId="5C86C1EB" w:rsidR="00177939" w:rsidRPr="00AC4CC4" w:rsidRDefault="00177939" w:rsidP="00177939">
            <w:pPr>
              <w:pStyle w:val="Tabletext"/>
              <w:ind w:left="164"/>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p>
        </w:tc>
        <w:tc>
          <w:tcPr>
            <w:tcW w:w="592" w:type="pct"/>
            <w:tcBorders>
              <w:bottom w:val="single" w:sz="4" w:space="0" w:color="auto"/>
            </w:tcBorders>
            <w:shd w:val="solid" w:color="000000" w:fill="000000"/>
            <w:vAlign w:val="center"/>
          </w:tcPr>
          <w:p w14:paraId="27DD7E1D" w14:textId="07F3B00F"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773BE650" w14:textId="373D4EC3"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4FFF8BB7" w14:textId="2ED2FE7F"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199FC0AD" w14:textId="527FBA3B"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64"/>
                <w14:textFill>
                  <w14:solidFill>
                    <w14:srgbClr w14:val="000000">
                      <w14:alpha w14:val="100000"/>
                    </w14:srgbClr>
                  </w14:solidFill>
                </w14:textFill>
              </w:rPr>
              <w:t xml:space="preserve">　</w:t>
            </w:r>
            <w:r w:rsidRPr="00070C9A">
              <w:rPr>
                <w:color w:val="000000"/>
                <w:w w:val="26"/>
                <w:shd w:val="solid" w:color="000000" w:fill="000000"/>
                <w:fitText w:val="118" w:id="-723258364"/>
                <w14:textFill>
                  <w14:solidFill>
                    <w14:srgbClr w14:val="000000">
                      <w14:alpha w14:val="100000"/>
                    </w14:srgbClr>
                  </w14:solidFill>
                </w14:textFill>
              </w:rPr>
              <w:t>|</w:t>
            </w:r>
            <w:r w:rsidRPr="00070C9A">
              <w:rPr>
                <w:rFonts w:hint="eastAsia"/>
                <w:color w:val="000000"/>
                <w:spacing w:val="10"/>
                <w:w w:val="26"/>
                <w:shd w:val="solid" w:color="000000" w:fill="000000"/>
                <w:fitText w:val="118" w:id="-723258364"/>
                <w14:textFill>
                  <w14:solidFill>
                    <w14:srgbClr w14:val="000000">
                      <w14:alpha w14:val="100000"/>
                    </w14:srgbClr>
                  </w14:solidFill>
                </w14:textFill>
              </w:rPr>
              <w:t xml:space="preserve">　</w:t>
            </w:r>
            <w:r w:rsidR="00177939" w:rsidRPr="00A27FA9">
              <w:t xml:space="preserve"> </w:t>
            </w:r>
          </w:p>
        </w:tc>
      </w:tr>
      <w:tr w:rsidR="00177939" w:rsidRPr="00310498" w14:paraId="1A20C8FF" w14:textId="77777777" w:rsidTr="00070C9A">
        <w:tc>
          <w:tcPr>
            <w:tcW w:w="2826" w:type="pct"/>
            <w:shd w:val="clear" w:color="auto" w:fill="auto"/>
            <w:vAlign w:val="center"/>
          </w:tcPr>
          <w:p w14:paraId="2992B1E3" w14:textId="25045683" w:rsidR="00177939" w:rsidRPr="00A27FA9" w:rsidRDefault="00177939" w:rsidP="00177939">
            <w:pPr>
              <w:pStyle w:val="Tabletext"/>
              <w:ind w:left="164"/>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p>
          <w:p w14:paraId="4E81BAD0" w14:textId="34625608" w:rsidR="00177939" w:rsidRPr="00AC4CC4" w:rsidRDefault="00177939" w:rsidP="00177939">
            <w:pPr>
              <w:pStyle w:val="Tabletext"/>
              <w:ind w:left="164"/>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tc>
        <w:tc>
          <w:tcPr>
            <w:tcW w:w="592" w:type="pct"/>
            <w:tcBorders>
              <w:bottom w:val="single" w:sz="4" w:space="0" w:color="auto"/>
            </w:tcBorders>
            <w:shd w:val="solid" w:color="000000" w:fill="000000"/>
            <w:vAlign w:val="center"/>
          </w:tcPr>
          <w:p w14:paraId="61E8A1BD" w14:textId="2F5FF5C2"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3491CA3E" w14:textId="0D381CDA"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58088CA8" w14:textId="72F2D3E0"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5B08E498" w14:textId="128CA02A"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63"/>
                <w14:textFill>
                  <w14:solidFill>
                    <w14:srgbClr w14:val="000000">
                      <w14:alpha w14:val="100000"/>
                    </w14:srgbClr>
                  </w14:solidFill>
                </w14:textFill>
              </w:rPr>
              <w:t xml:space="preserve">　</w:t>
            </w:r>
            <w:r w:rsidRPr="00070C9A">
              <w:rPr>
                <w:color w:val="000000"/>
                <w:w w:val="26"/>
                <w:shd w:val="solid" w:color="000000" w:fill="000000"/>
                <w:fitText w:val="118" w:id="-723258363"/>
                <w14:textFill>
                  <w14:solidFill>
                    <w14:srgbClr w14:val="000000">
                      <w14:alpha w14:val="100000"/>
                    </w14:srgbClr>
                  </w14:solidFill>
                </w14:textFill>
              </w:rPr>
              <w:t>|</w:t>
            </w:r>
            <w:r w:rsidRPr="00070C9A">
              <w:rPr>
                <w:rFonts w:hint="eastAsia"/>
                <w:color w:val="000000"/>
                <w:spacing w:val="10"/>
                <w:w w:val="26"/>
                <w:shd w:val="solid" w:color="000000" w:fill="000000"/>
                <w:fitText w:val="118" w:id="-723258363"/>
                <w14:textFill>
                  <w14:solidFill>
                    <w14:srgbClr w14:val="000000">
                      <w14:alpha w14:val="100000"/>
                    </w14:srgbClr>
                  </w14:solidFill>
                </w14:textFill>
              </w:rPr>
              <w:t xml:space="preserve">　</w:t>
            </w:r>
            <w:r w:rsidR="00177939" w:rsidRPr="00A27FA9">
              <w:t xml:space="preserve"> </w:t>
            </w:r>
          </w:p>
        </w:tc>
      </w:tr>
      <w:tr w:rsidR="00177939" w:rsidRPr="00310498" w14:paraId="5F23C9E6" w14:textId="77777777" w:rsidTr="00070C9A">
        <w:tc>
          <w:tcPr>
            <w:tcW w:w="2826" w:type="pct"/>
            <w:shd w:val="clear" w:color="auto" w:fill="auto"/>
            <w:vAlign w:val="center"/>
          </w:tcPr>
          <w:p w14:paraId="06145F0A" w14:textId="77FB9C08" w:rsidR="00177939" w:rsidRPr="00AC4CC4" w:rsidRDefault="00177939" w:rsidP="00177939">
            <w:pPr>
              <w:pStyle w:val="Tabletext"/>
              <w:ind w:left="164"/>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tc>
        <w:tc>
          <w:tcPr>
            <w:tcW w:w="592" w:type="pct"/>
            <w:tcBorders>
              <w:bottom w:val="single" w:sz="4" w:space="0" w:color="auto"/>
            </w:tcBorders>
            <w:shd w:val="solid" w:color="000000" w:fill="000000"/>
            <w:vAlign w:val="center"/>
          </w:tcPr>
          <w:p w14:paraId="568EB9A1" w14:textId="2E6D2147"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3C743BC4" w14:textId="66671024"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5225A5B8" w14:textId="02B252CF"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095363AE" w14:textId="2218829D"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62"/>
                <w14:textFill>
                  <w14:solidFill>
                    <w14:srgbClr w14:val="000000">
                      <w14:alpha w14:val="100000"/>
                    </w14:srgbClr>
                  </w14:solidFill>
                </w14:textFill>
              </w:rPr>
              <w:t xml:space="preserve">　</w:t>
            </w:r>
            <w:r w:rsidRPr="00070C9A">
              <w:rPr>
                <w:color w:val="000000"/>
                <w:w w:val="26"/>
                <w:shd w:val="solid" w:color="000000" w:fill="000000"/>
                <w:fitText w:val="118" w:id="-723258362"/>
                <w14:textFill>
                  <w14:solidFill>
                    <w14:srgbClr w14:val="000000">
                      <w14:alpha w14:val="100000"/>
                    </w14:srgbClr>
                  </w14:solidFill>
                </w14:textFill>
              </w:rPr>
              <w:t>|</w:t>
            </w:r>
            <w:r w:rsidRPr="00070C9A">
              <w:rPr>
                <w:rFonts w:hint="eastAsia"/>
                <w:color w:val="000000"/>
                <w:spacing w:val="10"/>
                <w:w w:val="26"/>
                <w:shd w:val="solid" w:color="000000" w:fill="000000"/>
                <w:fitText w:val="118" w:id="-723258362"/>
                <w14:textFill>
                  <w14:solidFill>
                    <w14:srgbClr w14:val="000000">
                      <w14:alpha w14:val="100000"/>
                    </w14:srgbClr>
                  </w14:solidFill>
                </w14:textFill>
              </w:rPr>
              <w:t xml:space="preserve">　</w:t>
            </w:r>
            <w:r w:rsidR="00177939" w:rsidRPr="00A27FA9">
              <w:t xml:space="preserve"> </w:t>
            </w:r>
          </w:p>
        </w:tc>
      </w:tr>
      <w:tr w:rsidR="00177939" w:rsidRPr="00310498" w14:paraId="2B15E7B0" w14:textId="77777777" w:rsidTr="00070C9A">
        <w:tc>
          <w:tcPr>
            <w:tcW w:w="2826" w:type="pct"/>
            <w:shd w:val="clear" w:color="auto" w:fill="auto"/>
            <w:vAlign w:val="center"/>
          </w:tcPr>
          <w:p w14:paraId="7B056587" w14:textId="2D9C0FB1" w:rsidR="00177939" w:rsidRPr="00AC4CC4"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tc>
        <w:tc>
          <w:tcPr>
            <w:tcW w:w="592" w:type="pct"/>
            <w:tcBorders>
              <w:bottom w:val="single" w:sz="4" w:space="0" w:color="auto"/>
            </w:tcBorders>
            <w:shd w:val="solid" w:color="000000" w:fill="000000"/>
            <w:vAlign w:val="center"/>
          </w:tcPr>
          <w:p w14:paraId="1914D83E" w14:textId="57F42287"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4FB88117" w14:textId="15300E7E"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743D1C87" w14:textId="67CCB640"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tcPr>
          <w:p w14:paraId="677C6AB1" w14:textId="526F1545" w:rsidR="00177939" w:rsidRPr="00AC4CC4" w:rsidRDefault="00177939" w:rsidP="00177939">
            <w:pPr>
              <w:pStyle w:val="Tabletext"/>
              <w:jc w:val="center"/>
              <w:rPr>
                <w:highlight w:val="darkGray"/>
              </w:rPr>
            </w:pPr>
            <w:r w:rsidRPr="0084594C">
              <w:rPr>
                <w:color w:val="000000" w:themeColor="text1"/>
              </w:rPr>
              <w:t xml:space="preserve">| </w:t>
            </w:r>
          </w:p>
        </w:tc>
      </w:tr>
      <w:tr w:rsidR="00177939" w:rsidRPr="00310498" w14:paraId="27D7E5A0" w14:textId="77777777" w:rsidTr="00070C9A">
        <w:tc>
          <w:tcPr>
            <w:tcW w:w="2826" w:type="pct"/>
            <w:shd w:val="clear" w:color="auto" w:fill="auto"/>
            <w:vAlign w:val="center"/>
          </w:tcPr>
          <w:p w14:paraId="0266072F" w14:textId="72A8CCA9" w:rsidR="00177939" w:rsidRPr="00AC4CC4" w:rsidRDefault="00177939" w:rsidP="00177939">
            <w:pPr>
              <w:pStyle w:val="Tabletext"/>
              <w:rPr>
                <w:highlight w:val="darkGray"/>
                <w:vertAlign w:val="superscript"/>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00E70EF4">
              <w:rPr>
                <w:color w:val="000000" w:themeColor="text1"/>
                <w:vertAlign w:val="superscript"/>
              </w:rPr>
              <w:t>|</w:t>
            </w:r>
          </w:p>
        </w:tc>
        <w:tc>
          <w:tcPr>
            <w:tcW w:w="592" w:type="pct"/>
            <w:tcBorders>
              <w:bottom w:val="single" w:sz="4" w:space="0" w:color="auto"/>
            </w:tcBorders>
            <w:shd w:val="solid" w:color="000000" w:fill="000000"/>
            <w:vAlign w:val="center"/>
          </w:tcPr>
          <w:p w14:paraId="1F2E4B0D" w14:textId="3A0BDFCE"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4E01F54F" w14:textId="361D3825"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3C2CC266" w14:textId="3C7BE4CA"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b/>
                <w:bCs/>
                <w:vertAlign w:val="superscript"/>
              </w:rPr>
              <w:t xml:space="preserve"> </w:t>
            </w:r>
          </w:p>
        </w:tc>
        <w:tc>
          <w:tcPr>
            <w:tcW w:w="461" w:type="pct"/>
          </w:tcPr>
          <w:p w14:paraId="1C2A8FB5" w14:textId="4DF27ABB" w:rsidR="00177939" w:rsidRPr="00AC4CC4" w:rsidRDefault="00177939" w:rsidP="00177939">
            <w:pPr>
              <w:pStyle w:val="Tabletext"/>
              <w:jc w:val="center"/>
              <w:rPr>
                <w:highlight w:val="darkGray"/>
              </w:rPr>
            </w:pPr>
            <w:r w:rsidRPr="0084594C">
              <w:rPr>
                <w:color w:val="000000" w:themeColor="text1"/>
              </w:rPr>
              <w:t xml:space="preserve">| </w:t>
            </w:r>
          </w:p>
        </w:tc>
      </w:tr>
      <w:tr w:rsidR="00177939" w:rsidRPr="00310498" w14:paraId="42D93E9E" w14:textId="77777777" w:rsidTr="00070C9A">
        <w:tc>
          <w:tcPr>
            <w:tcW w:w="2826" w:type="pct"/>
            <w:shd w:val="clear" w:color="auto" w:fill="auto"/>
            <w:vAlign w:val="center"/>
          </w:tcPr>
          <w:p w14:paraId="209100EC" w14:textId="797F7E3A" w:rsidR="00177939" w:rsidRPr="00AC4CC4"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p>
        </w:tc>
        <w:tc>
          <w:tcPr>
            <w:tcW w:w="592" w:type="pct"/>
            <w:tcBorders>
              <w:bottom w:val="single" w:sz="4" w:space="0" w:color="auto"/>
            </w:tcBorders>
            <w:shd w:val="solid" w:color="000000" w:fill="000000"/>
            <w:vAlign w:val="center"/>
          </w:tcPr>
          <w:p w14:paraId="75DD1062" w14:textId="21311A2C"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3CCA77B6" w14:textId="0260CC97"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3E5F618D" w14:textId="520DD1B0"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6C2E2F4B" w14:textId="0B8F284B"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61"/>
                <w14:textFill>
                  <w14:solidFill>
                    <w14:srgbClr w14:val="000000">
                      <w14:alpha w14:val="100000"/>
                    </w14:srgbClr>
                  </w14:solidFill>
                </w14:textFill>
              </w:rPr>
              <w:t xml:space="preserve">　</w:t>
            </w:r>
            <w:r w:rsidRPr="00070C9A">
              <w:rPr>
                <w:color w:val="000000"/>
                <w:w w:val="26"/>
                <w:shd w:val="solid" w:color="000000" w:fill="000000"/>
                <w:fitText w:val="118" w:id="-723258361"/>
                <w14:textFill>
                  <w14:solidFill>
                    <w14:srgbClr w14:val="000000">
                      <w14:alpha w14:val="100000"/>
                    </w14:srgbClr>
                  </w14:solidFill>
                </w14:textFill>
              </w:rPr>
              <w:t>|</w:t>
            </w:r>
            <w:r w:rsidRPr="00070C9A">
              <w:rPr>
                <w:rFonts w:hint="eastAsia"/>
                <w:color w:val="000000"/>
                <w:spacing w:val="10"/>
                <w:w w:val="26"/>
                <w:shd w:val="solid" w:color="000000" w:fill="000000"/>
                <w:fitText w:val="118" w:id="-723258361"/>
                <w14:textFill>
                  <w14:solidFill>
                    <w14:srgbClr w14:val="000000">
                      <w14:alpha w14:val="100000"/>
                    </w14:srgbClr>
                  </w14:solidFill>
                </w14:textFill>
              </w:rPr>
              <w:t xml:space="preserve">　</w:t>
            </w:r>
            <w:r w:rsidR="00177939" w:rsidRPr="00A27FA9">
              <w:t xml:space="preserve"> </w:t>
            </w:r>
          </w:p>
        </w:tc>
      </w:tr>
      <w:tr w:rsidR="00177939" w:rsidRPr="00310498" w14:paraId="12B949CB" w14:textId="77777777" w:rsidTr="00070C9A">
        <w:tc>
          <w:tcPr>
            <w:tcW w:w="2826" w:type="pct"/>
            <w:shd w:val="clear" w:color="auto" w:fill="auto"/>
            <w:vAlign w:val="center"/>
          </w:tcPr>
          <w:p w14:paraId="2343FC4E" w14:textId="671D7F03" w:rsidR="00177939" w:rsidRPr="00AC4CC4"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tc>
        <w:tc>
          <w:tcPr>
            <w:tcW w:w="592" w:type="pct"/>
            <w:tcBorders>
              <w:bottom w:val="single" w:sz="4" w:space="0" w:color="auto"/>
            </w:tcBorders>
            <w:shd w:val="solid" w:color="000000" w:fill="000000"/>
            <w:vAlign w:val="center"/>
          </w:tcPr>
          <w:p w14:paraId="02330C10" w14:textId="2A9CF0D1"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7B627F7A" w14:textId="408161D8"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0CC157F9" w14:textId="3DEB8315"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70589E2E" w14:textId="12B0C5DD"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60"/>
                <w14:textFill>
                  <w14:solidFill>
                    <w14:srgbClr w14:val="000000">
                      <w14:alpha w14:val="100000"/>
                    </w14:srgbClr>
                  </w14:solidFill>
                </w14:textFill>
              </w:rPr>
              <w:t xml:space="preserve">　</w:t>
            </w:r>
            <w:r w:rsidRPr="00070C9A">
              <w:rPr>
                <w:color w:val="000000"/>
                <w:w w:val="26"/>
                <w:shd w:val="solid" w:color="000000" w:fill="000000"/>
                <w:fitText w:val="118" w:id="-723258360"/>
                <w14:textFill>
                  <w14:solidFill>
                    <w14:srgbClr w14:val="000000">
                      <w14:alpha w14:val="100000"/>
                    </w14:srgbClr>
                  </w14:solidFill>
                </w14:textFill>
              </w:rPr>
              <w:t>|</w:t>
            </w:r>
            <w:r w:rsidRPr="00070C9A">
              <w:rPr>
                <w:rFonts w:hint="eastAsia"/>
                <w:color w:val="000000"/>
                <w:spacing w:val="10"/>
                <w:w w:val="26"/>
                <w:shd w:val="solid" w:color="000000" w:fill="000000"/>
                <w:fitText w:val="118" w:id="-723258360"/>
                <w14:textFill>
                  <w14:solidFill>
                    <w14:srgbClr w14:val="000000">
                      <w14:alpha w14:val="100000"/>
                    </w14:srgbClr>
                  </w14:solidFill>
                </w14:textFill>
              </w:rPr>
              <w:t xml:space="preserve">　</w:t>
            </w:r>
            <w:r w:rsidR="00177939" w:rsidRPr="00A27FA9">
              <w:t xml:space="preserve"> </w:t>
            </w:r>
          </w:p>
        </w:tc>
      </w:tr>
      <w:tr w:rsidR="00177939" w:rsidRPr="00310498" w14:paraId="3606FC4E" w14:textId="77777777" w:rsidTr="00070C9A">
        <w:tc>
          <w:tcPr>
            <w:tcW w:w="2826" w:type="pct"/>
            <w:shd w:val="clear" w:color="auto" w:fill="auto"/>
            <w:vAlign w:val="center"/>
          </w:tcPr>
          <w:p w14:paraId="798FD57E" w14:textId="1669F242" w:rsidR="00177939" w:rsidRPr="00AC4CC4"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tc>
        <w:tc>
          <w:tcPr>
            <w:tcW w:w="592" w:type="pct"/>
            <w:tcBorders>
              <w:bottom w:val="single" w:sz="4" w:space="0" w:color="auto"/>
            </w:tcBorders>
            <w:shd w:val="solid" w:color="000000" w:fill="000000"/>
            <w:vAlign w:val="center"/>
          </w:tcPr>
          <w:p w14:paraId="1DFE36D7" w14:textId="5E78DE14"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3C8A9785" w14:textId="3889DA92"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2BE392BF" w14:textId="5F24605D"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54818386" w14:textId="23E81827"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59"/>
                <w14:textFill>
                  <w14:solidFill>
                    <w14:srgbClr w14:val="000000">
                      <w14:alpha w14:val="100000"/>
                    </w14:srgbClr>
                  </w14:solidFill>
                </w14:textFill>
              </w:rPr>
              <w:t xml:space="preserve">　</w:t>
            </w:r>
            <w:r w:rsidRPr="00070C9A">
              <w:rPr>
                <w:color w:val="000000"/>
                <w:w w:val="26"/>
                <w:shd w:val="solid" w:color="000000" w:fill="000000"/>
                <w:fitText w:val="118" w:id="-723258359"/>
                <w14:textFill>
                  <w14:solidFill>
                    <w14:srgbClr w14:val="000000">
                      <w14:alpha w14:val="100000"/>
                    </w14:srgbClr>
                  </w14:solidFill>
                </w14:textFill>
              </w:rPr>
              <w:t>|</w:t>
            </w:r>
            <w:r w:rsidRPr="00070C9A">
              <w:rPr>
                <w:rFonts w:hint="eastAsia"/>
                <w:color w:val="000000"/>
                <w:spacing w:val="10"/>
                <w:w w:val="26"/>
                <w:shd w:val="solid" w:color="000000" w:fill="000000"/>
                <w:fitText w:val="118" w:id="-723258359"/>
                <w14:textFill>
                  <w14:solidFill>
                    <w14:srgbClr w14:val="000000">
                      <w14:alpha w14:val="100000"/>
                    </w14:srgbClr>
                  </w14:solidFill>
                </w14:textFill>
              </w:rPr>
              <w:t xml:space="preserve">　</w:t>
            </w:r>
            <w:r w:rsidR="00177939" w:rsidRPr="00A27FA9">
              <w:t xml:space="preserve"> </w:t>
            </w:r>
          </w:p>
        </w:tc>
      </w:tr>
      <w:tr w:rsidR="00177939" w:rsidRPr="00310498" w14:paraId="3A2436C8" w14:textId="77777777" w:rsidTr="00771ADD">
        <w:tc>
          <w:tcPr>
            <w:tcW w:w="2826" w:type="pct"/>
            <w:shd w:val="clear" w:color="auto" w:fill="auto"/>
            <w:vAlign w:val="center"/>
          </w:tcPr>
          <w:p w14:paraId="6950A69E" w14:textId="251CCF23" w:rsidR="00177939" w:rsidRPr="00AC4CC4"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p>
        </w:tc>
        <w:tc>
          <w:tcPr>
            <w:tcW w:w="592" w:type="pct"/>
            <w:shd w:val="solid" w:color="000000" w:fill="000000"/>
            <w:vAlign w:val="center"/>
          </w:tcPr>
          <w:p w14:paraId="5614EC3D" w14:textId="7258F7CE"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7BB7CF20" w14:textId="702B932C" w:rsidR="00177939" w:rsidRPr="00AC4CC4" w:rsidRDefault="00177939" w:rsidP="00177939">
            <w:pPr>
              <w:pStyle w:val="Tabletext"/>
              <w:jc w:val="center"/>
              <w:rPr>
                <w:highlight w:val="darkGray"/>
              </w:rPr>
            </w:pPr>
            <w:r w:rsidRPr="001D13A1">
              <w:rPr>
                <w:color w:val="000000" w:themeColor="text1"/>
              </w:rPr>
              <w:t xml:space="preserve">| </w:t>
            </w:r>
          </w:p>
        </w:tc>
        <w:tc>
          <w:tcPr>
            <w:tcW w:w="594" w:type="pct"/>
            <w:shd w:val="clear" w:color="auto" w:fill="auto"/>
            <w:vAlign w:val="center"/>
          </w:tcPr>
          <w:p w14:paraId="5591FF33" w14:textId="42FB77E7"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5CF83C0A" w14:textId="4407C274"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358"/>
                <w14:textFill>
                  <w14:solidFill>
                    <w14:srgbClr w14:val="000000">
                      <w14:alpha w14:val="100000"/>
                    </w14:srgbClr>
                  </w14:solidFill>
                </w14:textFill>
              </w:rPr>
              <w:t xml:space="preserve">　</w:t>
            </w:r>
            <w:r w:rsidRPr="00070C9A">
              <w:rPr>
                <w:color w:val="000000"/>
                <w:w w:val="26"/>
                <w:shd w:val="solid" w:color="000000" w:fill="000000"/>
                <w:fitText w:val="118" w:id="-723258358"/>
                <w14:textFill>
                  <w14:solidFill>
                    <w14:srgbClr w14:val="000000">
                      <w14:alpha w14:val="100000"/>
                    </w14:srgbClr>
                  </w14:solidFill>
                </w14:textFill>
              </w:rPr>
              <w:t>|</w:t>
            </w:r>
            <w:r w:rsidRPr="00070C9A">
              <w:rPr>
                <w:rFonts w:hint="eastAsia"/>
                <w:color w:val="000000"/>
                <w:spacing w:val="10"/>
                <w:w w:val="26"/>
                <w:shd w:val="solid" w:color="000000" w:fill="000000"/>
                <w:fitText w:val="118" w:id="-723258358"/>
                <w14:textFill>
                  <w14:solidFill>
                    <w14:srgbClr w14:val="000000">
                      <w14:alpha w14:val="100000"/>
                    </w14:srgbClr>
                  </w14:solidFill>
                </w14:textFill>
              </w:rPr>
              <w:t xml:space="preserve">　</w:t>
            </w:r>
            <w:r w:rsidR="00177939" w:rsidRPr="00A27FA9">
              <w:t xml:space="preserve"> </w:t>
            </w:r>
          </w:p>
        </w:tc>
      </w:tr>
      <w:tr w:rsidR="006B3947" w:rsidRPr="0032043A" w14:paraId="79992E88" w14:textId="77777777" w:rsidTr="006B3947">
        <w:tc>
          <w:tcPr>
            <w:tcW w:w="5000" w:type="pct"/>
            <w:gridSpan w:val="5"/>
            <w:shd w:val="clear" w:color="auto" w:fill="auto"/>
            <w:vAlign w:val="center"/>
          </w:tcPr>
          <w:p w14:paraId="7D1A6B74" w14:textId="71CFDA2C" w:rsidR="006B3947" w:rsidRPr="00FC7BC4" w:rsidRDefault="00016571" w:rsidP="006B3947">
            <w:pPr>
              <w:pStyle w:val="Tabletext"/>
              <w:rPr>
                <w:b/>
                <w:bCs/>
                <w:highlight w:val="darkGray"/>
              </w:rPr>
            </w:pPr>
            <w:r w:rsidRPr="00FC7BC4">
              <w:rPr>
                <w:b/>
                <w:bCs/>
                <w:color w:val="000000" w:themeColor="text1"/>
              </w:rPr>
              <w:t>|</w:t>
            </w:r>
            <w:r w:rsidRPr="00FC7BC4">
              <w:rPr>
                <w:b/>
                <w:bCs/>
              </w:rPr>
              <w:t xml:space="preserve"> </w:t>
            </w:r>
            <w:r w:rsidRPr="00FC7BC4">
              <w:rPr>
                <w:b/>
                <w:bCs/>
                <w:color w:val="000000" w:themeColor="text1"/>
              </w:rPr>
              <w:t>|</w:t>
            </w:r>
            <w:r w:rsidRPr="00FC7BC4">
              <w:rPr>
                <w:b/>
                <w:bCs/>
              </w:rPr>
              <w:t xml:space="preserve"> </w:t>
            </w:r>
          </w:p>
        </w:tc>
      </w:tr>
      <w:tr w:rsidR="00177939" w:rsidRPr="0032043A" w14:paraId="2DE892F5" w14:textId="77777777" w:rsidTr="00070C9A">
        <w:tc>
          <w:tcPr>
            <w:tcW w:w="2826" w:type="pct"/>
            <w:shd w:val="clear" w:color="auto" w:fill="auto"/>
            <w:vAlign w:val="center"/>
          </w:tcPr>
          <w:p w14:paraId="63466C58" w14:textId="270B678F" w:rsidR="00177939" w:rsidRPr="00A27FA9" w:rsidRDefault="00177939" w:rsidP="00177939">
            <w:pPr>
              <w:pStyle w:val="Tabletext"/>
            </w:pPr>
            <w:bookmarkStart w:id="81" w:name="_Hlk179890646"/>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p w14:paraId="221C533B" w14:textId="3E7DF141" w:rsidR="00177939" w:rsidRPr="00AC4CC4" w:rsidRDefault="00177939" w:rsidP="00177939">
            <w:pPr>
              <w:pStyle w:val="Tabletext"/>
              <w:jc w:val="both"/>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p>
        </w:tc>
        <w:tc>
          <w:tcPr>
            <w:tcW w:w="592" w:type="pct"/>
            <w:tcBorders>
              <w:bottom w:val="single" w:sz="4" w:space="0" w:color="auto"/>
            </w:tcBorders>
            <w:shd w:val="solid" w:color="000000" w:fill="000000"/>
            <w:vAlign w:val="center"/>
          </w:tcPr>
          <w:p w14:paraId="33B1C431" w14:textId="50A99D60"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45C069C3" w14:textId="54FD87AD" w:rsidR="00177939" w:rsidRPr="00AC4CC4" w:rsidRDefault="00177939" w:rsidP="00177939">
            <w:pPr>
              <w:pStyle w:val="Tabletext"/>
              <w:jc w:val="center"/>
              <w:rPr>
                <w:highlight w:val="darkGray"/>
              </w:rPr>
            </w:pPr>
            <w:r w:rsidRPr="00F24F86">
              <w:rPr>
                <w:color w:val="000000" w:themeColor="text1"/>
              </w:rPr>
              <w:t xml:space="preserve">| </w:t>
            </w:r>
          </w:p>
        </w:tc>
        <w:tc>
          <w:tcPr>
            <w:tcW w:w="594" w:type="pct"/>
            <w:shd w:val="clear" w:color="auto" w:fill="auto"/>
            <w:vAlign w:val="center"/>
          </w:tcPr>
          <w:p w14:paraId="01A62F24" w14:textId="60F71D16"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5F6B2EA0" w14:textId="593DCFFC"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112"/>
                <w14:textFill>
                  <w14:solidFill>
                    <w14:srgbClr w14:val="000000">
                      <w14:alpha w14:val="100000"/>
                    </w14:srgbClr>
                  </w14:solidFill>
                </w14:textFill>
              </w:rPr>
              <w:t xml:space="preserve">　</w:t>
            </w:r>
            <w:r w:rsidRPr="00070C9A">
              <w:rPr>
                <w:color w:val="000000"/>
                <w:w w:val="26"/>
                <w:shd w:val="solid" w:color="000000" w:fill="000000"/>
                <w:fitText w:val="118" w:id="-723258112"/>
                <w14:textFill>
                  <w14:solidFill>
                    <w14:srgbClr w14:val="000000">
                      <w14:alpha w14:val="100000"/>
                    </w14:srgbClr>
                  </w14:solidFill>
                </w14:textFill>
              </w:rPr>
              <w:t>|</w:t>
            </w:r>
            <w:r w:rsidRPr="00070C9A">
              <w:rPr>
                <w:rFonts w:hint="eastAsia"/>
                <w:color w:val="000000"/>
                <w:spacing w:val="10"/>
                <w:w w:val="26"/>
                <w:shd w:val="solid" w:color="000000" w:fill="000000"/>
                <w:fitText w:val="118" w:id="-723258112"/>
                <w14:textFill>
                  <w14:solidFill>
                    <w14:srgbClr w14:val="000000">
                      <w14:alpha w14:val="100000"/>
                    </w14:srgbClr>
                  </w14:solidFill>
                </w14:textFill>
              </w:rPr>
              <w:t xml:space="preserve">　</w:t>
            </w:r>
            <w:r w:rsidR="00177939" w:rsidRPr="00A27FA9">
              <w:t xml:space="preserve"> </w:t>
            </w:r>
          </w:p>
        </w:tc>
      </w:tr>
      <w:tr w:rsidR="00177939" w:rsidRPr="0032043A" w14:paraId="476E4D4A" w14:textId="77777777" w:rsidTr="00070C9A">
        <w:tc>
          <w:tcPr>
            <w:tcW w:w="2826" w:type="pct"/>
            <w:shd w:val="clear" w:color="auto" w:fill="auto"/>
            <w:vAlign w:val="center"/>
          </w:tcPr>
          <w:p w14:paraId="6FE1F949" w14:textId="2FDD7F7E" w:rsidR="00177939" w:rsidRPr="00AC4CC4" w:rsidRDefault="00177939" w:rsidP="00177939">
            <w:pPr>
              <w:pStyle w:val="Tablet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tc>
        <w:tc>
          <w:tcPr>
            <w:tcW w:w="592" w:type="pct"/>
            <w:tcBorders>
              <w:bottom w:val="single" w:sz="4" w:space="0" w:color="auto"/>
            </w:tcBorders>
            <w:shd w:val="solid" w:color="000000" w:fill="000000"/>
            <w:vAlign w:val="center"/>
          </w:tcPr>
          <w:p w14:paraId="4B254F78" w14:textId="746A4E00"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71668270" w14:textId="5B2A154C" w:rsidR="00177939" w:rsidRPr="00AC4CC4" w:rsidRDefault="00177939" w:rsidP="00177939">
            <w:pPr>
              <w:pStyle w:val="Tabletext"/>
              <w:jc w:val="center"/>
              <w:rPr>
                <w:highlight w:val="darkGray"/>
              </w:rPr>
            </w:pPr>
            <w:r w:rsidRPr="00F24F86">
              <w:rPr>
                <w:color w:val="000000" w:themeColor="text1"/>
              </w:rPr>
              <w:t xml:space="preserve">| </w:t>
            </w:r>
          </w:p>
        </w:tc>
        <w:tc>
          <w:tcPr>
            <w:tcW w:w="594" w:type="pct"/>
            <w:shd w:val="clear" w:color="auto" w:fill="auto"/>
            <w:vAlign w:val="center"/>
          </w:tcPr>
          <w:p w14:paraId="04A6E659" w14:textId="172E0B0B"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11DF87ED" w14:textId="310C06EB"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111"/>
                <w14:textFill>
                  <w14:solidFill>
                    <w14:srgbClr w14:val="000000">
                      <w14:alpha w14:val="100000"/>
                    </w14:srgbClr>
                  </w14:solidFill>
                </w14:textFill>
              </w:rPr>
              <w:t xml:space="preserve">　</w:t>
            </w:r>
            <w:r w:rsidRPr="00070C9A">
              <w:rPr>
                <w:color w:val="000000"/>
                <w:w w:val="26"/>
                <w:shd w:val="solid" w:color="000000" w:fill="000000"/>
                <w:fitText w:val="118" w:id="-723258111"/>
                <w14:textFill>
                  <w14:solidFill>
                    <w14:srgbClr w14:val="000000">
                      <w14:alpha w14:val="100000"/>
                    </w14:srgbClr>
                  </w14:solidFill>
                </w14:textFill>
              </w:rPr>
              <w:t>|</w:t>
            </w:r>
            <w:r w:rsidRPr="00070C9A">
              <w:rPr>
                <w:rFonts w:hint="eastAsia"/>
                <w:color w:val="000000"/>
                <w:spacing w:val="10"/>
                <w:w w:val="26"/>
                <w:shd w:val="solid" w:color="000000" w:fill="000000"/>
                <w:fitText w:val="118" w:id="-723258111"/>
                <w14:textFill>
                  <w14:solidFill>
                    <w14:srgbClr w14:val="000000">
                      <w14:alpha w14:val="100000"/>
                    </w14:srgbClr>
                  </w14:solidFill>
                </w14:textFill>
              </w:rPr>
              <w:t xml:space="preserve">　</w:t>
            </w:r>
            <w:r w:rsidR="00177939" w:rsidRPr="00A27FA9">
              <w:t xml:space="preserve"> </w:t>
            </w:r>
          </w:p>
        </w:tc>
      </w:tr>
      <w:tr w:rsidR="00177939" w:rsidRPr="0032043A" w14:paraId="6E326885" w14:textId="77777777" w:rsidTr="00070C9A">
        <w:tc>
          <w:tcPr>
            <w:tcW w:w="2826" w:type="pct"/>
            <w:shd w:val="clear" w:color="auto" w:fill="auto"/>
            <w:vAlign w:val="center"/>
          </w:tcPr>
          <w:p w14:paraId="7A09454F" w14:textId="062A94F4" w:rsidR="00177939" w:rsidRPr="00A27FA9" w:rsidRDefault="00177939" w:rsidP="00177939">
            <w:pPr>
              <w:pStyle w:val="Table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p>
          <w:p w14:paraId="1EC141BF" w14:textId="5B4398F3" w:rsidR="00177939" w:rsidRPr="00AC4CC4" w:rsidRDefault="00177939" w:rsidP="00177939">
            <w:pPr>
              <w:pStyle w:val="Tabletext"/>
              <w:rPr>
                <w:highlight w:val="darkGray"/>
                <w:vertAlign w:val="superscript"/>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p>
        </w:tc>
        <w:tc>
          <w:tcPr>
            <w:tcW w:w="592" w:type="pct"/>
            <w:tcBorders>
              <w:bottom w:val="single" w:sz="4" w:space="0" w:color="auto"/>
            </w:tcBorders>
            <w:shd w:val="solid" w:color="000000" w:fill="000000"/>
            <w:vAlign w:val="center"/>
          </w:tcPr>
          <w:p w14:paraId="770405BD" w14:textId="5FD425C7" w:rsidR="00177939" w:rsidRPr="00AC4CC4" w:rsidRDefault="00070C9A" w:rsidP="00177939">
            <w:pPr>
              <w:pStyle w:val="Tabletext"/>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tcPr>
          <w:p w14:paraId="705D1D31" w14:textId="5DFB62A3" w:rsidR="00177939" w:rsidRPr="00AC4CC4" w:rsidRDefault="00177939" w:rsidP="00177939">
            <w:pPr>
              <w:pStyle w:val="Tabletext"/>
              <w:jc w:val="center"/>
              <w:rPr>
                <w:highlight w:val="darkGray"/>
              </w:rPr>
            </w:pPr>
            <w:r w:rsidRPr="00F24F86">
              <w:rPr>
                <w:color w:val="000000" w:themeColor="text1"/>
              </w:rPr>
              <w:t xml:space="preserve">| </w:t>
            </w:r>
          </w:p>
        </w:tc>
        <w:tc>
          <w:tcPr>
            <w:tcW w:w="594" w:type="pct"/>
            <w:shd w:val="clear" w:color="auto" w:fill="auto"/>
            <w:vAlign w:val="center"/>
          </w:tcPr>
          <w:p w14:paraId="3F35D29E" w14:textId="2E87D6C7" w:rsidR="00177939" w:rsidRPr="00AC4CC4" w:rsidRDefault="00070C9A" w:rsidP="00177939">
            <w:pPr>
              <w:pStyle w:val="Tabletext"/>
              <w:jc w:val="center"/>
              <w:rPr>
                <w:highlight w:val="darkGray"/>
              </w:rPr>
            </w:pPr>
            <w:r w:rsidRPr="00070C9A">
              <w:rPr>
                <w:color w:val="000000"/>
                <w:w w:val="31"/>
                <w:shd w:val="solid" w:color="000000" w:fill="000000"/>
                <w14:textFill>
                  <w14:solidFill>
                    <w14:srgbClr w14:val="000000">
                      <w14:alpha w14:val="100000"/>
                    </w14:srgbClr>
                  </w14:solidFill>
                </w14:textFill>
              </w:rPr>
              <w:t>|</w:t>
            </w:r>
            <w:r w:rsidR="00177939" w:rsidRPr="00A27FA9">
              <w:rPr>
                <w:vertAlign w:val="superscript"/>
              </w:rPr>
              <w:t xml:space="preserve"> </w:t>
            </w:r>
          </w:p>
        </w:tc>
        <w:tc>
          <w:tcPr>
            <w:tcW w:w="461" w:type="pct"/>
            <w:vAlign w:val="center"/>
          </w:tcPr>
          <w:p w14:paraId="0EDDCDF2" w14:textId="0A5D04DA" w:rsidR="00177939" w:rsidRPr="00AC4CC4" w:rsidRDefault="00070C9A" w:rsidP="00177939">
            <w:pPr>
              <w:pStyle w:val="Tabletext"/>
              <w:jc w:val="center"/>
              <w:rPr>
                <w:highlight w:val="darkGray"/>
              </w:rPr>
            </w:pPr>
            <w:r w:rsidRPr="00070C9A">
              <w:rPr>
                <w:rFonts w:hint="eastAsia"/>
                <w:color w:val="000000"/>
                <w:w w:val="26"/>
                <w:shd w:val="solid" w:color="000000" w:fill="000000"/>
                <w:fitText w:val="118" w:id="-723258110"/>
                <w14:textFill>
                  <w14:solidFill>
                    <w14:srgbClr w14:val="000000">
                      <w14:alpha w14:val="100000"/>
                    </w14:srgbClr>
                  </w14:solidFill>
                </w14:textFill>
              </w:rPr>
              <w:t xml:space="preserve">　</w:t>
            </w:r>
            <w:r w:rsidRPr="00070C9A">
              <w:rPr>
                <w:color w:val="000000"/>
                <w:w w:val="26"/>
                <w:shd w:val="solid" w:color="000000" w:fill="000000"/>
                <w:fitText w:val="118" w:id="-723258110"/>
                <w14:textFill>
                  <w14:solidFill>
                    <w14:srgbClr w14:val="000000">
                      <w14:alpha w14:val="100000"/>
                    </w14:srgbClr>
                  </w14:solidFill>
                </w14:textFill>
              </w:rPr>
              <w:t>|</w:t>
            </w:r>
            <w:r w:rsidRPr="00070C9A">
              <w:rPr>
                <w:rFonts w:hint="eastAsia"/>
                <w:color w:val="000000"/>
                <w:spacing w:val="10"/>
                <w:w w:val="26"/>
                <w:shd w:val="solid" w:color="000000" w:fill="000000"/>
                <w:fitText w:val="118" w:id="-723258110"/>
                <w14:textFill>
                  <w14:solidFill>
                    <w14:srgbClr w14:val="000000">
                      <w14:alpha w14:val="100000"/>
                    </w14:srgbClr>
                  </w14:solidFill>
                </w14:textFill>
              </w:rPr>
              <w:t xml:space="preserve">　</w:t>
            </w:r>
            <w:r w:rsidR="00177939" w:rsidRPr="00A27FA9">
              <w:t xml:space="preserve"> </w:t>
            </w:r>
          </w:p>
        </w:tc>
      </w:tr>
      <w:tr w:rsidR="006B3947" w:rsidRPr="00310498" w14:paraId="0A5640A5" w14:textId="77777777" w:rsidTr="00864EAF">
        <w:tc>
          <w:tcPr>
            <w:tcW w:w="2826" w:type="pct"/>
            <w:shd w:val="clear" w:color="auto" w:fill="auto"/>
            <w:vAlign w:val="center"/>
          </w:tcPr>
          <w:p w14:paraId="20A5879D" w14:textId="5291DAA2" w:rsidR="00A27FA9" w:rsidRPr="00A27FA9" w:rsidRDefault="006D56ED" w:rsidP="006B3947">
            <w:pPr>
              <w:pStyle w:val="Tabletext"/>
              <w:keepNext/>
              <w:keepLines/>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p w14:paraId="50A30882" w14:textId="08C9C85D" w:rsidR="00A27FA9" w:rsidRPr="00A27FA9" w:rsidRDefault="00177939" w:rsidP="006B3947">
            <w:pPr>
              <w:pStyle w:val="Tabletext"/>
              <w:keepNext/>
              <w:keepLines/>
              <w:rPr>
                <w:vertAlign w:val="subscript"/>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00A27FA9" w:rsidRPr="00A27FA9">
              <w:t xml:space="preserve"> </w:t>
            </w:r>
          </w:p>
          <w:p w14:paraId="0BC81F69" w14:textId="58028311" w:rsidR="006B3947" w:rsidRPr="00AC4CC4" w:rsidRDefault="00177939" w:rsidP="006B3947">
            <w:pPr>
              <w:pStyle w:val="Tabletext"/>
              <w:keepNext/>
              <w:keepLines/>
              <w:rPr>
                <w:highlight w:val="darkGray"/>
                <w:vertAlign w:val="superscript"/>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p>
        </w:tc>
        <w:tc>
          <w:tcPr>
            <w:tcW w:w="592" w:type="pct"/>
            <w:shd w:val="solid" w:color="000000" w:fill="000000"/>
            <w:vAlign w:val="center"/>
          </w:tcPr>
          <w:p w14:paraId="1769BD6A" w14:textId="1DBF240B" w:rsidR="006B3947" w:rsidRPr="00AC4CC4" w:rsidRDefault="00070C9A" w:rsidP="0074502E">
            <w:pPr>
              <w:pStyle w:val="Tabletext"/>
              <w:keepNext/>
              <w:keepLines/>
              <w:jc w:val="center"/>
              <w:rPr>
                <w:highlight w:val="darkGray"/>
              </w:rPr>
            </w:pPr>
            <w:r w:rsidRPr="00070C9A">
              <w:rPr>
                <w:color w:val="000000"/>
                <w:spacing w:val="21"/>
                <w:w w:val="27"/>
                <w14:textFill>
                  <w14:solidFill>
                    <w14:srgbClr w14:val="000000">
                      <w14:alpha w14:val="100000"/>
                    </w14:srgbClr>
                  </w14:solidFill>
                </w14:textFill>
              </w:rPr>
              <w:t>|</w:t>
            </w:r>
          </w:p>
        </w:tc>
        <w:tc>
          <w:tcPr>
            <w:tcW w:w="527" w:type="pct"/>
            <w:vAlign w:val="center"/>
          </w:tcPr>
          <w:p w14:paraId="4E943CCF" w14:textId="279AAFAB" w:rsidR="006B3947" w:rsidRPr="00AC4CC4" w:rsidRDefault="00177939" w:rsidP="0074502E">
            <w:pPr>
              <w:pStyle w:val="Tabletext"/>
              <w:keepNext/>
              <w:keepLines/>
              <w:jc w:val="center"/>
              <w:rPr>
                <w:highlight w:val="darkGray"/>
              </w:rPr>
            </w:pPr>
            <w:r w:rsidRPr="7EE24840">
              <w:rPr>
                <w:color w:val="000000" w:themeColor="text1"/>
              </w:rPr>
              <w:t>|</w:t>
            </w:r>
          </w:p>
        </w:tc>
        <w:tc>
          <w:tcPr>
            <w:tcW w:w="594" w:type="pct"/>
            <w:shd w:val="clear" w:color="auto" w:fill="auto"/>
            <w:vAlign w:val="center"/>
          </w:tcPr>
          <w:p w14:paraId="27EDBEF9" w14:textId="01E70A00" w:rsidR="006B3947" w:rsidRPr="00AC4CC4" w:rsidRDefault="00070C9A" w:rsidP="0074502E">
            <w:pPr>
              <w:pStyle w:val="Tabletext"/>
              <w:keepNext/>
              <w:keepLines/>
              <w:jc w:val="center"/>
              <w:rPr>
                <w:highlight w:val="darkGray"/>
              </w:rPr>
            </w:pPr>
            <w:r w:rsidRPr="00070C9A">
              <w:rPr>
                <w:color w:val="000000"/>
                <w:w w:val="31"/>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461" w:type="pct"/>
            <w:vAlign w:val="center"/>
          </w:tcPr>
          <w:p w14:paraId="66C40DE7" w14:textId="45FB7AB0" w:rsidR="006B3947" w:rsidRPr="00AC4CC4" w:rsidRDefault="00070C9A" w:rsidP="0074502E">
            <w:pPr>
              <w:pStyle w:val="Tabletext"/>
              <w:keepNext/>
              <w:keepLines/>
              <w:jc w:val="center"/>
              <w:rPr>
                <w:highlight w:val="darkGray"/>
              </w:rPr>
            </w:pPr>
            <w:r w:rsidRPr="00070C9A">
              <w:rPr>
                <w:rFonts w:hint="eastAsia"/>
                <w:color w:val="000000"/>
                <w:w w:val="26"/>
                <w:shd w:val="solid" w:color="000000" w:fill="000000"/>
                <w:fitText w:val="118" w:id="-723258109"/>
                <w14:textFill>
                  <w14:solidFill>
                    <w14:srgbClr w14:val="000000">
                      <w14:alpha w14:val="100000"/>
                    </w14:srgbClr>
                  </w14:solidFill>
                </w14:textFill>
              </w:rPr>
              <w:t xml:space="preserve">　</w:t>
            </w:r>
            <w:r w:rsidRPr="00070C9A">
              <w:rPr>
                <w:color w:val="000000"/>
                <w:w w:val="26"/>
                <w:shd w:val="solid" w:color="000000" w:fill="000000"/>
                <w:fitText w:val="118" w:id="-723258109"/>
                <w14:textFill>
                  <w14:solidFill>
                    <w14:srgbClr w14:val="000000">
                      <w14:alpha w14:val="100000"/>
                    </w14:srgbClr>
                  </w14:solidFill>
                </w14:textFill>
              </w:rPr>
              <w:t>|</w:t>
            </w:r>
            <w:r w:rsidRPr="00070C9A">
              <w:rPr>
                <w:rFonts w:hint="eastAsia"/>
                <w:color w:val="000000"/>
                <w:spacing w:val="10"/>
                <w:w w:val="26"/>
                <w:shd w:val="solid" w:color="000000" w:fill="000000"/>
                <w:fitText w:val="118" w:id="-723258109"/>
                <w14:textFill>
                  <w14:solidFill>
                    <w14:srgbClr w14:val="000000">
                      <w14:alpha w14:val="100000"/>
                    </w14:srgbClr>
                  </w14:solidFill>
                </w14:textFill>
              </w:rPr>
              <w:t xml:space="preserve">　</w:t>
            </w:r>
            <w:r w:rsidR="00A27FA9" w:rsidRPr="00A27FA9">
              <w:t xml:space="preserve"> </w:t>
            </w:r>
          </w:p>
        </w:tc>
      </w:tr>
    </w:tbl>
    <w:bookmarkEnd w:id="81"/>
    <w:p w14:paraId="05D5D622" w14:textId="2D09F697" w:rsidR="00A27FA9" w:rsidRPr="00A27FA9" w:rsidRDefault="00DF682B"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r>
        <w:t xml:space="preserve"> </w:t>
      </w:r>
    </w:p>
    <w:p w14:paraId="7529FF48" w14:textId="62E22639" w:rsidR="00A27FA9" w:rsidRPr="00A27FA9" w:rsidRDefault="00DF682B" w:rsidP="00D17A65">
      <w:pPr>
        <w:pStyle w:val="TableFigureFooter"/>
      </w:pPr>
      <w:r w:rsidRPr="7EE24840">
        <w:rPr>
          <w:color w:val="000000" w:themeColor="text1"/>
        </w:rPr>
        <w:lastRenderedPageBreak/>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p>
    <w:p w14:paraId="467D1672" w14:textId="0D7D997F" w:rsidR="00A27FA9" w:rsidRPr="00A27FA9" w:rsidRDefault="008D4CA4"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00A27FA9" w:rsidRPr="00A27FA9">
        <w:t xml:space="preserve"> </w:t>
      </w:r>
    </w:p>
    <w:p w14:paraId="4798D8E0" w14:textId="25109FB6" w:rsidR="00A27FA9" w:rsidRPr="00A27FA9" w:rsidRDefault="008D4CA4"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00A27FA9" w:rsidRPr="00A27FA9">
        <w:t xml:space="preserve"> </w:t>
      </w:r>
    </w:p>
    <w:p w14:paraId="72EF18BD" w14:textId="4DF561D5" w:rsidR="001318EE" w:rsidRPr="00AD7CED" w:rsidRDefault="006A6471" w:rsidP="00D17A65">
      <w:pPr>
        <w:pStyle w:val="TableFigureFooter"/>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p>
    <w:p w14:paraId="6A6F41AA" w14:textId="45CEDA2E" w:rsidR="00A27FA9" w:rsidRPr="00A27FA9" w:rsidRDefault="006A6471" w:rsidP="00D17A65">
      <w:pPr>
        <w:pStyle w:val="TableFigureFooter"/>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p>
    <w:p w14:paraId="22EE659D" w14:textId="0961DF7B" w:rsidR="00A27FA9" w:rsidRPr="00A27FA9" w:rsidRDefault="006A6471" w:rsidP="00D17A65">
      <w:pPr>
        <w:pStyle w:val="TableFigureFooter"/>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p>
    <w:p w14:paraId="798F7A30" w14:textId="1359D98C" w:rsidR="00A27FA9" w:rsidRPr="00A27FA9" w:rsidRDefault="006A6471" w:rsidP="00D17A65">
      <w:pPr>
        <w:pStyle w:val="TableFigureFooter"/>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p>
    <w:p w14:paraId="6B9DF819" w14:textId="63747137" w:rsidR="00A27FA9" w:rsidRPr="00A27FA9" w:rsidRDefault="006A6471" w:rsidP="00D17A65">
      <w:pPr>
        <w:pStyle w:val="TableFigureFooter"/>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p>
    <w:p w14:paraId="3DD683A4" w14:textId="725E03D6" w:rsidR="00A27FA9" w:rsidRPr="00A27FA9" w:rsidRDefault="006A6471" w:rsidP="00D17A65">
      <w:pPr>
        <w:pStyle w:val="TableFigureFooter"/>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p>
    <w:p w14:paraId="41DEC148" w14:textId="18074CBD" w:rsidR="00485DF5" w:rsidRPr="00AD7CED" w:rsidRDefault="006A6471" w:rsidP="00D17A65">
      <w:pPr>
        <w:pStyle w:val="TableFigureFooter"/>
        <w:rPr>
          <w:i/>
          <w:iCs/>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rPr>
          <w:color w:val="000000" w:themeColor="text1"/>
        </w:rPr>
        <w:t xml:space="preserve"> </w:t>
      </w:r>
      <w:r w:rsidRPr="7EE24840">
        <w:rPr>
          <w:color w:val="000000" w:themeColor="text1"/>
        </w:rPr>
        <w:t>|</w:t>
      </w:r>
    </w:p>
    <w:p w14:paraId="358B2A5D" w14:textId="77777777" w:rsidR="00485DF5" w:rsidRPr="00A0075B" w:rsidRDefault="00485DF5" w:rsidP="00AD7CED">
      <w:pPr>
        <w:pStyle w:val="4-SubsectionHeading"/>
        <w:rPr>
          <w:iCs/>
        </w:rPr>
      </w:pPr>
      <w:bookmarkStart w:id="82" w:name="_Toc174923390"/>
      <w:bookmarkStart w:id="83" w:name="_Toc176785113"/>
      <w:r w:rsidRPr="00A0075B">
        <w:rPr>
          <w:iCs/>
        </w:rPr>
        <w:t>Durvalumab cost/patient/course</w:t>
      </w:r>
      <w:bookmarkEnd w:id="82"/>
      <w:bookmarkEnd w:id="83"/>
    </w:p>
    <w:p w14:paraId="7A979DFB" w14:textId="77777777" w:rsidR="00744926" w:rsidRPr="00A0075B" w:rsidRDefault="00744926" w:rsidP="00AD7CED">
      <w:pPr>
        <w:pStyle w:val="3-BodyText"/>
        <w:keepNext/>
        <w:numPr>
          <w:ilvl w:val="0"/>
          <w:numId w:val="0"/>
        </w:numPr>
        <w:outlineLvl w:val="2"/>
        <w:rPr>
          <w:u w:val="single"/>
        </w:rPr>
      </w:pPr>
      <w:r w:rsidRPr="00A0075B">
        <w:rPr>
          <w:u w:val="single"/>
        </w:rPr>
        <w:t>dMMR population</w:t>
      </w:r>
    </w:p>
    <w:p w14:paraId="52F69354" w14:textId="1545EC5C" w:rsidR="00744926" w:rsidRPr="00310498" w:rsidRDefault="00744926" w:rsidP="00744926">
      <w:pPr>
        <w:pStyle w:val="3-BodyText"/>
      </w:pPr>
      <w:r w:rsidRPr="00310498">
        <w:fldChar w:fldCharType="begin" w:fldLock="1"/>
      </w:r>
      <w:r w:rsidRPr="00310498">
        <w:instrText xml:space="preserve"> REF _Ref174911796 \h  \* MERGEFORMAT </w:instrText>
      </w:r>
      <w:r w:rsidRPr="00310498">
        <w:fldChar w:fldCharType="separate"/>
      </w:r>
      <w:r w:rsidR="002C52D8" w:rsidRPr="00310498">
        <w:t xml:space="preserve">Table </w:t>
      </w:r>
      <w:r w:rsidR="002C52D8">
        <w:rPr>
          <w:noProof/>
        </w:rPr>
        <w:t>26</w:t>
      </w:r>
      <w:r w:rsidRPr="00310498">
        <w:fldChar w:fldCharType="end"/>
      </w:r>
      <w:r w:rsidRPr="00310498">
        <w:t xml:space="preserve"> shows the doses of durvalumab used in DUO-E in dMMR A/R EC patients, the CMA and the financial estimates presented in the submission and the resulting drug cost per patient for a course of durvalumab for the treatment of dMMR EC. The durations of treatment for durvalumab and olaparib were not consistent between the trial, the CMA and the financial estimates. Differences were due to different assumptions around duration of initiation and treatment between the trial, model and the financial estimates (see paragraph </w:t>
      </w:r>
      <w:r w:rsidRPr="00310498">
        <w:fldChar w:fldCharType="begin" w:fldLock="1"/>
      </w:r>
      <w:r w:rsidRPr="00310498">
        <w:instrText xml:space="preserve"> REF _Ref174994670 \r \h  \* MERGEFORMAT </w:instrText>
      </w:r>
      <w:r w:rsidRPr="00310498">
        <w:fldChar w:fldCharType="separate"/>
      </w:r>
      <w:r w:rsidR="00A0075B">
        <w:t>6.92</w:t>
      </w:r>
      <w:r w:rsidRPr="00310498">
        <w:fldChar w:fldCharType="end"/>
      </w:r>
      <w:r w:rsidRPr="00310498">
        <w:t>)</w:t>
      </w:r>
      <w:r>
        <w:t xml:space="preserve">. The PSCR provided revised financial estimates in which the number of doses per patient was more consistent with the CMA. </w:t>
      </w:r>
    </w:p>
    <w:p w14:paraId="587EE344" w14:textId="02609324" w:rsidR="00744926" w:rsidRPr="00310498" w:rsidRDefault="00744926" w:rsidP="00744926">
      <w:pPr>
        <w:pStyle w:val="Caption"/>
        <w:rPr>
          <w:rStyle w:val="CommentReference"/>
          <w:b/>
          <w:szCs w:val="24"/>
        </w:rPr>
      </w:pPr>
      <w:bookmarkStart w:id="84" w:name="_Ref174911796"/>
      <w:r w:rsidRPr="00310498">
        <w:t xml:space="preserve">Table </w:t>
      </w:r>
      <w:r w:rsidRPr="00310498">
        <w:fldChar w:fldCharType="begin" w:fldLock="1"/>
      </w:r>
      <w:r w:rsidRPr="00310498">
        <w:instrText xml:space="preserve"> SEQ Table \* ARABIC </w:instrText>
      </w:r>
      <w:r w:rsidRPr="00310498">
        <w:fldChar w:fldCharType="separate"/>
      </w:r>
      <w:r w:rsidR="002C52D8">
        <w:rPr>
          <w:noProof/>
        </w:rPr>
        <w:t>26</w:t>
      </w:r>
      <w:r w:rsidRPr="00310498">
        <w:rPr>
          <w:noProof/>
        </w:rPr>
        <w:fldChar w:fldCharType="end"/>
      </w:r>
      <w:bookmarkEnd w:id="84"/>
      <w:r w:rsidRPr="00310498">
        <w:t>:</w:t>
      </w:r>
      <w:r w:rsidRPr="00310498">
        <w:tab/>
      </w:r>
      <w:r w:rsidRPr="00310498">
        <w:rPr>
          <w:rStyle w:val="CommentReference"/>
          <w:b/>
          <w:szCs w:val="24"/>
        </w:rPr>
        <w:t>Drug cost per patient for durvalumab treatment for dMMR EC (as per submission proposed price)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4"/>
        <w:gridCol w:w="1987"/>
        <w:gridCol w:w="1417"/>
        <w:gridCol w:w="1672"/>
      </w:tblGrid>
      <w:tr w:rsidR="00744926" w:rsidRPr="00310498" w14:paraId="634DB686" w14:textId="77777777" w:rsidTr="00022017">
        <w:trPr>
          <w:cantSplit/>
          <w:tblHeader/>
          <w:jc w:val="center"/>
        </w:trPr>
        <w:tc>
          <w:tcPr>
            <w:tcW w:w="2192" w:type="pct"/>
            <w:shd w:val="clear" w:color="auto" w:fill="auto"/>
            <w:vAlign w:val="center"/>
          </w:tcPr>
          <w:p w14:paraId="16E19B2C" w14:textId="77777777" w:rsidR="00744926" w:rsidRPr="00310498" w:rsidRDefault="00744926" w:rsidP="00022017">
            <w:pPr>
              <w:pStyle w:val="In-tableHeading"/>
              <w:rPr>
                <w:lang w:val="en-AU"/>
              </w:rPr>
            </w:pPr>
          </w:p>
        </w:tc>
        <w:tc>
          <w:tcPr>
            <w:tcW w:w="1099" w:type="pct"/>
            <w:shd w:val="clear" w:color="auto" w:fill="auto"/>
            <w:vAlign w:val="center"/>
          </w:tcPr>
          <w:p w14:paraId="680A96F0" w14:textId="77777777" w:rsidR="00744926" w:rsidRPr="00310498" w:rsidRDefault="00744926" w:rsidP="00022017">
            <w:pPr>
              <w:pStyle w:val="In-tableHeading"/>
              <w:jc w:val="center"/>
              <w:rPr>
                <w:lang w:val="en-AU"/>
              </w:rPr>
            </w:pPr>
            <w:r w:rsidRPr="00310498">
              <w:rPr>
                <w:lang w:val="en-AU"/>
              </w:rPr>
              <w:t>Trial dose and duration</w:t>
            </w:r>
          </w:p>
        </w:tc>
        <w:tc>
          <w:tcPr>
            <w:tcW w:w="784" w:type="pct"/>
            <w:shd w:val="clear" w:color="auto" w:fill="auto"/>
            <w:vAlign w:val="center"/>
          </w:tcPr>
          <w:p w14:paraId="794D589D" w14:textId="77777777" w:rsidR="00744926" w:rsidRPr="00310498" w:rsidRDefault="00744926" w:rsidP="00022017">
            <w:pPr>
              <w:pStyle w:val="In-tableHeading"/>
              <w:jc w:val="center"/>
              <w:rPr>
                <w:lang w:val="en-AU"/>
              </w:rPr>
            </w:pPr>
            <w:r w:rsidRPr="00310498">
              <w:rPr>
                <w:lang w:val="en-AU"/>
              </w:rPr>
              <w:t>CMA</w:t>
            </w:r>
          </w:p>
        </w:tc>
        <w:tc>
          <w:tcPr>
            <w:tcW w:w="925" w:type="pct"/>
            <w:shd w:val="clear" w:color="auto" w:fill="auto"/>
            <w:vAlign w:val="center"/>
          </w:tcPr>
          <w:p w14:paraId="274D80AA" w14:textId="77777777" w:rsidR="00744926" w:rsidRPr="00310498" w:rsidRDefault="00744926" w:rsidP="00022017">
            <w:pPr>
              <w:pStyle w:val="In-tableHeading"/>
              <w:jc w:val="center"/>
              <w:rPr>
                <w:lang w:val="en-AU"/>
              </w:rPr>
            </w:pPr>
            <w:r w:rsidRPr="00310498">
              <w:rPr>
                <w:lang w:val="en-AU"/>
              </w:rPr>
              <w:t>Financial estimates</w:t>
            </w:r>
          </w:p>
        </w:tc>
      </w:tr>
      <w:tr w:rsidR="00744926" w:rsidRPr="00310498" w14:paraId="63CDCDF3" w14:textId="77777777" w:rsidTr="00022017">
        <w:trPr>
          <w:cantSplit/>
          <w:jc w:val="center"/>
        </w:trPr>
        <w:tc>
          <w:tcPr>
            <w:tcW w:w="2192" w:type="pct"/>
            <w:shd w:val="clear" w:color="auto" w:fill="auto"/>
            <w:vAlign w:val="center"/>
          </w:tcPr>
          <w:p w14:paraId="3760186F" w14:textId="77777777" w:rsidR="00744926" w:rsidRPr="00310498" w:rsidRDefault="00744926" w:rsidP="00022017">
            <w:pPr>
              <w:pStyle w:val="Tabletext"/>
            </w:pPr>
            <w:r w:rsidRPr="00310498">
              <w:t xml:space="preserve">Durvalumab, mean number of initiation doses </w:t>
            </w:r>
          </w:p>
        </w:tc>
        <w:tc>
          <w:tcPr>
            <w:tcW w:w="1099" w:type="pct"/>
            <w:shd w:val="clear" w:color="auto" w:fill="auto"/>
            <w:vAlign w:val="center"/>
          </w:tcPr>
          <w:p w14:paraId="7C96276C" w14:textId="77777777" w:rsidR="00744926" w:rsidRPr="00310498" w:rsidRDefault="00744926" w:rsidP="00022017">
            <w:pPr>
              <w:pStyle w:val="Tabletext"/>
              <w:jc w:val="center"/>
              <w:rPr>
                <w:vertAlign w:val="superscript"/>
              </w:rPr>
            </w:pPr>
            <w:r w:rsidRPr="00310498">
              <w:t xml:space="preserve">5.8 </w:t>
            </w:r>
            <w:r w:rsidRPr="00310498">
              <w:rPr>
                <w:vertAlign w:val="superscript"/>
              </w:rPr>
              <w:t>a</w:t>
            </w:r>
          </w:p>
        </w:tc>
        <w:tc>
          <w:tcPr>
            <w:tcW w:w="784" w:type="pct"/>
            <w:shd w:val="clear" w:color="auto" w:fill="auto"/>
            <w:vAlign w:val="center"/>
          </w:tcPr>
          <w:p w14:paraId="277356EB" w14:textId="77777777" w:rsidR="00744926" w:rsidRPr="00310498" w:rsidRDefault="00744926" w:rsidP="00022017">
            <w:pPr>
              <w:pStyle w:val="Tabletext"/>
              <w:jc w:val="center"/>
              <w:rPr>
                <w:vertAlign w:val="superscript"/>
              </w:rPr>
            </w:pPr>
            <w:r w:rsidRPr="00310498">
              <w:t xml:space="preserve">5.1 </w:t>
            </w:r>
            <w:r w:rsidRPr="00310498">
              <w:rPr>
                <w:vertAlign w:val="superscript"/>
              </w:rPr>
              <w:t>f</w:t>
            </w:r>
          </w:p>
        </w:tc>
        <w:tc>
          <w:tcPr>
            <w:tcW w:w="925" w:type="pct"/>
            <w:shd w:val="clear" w:color="auto" w:fill="auto"/>
            <w:vAlign w:val="center"/>
          </w:tcPr>
          <w:p w14:paraId="0EDA3271" w14:textId="77777777" w:rsidR="00744926" w:rsidRPr="00310498" w:rsidRDefault="00744926" w:rsidP="00022017">
            <w:pPr>
              <w:pStyle w:val="Tabletext"/>
              <w:jc w:val="center"/>
            </w:pPr>
            <w:r w:rsidRPr="00310498">
              <w:t xml:space="preserve">7.2 </w:t>
            </w:r>
            <w:r w:rsidRPr="00310498">
              <w:rPr>
                <w:vertAlign w:val="superscript"/>
              </w:rPr>
              <w:t>c</w:t>
            </w:r>
          </w:p>
        </w:tc>
      </w:tr>
      <w:tr w:rsidR="00744926" w:rsidRPr="00310498" w14:paraId="0F6E6936" w14:textId="77777777" w:rsidTr="00022017">
        <w:trPr>
          <w:cantSplit/>
          <w:jc w:val="center"/>
        </w:trPr>
        <w:tc>
          <w:tcPr>
            <w:tcW w:w="2192" w:type="pct"/>
            <w:shd w:val="clear" w:color="auto" w:fill="auto"/>
            <w:vAlign w:val="center"/>
          </w:tcPr>
          <w:p w14:paraId="6962C641" w14:textId="77777777" w:rsidR="00744926" w:rsidRPr="00310498" w:rsidRDefault="00744926" w:rsidP="00022017">
            <w:pPr>
              <w:pStyle w:val="Tabletext"/>
            </w:pPr>
            <w:r w:rsidRPr="00310498">
              <w:t xml:space="preserve">Durvalumab, mean initiation actual exposure </w:t>
            </w:r>
          </w:p>
        </w:tc>
        <w:tc>
          <w:tcPr>
            <w:tcW w:w="1099" w:type="pct"/>
            <w:shd w:val="clear" w:color="auto" w:fill="auto"/>
            <w:vAlign w:val="center"/>
          </w:tcPr>
          <w:p w14:paraId="0D5CA9CC" w14:textId="77777777" w:rsidR="00744926" w:rsidRPr="00310498" w:rsidRDefault="00744926" w:rsidP="00022017">
            <w:pPr>
              <w:pStyle w:val="Tabletext"/>
              <w:jc w:val="center"/>
              <w:rPr>
                <w:vertAlign w:val="superscript"/>
              </w:rPr>
            </w:pPr>
            <w:r w:rsidRPr="00310498">
              <w:t xml:space="preserve">17.4 weeks </w:t>
            </w:r>
            <w:r w:rsidRPr="00310498">
              <w:rPr>
                <w:vertAlign w:val="superscript"/>
              </w:rPr>
              <w:t>b</w:t>
            </w:r>
          </w:p>
        </w:tc>
        <w:tc>
          <w:tcPr>
            <w:tcW w:w="784" w:type="pct"/>
            <w:shd w:val="clear" w:color="auto" w:fill="auto"/>
            <w:vAlign w:val="center"/>
          </w:tcPr>
          <w:p w14:paraId="36EAA617" w14:textId="77777777" w:rsidR="00744926" w:rsidRPr="00310498" w:rsidRDefault="00744926" w:rsidP="00022017">
            <w:pPr>
              <w:pStyle w:val="Tabletext"/>
              <w:jc w:val="center"/>
            </w:pPr>
            <w:r w:rsidRPr="00310498">
              <w:t xml:space="preserve">15.3 weeks </w:t>
            </w:r>
            <w:r w:rsidRPr="00310498">
              <w:rPr>
                <w:vertAlign w:val="superscript"/>
              </w:rPr>
              <w:t>b</w:t>
            </w:r>
          </w:p>
        </w:tc>
        <w:tc>
          <w:tcPr>
            <w:tcW w:w="925" w:type="pct"/>
            <w:shd w:val="clear" w:color="auto" w:fill="auto"/>
            <w:vAlign w:val="center"/>
          </w:tcPr>
          <w:p w14:paraId="62F295EC" w14:textId="77777777" w:rsidR="00744926" w:rsidRPr="00310498" w:rsidRDefault="00744926" w:rsidP="00022017">
            <w:pPr>
              <w:pStyle w:val="Tabletext"/>
              <w:jc w:val="center"/>
              <w:rPr>
                <w:vertAlign w:val="superscript"/>
              </w:rPr>
            </w:pPr>
            <w:r w:rsidRPr="00310498">
              <w:t>5 months</w:t>
            </w:r>
            <w:r w:rsidRPr="00310498">
              <w:rPr>
                <w:vertAlign w:val="superscript"/>
              </w:rPr>
              <w:t xml:space="preserve"> g</w:t>
            </w:r>
          </w:p>
        </w:tc>
      </w:tr>
      <w:tr w:rsidR="00744926" w:rsidRPr="00310498" w14:paraId="7F27F9D3" w14:textId="77777777" w:rsidTr="00022017">
        <w:trPr>
          <w:cantSplit/>
          <w:jc w:val="center"/>
        </w:trPr>
        <w:tc>
          <w:tcPr>
            <w:tcW w:w="2192" w:type="pct"/>
            <w:shd w:val="clear" w:color="auto" w:fill="auto"/>
            <w:vAlign w:val="center"/>
          </w:tcPr>
          <w:p w14:paraId="19C6F45E" w14:textId="77777777" w:rsidR="00744926" w:rsidRPr="00310498" w:rsidRDefault="00744926" w:rsidP="00022017">
            <w:pPr>
              <w:pStyle w:val="Tabletext"/>
            </w:pPr>
            <w:r w:rsidRPr="00310498">
              <w:rPr>
                <w:color w:val="000000"/>
                <w:szCs w:val="20"/>
              </w:rPr>
              <w:t>Cost/patient, durvalumab initiation</w:t>
            </w:r>
            <w:r w:rsidRPr="00310498">
              <w:t xml:space="preserve"> </w:t>
            </w:r>
            <w:r w:rsidRPr="00310498">
              <w:rPr>
                <w:vertAlign w:val="superscript"/>
              </w:rPr>
              <w:t>e</w:t>
            </w:r>
          </w:p>
        </w:tc>
        <w:tc>
          <w:tcPr>
            <w:tcW w:w="1099" w:type="pct"/>
            <w:shd w:val="clear" w:color="auto" w:fill="auto"/>
            <w:vAlign w:val="center"/>
          </w:tcPr>
          <w:p w14:paraId="00997306" w14:textId="62F194B1" w:rsidR="00744926" w:rsidRPr="00310498" w:rsidRDefault="00744926" w:rsidP="00022017">
            <w:pPr>
              <w:pStyle w:val="Tabletext"/>
              <w:jc w:val="center"/>
            </w:pPr>
            <w:r w:rsidRPr="00310498">
              <w:rPr>
                <w:color w:val="000000"/>
                <w:szCs w:val="20"/>
              </w:rPr>
              <w:t>$</w:t>
            </w:r>
            <w:r w:rsidR="00864EAF" w:rsidRPr="00864EAF">
              <w:rPr>
                <w:color w:val="000000"/>
                <w:szCs w:val="20"/>
                <w:shd w:val="solid" w:color="000000" w:fill="000000"/>
                <w14:textFill>
                  <w14:solidFill>
                    <w14:srgbClr w14:val="000000">
                      <w14:alpha w14:val="100000"/>
                    </w14:srgbClr>
                  </w14:solidFill>
                </w14:textFill>
              </w:rPr>
              <w:t>|</w:t>
            </w:r>
          </w:p>
        </w:tc>
        <w:tc>
          <w:tcPr>
            <w:tcW w:w="784" w:type="pct"/>
            <w:shd w:val="clear" w:color="auto" w:fill="auto"/>
            <w:vAlign w:val="center"/>
          </w:tcPr>
          <w:p w14:paraId="19DE5B7D" w14:textId="64CED3EF" w:rsidR="00744926" w:rsidRPr="00310498" w:rsidRDefault="00744926" w:rsidP="00022017">
            <w:pPr>
              <w:pStyle w:val="Tabletext"/>
              <w:jc w:val="center"/>
            </w:pPr>
            <w:r w:rsidRPr="00310498">
              <w:rPr>
                <w:color w:val="000000"/>
                <w:szCs w:val="20"/>
              </w:rPr>
              <w:t>$</w:t>
            </w:r>
            <w:r w:rsidR="00864EAF" w:rsidRPr="00864EAF">
              <w:rPr>
                <w:color w:val="000000"/>
                <w:szCs w:val="20"/>
                <w:shd w:val="solid" w:color="000000" w:fill="000000"/>
                <w14:textFill>
                  <w14:solidFill>
                    <w14:srgbClr w14:val="000000">
                      <w14:alpha w14:val="100000"/>
                    </w14:srgbClr>
                  </w14:solidFill>
                </w14:textFill>
              </w:rPr>
              <w:t>|</w:t>
            </w:r>
          </w:p>
        </w:tc>
        <w:tc>
          <w:tcPr>
            <w:tcW w:w="925" w:type="pct"/>
            <w:shd w:val="clear" w:color="auto" w:fill="auto"/>
            <w:vAlign w:val="center"/>
          </w:tcPr>
          <w:p w14:paraId="026887A2" w14:textId="512B4204" w:rsidR="00744926" w:rsidRPr="00310498" w:rsidRDefault="00744926" w:rsidP="00022017">
            <w:pPr>
              <w:pStyle w:val="Tabletext"/>
              <w:jc w:val="center"/>
            </w:pPr>
            <w:r w:rsidRPr="00310498">
              <w:rPr>
                <w:color w:val="000000"/>
                <w:szCs w:val="20"/>
              </w:rPr>
              <w:t>$</w:t>
            </w:r>
            <w:r w:rsidR="00864EAF" w:rsidRPr="00864EAF">
              <w:rPr>
                <w:color w:val="000000"/>
                <w:szCs w:val="20"/>
                <w:shd w:val="solid" w:color="000000" w:fill="000000"/>
                <w14:textFill>
                  <w14:solidFill>
                    <w14:srgbClr w14:val="000000">
                      <w14:alpha w14:val="100000"/>
                    </w14:srgbClr>
                  </w14:solidFill>
                </w14:textFill>
              </w:rPr>
              <w:t>|</w:t>
            </w:r>
          </w:p>
        </w:tc>
      </w:tr>
      <w:tr w:rsidR="00744926" w:rsidRPr="00310498" w14:paraId="3943CBFC" w14:textId="77777777" w:rsidTr="00022017">
        <w:trPr>
          <w:cantSplit/>
          <w:jc w:val="center"/>
        </w:trPr>
        <w:tc>
          <w:tcPr>
            <w:tcW w:w="2192" w:type="pct"/>
            <w:shd w:val="clear" w:color="auto" w:fill="auto"/>
            <w:vAlign w:val="center"/>
          </w:tcPr>
          <w:p w14:paraId="3BA7FD0B" w14:textId="77777777" w:rsidR="00744926" w:rsidRPr="00310498" w:rsidRDefault="00744926" w:rsidP="00022017">
            <w:pPr>
              <w:pStyle w:val="Tabletext"/>
            </w:pPr>
            <w:r w:rsidRPr="00310498">
              <w:t>Durvalumab, mean number of maintenance doses</w:t>
            </w:r>
          </w:p>
        </w:tc>
        <w:tc>
          <w:tcPr>
            <w:tcW w:w="1099" w:type="pct"/>
            <w:shd w:val="clear" w:color="auto" w:fill="auto"/>
            <w:vAlign w:val="center"/>
          </w:tcPr>
          <w:p w14:paraId="36A358A7" w14:textId="77777777" w:rsidR="00744926" w:rsidRPr="00310498" w:rsidRDefault="00744926" w:rsidP="00022017">
            <w:pPr>
              <w:pStyle w:val="Tabletext"/>
              <w:jc w:val="center"/>
              <w:rPr>
                <w:bCs/>
                <w:vertAlign w:val="superscript"/>
              </w:rPr>
            </w:pPr>
            <w:r w:rsidRPr="00310498">
              <w:t xml:space="preserve">8.3 </w:t>
            </w:r>
            <w:r w:rsidRPr="00310498">
              <w:rPr>
                <w:vertAlign w:val="superscript"/>
              </w:rPr>
              <w:t>c</w:t>
            </w:r>
          </w:p>
        </w:tc>
        <w:tc>
          <w:tcPr>
            <w:tcW w:w="784" w:type="pct"/>
            <w:shd w:val="clear" w:color="auto" w:fill="auto"/>
            <w:vAlign w:val="center"/>
          </w:tcPr>
          <w:p w14:paraId="338CC759" w14:textId="77777777" w:rsidR="00744926" w:rsidRPr="00310498" w:rsidRDefault="00744926" w:rsidP="00022017">
            <w:pPr>
              <w:pStyle w:val="Tabletext"/>
              <w:jc w:val="center"/>
              <w:rPr>
                <w:bCs/>
                <w:vertAlign w:val="superscript"/>
              </w:rPr>
            </w:pPr>
            <w:r w:rsidRPr="00310498">
              <w:t xml:space="preserve">18 </w:t>
            </w:r>
            <w:r w:rsidRPr="00310498">
              <w:rPr>
                <w:vertAlign w:val="superscript"/>
              </w:rPr>
              <w:t>f</w:t>
            </w:r>
          </w:p>
        </w:tc>
        <w:tc>
          <w:tcPr>
            <w:tcW w:w="925" w:type="pct"/>
            <w:shd w:val="clear" w:color="auto" w:fill="auto"/>
            <w:vAlign w:val="center"/>
          </w:tcPr>
          <w:p w14:paraId="3AC88284" w14:textId="77777777" w:rsidR="00744926" w:rsidRPr="00310498" w:rsidRDefault="00744926" w:rsidP="00022017">
            <w:pPr>
              <w:pStyle w:val="Tabletext"/>
              <w:jc w:val="center"/>
            </w:pPr>
            <w:r w:rsidRPr="00310498">
              <w:t xml:space="preserve">19.5 </w:t>
            </w:r>
            <w:r w:rsidRPr="00310498">
              <w:rPr>
                <w:vertAlign w:val="superscript"/>
              </w:rPr>
              <w:t>c</w:t>
            </w:r>
          </w:p>
        </w:tc>
      </w:tr>
      <w:tr w:rsidR="00744926" w:rsidRPr="00310498" w14:paraId="55D81268" w14:textId="77777777" w:rsidTr="00022017">
        <w:trPr>
          <w:cantSplit/>
          <w:jc w:val="center"/>
        </w:trPr>
        <w:tc>
          <w:tcPr>
            <w:tcW w:w="2192" w:type="pct"/>
            <w:shd w:val="clear" w:color="auto" w:fill="auto"/>
            <w:vAlign w:val="center"/>
          </w:tcPr>
          <w:p w14:paraId="78F547B4" w14:textId="77777777" w:rsidR="00744926" w:rsidRPr="00310498" w:rsidRDefault="00744926" w:rsidP="00022017">
            <w:pPr>
              <w:pStyle w:val="Tabletext"/>
            </w:pPr>
            <w:r w:rsidRPr="00310498">
              <w:t>Durvalumab, duration of maintenance treatment</w:t>
            </w:r>
          </w:p>
        </w:tc>
        <w:tc>
          <w:tcPr>
            <w:tcW w:w="1099" w:type="pct"/>
            <w:shd w:val="clear" w:color="auto" w:fill="auto"/>
            <w:vAlign w:val="center"/>
          </w:tcPr>
          <w:p w14:paraId="74CCB754" w14:textId="77777777" w:rsidR="00744926" w:rsidRPr="00310498" w:rsidRDefault="00744926" w:rsidP="00022017">
            <w:pPr>
              <w:pStyle w:val="Tabletext"/>
              <w:jc w:val="center"/>
            </w:pPr>
            <w:r w:rsidRPr="00310498">
              <w:t xml:space="preserve">33.0 weeks </w:t>
            </w:r>
            <w:r w:rsidRPr="00310498">
              <w:rPr>
                <w:vertAlign w:val="superscript"/>
              </w:rPr>
              <w:t>d</w:t>
            </w:r>
          </w:p>
        </w:tc>
        <w:tc>
          <w:tcPr>
            <w:tcW w:w="784" w:type="pct"/>
            <w:shd w:val="clear" w:color="auto" w:fill="auto"/>
            <w:vAlign w:val="center"/>
          </w:tcPr>
          <w:p w14:paraId="6CA203EE" w14:textId="77777777" w:rsidR="00744926" w:rsidRPr="00310498" w:rsidRDefault="00744926" w:rsidP="00022017">
            <w:pPr>
              <w:pStyle w:val="Tabletext"/>
              <w:jc w:val="center"/>
            </w:pPr>
            <w:r w:rsidRPr="00310498">
              <w:t xml:space="preserve">72 weeks </w:t>
            </w:r>
            <w:r w:rsidRPr="00310498">
              <w:rPr>
                <w:vertAlign w:val="superscript"/>
              </w:rPr>
              <w:t>b</w:t>
            </w:r>
          </w:p>
        </w:tc>
        <w:tc>
          <w:tcPr>
            <w:tcW w:w="925" w:type="pct"/>
            <w:shd w:val="clear" w:color="auto" w:fill="auto"/>
            <w:vAlign w:val="center"/>
          </w:tcPr>
          <w:p w14:paraId="1E7DA964" w14:textId="77777777" w:rsidR="00744926" w:rsidRPr="00310498" w:rsidRDefault="00744926" w:rsidP="00022017">
            <w:pPr>
              <w:pStyle w:val="Tabletext"/>
              <w:jc w:val="center"/>
            </w:pPr>
            <w:r w:rsidRPr="00310498">
              <w:t xml:space="preserve">18 months </w:t>
            </w:r>
            <w:r w:rsidRPr="00310498">
              <w:rPr>
                <w:vertAlign w:val="superscript"/>
              </w:rPr>
              <w:t>g</w:t>
            </w:r>
          </w:p>
        </w:tc>
      </w:tr>
      <w:tr w:rsidR="00744926" w:rsidRPr="00310498" w14:paraId="6AEA22B5" w14:textId="77777777" w:rsidTr="00022017">
        <w:trPr>
          <w:cantSplit/>
          <w:jc w:val="center"/>
        </w:trPr>
        <w:tc>
          <w:tcPr>
            <w:tcW w:w="2192" w:type="pct"/>
            <w:shd w:val="clear" w:color="auto" w:fill="auto"/>
            <w:vAlign w:val="center"/>
          </w:tcPr>
          <w:p w14:paraId="5D46F8A5" w14:textId="77777777" w:rsidR="00744926" w:rsidRPr="00310498" w:rsidRDefault="00744926" w:rsidP="00022017">
            <w:pPr>
              <w:pStyle w:val="Tabletext"/>
            </w:pPr>
            <w:r w:rsidRPr="00310498">
              <w:rPr>
                <w:color w:val="000000"/>
                <w:szCs w:val="20"/>
              </w:rPr>
              <w:t>Cost/patient, durvalumab maintenance</w:t>
            </w:r>
            <w:r w:rsidRPr="00310498">
              <w:t xml:space="preserve"> </w:t>
            </w:r>
            <w:r w:rsidRPr="00310498">
              <w:rPr>
                <w:vertAlign w:val="superscript"/>
              </w:rPr>
              <w:t>e</w:t>
            </w:r>
          </w:p>
        </w:tc>
        <w:tc>
          <w:tcPr>
            <w:tcW w:w="1099" w:type="pct"/>
            <w:shd w:val="clear" w:color="auto" w:fill="auto"/>
            <w:vAlign w:val="center"/>
          </w:tcPr>
          <w:p w14:paraId="06BDBC1E" w14:textId="43FC0F2C" w:rsidR="00744926" w:rsidRPr="00310498" w:rsidRDefault="00744926" w:rsidP="00022017">
            <w:pPr>
              <w:pStyle w:val="Tabletext"/>
              <w:jc w:val="center"/>
            </w:pPr>
            <w:r w:rsidRPr="00310498">
              <w:rPr>
                <w:color w:val="000000"/>
                <w:szCs w:val="20"/>
              </w:rPr>
              <w:t>$</w:t>
            </w:r>
            <w:r w:rsidR="00864EAF" w:rsidRPr="00864EAF">
              <w:rPr>
                <w:color w:val="000000"/>
                <w:szCs w:val="20"/>
                <w:shd w:val="solid" w:color="000000" w:fill="000000"/>
                <w14:textFill>
                  <w14:solidFill>
                    <w14:srgbClr w14:val="000000">
                      <w14:alpha w14:val="100000"/>
                    </w14:srgbClr>
                  </w14:solidFill>
                </w14:textFill>
              </w:rPr>
              <w:t>|</w:t>
            </w:r>
          </w:p>
        </w:tc>
        <w:tc>
          <w:tcPr>
            <w:tcW w:w="784" w:type="pct"/>
            <w:shd w:val="clear" w:color="auto" w:fill="auto"/>
            <w:vAlign w:val="center"/>
          </w:tcPr>
          <w:p w14:paraId="37E68D23" w14:textId="760D33CD" w:rsidR="00744926" w:rsidRPr="00310498" w:rsidRDefault="00744926" w:rsidP="00022017">
            <w:pPr>
              <w:pStyle w:val="Tabletext"/>
              <w:jc w:val="center"/>
            </w:pPr>
            <w:r w:rsidRPr="00310498">
              <w:rPr>
                <w:color w:val="000000"/>
                <w:szCs w:val="20"/>
              </w:rPr>
              <w:t>$</w:t>
            </w:r>
            <w:r w:rsidR="00864EAF" w:rsidRPr="00864EAF">
              <w:rPr>
                <w:color w:val="000000"/>
                <w:szCs w:val="20"/>
                <w:shd w:val="solid" w:color="000000" w:fill="000000"/>
                <w14:textFill>
                  <w14:solidFill>
                    <w14:srgbClr w14:val="000000">
                      <w14:alpha w14:val="100000"/>
                    </w14:srgbClr>
                  </w14:solidFill>
                </w14:textFill>
              </w:rPr>
              <w:t>|</w:t>
            </w:r>
          </w:p>
        </w:tc>
        <w:tc>
          <w:tcPr>
            <w:tcW w:w="925" w:type="pct"/>
            <w:shd w:val="clear" w:color="auto" w:fill="auto"/>
            <w:vAlign w:val="center"/>
          </w:tcPr>
          <w:p w14:paraId="22C14112" w14:textId="631C93EC" w:rsidR="00744926" w:rsidRPr="00310498" w:rsidRDefault="00744926" w:rsidP="00022017">
            <w:pPr>
              <w:pStyle w:val="Tabletext"/>
              <w:jc w:val="center"/>
            </w:pPr>
            <w:r w:rsidRPr="00310498">
              <w:rPr>
                <w:color w:val="000000"/>
                <w:szCs w:val="20"/>
              </w:rPr>
              <w:t>$</w:t>
            </w:r>
            <w:r w:rsidR="00864EAF" w:rsidRPr="00864EAF">
              <w:rPr>
                <w:color w:val="000000"/>
                <w:szCs w:val="20"/>
                <w:shd w:val="solid" w:color="000000" w:fill="000000"/>
                <w14:textFill>
                  <w14:solidFill>
                    <w14:srgbClr w14:val="000000">
                      <w14:alpha w14:val="100000"/>
                    </w14:srgbClr>
                  </w14:solidFill>
                </w14:textFill>
              </w:rPr>
              <w:t>|</w:t>
            </w:r>
          </w:p>
        </w:tc>
      </w:tr>
      <w:tr w:rsidR="00744926" w:rsidRPr="00310498" w14:paraId="67348D55" w14:textId="77777777" w:rsidTr="00022017">
        <w:trPr>
          <w:cantSplit/>
          <w:trHeight w:val="70"/>
          <w:jc w:val="center"/>
        </w:trPr>
        <w:tc>
          <w:tcPr>
            <w:tcW w:w="2192" w:type="pct"/>
            <w:shd w:val="clear" w:color="auto" w:fill="auto"/>
            <w:vAlign w:val="center"/>
          </w:tcPr>
          <w:p w14:paraId="33426B6C" w14:textId="77777777" w:rsidR="00744926" w:rsidRPr="00310498" w:rsidRDefault="00744926" w:rsidP="00022017">
            <w:pPr>
              <w:pStyle w:val="Tabletext"/>
              <w:rPr>
                <w:b/>
                <w:bCs/>
              </w:rPr>
            </w:pPr>
            <w:r w:rsidRPr="00310498">
              <w:rPr>
                <w:b/>
                <w:bCs/>
              </w:rPr>
              <w:t xml:space="preserve">Total cost/patient/course </w:t>
            </w:r>
          </w:p>
        </w:tc>
        <w:tc>
          <w:tcPr>
            <w:tcW w:w="1099" w:type="pct"/>
            <w:shd w:val="clear" w:color="auto" w:fill="auto"/>
            <w:vAlign w:val="center"/>
          </w:tcPr>
          <w:p w14:paraId="161FD6D8" w14:textId="6BE81BB6" w:rsidR="00744926" w:rsidRPr="00310498" w:rsidRDefault="00744926" w:rsidP="00022017">
            <w:pPr>
              <w:pStyle w:val="Tabletext"/>
              <w:jc w:val="center"/>
              <w:rPr>
                <w:b/>
                <w:bCs/>
              </w:rPr>
            </w:pPr>
            <w:r w:rsidRPr="00310498">
              <w:rPr>
                <w:b/>
                <w:bCs/>
              </w:rPr>
              <w:t>$</w:t>
            </w:r>
            <w:r w:rsidR="00864EAF" w:rsidRPr="00864EAF">
              <w:rPr>
                <w:b/>
                <w:bCs/>
                <w:color w:val="000000"/>
                <w:shd w:val="solid" w:color="000000" w:fill="000000"/>
                <w14:textFill>
                  <w14:solidFill>
                    <w14:srgbClr w14:val="000000">
                      <w14:alpha w14:val="100000"/>
                    </w14:srgbClr>
                  </w14:solidFill>
                </w14:textFill>
              </w:rPr>
              <w:t>|</w:t>
            </w:r>
          </w:p>
        </w:tc>
        <w:tc>
          <w:tcPr>
            <w:tcW w:w="784" w:type="pct"/>
            <w:shd w:val="clear" w:color="auto" w:fill="auto"/>
            <w:vAlign w:val="center"/>
          </w:tcPr>
          <w:p w14:paraId="5E81D051" w14:textId="70464B0E" w:rsidR="00744926" w:rsidRPr="00310498" w:rsidRDefault="00744926" w:rsidP="00022017">
            <w:pPr>
              <w:pStyle w:val="Tabletext"/>
              <w:jc w:val="center"/>
              <w:rPr>
                <w:b/>
                <w:bCs/>
              </w:rPr>
            </w:pPr>
            <w:r w:rsidRPr="00310498">
              <w:rPr>
                <w:b/>
                <w:bCs/>
              </w:rPr>
              <w:t>$</w:t>
            </w:r>
            <w:r w:rsidR="00864EAF" w:rsidRPr="00864EAF">
              <w:rPr>
                <w:b/>
                <w:bCs/>
                <w:color w:val="000000"/>
                <w:shd w:val="solid" w:color="000000" w:fill="000000"/>
                <w14:textFill>
                  <w14:solidFill>
                    <w14:srgbClr w14:val="000000">
                      <w14:alpha w14:val="100000"/>
                    </w14:srgbClr>
                  </w14:solidFill>
                </w14:textFill>
              </w:rPr>
              <w:t>|</w:t>
            </w:r>
          </w:p>
        </w:tc>
        <w:tc>
          <w:tcPr>
            <w:tcW w:w="925" w:type="pct"/>
            <w:shd w:val="clear" w:color="auto" w:fill="auto"/>
            <w:vAlign w:val="center"/>
          </w:tcPr>
          <w:p w14:paraId="3521A7F1" w14:textId="695A98AF" w:rsidR="00744926" w:rsidRPr="00310498" w:rsidRDefault="00744926" w:rsidP="00022017">
            <w:pPr>
              <w:pStyle w:val="Tabletext"/>
              <w:jc w:val="center"/>
              <w:rPr>
                <w:b/>
                <w:bCs/>
              </w:rPr>
            </w:pPr>
            <w:r w:rsidRPr="00310498">
              <w:rPr>
                <w:b/>
                <w:bCs/>
              </w:rPr>
              <w:t>$</w:t>
            </w:r>
            <w:r w:rsidR="00864EAF" w:rsidRPr="00864EAF">
              <w:rPr>
                <w:b/>
                <w:bCs/>
                <w:color w:val="000000"/>
                <w:shd w:val="solid" w:color="000000" w:fill="000000"/>
                <w14:textFill>
                  <w14:solidFill>
                    <w14:srgbClr w14:val="000000">
                      <w14:alpha w14:val="100000"/>
                    </w14:srgbClr>
                  </w14:solidFill>
                </w14:textFill>
              </w:rPr>
              <w:t>|</w:t>
            </w:r>
          </w:p>
        </w:tc>
      </w:tr>
    </w:tbl>
    <w:p w14:paraId="661EEC57" w14:textId="77777777" w:rsidR="00744926" w:rsidRPr="00310498" w:rsidRDefault="00744926" w:rsidP="00D17A65">
      <w:pPr>
        <w:pStyle w:val="TableFigureFooter"/>
      </w:pPr>
      <w:r w:rsidRPr="00310498">
        <w:t>Source: Estimated during the evaluation using the submission’s model ‘Attachment 3.6_CMA’ and DUO-E CSR.</w:t>
      </w:r>
    </w:p>
    <w:p w14:paraId="4B5DA61D" w14:textId="77777777" w:rsidR="00744926" w:rsidRPr="00310498" w:rsidRDefault="00744926" w:rsidP="00D17A65">
      <w:pPr>
        <w:pStyle w:val="TableFigureFooter"/>
      </w:pPr>
      <w:r w:rsidRPr="00310498">
        <w:t>DPMA = dispensed price maximum amount; NR = not reported; PC = paclitaxel + carboplatin</w:t>
      </w:r>
    </w:p>
    <w:p w14:paraId="62BA7E93" w14:textId="77777777" w:rsidR="00744926" w:rsidRPr="00310498" w:rsidRDefault="00744926" w:rsidP="00D17A65">
      <w:pPr>
        <w:pStyle w:val="TableFigureFooter"/>
      </w:pPr>
      <w:r w:rsidRPr="00310498">
        <w:t>a Sourced from DUO-E data provided in Attachment 3.3 to the submission.</w:t>
      </w:r>
    </w:p>
    <w:p w14:paraId="2796B7A7" w14:textId="77777777" w:rsidR="00744926" w:rsidRPr="00310498" w:rsidRDefault="00744926" w:rsidP="00D17A65">
      <w:pPr>
        <w:pStyle w:val="TableFigureFooter"/>
      </w:pPr>
      <w:r w:rsidRPr="00310498">
        <w:t>b Calculated based on mean number of durvalumab initiation doses.</w:t>
      </w:r>
    </w:p>
    <w:p w14:paraId="5C104ADF" w14:textId="77777777" w:rsidR="00744926" w:rsidRPr="00310498" w:rsidRDefault="00744926" w:rsidP="00D17A65">
      <w:pPr>
        <w:pStyle w:val="TableFigureFooter"/>
      </w:pPr>
      <w:r w:rsidRPr="00310498">
        <w:t>c Calculated based on treatment duration.</w:t>
      </w:r>
    </w:p>
    <w:p w14:paraId="7815389B" w14:textId="77777777" w:rsidR="00744926" w:rsidRPr="00310498" w:rsidRDefault="00744926" w:rsidP="00D17A65">
      <w:pPr>
        <w:pStyle w:val="TableFigureFooter"/>
      </w:pPr>
      <w:r w:rsidRPr="00310498">
        <w:t>d Mean maintenance actual exposure for durvalumab + PC arm, sourced from DUO-E CSR Table 14.3.1.1.2A.</w:t>
      </w:r>
    </w:p>
    <w:p w14:paraId="61298C37" w14:textId="77777777" w:rsidR="00744926" w:rsidRPr="00310498" w:rsidRDefault="00744926" w:rsidP="00D17A65">
      <w:pPr>
        <w:pStyle w:val="TableFigureFooter"/>
      </w:pPr>
      <w:r w:rsidRPr="00310498">
        <w:t>d Sourced from DUO-E CSR Table 14.3.1.1.3A.</w:t>
      </w:r>
    </w:p>
    <w:p w14:paraId="11F50834" w14:textId="77777777" w:rsidR="00744926" w:rsidRPr="00310498" w:rsidRDefault="00744926" w:rsidP="00D17A65">
      <w:pPr>
        <w:pStyle w:val="TableFigureFooter"/>
      </w:pPr>
      <w:r w:rsidRPr="00310498">
        <w:t>e Calculated using the mean number of durvalumab initiation and maintenance doses and multiplying by the proposed DPMQ. DPMQ calculated based on a 51%:49% split of private: public hospital use.</w:t>
      </w:r>
    </w:p>
    <w:p w14:paraId="00486DCA" w14:textId="77777777" w:rsidR="00744926" w:rsidRPr="00310498" w:rsidRDefault="00744926" w:rsidP="00D17A65">
      <w:pPr>
        <w:pStyle w:val="TableFigureFooter"/>
      </w:pPr>
      <w:r w:rsidRPr="00310498">
        <w:t>f Assumption made in CMA.</w:t>
      </w:r>
    </w:p>
    <w:p w14:paraId="75A88904" w14:textId="77777777" w:rsidR="00744926" w:rsidRPr="00310498" w:rsidRDefault="00744926" w:rsidP="00D17A65">
      <w:pPr>
        <w:pStyle w:val="TableFigureFooter"/>
      </w:pPr>
      <w:r w:rsidRPr="00310498">
        <w:t>g Assumption made in financial estimates.</w:t>
      </w:r>
    </w:p>
    <w:p w14:paraId="6886A544" w14:textId="1A1F0C95" w:rsidR="007D6A80" w:rsidRPr="00A0075B" w:rsidRDefault="007D6A80" w:rsidP="006A6471">
      <w:pPr>
        <w:pStyle w:val="3-BodyText"/>
        <w:keepNext/>
        <w:numPr>
          <w:ilvl w:val="0"/>
          <w:numId w:val="0"/>
        </w:numPr>
        <w:outlineLvl w:val="2"/>
        <w:rPr>
          <w:u w:val="single"/>
        </w:rPr>
      </w:pPr>
      <w:r w:rsidRPr="00A0075B">
        <w:rPr>
          <w:u w:val="single"/>
        </w:rPr>
        <w:t>pMMR population</w:t>
      </w:r>
    </w:p>
    <w:p w14:paraId="36E50ABA" w14:textId="7C99855D" w:rsidR="00485DF5" w:rsidRPr="00310498" w:rsidRDefault="00AE35E2" w:rsidP="00485DF5">
      <w:pPr>
        <w:pStyle w:val="3-BodyText"/>
      </w:pPr>
      <w:bookmarkStart w:id="85" w:name="_Ref196734198"/>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1E5675" w:rsidRPr="7EE24840">
        <w:rPr>
          <w:color w:val="000000" w:themeColor="text1"/>
        </w:rPr>
        <w:t>|</w:t>
      </w:r>
      <w:r w:rsidR="001E5675">
        <w:t xml:space="preserve"> </w:t>
      </w:r>
      <w:r w:rsidR="001E5675" w:rsidRPr="7EE24840">
        <w:rPr>
          <w:color w:val="000000" w:themeColor="text1"/>
        </w:rPr>
        <w:t>|</w:t>
      </w:r>
      <w:r w:rsidR="001E5675">
        <w:t xml:space="preserve"> </w:t>
      </w:r>
      <w:r w:rsidR="001E5675" w:rsidRPr="7EE24840">
        <w:rPr>
          <w:color w:val="000000" w:themeColor="text1"/>
        </w:rPr>
        <w:t>|</w:t>
      </w:r>
      <w:r w:rsidR="001E5675">
        <w:t xml:space="preserve"> </w:t>
      </w:r>
      <w:r w:rsidR="001E5675" w:rsidRPr="7EE24840">
        <w:rPr>
          <w:color w:val="000000" w:themeColor="text1"/>
        </w:rPr>
        <w:t>|</w:t>
      </w:r>
      <w:r w:rsidR="001E5675">
        <w:t xml:space="preserve"> </w:t>
      </w:r>
      <w:r w:rsidR="001E5675" w:rsidRPr="7EE24840">
        <w:rPr>
          <w:color w:val="000000" w:themeColor="text1"/>
        </w:rPr>
        <w:t>||</w:t>
      </w:r>
      <w:r w:rsidR="001E5675">
        <w:t xml:space="preserve"> </w:t>
      </w:r>
      <w:r w:rsidR="001E5675" w:rsidRPr="7EE24840">
        <w:rPr>
          <w:color w:val="000000" w:themeColor="text1"/>
        </w:rPr>
        <w:t>|</w:t>
      </w:r>
      <w:r w:rsidR="001E5675">
        <w:t xml:space="preserve"> </w:t>
      </w:r>
      <w:r w:rsidR="001E5675" w:rsidRPr="7EE24840">
        <w:rPr>
          <w:color w:val="000000" w:themeColor="text1"/>
        </w:rPr>
        <w:t>|</w:t>
      </w:r>
      <w:r w:rsidR="001E5675">
        <w:t xml:space="preserve"> </w:t>
      </w:r>
      <w:r w:rsidR="001E5675" w:rsidRPr="7EE24840">
        <w:rPr>
          <w:color w:val="000000" w:themeColor="text1"/>
        </w:rPr>
        <w:t>|</w:t>
      </w:r>
      <w:r w:rsidR="001E5675">
        <w:t xml:space="preserve"> </w:t>
      </w:r>
      <w:r w:rsidR="001E5675" w:rsidRPr="7EE24840">
        <w:rPr>
          <w:color w:val="000000" w:themeColor="text1"/>
        </w:rPr>
        <w:t>|</w:t>
      </w:r>
      <w:r w:rsidR="001E5675" w:rsidRPr="00A27FA9">
        <w:t xml:space="preserve">  </w:t>
      </w:r>
      <w:r w:rsidR="00DB2A12">
        <w:rPr>
          <w:rStyle w:val="FootnoteReference"/>
        </w:rPr>
        <w:footnoteReference w:id="14"/>
      </w:r>
      <w:bookmarkEnd w:id="85"/>
    </w:p>
    <w:p w14:paraId="0BD94C5A" w14:textId="60BCAE73" w:rsidR="00485DF5" w:rsidRPr="00310498" w:rsidRDefault="006A6471" w:rsidP="00F267A0">
      <w:pPr>
        <w:pStyle w:val="Caption"/>
        <w:rPr>
          <w:rStyle w:val="CommentReference"/>
          <w:b/>
          <w:szCs w:val="24"/>
        </w:rPr>
      </w:pPr>
      <w:r w:rsidRPr="7EE24840">
        <w:rPr>
          <w:color w:val="000000" w:themeColor="text1"/>
        </w:rPr>
        <w:lastRenderedPageBreak/>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002F75CE">
        <w:rPr>
          <w:rStyle w:val="FootnoteReference"/>
        </w:rPr>
        <w:footnoteReference w:id="15"/>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8"/>
        <w:gridCol w:w="1844"/>
        <w:gridCol w:w="1417"/>
        <w:gridCol w:w="1671"/>
      </w:tblGrid>
      <w:tr w:rsidR="008B2B51" w:rsidRPr="00C446CB" w14:paraId="66CA2904" w14:textId="77777777" w:rsidTr="002B171D">
        <w:trPr>
          <w:cantSplit/>
          <w:tblHeader/>
          <w:jc w:val="center"/>
        </w:trPr>
        <w:tc>
          <w:tcPr>
            <w:tcW w:w="2272" w:type="pct"/>
            <w:shd w:val="clear" w:color="auto" w:fill="auto"/>
            <w:vAlign w:val="center"/>
          </w:tcPr>
          <w:p w14:paraId="2A52D6D0" w14:textId="03E6A669" w:rsidR="00485DF5" w:rsidRPr="00310498" w:rsidRDefault="00C446CB" w:rsidP="00F267A0">
            <w:pPr>
              <w:pStyle w:val="In-tableHeading"/>
              <w:rPr>
                <w:lang w:val="en-AU"/>
              </w:rPr>
            </w:pPr>
            <w:r>
              <w:rPr>
                <w:lang w:val="en-AU"/>
              </w:rPr>
              <w:t xml:space="preserve"> </w:t>
            </w:r>
          </w:p>
        </w:tc>
        <w:tc>
          <w:tcPr>
            <w:tcW w:w="1020" w:type="pct"/>
            <w:shd w:val="clear" w:color="auto" w:fill="auto"/>
            <w:vAlign w:val="center"/>
          </w:tcPr>
          <w:p w14:paraId="4707B34B" w14:textId="3A006AA4" w:rsidR="00485DF5" w:rsidRPr="00C446CB" w:rsidRDefault="006A6471" w:rsidP="00F267A0">
            <w:pPr>
              <w:pStyle w:val="In-tableHeading"/>
              <w:jc w:val="center"/>
              <w:rPr>
                <w:highlight w:val="darkGray"/>
                <w:lang w:val="en-AU"/>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p>
        </w:tc>
        <w:tc>
          <w:tcPr>
            <w:tcW w:w="784" w:type="pct"/>
            <w:shd w:val="clear" w:color="auto" w:fill="auto"/>
            <w:vAlign w:val="center"/>
          </w:tcPr>
          <w:p w14:paraId="0D7613E6" w14:textId="123D5C30" w:rsidR="00485DF5" w:rsidRPr="00C446CB" w:rsidRDefault="009158ED" w:rsidP="00F267A0">
            <w:pPr>
              <w:pStyle w:val="In-tableHeading"/>
              <w:jc w:val="center"/>
              <w:rPr>
                <w:highlight w:val="darkGray"/>
                <w:lang w:val="en-AU"/>
              </w:rPr>
            </w:pPr>
            <w:r w:rsidRPr="7EE24840">
              <w:rPr>
                <w:color w:val="000000" w:themeColor="text1"/>
              </w:rPr>
              <w:t>|</w:t>
            </w:r>
          </w:p>
        </w:tc>
        <w:tc>
          <w:tcPr>
            <w:tcW w:w="924" w:type="pct"/>
            <w:shd w:val="clear" w:color="auto" w:fill="auto"/>
            <w:vAlign w:val="center"/>
          </w:tcPr>
          <w:p w14:paraId="05E61542" w14:textId="23B37F19" w:rsidR="00485DF5" w:rsidRPr="00C446CB" w:rsidRDefault="009158ED" w:rsidP="00F267A0">
            <w:pPr>
              <w:pStyle w:val="In-tableHeading"/>
              <w:jc w:val="center"/>
              <w:rPr>
                <w:highlight w:val="darkGray"/>
                <w:lang w:val="en-AU"/>
              </w:rPr>
            </w:pPr>
            <w:r w:rsidRPr="7EE24840">
              <w:rPr>
                <w:color w:val="000000" w:themeColor="text1"/>
              </w:rPr>
              <w:t>|</w:t>
            </w:r>
            <w:r>
              <w:rPr>
                <w:color w:val="000000" w:themeColor="text1"/>
              </w:rPr>
              <w:t xml:space="preserve"> </w:t>
            </w:r>
            <w:r w:rsidRPr="7EE24840">
              <w:rPr>
                <w:color w:val="000000" w:themeColor="text1"/>
              </w:rPr>
              <w:t>|</w:t>
            </w:r>
          </w:p>
        </w:tc>
      </w:tr>
      <w:tr w:rsidR="009158ED" w:rsidRPr="00C446CB" w14:paraId="06DEDB6F" w14:textId="77777777" w:rsidTr="00DF72A4">
        <w:trPr>
          <w:cantSplit/>
          <w:jc w:val="center"/>
        </w:trPr>
        <w:tc>
          <w:tcPr>
            <w:tcW w:w="2272" w:type="pct"/>
            <w:shd w:val="clear" w:color="auto" w:fill="auto"/>
            <w:vAlign w:val="center"/>
          </w:tcPr>
          <w:p w14:paraId="74946673" w14:textId="637733FF" w:rsidR="009158ED" w:rsidRPr="00C446CB" w:rsidRDefault="009158ED" w:rsidP="009158ED">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p>
        </w:tc>
        <w:tc>
          <w:tcPr>
            <w:tcW w:w="1020" w:type="pct"/>
            <w:shd w:val="clear" w:color="auto" w:fill="auto"/>
          </w:tcPr>
          <w:p w14:paraId="7C2B4E79" w14:textId="39F06D7A" w:rsidR="009158ED" w:rsidRPr="00C446CB" w:rsidRDefault="009158ED" w:rsidP="009158ED">
            <w:pPr>
              <w:pStyle w:val="Tabletext"/>
              <w:keepNext/>
              <w:jc w:val="center"/>
              <w:rPr>
                <w:highlight w:val="darkGray"/>
                <w:vertAlign w:val="superscript"/>
              </w:rPr>
            </w:pPr>
            <w:r w:rsidRPr="00D42B14">
              <w:rPr>
                <w:color w:val="000000" w:themeColor="text1"/>
              </w:rPr>
              <w:t>| |</w:t>
            </w:r>
          </w:p>
        </w:tc>
        <w:tc>
          <w:tcPr>
            <w:tcW w:w="784" w:type="pct"/>
            <w:shd w:val="clear" w:color="auto" w:fill="auto"/>
          </w:tcPr>
          <w:p w14:paraId="246E6C2C" w14:textId="659306BA" w:rsidR="009158ED" w:rsidRPr="00C446CB" w:rsidRDefault="009158ED" w:rsidP="009158ED">
            <w:pPr>
              <w:pStyle w:val="Tabletext"/>
              <w:keepNext/>
              <w:jc w:val="center"/>
              <w:rPr>
                <w:highlight w:val="darkGray"/>
                <w:vertAlign w:val="superscript"/>
              </w:rPr>
            </w:pPr>
            <w:r w:rsidRPr="00D42B14">
              <w:rPr>
                <w:color w:val="000000" w:themeColor="text1"/>
              </w:rPr>
              <w:t>| |</w:t>
            </w:r>
          </w:p>
        </w:tc>
        <w:tc>
          <w:tcPr>
            <w:tcW w:w="924" w:type="pct"/>
            <w:shd w:val="clear" w:color="auto" w:fill="auto"/>
          </w:tcPr>
          <w:p w14:paraId="3B38A356" w14:textId="4FB91993" w:rsidR="009158ED" w:rsidRPr="00C446CB" w:rsidRDefault="009158ED" w:rsidP="009158ED">
            <w:pPr>
              <w:pStyle w:val="Tabletext"/>
              <w:keepNext/>
              <w:jc w:val="center"/>
              <w:rPr>
                <w:highlight w:val="darkGray"/>
              </w:rPr>
            </w:pPr>
            <w:r w:rsidRPr="00D42B14">
              <w:rPr>
                <w:color w:val="000000" w:themeColor="text1"/>
              </w:rPr>
              <w:t>| |</w:t>
            </w:r>
          </w:p>
        </w:tc>
      </w:tr>
      <w:tr w:rsidR="009158ED" w:rsidRPr="00C446CB" w14:paraId="24DD5C3B" w14:textId="77777777" w:rsidTr="004B42C0">
        <w:trPr>
          <w:cantSplit/>
          <w:jc w:val="center"/>
        </w:trPr>
        <w:tc>
          <w:tcPr>
            <w:tcW w:w="2272" w:type="pct"/>
            <w:shd w:val="clear" w:color="auto" w:fill="auto"/>
            <w:vAlign w:val="center"/>
          </w:tcPr>
          <w:p w14:paraId="2E94E5DA" w14:textId="4A52604B" w:rsidR="009158ED" w:rsidRPr="00C446CB" w:rsidRDefault="009158ED" w:rsidP="009158ED">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p>
        </w:tc>
        <w:tc>
          <w:tcPr>
            <w:tcW w:w="1020" w:type="pct"/>
            <w:shd w:val="clear" w:color="auto" w:fill="auto"/>
          </w:tcPr>
          <w:p w14:paraId="21429C56" w14:textId="25DC98C4" w:rsidR="009158ED" w:rsidRPr="00C446CB" w:rsidRDefault="009158ED" w:rsidP="009158ED">
            <w:pPr>
              <w:pStyle w:val="Tabletext"/>
              <w:keepNext/>
              <w:jc w:val="center"/>
              <w:rPr>
                <w:highlight w:val="darkGray"/>
                <w:vertAlign w:val="superscript"/>
              </w:rPr>
            </w:pPr>
            <w:r w:rsidRPr="00916CF6">
              <w:rPr>
                <w:color w:val="000000" w:themeColor="text1"/>
              </w:rPr>
              <w:t>|</w:t>
            </w:r>
            <w:r w:rsidRPr="00916CF6">
              <w:t xml:space="preserve"> </w:t>
            </w:r>
            <w:r w:rsidRPr="00916CF6">
              <w:rPr>
                <w:color w:val="000000" w:themeColor="text1"/>
              </w:rPr>
              <w:t>| |</w:t>
            </w:r>
            <w:r w:rsidRPr="00916CF6">
              <w:t xml:space="preserve"> </w:t>
            </w:r>
          </w:p>
        </w:tc>
        <w:tc>
          <w:tcPr>
            <w:tcW w:w="784" w:type="pct"/>
            <w:shd w:val="clear" w:color="auto" w:fill="auto"/>
          </w:tcPr>
          <w:p w14:paraId="1374554E" w14:textId="3B550F88" w:rsidR="009158ED" w:rsidRPr="00C446CB" w:rsidRDefault="009158ED" w:rsidP="009158ED">
            <w:pPr>
              <w:pStyle w:val="Tabletext"/>
              <w:keepNext/>
              <w:jc w:val="center"/>
              <w:rPr>
                <w:highlight w:val="darkGray"/>
              </w:rPr>
            </w:pPr>
            <w:r w:rsidRPr="00916CF6">
              <w:rPr>
                <w:color w:val="000000" w:themeColor="text1"/>
              </w:rPr>
              <w:t>|</w:t>
            </w:r>
            <w:r w:rsidRPr="00916CF6">
              <w:t xml:space="preserve"> </w:t>
            </w:r>
            <w:r w:rsidRPr="00916CF6">
              <w:rPr>
                <w:color w:val="000000" w:themeColor="text1"/>
              </w:rPr>
              <w:t>| |</w:t>
            </w:r>
            <w:r w:rsidRPr="00916CF6">
              <w:t xml:space="preserve"> </w:t>
            </w:r>
          </w:p>
        </w:tc>
        <w:tc>
          <w:tcPr>
            <w:tcW w:w="924" w:type="pct"/>
            <w:shd w:val="clear" w:color="auto" w:fill="auto"/>
          </w:tcPr>
          <w:p w14:paraId="70F93E71" w14:textId="77D7B7C8" w:rsidR="009158ED" w:rsidRPr="00C446CB" w:rsidRDefault="009158ED" w:rsidP="009158ED">
            <w:pPr>
              <w:pStyle w:val="Tabletext"/>
              <w:keepNext/>
              <w:jc w:val="center"/>
              <w:rPr>
                <w:highlight w:val="darkGray"/>
                <w:vertAlign w:val="superscript"/>
              </w:rPr>
            </w:pPr>
            <w:r w:rsidRPr="00916CF6">
              <w:rPr>
                <w:color w:val="000000" w:themeColor="text1"/>
              </w:rPr>
              <w:t>|</w:t>
            </w:r>
            <w:r w:rsidRPr="00916CF6">
              <w:t xml:space="preserve"> </w:t>
            </w:r>
            <w:r w:rsidRPr="00916CF6">
              <w:rPr>
                <w:color w:val="000000" w:themeColor="text1"/>
              </w:rPr>
              <w:t>| |</w:t>
            </w:r>
            <w:r w:rsidRPr="00916CF6">
              <w:t xml:space="preserve"> </w:t>
            </w:r>
          </w:p>
        </w:tc>
      </w:tr>
      <w:tr w:rsidR="009158ED" w:rsidRPr="00C446CB" w14:paraId="2345F380" w14:textId="77777777" w:rsidTr="005D0164">
        <w:trPr>
          <w:cantSplit/>
          <w:trHeight w:val="70"/>
          <w:jc w:val="center"/>
        </w:trPr>
        <w:tc>
          <w:tcPr>
            <w:tcW w:w="2272" w:type="pct"/>
            <w:shd w:val="clear" w:color="auto" w:fill="auto"/>
            <w:vAlign w:val="center"/>
          </w:tcPr>
          <w:p w14:paraId="56914B40" w14:textId="474BB2AB" w:rsidR="009158ED" w:rsidRPr="00C446CB" w:rsidRDefault="009158ED" w:rsidP="009158ED">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p>
        </w:tc>
        <w:tc>
          <w:tcPr>
            <w:tcW w:w="1020" w:type="pct"/>
            <w:shd w:val="clear" w:color="auto" w:fill="auto"/>
          </w:tcPr>
          <w:p w14:paraId="1F00A9F2" w14:textId="72036325" w:rsidR="009158ED" w:rsidRPr="00C446CB" w:rsidRDefault="009158ED" w:rsidP="009158ED">
            <w:pPr>
              <w:pStyle w:val="Tabletext"/>
              <w:keepNext/>
              <w:jc w:val="center"/>
              <w:rPr>
                <w:highlight w:val="darkGray"/>
              </w:rPr>
            </w:pPr>
            <w:r w:rsidRPr="00192518">
              <w:rPr>
                <w:color w:val="000000" w:themeColor="text1"/>
              </w:rPr>
              <w:t>|</w:t>
            </w:r>
            <w:r w:rsidRPr="00192518">
              <w:t xml:space="preserve"> </w:t>
            </w:r>
          </w:p>
        </w:tc>
        <w:tc>
          <w:tcPr>
            <w:tcW w:w="784" w:type="pct"/>
            <w:shd w:val="clear" w:color="auto" w:fill="auto"/>
            <w:vAlign w:val="center"/>
          </w:tcPr>
          <w:p w14:paraId="77847EA1" w14:textId="2C5484E6" w:rsidR="009158ED" w:rsidRPr="00C446CB" w:rsidRDefault="009158ED" w:rsidP="009158ED">
            <w:pPr>
              <w:pStyle w:val="Tabletext"/>
              <w:keepNext/>
              <w:jc w:val="center"/>
              <w:rPr>
                <w:highlight w:val="darkGray"/>
              </w:rPr>
            </w:pPr>
            <w:r w:rsidRPr="7EE24840">
              <w:rPr>
                <w:color w:val="000000" w:themeColor="text1"/>
              </w:rPr>
              <w:t>|</w:t>
            </w:r>
          </w:p>
        </w:tc>
        <w:tc>
          <w:tcPr>
            <w:tcW w:w="924" w:type="pct"/>
            <w:shd w:val="clear" w:color="auto" w:fill="auto"/>
            <w:vAlign w:val="center"/>
          </w:tcPr>
          <w:p w14:paraId="30FADEE6" w14:textId="30E887F3" w:rsidR="009158ED" w:rsidRPr="00C446CB" w:rsidRDefault="009158ED" w:rsidP="009158ED">
            <w:pPr>
              <w:pStyle w:val="Tabletext"/>
              <w:keepNext/>
              <w:jc w:val="center"/>
              <w:rPr>
                <w:highlight w:val="darkGray"/>
              </w:rPr>
            </w:pPr>
            <w:r w:rsidRPr="7EE24840">
              <w:rPr>
                <w:color w:val="000000" w:themeColor="text1"/>
              </w:rPr>
              <w:t>|</w:t>
            </w:r>
          </w:p>
        </w:tc>
      </w:tr>
      <w:tr w:rsidR="009158ED" w:rsidRPr="00C446CB" w14:paraId="64E0CACC" w14:textId="77777777" w:rsidTr="005D0164">
        <w:trPr>
          <w:cantSplit/>
          <w:jc w:val="center"/>
        </w:trPr>
        <w:tc>
          <w:tcPr>
            <w:tcW w:w="2272" w:type="pct"/>
            <w:shd w:val="clear" w:color="auto" w:fill="auto"/>
            <w:vAlign w:val="center"/>
          </w:tcPr>
          <w:p w14:paraId="5B27FB8E" w14:textId="0FBEA3BC" w:rsidR="009158ED" w:rsidRPr="00C446CB" w:rsidRDefault="009158ED" w:rsidP="009158ED">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p>
        </w:tc>
        <w:tc>
          <w:tcPr>
            <w:tcW w:w="1020" w:type="pct"/>
            <w:shd w:val="clear" w:color="auto" w:fill="auto"/>
          </w:tcPr>
          <w:p w14:paraId="27EA524D" w14:textId="1239E1B1" w:rsidR="009158ED" w:rsidRPr="00C446CB" w:rsidRDefault="009158ED" w:rsidP="009158ED">
            <w:pPr>
              <w:pStyle w:val="Tabletext"/>
              <w:keepNext/>
              <w:jc w:val="center"/>
              <w:rPr>
                <w:bCs/>
                <w:highlight w:val="darkGray"/>
                <w:vertAlign w:val="superscript"/>
              </w:rPr>
            </w:pPr>
            <w:r w:rsidRPr="00192518">
              <w:rPr>
                <w:color w:val="000000" w:themeColor="text1"/>
              </w:rPr>
              <w:t>|</w:t>
            </w:r>
            <w:r w:rsidRPr="00192518">
              <w:t xml:space="preserve"> </w:t>
            </w:r>
          </w:p>
        </w:tc>
        <w:tc>
          <w:tcPr>
            <w:tcW w:w="784" w:type="pct"/>
            <w:shd w:val="clear" w:color="auto" w:fill="auto"/>
          </w:tcPr>
          <w:p w14:paraId="63641409" w14:textId="679698EE" w:rsidR="009158ED" w:rsidRPr="00C446CB" w:rsidRDefault="009158ED" w:rsidP="009158ED">
            <w:pPr>
              <w:pStyle w:val="Tabletext"/>
              <w:keepNext/>
              <w:jc w:val="center"/>
              <w:rPr>
                <w:bCs/>
                <w:highlight w:val="darkGray"/>
                <w:vertAlign w:val="superscript"/>
              </w:rPr>
            </w:pPr>
            <w:r w:rsidRPr="007701B6">
              <w:rPr>
                <w:color w:val="000000" w:themeColor="text1"/>
              </w:rPr>
              <w:t>| |</w:t>
            </w:r>
          </w:p>
        </w:tc>
        <w:tc>
          <w:tcPr>
            <w:tcW w:w="924" w:type="pct"/>
            <w:shd w:val="clear" w:color="auto" w:fill="auto"/>
          </w:tcPr>
          <w:p w14:paraId="116182BA" w14:textId="1BD99B3B" w:rsidR="009158ED" w:rsidRPr="00C446CB" w:rsidRDefault="009158ED" w:rsidP="009158ED">
            <w:pPr>
              <w:pStyle w:val="Tabletext"/>
              <w:keepNext/>
              <w:jc w:val="center"/>
              <w:rPr>
                <w:highlight w:val="darkGray"/>
              </w:rPr>
            </w:pPr>
            <w:r w:rsidRPr="007701B6">
              <w:rPr>
                <w:color w:val="000000" w:themeColor="text1"/>
              </w:rPr>
              <w:t>| |</w:t>
            </w:r>
          </w:p>
        </w:tc>
      </w:tr>
      <w:tr w:rsidR="009158ED" w:rsidRPr="00C446CB" w14:paraId="463AC1EC" w14:textId="77777777" w:rsidTr="00AF434F">
        <w:trPr>
          <w:cantSplit/>
          <w:jc w:val="center"/>
        </w:trPr>
        <w:tc>
          <w:tcPr>
            <w:tcW w:w="2272" w:type="pct"/>
            <w:shd w:val="clear" w:color="auto" w:fill="auto"/>
            <w:vAlign w:val="center"/>
          </w:tcPr>
          <w:p w14:paraId="1ED0DAEA" w14:textId="458244BD" w:rsidR="009158ED" w:rsidRPr="00C446CB" w:rsidRDefault="009158ED" w:rsidP="009158ED">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p>
        </w:tc>
        <w:tc>
          <w:tcPr>
            <w:tcW w:w="1020" w:type="pct"/>
            <w:shd w:val="clear" w:color="auto" w:fill="auto"/>
          </w:tcPr>
          <w:p w14:paraId="4D6AFE93" w14:textId="763D7CD3" w:rsidR="009158ED" w:rsidRPr="00C446CB" w:rsidRDefault="009158ED" w:rsidP="009158ED">
            <w:pPr>
              <w:pStyle w:val="Tabletext"/>
              <w:keepNext/>
              <w:jc w:val="center"/>
              <w:rPr>
                <w:highlight w:val="darkGray"/>
              </w:rPr>
            </w:pPr>
            <w:r w:rsidRPr="000637AB">
              <w:rPr>
                <w:color w:val="000000" w:themeColor="text1"/>
              </w:rPr>
              <w:t>|</w:t>
            </w:r>
            <w:r w:rsidRPr="000637AB">
              <w:t xml:space="preserve"> </w:t>
            </w:r>
            <w:r w:rsidRPr="000637AB">
              <w:rPr>
                <w:color w:val="000000" w:themeColor="text1"/>
              </w:rPr>
              <w:t>| |</w:t>
            </w:r>
            <w:r w:rsidRPr="000637AB">
              <w:t xml:space="preserve"> </w:t>
            </w:r>
          </w:p>
        </w:tc>
        <w:tc>
          <w:tcPr>
            <w:tcW w:w="784" w:type="pct"/>
            <w:shd w:val="clear" w:color="auto" w:fill="auto"/>
          </w:tcPr>
          <w:p w14:paraId="1CB536C1" w14:textId="5595C8BD" w:rsidR="009158ED" w:rsidRPr="00C446CB" w:rsidRDefault="009158ED" w:rsidP="009158ED">
            <w:pPr>
              <w:pStyle w:val="Tabletext"/>
              <w:keepNext/>
              <w:jc w:val="center"/>
              <w:rPr>
                <w:highlight w:val="darkGray"/>
              </w:rPr>
            </w:pPr>
            <w:r w:rsidRPr="000637AB">
              <w:rPr>
                <w:color w:val="000000" w:themeColor="text1"/>
              </w:rPr>
              <w:t>|</w:t>
            </w:r>
            <w:r w:rsidRPr="000637AB">
              <w:t xml:space="preserve"> </w:t>
            </w:r>
            <w:r w:rsidRPr="000637AB">
              <w:rPr>
                <w:color w:val="000000" w:themeColor="text1"/>
              </w:rPr>
              <w:t>| |</w:t>
            </w:r>
            <w:r w:rsidRPr="000637AB">
              <w:t xml:space="preserve"> </w:t>
            </w:r>
          </w:p>
        </w:tc>
        <w:tc>
          <w:tcPr>
            <w:tcW w:w="924" w:type="pct"/>
            <w:shd w:val="clear" w:color="auto" w:fill="auto"/>
          </w:tcPr>
          <w:p w14:paraId="6F024C6C" w14:textId="18573C37" w:rsidR="009158ED" w:rsidRPr="00C446CB" w:rsidRDefault="009158ED" w:rsidP="009158ED">
            <w:pPr>
              <w:pStyle w:val="Tabletext"/>
              <w:keepNext/>
              <w:jc w:val="center"/>
              <w:rPr>
                <w:highlight w:val="darkGray"/>
              </w:rPr>
            </w:pPr>
            <w:r w:rsidRPr="000637AB">
              <w:rPr>
                <w:color w:val="000000" w:themeColor="text1"/>
              </w:rPr>
              <w:t>|</w:t>
            </w:r>
            <w:r w:rsidRPr="000637AB">
              <w:t xml:space="preserve"> </w:t>
            </w:r>
            <w:r w:rsidRPr="000637AB">
              <w:rPr>
                <w:color w:val="000000" w:themeColor="text1"/>
              </w:rPr>
              <w:t>| |</w:t>
            </w:r>
            <w:r w:rsidRPr="000637AB">
              <w:t xml:space="preserve"> </w:t>
            </w:r>
          </w:p>
        </w:tc>
      </w:tr>
      <w:tr w:rsidR="009158ED" w:rsidRPr="00C446CB" w14:paraId="721BB4B6" w14:textId="77777777" w:rsidTr="007F21C9">
        <w:trPr>
          <w:cantSplit/>
          <w:trHeight w:val="70"/>
          <w:jc w:val="center"/>
        </w:trPr>
        <w:tc>
          <w:tcPr>
            <w:tcW w:w="2272" w:type="pct"/>
            <w:shd w:val="clear" w:color="auto" w:fill="auto"/>
            <w:vAlign w:val="center"/>
          </w:tcPr>
          <w:p w14:paraId="7FB311A4" w14:textId="461F078F" w:rsidR="009158ED" w:rsidRPr="00C446CB" w:rsidRDefault="009158ED" w:rsidP="009158ED">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p>
        </w:tc>
        <w:tc>
          <w:tcPr>
            <w:tcW w:w="1020" w:type="pct"/>
            <w:shd w:val="clear" w:color="auto" w:fill="auto"/>
          </w:tcPr>
          <w:p w14:paraId="13B8B924" w14:textId="4C774A81" w:rsidR="009158ED" w:rsidRPr="00C446CB" w:rsidRDefault="009158ED" w:rsidP="009158ED">
            <w:pPr>
              <w:pStyle w:val="Tabletext"/>
              <w:keepNext/>
              <w:jc w:val="center"/>
              <w:rPr>
                <w:highlight w:val="darkGray"/>
              </w:rPr>
            </w:pPr>
            <w:r w:rsidRPr="003B5B42">
              <w:rPr>
                <w:color w:val="000000" w:themeColor="text1"/>
              </w:rPr>
              <w:t>|</w:t>
            </w:r>
            <w:r w:rsidRPr="003B5B42">
              <w:t xml:space="preserve"> </w:t>
            </w:r>
          </w:p>
        </w:tc>
        <w:tc>
          <w:tcPr>
            <w:tcW w:w="784" w:type="pct"/>
            <w:shd w:val="clear" w:color="auto" w:fill="auto"/>
          </w:tcPr>
          <w:p w14:paraId="30A35798" w14:textId="126D3689" w:rsidR="009158ED" w:rsidRPr="00C446CB" w:rsidRDefault="009158ED" w:rsidP="009158ED">
            <w:pPr>
              <w:pStyle w:val="Tabletext"/>
              <w:keepNext/>
              <w:jc w:val="center"/>
              <w:rPr>
                <w:highlight w:val="darkGray"/>
              </w:rPr>
            </w:pPr>
            <w:r w:rsidRPr="00DD026F">
              <w:rPr>
                <w:color w:val="000000" w:themeColor="text1"/>
              </w:rPr>
              <w:t>|</w:t>
            </w:r>
            <w:r w:rsidRPr="00DD026F">
              <w:t xml:space="preserve"> </w:t>
            </w:r>
          </w:p>
        </w:tc>
        <w:tc>
          <w:tcPr>
            <w:tcW w:w="924" w:type="pct"/>
            <w:shd w:val="clear" w:color="auto" w:fill="auto"/>
          </w:tcPr>
          <w:p w14:paraId="056440EF" w14:textId="466E643C" w:rsidR="009158ED" w:rsidRPr="00C446CB" w:rsidRDefault="009158ED" w:rsidP="009158ED">
            <w:pPr>
              <w:pStyle w:val="Tabletext"/>
              <w:keepNext/>
              <w:jc w:val="center"/>
              <w:rPr>
                <w:highlight w:val="darkGray"/>
              </w:rPr>
            </w:pPr>
            <w:r w:rsidRPr="00DD026F">
              <w:rPr>
                <w:color w:val="000000" w:themeColor="text1"/>
              </w:rPr>
              <w:t>|</w:t>
            </w:r>
            <w:r w:rsidRPr="00DD026F">
              <w:t xml:space="preserve"> </w:t>
            </w:r>
          </w:p>
        </w:tc>
      </w:tr>
      <w:tr w:rsidR="009158ED" w:rsidRPr="00C446CB" w14:paraId="5A955A93" w14:textId="77777777" w:rsidTr="0090296A">
        <w:trPr>
          <w:cantSplit/>
          <w:jc w:val="center"/>
        </w:trPr>
        <w:tc>
          <w:tcPr>
            <w:tcW w:w="2272" w:type="pct"/>
            <w:shd w:val="clear" w:color="auto" w:fill="auto"/>
            <w:vAlign w:val="center"/>
          </w:tcPr>
          <w:p w14:paraId="572E49C8" w14:textId="3F316437" w:rsidR="009158ED" w:rsidRPr="00C446CB" w:rsidRDefault="009158ED" w:rsidP="009158ED">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p>
        </w:tc>
        <w:tc>
          <w:tcPr>
            <w:tcW w:w="1020" w:type="pct"/>
            <w:shd w:val="clear" w:color="auto" w:fill="auto"/>
          </w:tcPr>
          <w:p w14:paraId="25D16FB3" w14:textId="0EBB1246" w:rsidR="009158ED" w:rsidRPr="00C446CB" w:rsidRDefault="009158ED" w:rsidP="009158ED">
            <w:pPr>
              <w:pStyle w:val="Tabletext"/>
              <w:keepNext/>
              <w:jc w:val="center"/>
              <w:rPr>
                <w:bCs/>
                <w:highlight w:val="darkGray"/>
              </w:rPr>
            </w:pPr>
            <w:r w:rsidRPr="003B5B42">
              <w:rPr>
                <w:color w:val="000000" w:themeColor="text1"/>
              </w:rPr>
              <w:t>|</w:t>
            </w:r>
            <w:r w:rsidRPr="003B5B42">
              <w:t xml:space="preserve"> </w:t>
            </w:r>
          </w:p>
        </w:tc>
        <w:tc>
          <w:tcPr>
            <w:tcW w:w="784" w:type="pct"/>
            <w:shd w:val="clear" w:color="auto" w:fill="auto"/>
          </w:tcPr>
          <w:p w14:paraId="6EB6EB09" w14:textId="333A4691" w:rsidR="009158ED" w:rsidRPr="00C446CB" w:rsidRDefault="009158ED" w:rsidP="009158ED">
            <w:pPr>
              <w:pStyle w:val="Tabletext"/>
              <w:keepNext/>
              <w:jc w:val="center"/>
              <w:rPr>
                <w:bCs/>
                <w:highlight w:val="darkGray"/>
              </w:rPr>
            </w:pPr>
            <w:r w:rsidRPr="0057473B">
              <w:rPr>
                <w:color w:val="000000" w:themeColor="text1"/>
              </w:rPr>
              <w:t>| |</w:t>
            </w:r>
          </w:p>
        </w:tc>
        <w:tc>
          <w:tcPr>
            <w:tcW w:w="924" w:type="pct"/>
            <w:shd w:val="clear" w:color="auto" w:fill="auto"/>
          </w:tcPr>
          <w:p w14:paraId="7A639D45" w14:textId="110054AA" w:rsidR="009158ED" w:rsidRPr="00C446CB" w:rsidRDefault="009158ED" w:rsidP="009158ED">
            <w:pPr>
              <w:pStyle w:val="Tabletext"/>
              <w:keepNext/>
              <w:jc w:val="center"/>
              <w:rPr>
                <w:bCs/>
                <w:highlight w:val="darkGray"/>
              </w:rPr>
            </w:pPr>
            <w:r w:rsidRPr="0057473B">
              <w:rPr>
                <w:color w:val="000000" w:themeColor="text1"/>
              </w:rPr>
              <w:t>| |</w:t>
            </w:r>
          </w:p>
        </w:tc>
      </w:tr>
      <w:tr w:rsidR="009158ED" w:rsidRPr="00C446CB" w14:paraId="6883BB5C" w14:textId="77777777" w:rsidTr="002B3663">
        <w:trPr>
          <w:cantSplit/>
          <w:jc w:val="center"/>
        </w:trPr>
        <w:tc>
          <w:tcPr>
            <w:tcW w:w="2272" w:type="pct"/>
            <w:shd w:val="clear" w:color="auto" w:fill="auto"/>
            <w:vAlign w:val="center"/>
          </w:tcPr>
          <w:p w14:paraId="2EC092A5" w14:textId="440C06C3" w:rsidR="009158ED" w:rsidRPr="00C446CB" w:rsidRDefault="009158ED" w:rsidP="009158ED">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p>
        </w:tc>
        <w:tc>
          <w:tcPr>
            <w:tcW w:w="1020" w:type="pct"/>
            <w:shd w:val="clear" w:color="auto" w:fill="auto"/>
          </w:tcPr>
          <w:p w14:paraId="2CC6843B" w14:textId="44118CB1" w:rsidR="009158ED" w:rsidRPr="00C446CB" w:rsidRDefault="009158ED" w:rsidP="009158ED">
            <w:pPr>
              <w:pStyle w:val="Tabletext"/>
              <w:keepNext/>
              <w:jc w:val="center"/>
              <w:rPr>
                <w:bCs/>
                <w:highlight w:val="darkGray"/>
              </w:rPr>
            </w:pPr>
            <w:r w:rsidRPr="00D50174">
              <w:rPr>
                <w:color w:val="000000" w:themeColor="text1"/>
              </w:rPr>
              <w:t>|</w:t>
            </w:r>
            <w:r w:rsidRPr="00D50174">
              <w:t xml:space="preserve"> </w:t>
            </w:r>
            <w:r w:rsidRPr="00D50174">
              <w:rPr>
                <w:color w:val="000000" w:themeColor="text1"/>
              </w:rPr>
              <w:t>| |</w:t>
            </w:r>
            <w:r w:rsidRPr="00D50174">
              <w:t xml:space="preserve"> </w:t>
            </w:r>
          </w:p>
        </w:tc>
        <w:tc>
          <w:tcPr>
            <w:tcW w:w="784" w:type="pct"/>
            <w:shd w:val="clear" w:color="auto" w:fill="auto"/>
          </w:tcPr>
          <w:p w14:paraId="56CB9F6D" w14:textId="28B7DA4A" w:rsidR="009158ED" w:rsidRPr="00C446CB" w:rsidRDefault="009158ED" w:rsidP="009158ED">
            <w:pPr>
              <w:pStyle w:val="Tabletext"/>
              <w:keepNext/>
              <w:jc w:val="center"/>
              <w:rPr>
                <w:highlight w:val="darkGray"/>
              </w:rPr>
            </w:pPr>
            <w:r w:rsidRPr="00D50174">
              <w:rPr>
                <w:color w:val="000000" w:themeColor="text1"/>
              </w:rPr>
              <w:t>|</w:t>
            </w:r>
            <w:r w:rsidRPr="00D50174">
              <w:t xml:space="preserve"> </w:t>
            </w:r>
            <w:r w:rsidRPr="00D50174">
              <w:rPr>
                <w:color w:val="000000" w:themeColor="text1"/>
              </w:rPr>
              <w:t>| |</w:t>
            </w:r>
            <w:r w:rsidRPr="00D50174">
              <w:t xml:space="preserve"> </w:t>
            </w:r>
          </w:p>
        </w:tc>
        <w:tc>
          <w:tcPr>
            <w:tcW w:w="924" w:type="pct"/>
            <w:shd w:val="clear" w:color="auto" w:fill="auto"/>
          </w:tcPr>
          <w:p w14:paraId="5CB00A30" w14:textId="58208366" w:rsidR="009158ED" w:rsidRPr="00C446CB" w:rsidRDefault="009158ED" w:rsidP="009158ED">
            <w:pPr>
              <w:pStyle w:val="Tabletext"/>
              <w:keepNext/>
              <w:jc w:val="center"/>
              <w:rPr>
                <w:bCs/>
                <w:highlight w:val="darkGray"/>
              </w:rPr>
            </w:pPr>
            <w:r w:rsidRPr="00D50174">
              <w:rPr>
                <w:color w:val="000000" w:themeColor="text1"/>
              </w:rPr>
              <w:t>|</w:t>
            </w:r>
            <w:r w:rsidRPr="00D50174">
              <w:t xml:space="preserve"> </w:t>
            </w:r>
            <w:r w:rsidRPr="00D50174">
              <w:rPr>
                <w:color w:val="000000" w:themeColor="text1"/>
              </w:rPr>
              <w:t>| |</w:t>
            </w:r>
            <w:r w:rsidRPr="00D50174">
              <w:t xml:space="preserve"> </w:t>
            </w:r>
          </w:p>
        </w:tc>
      </w:tr>
      <w:tr w:rsidR="009158ED" w:rsidRPr="00C446CB" w14:paraId="0C3164EC" w14:textId="77777777" w:rsidTr="00DC797B">
        <w:trPr>
          <w:cantSplit/>
          <w:trHeight w:val="70"/>
          <w:jc w:val="center"/>
        </w:trPr>
        <w:tc>
          <w:tcPr>
            <w:tcW w:w="2272" w:type="pct"/>
            <w:shd w:val="clear" w:color="auto" w:fill="auto"/>
            <w:vAlign w:val="center"/>
          </w:tcPr>
          <w:p w14:paraId="18B36866" w14:textId="45A0FDFE" w:rsidR="009158ED" w:rsidRPr="00C446CB" w:rsidRDefault="009158ED" w:rsidP="009158ED">
            <w:pPr>
              <w:pStyle w:val="Tabletext"/>
              <w:keepNext/>
              <w:rPr>
                <w:highlight w:val="darkGray"/>
              </w:rP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p>
        </w:tc>
        <w:tc>
          <w:tcPr>
            <w:tcW w:w="1020" w:type="pct"/>
            <w:shd w:val="clear" w:color="auto" w:fill="auto"/>
          </w:tcPr>
          <w:p w14:paraId="35B8DB76" w14:textId="08071534" w:rsidR="009158ED" w:rsidRPr="00C446CB" w:rsidRDefault="009158ED" w:rsidP="009158ED">
            <w:pPr>
              <w:pStyle w:val="Tabletext"/>
              <w:keepNext/>
              <w:jc w:val="center"/>
              <w:rPr>
                <w:highlight w:val="darkGray"/>
              </w:rPr>
            </w:pPr>
            <w:r w:rsidRPr="00A7395A">
              <w:rPr>
                <w:color w:val="000000" w:themeColor="text1"/>
              </w:rPr>
              <w:t>|</w:t>
            </w:r>
            <w:r w:rsidRPr="00A7395A">
              <w:t xml:space="preserve"> </w:t>
            </w:r>
          </w:p>
        </w:tc>
        <w:tc>
          <w:tcPr>
            <w:tcW w:w="784" w:type="pct"/>
            <w:shd w:val="clear" w:color="auto" w:fill="auto"/>
          </w:tcPr>
          <w:p w14:paraId="0FC7FF82" w14:textId="3056BF0E" w:rsidR="009158ED" w:rsidRPr="00C446CB" w:rsidRDefault="009158ED" w:rsidP="009158ED">
            <w:pPr>
              <w:pStyle w:val="Tabletext"/>
              <w:keepNext/>
              <w:jc w:val="center"/>
              <w:rPr>
                <w:highlight w:val="darkGray"/>
              </w:rPr>
            </w:pPr>
            <w:r w:rsidRPr="00A7395A">
              <w:rPr>
                <w:color w:val="000000" w:themeColor="text1"/>
              </w:rPr>
              <w:t>|</w:t>
            </w:r>
            <w:r w:rsidRPr="00A7395A">
              <w:t xml:space="preserve"> </w:t>
            </w:r>
          </w:p>
        </w:tc>
        <w:tc>
          <w:tcPr>
            <w:tcW w:w="924" w:type="pct"/>
            <w:shd w:val="clear" w:color="auto" w:fill="auto"/>
          </w:tcPr>
          <w:p w14:paraId="06A1D634" w14:textId="2322CAE4" w:rsidR="009158ED" w:rsidRPr="00C446CB" w:rsidRDefault="009158ED" w:rsidP="009158ED">
            <w:pPr>
              <w:pStyle w:val="Tabletext"/>
              <w:keepNext/>
              <w:jc w:val="center"/>
              <w:rPr>
                <w:highlight w:val="darkGray"/>
              </w:rPr>
            </w:pPr>
            <w:r w:rsidRPr="00A7395A">
              <w:rPr>
                <w:color w:val="000000" w:themeColor="text1"/>
              </w:rPr>
              <w:t>|</w:t>
            </w:r>
            <w:r w:rsidRPr="00A7395A">
              <w:t xml:space="preserve"> </w:t>
            </w:r>
          </w:p>
        </w:tc>
      </w:tr>
      <w:tr w:rsidR="009158ED" w:rsidRPr="00C446CB" w14:paraId="04E9792E" w14:textId="77777777" w:rsidTr="00F053DF">
        <w:trPr>
          <w:cantSplit/>
          <w:trHeight w:val="70"/>
          <w:jc w:val="center"/>
        </w:trPr>
        <w:tc>
          <w:tcPr>
            <w:tcW w:w="2272" w:type="pct"/>
            <w:shd w:val="clear" w:color="auto" w:fill="auto"/>
            <w:vAlign w:val="center"/>
          </w:tcPr>
          <w:p w14:paraId="20B7B627" w14:textId="4710C6C0" w:rsidR="009158ED" w:rsidRPr="009158ED" w:rsidRDefault="009158ED" w:rsidP="009158ED">
            <w:pPr>
              <w:pStyle w:val="Tabletext"/>
              <w:keepNext/>
              <w:rPr>
                <w:b/>
                <w:bCs/>
                <w:highlight w:val="darkGray"/>
              </w:rPr>
            </w:pPr>
            <w:r w:rsidRPr="009158ED">
              <w:rPr>
                <w:b/>
                <w:bCs/>
                <w:color w:val="000000" w:themeColor="text1"/>
              </w:rPr>
              <w:t>| |</w:t>
            </w:r>
          </w:p>
        </w:tc>
        <w:tc>
          <w:tcPr>
            <w:tcW w:w="1020" w:type="pct"/>
            <w:shd w:val="clear" w:color="auto" w:fill="auto"/>
          </w:tcPr>
          <w:p w14:paraId="42D3C811" w14:textId="753C185F" w:rsidR="009158ED" w:rsidRPr="009158ED" w:rsidRDefault="009158ED" w:rsidP="009158ED">
            <w:pPr>
              <w:pStyle w:val="Tabletext"/>
              <w:keepNext/>
              <w:jc w:val="center"/>
              <w:rPr>
                <w:b/>
                <w:bCs/>
                <w:highlight w:val="darkGray"/>
              </w:rPr>
            </w:pPr>
            <w:r w:rsidRPr="009158ED">
              <w:rPr>
                <w:b/>
                <w:bCs/>
                <w:color w:val="000000" w:themeColor="text1"/>
              </w:rPr>
              <w:t>|</w:t>
            </w:r>
            <w:r w:rsidRPr="009158ED">
              <w:rPr>
                <w:b/>
                <w:bCs/>
              </w:rPr>
              <w:t xml:space="preserve"> </w:t>
            </w:r>
          </w:p>
        </w:tc>
        <w:tc>
          <w:tcPr>
            <w:tcW w:w="784" w:type="pct"/>
            <w:shd w:val="clear" w:color="auto" w:fill="auto"/>
          </w:tcPr>
          <w:p w14:paraId="51AEFC1B" w14:textId="5066079B" w:rsidR="009158ED" w:rsidRPr="009158ED" w:rsidRDefault="009158ED" w:rsidP="009158ED">
            <w:pPr>
              <w:pStyle w:val="Tabletext"/>
              <w:keepNext/>
              <w:jc w:val="center"/>
              <w:rPr>
                <w:b/>
                <w:bCs/>
                <w:highlight w:val="darkGray"/>
              </w:rPr>
            </w:pPr>
            <w:r w:rsidRPr="009158ED">
              <w:rPr>
                <w:b/>
                <w:bCs/>
                <w:color w:val="000000" w:themeColor="text1"/>
              </w:rPr>
              <w:t>|</w:t>
            </w:r>
            <w:r w:rsidRPr="009158ED">
              <w:rPr>
                <w:b/>
                <w:bCs/>
              </w:rPr>
              <w:t xml:space="preserve"> </w:t>
            </w:r>
          </w:p>
        </w:tc>
        <w:tc>
          <w:tcPr>
            <w:tcW w:w="924" w:type="pct"/>
            <w:shd w:val="clear" w:color="auto" w:fill="auto"/>
          </w:tcPr>
          <w:p w14:paraId="410A8009" w14:textId="7D04F6A4" w:rsidR="009158ED" w:rsidRPr="009158ED" w:rsidRDefault="009158ED" w:rsidP="009158ED">
            <w:pPr>
              <w:pStyle w:val="Tabletext"/>
              <w:keepNext/>
              <w:jc w:val="center"/>
              <w:rPr>
                <w:b/>
                <w:bCs/>
                <w:highlight w:val="darkGray"/>
              </w:rPr>
            </w:pPr>
            <w:r w:rsidRPr="009158ED">
              <w:rPr>
                <w:b/>
                <w:bCs/>
                <w:color w:val="000000" w:themeColor="text1"/>
              </w:rPr>
              <w:t>|</w:t>
            </w:r>
            <w:r w:rsidRPr="009158ED">
              <w:rPr>
                <w:b/>
                <w:bCs/>
              </w:rPr>
              <w:t xml:space="preserve"> </w:t>
            </w:r>
          </w:p>
        </w:tc>
      </w:tr>
    </w:tbl>
    <w:p w14:paraId="00A3C202" w14:textId="135B7290" w:rsidR="00A27FA9" w:rsidRPr="00A27FA9" w:rsidRDefault="006A6471"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p>
    <w:p w14:paraId="713ECD61" w14:textId="1B9838DD" w:rsidR="00A27FA9" w:rsidRPr="00A27FA9" w:rsidRDefault="00E952DB"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p>
    <w:p w14:paraId="062E1C2F" w14:textId="31FBFD6F" w:rsidR="00E952DB" w:rsidRDefault="00E952DB"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p>
    <w:p w14:paraId="29A2EC9A" w14:textId="21C4F03F" w:rsidR="00A27FA9" w:rsidRPr="00A27FA9" w:rsidRDefault="00E952DB"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p>
    <w:p w14:paraId="24F41201" w14:textId="61E09C48" w:rsidR="00A27FA9" w:rsidRPr="00A27FA9" w:rsidRDefault="00E952DB"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p w14:paraId="4609A4A0" w14:textId="77777777" w:rsidR="00E952DB" w:rsidRPr="00A27FA9" w:rsidRDefault="00E952DB" w:rsidP="00E952DB">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p w14:paraId="7E795F02" w14:textId="32DB9DA5" w:rsidR="00A27FA9" w:rsidRPr="00A27FA9" w:rsidRDefault="009158ED"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p>
    <w:p w14:paraId="4E2FB1D9" w14:textId="6FB7D301" w:rsidR="00A27FA9" w:rsidRPr="00A27FA9" w:rsidRDefault="009158ED"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p w14:paraId="2270463D" w14:textId="492A076D" w:rsidR="00A27FA9" w:rsidRPr="00A27FA9" w:rsidRDefault="009158ED"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p>
    <w:p w14:paraId="5B9F7723" w14:textId="20DB0564" w:rsidR="00A27FA9" w:rsidRPr="00A27FA9" w:rsidRDefault="009158ED"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p>
    <w:p w14:paraId="0575E8FE" w14:textId="0EEF776F" w:rsidR="00A27FA9" w:rsidRPr="00A27FA9" w:rsidRDefault="009158ED"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p>
    <w:p w14:paraId="6BB27185" w14:textId="10D621F7" w:rsidR="00A27FA9" w:rsidRPr="00A27FA9" w:rsidRDefault="009158ED"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p>
    <w:p w14:paraId="43E643EB" w14:textId="3601F52E" w:rsidR="00485DF5" w:rsidRDefault="009158ED" w:rsidP="00D17A65">
      <w:pPr>
        <w:pStyle w:val="TableFigureFooter"/>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p>
    <w:p w14:paraId="62880A01" w14:textId="77777777" w:rsidR="00485DF5" w:rsidRPr="00A0075B" w:rsidRDefault="00485DF5" w:rsidP="00485DF5">
      <w:pPr>
        <w:pStyle w:val="4-SubsectionHeading"/>
        <w:rPr>
          <w:iCs/>
        </w:rPr>
      </w:pPr>
      <w:bookmarkStart w:id="86" w:name="_Toc174923391"/>
      <w:bookmarkStart w:id="87" w:name="_Toc176785114"/>
      <w:r w:rsidRPr="00A0075B">
        <w:rPr>
          <w:iCs/>
        </w:rPr>
        <w:t>Estimated PBS usage &amp; financial implications</w:t>
      </w:r>
      <w:bookmarkEnd w:id="86"/>
      <w:bookmarkEnd w:id="87"/>
    </w:p>
    <w:p w14:paraId="17F4C413" w14:textId="58817EEC" w:rsidR="00485DF5" w:rsidRPr="00310498" w:rsidRDefault="00485DF5" w:rsidP="00485DF5">
      <w:pPr>
        <w:pStyle w:val="3-BodyText"/>
      </w:pPr>
      <w:r w:rsidRPr="00310498">
        <w:t xml:space="preserve">This submission </w:t>
      </w:r>
      <w:r w:rsidR="00A96B1F" w:rsidRPr="00310498">
        <w:t>was</w:t>
      </w:r>
      <w:r w:rsidRPr="00310498">
        <w:t xml:space="preserve"> not considered by DUSC. </w:t>
      </w:r>
    </w:p>
    <w:p w14:paraId="2412BC1C" w14:textId="3A4584C0" w:rsidR="00485DF5" w:rsidRPr="00310498" w:rsidRDefault="00485DF5" w:rsidP="00485DF5">
      <w:pPr>
        <w:pStyle w:val="3-BodyText"/>
      </w:pPr>
      <w:bookmarkStart w:id="88" w:name="_Ref174994670"/>
      <w:r w:rsidRPr="00310498">
        <w:t>The financial estimates incorporated the impact of listing</w:t>
      </w:r>
      <w:r w:rsidR="001C69CD">
        <w:t>:</w:t>
      </w:r>
      <w:r w:rsidR="007B38F5">
        <w:t xml:space="preserve"> (a)</w:t>
      </w:r>
      <w:r w:rsidRPr="00310498">
        <w:t xml:space="preserve"> </w:t>
      </w:r>
      <w:r w:rsidR="007B38F5" w:rsidRPr="00310498">
        <w:t>durvalumab + PC in patients with dMMR EC</w:t>
      </w:r>
      <w:r w:rsidR="007B38F5">
        <w:t>; and (b)</w:t>
      </w:r>
      <w:r w:rsidR="007B38F5" w:rsidRPr="00310498">
        <w:t xml:space="preserve"> </w:t>
      </w:r>
      <w:r w:rsidRPr="00310498">
        <w:t xml:space="preserve">durvalumab + PC + olaparib in patients with pMMR EC. However, </w:t>
      </w:r>
      <w:r w:rsidR="00FB45E5" w:rsidRPr="00310498">
        <w:t>t</w:t>
      </w:r>
      <w:r w:rsidR="00935483" w:rsidRPr="00310498">
        <w:t xml:space="preserve">he evaluation noted that </w:t>
      </w:r>
      <w:r w:rsidRPr="00310498">
        <w:t xml:space="preserve">there were significant errors and omissions in the financial estimates presented in the submission, and </w:t>
      </w:r>
      <w:r w:rsidR="002E3B59" w:rsidRPr="00310498">
        <w:t xml:space="preserve">considered that </w:t>
      </w:r>
      <w:r w:rsidRPr="00310498">
        <w:t>the estimates presented were not informative as:</w:t>
      </w:r>
      <w:bookmarkEnd w:id="88"/>
    </w:p>
    <w:p w14:paraId="7DC74247" w14:textId="0E57EA37" w:rsidR="00485DF5" w:rsidRPr="00310498" w:rsidRDefault="00485DF5" w:rsidP="003E1068">
      <w:pPr>
        <w:pStyle w:val="ListParagraph"/>
        <w:numPr>
          <w:ilvl w:val="0"/>
          <w:numId w:val="10"/>
        </w:numPr>
        <w:ind w:left="993"/>
        <w:jc w:val="both"/>
      </w:pPr>
      <w:r w:rsidRPr="00310498">
        <w:t xml:space="preserve">A significant proportion of patients were not included in the usage estimates </w:t>
      </w:r>
      <w:r w:rsidR="00C678D6" w:rsidRPr="00310498">
        <w:t>al</w:t>
      </w:r>
      <w:r w:rsidRPr="00310498">
        <w:t xml:space="preserve">though they were calculated as eligible patients, leading to a gross underestimation of the utilisation and cost associated with durvalumab and olaparib. These </w:t>
      </w:r>
      <w:r w:rsidR="00FE53A3" w:rsidRPr="00310498">
        <w:t xml:space="preserve">following </w:t>
      </w:r>
      <w:r w:rsidRPr="00310498">
        <w:t>patient</w:t>
      </w:r>
      <w:r w:rsidR="00FE53A3" w:rsidRPr="00310498">
        <w:t xml:space="preserve"> groups</w:t>
      </w:r>
      <w:r w:rsidRPr="00310498">
        <w:t xml:space="preserve"> </w:t>
      </w:r>
      <w:r w:rsidR="00FE53A3" w:rsidRPr="00310498">
        <w:t xml:space="preserve">were not </w:t>
      </w:r>
      <w:r w:rsidRPr="00310498">
        <w:t>included</w:t>
      </w:r>
      <w:r w:rsidR="00FE53A3" w:rsidRPr="00310498">
        <w:t xml:space="preserve"> in the financial estimates</w:t>
      </w:r>
      <w:r w:rsidRPr="00310498">
        <w:t>:</w:t>
      </w:r>
    </w:p>
    <w:p w14:paraId="6046A244" w14:textId="29650DB2" w:rsidR="00485DF5" w:rsidRPr="00310498" w:rsidRDefault="00485DF5" w:rsidP="003E1068">
      <w:pPr>
        <w:pStyle w:val="ListParagraph"/>
        <w:numPr>
          <w:ilvl w:val="1"/>
          <w:numId w:val="10"/>
        </w:numPr>
        <w:jc w:val="both"/>
      </w:pPr>
      <w:r w:rsidRPr="00310498">
        <w:t>dMMR patients with stage III/IV unresectable EC, treated with durvalumab + PC (duration of treatment</w:t>
      </w:r>
      <w:r w:rsidR="00BB1831" w:rsidRPr="00310498">
        <w:t xml:space="preserve"> group</w:t>
      </w:r>
      <w:r w:rsidRPr="00310498">
        <w:t xml:space="preserve"> [DTG] 2);</w:t>
      </w:r>
    </w:p>
    <w:p w14:paraId="10CBE9F1" w14:textId="77777777" w:rsidR="00485DF5" w:rsidRPr="00310498" w:rsidRDefault="00485DF5" w:rsidP="003E1068">
      <w:pPr>
        <w:pStyle w:val="ListParagraph"/>
        <w:numPr>
          <w:ilvl w:val="1"/>
          <w:numId w:val="10"/>
        </w:numPr>
        <w:jc w:val="both"/>
      </w:pPr>
      <w:r w:rsidRPr="00310498">
        <w:t>pMMR patients with stage III/IV unresectable EC, treated with durvalumab + PC + olaparib (DTG 4);</w:t>
      </w:r>
    </w:p>
    <w:p w14:paraId="79DA70DA" w14:textId="23ED9249" w:rsidR="00485DF5" w:rsidRPr="00310498" w:rsidRDefault="00485DF5" w:rsidP="003E1068">
      <w:pPr>
        <w:pStyle w:val="ListParagraph"/>
        <w:numPr>
          <w:ilvl w:val="1"/>
          <w:numId w:val="10"/>
        </w:numPr>
        <w:jc w:val="both"/>
      </w:pPr>
      <w:r w:rsidRPr="00310498">
        <w:lastRenderedPageBreak/>
        <w:t xml:space="preserve">pMMR patients with stage I, II or III </w:t>
      </w:r>
      <w:r w:rsidR="00AD14A1" w:rsidRPr="00310498">
        <w:t xml:space="preserve">EC </w:t>
      </w:r>
      <w:r w:rsidRPr="00310498">
        <w:t>with recurrence, treated with durvalumab + PC (DTG 5); and</w:t>
      </w:r>
    </w:p>
    <w:p w14:paraId="4C286523" w14:textId="77777777" w:rsidR="00485DF5" w:rsidRPr="00310498" w:rsidRDefault="00485DF5" w:rsidP="003E1068">
      <w:pPr>
        <w:pStyle w:val="ListParagraph"/>
        <w:numPr>
          <w:ilvl w:val="1"/>
          <w:numId w:val="10"/>
        </w:numPr>
        <w:jc w:val="both"/>
      </w:pPr>
      <w:r w:rsidRPr="00310498">
        <w:t>pMMR patients with stage III/IV unresectable EC, treated with durvalumab + PC (DTG 6).</w:t>
      </w:r>
    </w:p>
    <w:p w14:paraId="47D85369" w14:textId="2161C9D3" w:rsidR="000E2A3D" w:rsidRPr="00310498" w:rsidRDefault="000E2A3D" w:rsidP="006B3947">
      <w:pPr>
        <w:spacing w:after="120"/>
        <w:ind w:left="1080"/>
      </w:pPr>
      <w:r w:rsidRPr="00310498">
        <w:t>The PSCR acknowledged</w:t>
      </w:r>
      <w:r w:rsidR="00384419" w:rsidRPr="00310498">
        <w:t xml:space="preserve"> </w:t>
      </w:r>
      <w:r w:rsidR="00184499" w:rsidRPr="00310498">
        <w:t xml:space="preserve"> </w:t>
      </w:r>
      <w:r w:rsidR="00FB45E5" w:rsidRPr="00310498">
        <w:t xml:space="preserve">that </w:t>
      </w:r>
      <w:r w:rsidR="00184499" w:rsidRPr="00310498">
        <w:t xml:space="preserve">the above subgroups </w:t>
      </w:r>
      <w:r w:rsidR="00FB45E5" w:rsidRPr="00310498">
        <w:t>were omitted</w:t>
      </w:r>
      <w:r w:rsidRPr="00310498">
        <w:t xml:space="preserve"> and corrected the </w:t>
      </w:r>
      <w:r w:rsidR="00FB45E5" w:rsidRPr="00310498">
        <w:t>error</w:t>
      </w:r>
      <w:r w:rsidR="002E3B59" w:rsidRPr="00310498">
        <w:t>s</w:t>
      </w:r>
      <w:r w:rsidR="00FB45E5" w:rsidRPr="00310498">
        <w:t xml:space="preserve"> in </w:t>
      </w:r>
      <w:r w:rsidR="002E3B59" w:rsidRPr="00310498">
        <w:t>a</w:t>
      </w:r>
      <w:r w:rsidR="00FB45E5" w:rsidRPr="00310498">
        <w:t xml:space="preserve"> revised workbook</w:t>
      </w:r>
      <w:r w:rsidR="009B3748" w:rsidRPr="00310498">
        <w:t>.</w:t>
      </w:r>
    </w:p>
    <w:p w14:paraId="44BCD8FD" w14:textId="77777777" w:rsidR="00485DF5" w:rsidRPr="00310498" w:rsidRDefault="00485DF5" w:rsidP="003E1068">
      <w:pPr>
        <w:pStyle w:val="ListParagraph"/>
        <w:numPr>
          <w:ilvl w:val="0"/>
          <w:numId w:val="10"/>
        </w:numPr>
        <w:ind w:left="993"/>
        <w:jc w:val="both"/>
      </w:pPr>
      <w:r w:rsidRPr="00310498">
        <w:t>Cost offsets were not applied:</w:t>
      </w:r>
    </w:p>
    <w:p w14:paraId="1BDD439F" w14:textId="6C470160" w:rsidR="00485DF5" w:rsidRPr="00310498" w:rsidRDefault="007D7E3E" w:rsidP="003E1068">
      <w:pPr>
        <w:pStyle w:val="ListParagraph"/>
        <w:numPr>
          <w:ilvl w:val="1"/>
          <w:numId w:val="10"/>
        </w:numPr>
        <w:jc w:val="both"/>
      </w:pPr>
      <w:r>
        <w:t xml:space="preserve">dMMR: </w:t>
      </w:r>
      <w:r w:rsidR="00485DF5" w:rsidRPr="00310498">
        <w:t xml:space="preserve">While </w:t>
      </w:r>
      <w:r w:rsidR="00350151" w:rsidRPr="00310498">
        <w:t>a</w:t>
      </w:r>
      <w:r w:rsidR="00485DF5" w:rsidRPr="00310498">
        <w:t xml:space="preserve"> reduction in the number of scripts of dostarlimab in dMMR EC patients was estimated, this was not estimated accurately, and the costs were not calculated nor included as offsets</w:t>
      </w:r>
      <w:r w:rsidR="00184499" w:rsidRPr="00310498">
        <w:t xml:space="preserve">. </w:t>
      </w:r>
      <w:r w:rsidR="00FB45E5" w:rsidRPr="00310498">
        <w:t>T</w:t>
      </w:r>
      <w:r w:rsidR="00184499" w:rsidRPr="00310498">
        <w:t>he PSCR stated</w:t>
      </w:r>
      <w:r w:rsidR="00384419" w:rsidRPr="00310498">
        <w:t xml:space="preserve"> </w:t>
      </w:r>
      <w:r w:rsidR="00184499" w:rsidRPr="00310498">
        <w:t>that the submission did not present the treatment cost-offsets (only the MBS offsets to account for the difference in administration) because the PBS listing of durvalumab would be cost neutral to Government if the PBAC accepts the CMA in the dMMR population</w:t>
      </w:r>
      <w:r>
        <w:t xml:space="preserve">. The cost-offsets </w:t>
      </w:r>
      <w:r w:rsidR="008C4E50">
        <w:t xml:space="preserve">for dostarlimab </w:t>
      </w:r>
      <w:r>
        <w:t>were included in the PSCR’s revised financial estimates</w:t>
      </w:r>
      <w:r w:rsidR="00485DF5" w:rsidRPr="00310498">
        <w:t>; and</w:t>
      </w:r>
    </w:p>
    <w:p w14:paraId="54D24704" w14:textId="7B0CA314" w:rsidR="00184499" w:rsidRPr="00310498" w:rsidRDefault="007D7E3E" w:rsidP="003E1068">
      <w:pPr>
        <w:pStyle w:val="ListParagraph"/>
        <w:numPr>
          <w:ilvl w:val="1"/>
          <w:numId w:val="10"/>
        </w:numPr>
        <w:jc w:val="both"/>
      </w:pPr>
      <w:r>
        <w:t xml:space="preserve">pMMR: </w:t>
      </w:r>
      <w:r w:rsidR="00485DF5" w:rsidRPr="00310498">
        <w:t>The submission appear</w:t>
      </w:r>
      <w:r w:rsidR="00FB45E5" w:rsidRPr="00310498">
        <w:t>ed</w:t>
      </w:r>
      <w:r w:rsidR="00485DF5" w:rsidRPr="00310498">
        <w:t xml:space="preserve"> to have estimated the cost offsets associated with potential reduction in </w:t>
      </w:r>
      <w:r w:rsidR="00E45771" w:rsidRPr="00310498">
        <w:t>2L</w:t>
      </w:r>
      <w:r w:rsidR="00485DF5" w:rsidRPr="00310498">
        <w:t xml:space="preserve"> pembrolizumab and lenvatinib use. However, the assumptions and inputs behind the estimation were not fully described (e.g. it was unclear what dosage assumptions were used) so could not be independently verified, and these offsets were not included by the submission in the overall financial estimates. </w:t>
      </w:r>
      <w:r w:rsidR="00184499" w:rsidRPr="00310498">
        <w:t>The PSCR confirmed that these cost offsets were estimated based on</w:t>
      </w:r>
      <w:r w:rsidR="00EB46B3" w:rsidRPr="00310498">
        <w:t xml:space="preserve"> a</w:t>
      </w:r>
      <w:r w:rsidR="00184499" w:rsidRPr="00310498">
        <w:t xml:space="preserve"> reduction </w:t>
      </w:r>
      <w:r w:rsidR="00EB46B3" w:rsidRPr="00310498">
        <w:t xml:space="preserve">in utilisation of </w:t>
      </w:r>
      <w:r w:rsidR="00184499" w:rsidRPr="00310498">
        <w:t>pembrolizumab and lenvatinib in 2L pMMR EC should durvalumab and olaparib be PBS listed in the proposed pMMR population</w:t>
      </w:r>
      <w:r w:rsidR="00FB45E5" w:rsidRPr="00310498">
        <w:t>. The revised estimates provided with the PSCR incorporated cost offsets associated with reduced 2L pembrolizumab and lenvatinib use.</w:t>
      </w:r>
      <w:r w:rsidR="00184499" w:rsidRPr="00310498">
        <w:t xml:space="preserve"> </w:t>
      </w:r>
    </w:p>
    <w:p w14:paraId="1AC6A525" w14:textId="3DE99EEF" w:rsidR="00485DF5" w:rsidRPr="00310498" w:rsidRDefault="00240093" w:rsidP="7EE24840">
      <w:pPr>
        <w:pStyle w:val="ListParagraph"/>
        <w:ind w:left="993"/>
        <w:jc w:val="both"/>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485DF5" w:rsidRPr="00310498">
        <w:t xml:space="preserve"> </w:t>
      </w:r>
      <w:bookmarkStart w:id="89" w:name="_Ref196749665"/>
      <w:r w:rsidR="00D80A8F">
        <w:rPr>
          <w:rStyle w:val="FootnoteReference"/>
        </w:rPr>
        <w:footnoteReference w:id="16"/>
      </w:r>
      <w:bookmarkEnd w:id="89"/>
    </w:p>
    <w:p w14:paraId="51BA4BA4" w14:textId="24E146E7" w:rsidR="00485DF5" w:rsidRPr="00310498" w:rsidRDefault="00240093" w:rsidP="7EE24840">
      <w:pPr>
        <w:pStyle w:val="ListParagraph"/>
        <w:ind w:left="993"/>
        <w:jc w:val="both"/>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C05369" w:rsidRPr="7EE24840">
        <w:rPr>
          <w:color w:val="000000" w:themeColor="text1"/>
        </w:rPr>
        <w:t>|</w:t>
      </w:r>
      <w:r w:rsidR="00C05369">
        <w:t xml:space="preserve"> </w:t>
      </w:r>
      <w:r w:rsidR="00C05369" w:rsidRPr="7EE24840">
        <w:rPr>
          <w:color w:val="000000" w:themeColor="text1"/>
        </w:rPr>
        <w:t>|</w:t>
      </w:r>
      <w:r w:rsidR="00C05369">
        <w:t xml:space="preserve"> </w:t>
      </w:r>
      <w:r w:rsidR="00C05369" w:rsidRPr="7EE24840">
        <w:rPr>
          <w:color w:val="000000" w:themeColor="text1"/>
        </w:rPr>
        <w:t>|</w:t>
      </w:r>
      <w:r w:rsidR="00C05369">
        <w:t xml:space="preserve"> </w:t>
      </w:r>
      <w:r w:rsidR="00C05369" w:rsidRPr="7EE24840">
        <w:rPr>
          <w:color w:val="000000" w:themeColor="text1"/>
        </w:rPr>
        <w:t>|</w:t>
      </w:r>
      <w:r w:rsidR="00C05369">
        <w:t xml:space="preserve"> </w:t>
      </w:r>
      <w:r w:rsidR="00C05369" w:rsidRPr="7EE24840">
        <w:rPr>
          <w:color w:val="000000" w:themeColor="text1"/>
        </w:rPr>
        <w:t>||</w:t>
      </w:r>
      <w:r w:rsidR="00C05369">
        <w:t xml:space="preserve"> </w:t>
      </w:r>
      <w:r w:rsidR="00C05369" w:rsidRPr="7EE24840">
        <w:rPr>
          <w:color w:val="000000" w:themeColor="text1"/>
        </w:rPr>
        <w:t>|</w:t>
      </w:r>
      <w:r w:rsidR="00C05369">
        <w:t xml:space="preserve"> </w:t>
      </w:r>
      <w:r w:rsidR="00C05369" w:rsidRPr="7EE24840">
        <w:rPr>
          <w:color w:val="000000" w:themeColor="text1"/>
        </w:rPr>
        <w:t>|</w:t>
      </w:r>
      <w:r w:rsidR="00C05369">
        <w:t xml:space="preserve"> </w:t>
      </w:r>
      <w:r w:rsidR="00C05369" w:rsidRPr="7EE24840">
        <w:rPr>
          <w:color w:val="000000" w:themeColor="text1"/>
        </w:rPr>
        <w:t>|</w:t>
      </w:r>
      <w:r w:rsidR="00C05369">
        <w:t xml:space="preserve"> </w:t>
      </w:r>
      <w:r w:rsidR="00C05369" w:rsidRPr="7EE24840">
        <w:rPr>
          <w:color w:val="000000" w:themeColor="text1"/>
        </w:rPr>
        <w:t>|</w:t>
      </w:r>
      <w:r w:rsidR="00485DF5" w:rsidRPr="00310498">
        <w:t xml:space="preserve">; </w:t>
      </w:r>
      <w:r w:rsidR="00312BBA" w:rsidRPr="00312BBA">
        <w:rPr>
          <w:vertAlign w:val="superscript"/>
        </w:rPr>
        <w:fldChar w:fldCharType="begin" w:fldLock="1"/>
      </w:r>
      <w:r w:rsidR="00312BBA" w:rsidRPr="00312BBA">
        <w:rPr>
          <w:vertAlign w:val="superscript"/>
        </w:rPr>
        <w:instrText xml:space="preserve"> NOTEREF _Ref196749665 \h </w:instrText>
      </w:r>
      <w:r w:rsidR="00312BBA">
        <w:rPr>
          <w:vertAlign w:val="superscript"/>
        </w:rPr>
        <w:instrText xml:space="preserve"> \* MERGEFORMAT </w:instrText>
      </w:r>
      <w:r w:rsidR="00312BBA" w:rsidRPr="00312BBA">
        <w:rPr>
          <w:vertAlign w:val="superscript"/>
        </w:rPr>
      </w:r>
      <w:r w:rsidR="00312BBA" w:rsidRPr="00312BBA">
        <w:rPr>
          <w:vertAlign w:val="superscript"/>
        </w:rPr>
        <w:fldChar w:fldCharType="separate"/>
      </w:r>
      <w:r w:rsidR="00312BBA" w:rsidRPr="00312BBA">
        <w:rPr>
          <w:vertAlign w:val="superscript"/>
        </w:rPr>
        <w:t>15</w:t>
      </w:r>
      <w:r w:rsidR="00312BBA" w:rsidRPr="00312BBA">
        <w:rPr>
          <w:vertAlign w:val="superscript"/>
        </w:rPr>
        <w:fldChar w:fldCharType="end"/>
      </w:r>
    </w:p>
    <w:p w14:paraId="72F4AC31" w14:textId="36F29C1D" w:rsidR="00485DF5" w:rsidRPr="00310498" w:rsidRDefault="00485DF5" w:rsidP="003E1068">
      <w:pPr>
        <w:pStyle w:val="ListParagraph"/>
        <w:numPr>
          <w:ilvl w:val="0"/>
          <w:numId w:val="10"/>
        </w:numPr>
        <w:ind w:left="993"/>
        <w:jc w:val="both"/>
      </w:pPr>
      <w:r w:rsidRPr="00310498">
        <w:t xml:space="preserve">The duration of treatment for durvalumab was not consistent with the </w:t>
      </w:r>
      <w:r w:rsidR="007D7E3E" w:rsidRPr="00310498">
        <w:t>CMA (for dMMR</w:t>
      </w:r>
      <w:r w:rsidR="007D7E3E">
        <w:t>)</w:t>
      </w:r>
      <w:r w:rsidR="007D7E3E" w:rsidRPr="00310498">
        <w:t xml:space="preserve"> </w:t>
      </w:r>
      <w:r w:rsidR="007D7E3E">
        <w:t xml:space="preserve">or the </w:t>
      </w:r>
      <w:r w:rsidRPr="00310498">
        <w:t>CUA (for pMMR):</w:t>
      </w:r>
    </w:p>
    <w:p w14:paraId="2F7EB6EF" w14:textId="244950B8" w:rsidR="00485DF5" w:rsidRPr="00310498" w:rsidRDefault="007D7E3E" w:rsidP="003E1068">
      <w:pPr>
        <w:pStyle w:val="ListParagraph"/>
        <w:numPr>
          <w:ilvl w:val="1"/>
          <w:numId w:val="10"/>
        </w:numPr>
        <w:jc w:val="both"/>
      </w:pPr>
      <w:r>
        <w:t xml:space="preserve">dMMR: </w:t>
      </w:r>
      <w:r w:rsidR="00485DF5" w:rsidRPr="00310498">
        <w:t>The</w:t>
      </w:r>
      <w:r>
        <w:t xml:space="preserve"> submission’s</w:t>
      </w:r>
      <w:r w:rsidR="00485DF5" w:rsidRPr="00310498">
        <w:t xml:space="preserve"> financial estimates assumed a treatment duration of 5 months for initiation </w:t>
      </w:r>
      <w:r w:rsidR="00875359" w:rsidRPr="00310498">
        <w:t>and</w:t>
      </w:r>
      <w:r w:rsidR="00485DF5" w:rsidRPr="00310498">
        <w:t xml:space="preserve"> 18 months in the maintenance phase for dMMR patients. This corresponds to 7.22 doses for initiation (compared to 5.1 </w:t>
      </w:r>
      <w:r w:rsidR="00DA0EA9" w:rsidRPr="00310498">
        <w:t>dose</w:t>
      </w:r>
      <w:r w:rsidR="00AF357F" w:rsidRPr="00310498">
        <w:t xml:space="preserve">s </w:t>
      </w:r>
      <w:r w:rsidR="00485DF5" w:rsidRPr="00310498">
        <w:t xml:space="preserve">assumed in the CMA and </w:t>
      </w:r>
      <w:r w:rsidR="00EB440A" w:rsidRPr="00310498">
        <w:t xml:space="preserve">a maximum of </w:t>
      </w:r>
      <w:r w:rsidR="00485DF5" w:rsidRPr="00310498">
        <w:t xml:space="preserve">6 cycles in the draft PI) and 19.5 doses for maintenance (compared to 18 </w:t>
      </w:r>
      <w:r w:rsidR="00DA0EA9" w:rsidRPr="00310498">
        <w:t xml:space="preserve">doses </w:t>
      </w:r>
      <w:r w:rsidR="00485DF5" w:rsidRPr="00310498">
        <w:t xml:space="preserve">assumed in the CMA), leading to an </w:t>
      </w:r>
      <w:r w:rsidR="00485DF5" w:rsidRPr="00310498">
        <w:lastRenderedPageBreak/>
        <w:t>overestimate of durvalumab usage in the dMMR population</w:t>
      </w:r>
      <w:r>
        <w:t xml:space="preserve">. This was amended in the PSCR to </w:t>
      </w:r>
      <w:r w:rsidR="001C69CD">
        <w:t>be consistent with the assumptions applied in the submission’s CMA</w:t>
      </w:r>
      <w:r w:rsidR="00485DF5" w:rsidRPr="00310498">
        <w:t>; and</w:t>
      </w:r>
    </w:p>
    <w:p w14:paraId="2B3CAE4A" w14:textId="3188E6EC" w:rsidR="00485DF5" w:rsidRPr="00310498" w:rsidRDefault="00C05369" w:rsidP="003E1068">
      <w:pPr>
        <w:pStyle w:val="ListParagraph"/>
        <w:numPr>
          <w:ilvl w:val="1"/>
          <w:numId w:val="10"/>
        </w:numPr>
        <w:jc w:val="both"/>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Pr="00A27FA9">
        <w:t xml:space="preserve"> </w:t>
      </w:r>
      <w:r w:rsidR="00312BBA">
        <w:rPr>
          <w:rStyle w:val="FootnoteReference"/>
        </w:rPr>
        <w:footnoteReference w:id="17"/>
      </w:r>
    </w:p>
    <w:p w14:paraId="51F720F4" w14:textId="078342FF" w:rsidR="00485DF5" w:rsidRPr="00310498" w:rsidRDefault="00485DF5" w:rsidP="003E1068">
      <w:pPr>
        <w:pStyle w:val="ListParagraph"/>
        <w:numPr>
          <w:ilvl w:val="0"/>
          <w:numId w:val="10"/>
        </w:numPr>
        <w:ind w:left="993"/>
        <w:jc w:val="both"/>
      </w:pPr>
      <w:r w:rsidRPr="00310498">
        <w:t>Resource cost</w:t>
      </w:r>
      <w:r w:rsidR="00E7094D" w:rsidRPr="00310498">
        <w:t>s</w:t>
      </w:r>
      <w:r w:rsidRPr="00310498">
        <w:t xml:space="preserve"> (distribution fee, diluent fee, preparation fee and dispensing fees) in </w:t>
      </w:r>
      <w:r w:rsidR="00C11118" w:rsidRPr="00310498">
        <w:t xml:space="preserve">the </w:t>
      </w:r>
      <w:r w:rsidRPr="00310498">
        <w:t xml:space="preserve">initiation </w:t>
      </w:r>
      <w:r w:rsidR="00C11118" w:rsidRPr="00310498">
        <w:t xml:space="preserve">phases </w:t>
      </w:r>
      <w:r w:rsidRPr="00310498">
        <w:t xml:space="preserve">of durvalumab </w:t>
      </w:r>
      <w:r w:rsidR="00E7094D" w:rsidRPr="00310498">
        <w:t xml:space="preserve">were </w:t>
      </w:r>
      <w:r w:rsidRPr="00310498">
        <w:t>double counted, overestimating the financial impact; and</w:t>
      </w:r>
    </w:p>
    <w:p w14:paraId="10B802D7" w14:textId="77777777" w:rsidR="00485DF5" w:rsidRPr="00310498" w:rsidRDefault="00485DF5" w:rsidP="003E1068">
      <w:pPr>
        <w:pStyle w:val="ListParagraph"/>
        <w:numPr>
          <w:ilvl w:val="0"/>
          <w:numId w:val="10"/>
        </w:numPr>
        <w:ind w:left="993"/>
        <w:jc w:val="both"/>
      </w:pPr>
      <w:r w:rsidRPr="00310498">
        <w:t>MBS items were not accurately estimated:</w:t>
      </w:r>
    </w:p>
    <w:p w14:paraId="7E51AF8B" w14:textId="5B200CF7" w:rsidR="00485DF5" w:rsidRPr="00310498" w:rsidRDefault="00485DF5" w:rsidP="003E1068">
      <w:pPr>
        <w:pStyle w:val="ListParagraph"/>
        <w:numPr>
          <w:ilvl w:val="1"/>
          <w:numId w:val="10"/>
        </w:numPr>
        <w:jc w:val="both"/>
      </w:pPr>
      <w:r w:rsidRPr="00310498">
        <w:t xml:space="preserve">In dMMR patients, an incremental difference of six injections compared to dostarlimab was assumed, which </w:t>
      </w:r>
      <w:r w:rsidR="00154E78" w:rsidRPr="00310498">
        <w:t>appear</w:t>
      </w:r>
      <w:r w:rsidR="00154E78">
        <w:t>ed</w:t>
      </w:r>
      <w:r w:rsidR="00154E78" w:rsidRPr="00310498">
        <w:t xml:space="preserve"> </w:t>
      </w:r>
      <w:r w:rsidRPr="00310498">
        <w:t>to be based on the CMA</w:t>
      </w:r>
      <w:r w:rsidR="00154E78">
        <w:t xml:space="preserve"> rather than the treatment duration estimates in the submission’s financial estimates. </w:t>
      </w:r>
      <w:r w:rsidR="00184499" w:rsidRPr="00310498">
        <w:t xml:space="preserve">The PSCR acknowledged the differences in the treatment duration of durvalumab and dostarlimab in the dMMR population between the CMA and the financial estimates, due to the financial estimates </w:t>
      </w:r>
      <w:r w:rsidR="00FB45E5" w:rsidRPr="00310498">
        <w:t>applying a mean duration of 88.94 weeks to</w:t>
      </w:r>
      <w:r w:rsidR="00184499" w:rsidRPr="00310498">
        <w:t xml:space="preserve"> align</w:t>
      </w:r>
      <w:r w:rsidR="00FB45E5" w:rsidRPr="00310498">
        <w:t xml:space="preserve"> with</w:t>
      </w:r>
      <w:r w:rsidR="00184499" w:rsidRPr="00310498">
        <w:t xml:space="preserve"> </w:t>
      </w:r>
      <w:r w:rsidR="00FB45E5" w:rsidRPr="00310498">
        <w:t>those accepted for dostarlimab (</w:t>
      </w:r>
      <w:r w:rsidR="00184499" w:rsidRPr="00310498">
        <w:t>Table 18, dostarlimab PSD, November 2023 PBAC meeting</w:t>
      </w:r>
      <w:r w:rsidR="00FB45E5" w:rsidRPr="00310498">
        <w:t>)</w:t>
      </w:r>
      <w:r w:rsidRPr="00310498">
        <w:t>;</w:t>
      </w:r>
    </w:p>
    <w:p w14:paraId="1EC8659A" w14:textId="25988C8B" w:rsidR="00485DF5" w:rsidRPr="00310498" w:rsidRDefault="00154E78" w:rsidP="003E1068">
      <w:pPr>
        <w:pStyle w:val="ListParagraph"/>
        <w:numPr>
          <w:ilvl w:val="1"/>
          <w:numId w:val="10"/>
        </w:numPr>
        <w:jc w:val="both"/>
      </w:pPr>
      <w:r>
        <w:t xml:space="preserve">pMMR: </w:t>
      </w:r>
      <w:r w:rsidR="00485DF5" w:rsidRPr="00310498">
        <w:t xml:space="preserve">The administration costs for grandfathered patients were not included. </w:t>
      </w:r>
    </w:p>
    <w:p w14:paraId="6F91BE4F" w14:textId="4A362378" w:rsidR="00485DF5" w:rsidRPr="00310498" w:rsidRDefault="00485DF5" w:rsidP="00485DF5">
      <w:pPr>
        <w:pStyle w:val="3-BodyText"/>
      </w:pPr>
      <w:r w:rsidRPr="00310498">
        <w:t xml:space="preserve">The submission adopted an epidemiological approach for both dMMR and pMMR. The data sources, parameters and assumptions used to estimate the financial impact of listing durvalumab and olaparib for 1L A/R EC are summarised in </w:t>
      </w:r>
      <w:r w:rsidRPr="00310498">
        <w:fldChar w:fldCharType="begin" w:fldLock="1"/>
      </w:r>
      <w:r w:rsidRPr="00310498">
        <w:instrText xml:space="preserve"> REF _Ref174914062 \h </w:instrText>
      </w:r>
      <w:r w:rsidR="00944CE7" w:rsidRPr="00310498">
        <w:instrText xml:space="preserve"> \* MERGEFORMAT </w:instrText>
      </w:r>
      <w:r w:rsidRPr="00310498">
        <w:fldChar w:fldCharType="separate"/>
      </w:r>
      <w:r w:rsidR="002C52D8" w:rsidRPr="00310498">
        <w:t xml:space="preserve">Table </w:t>
      </w:r>
      <w:r w:rsidR="002C52D8">
        <w:rPr>
          <w:noProof/>
        </w:rPr>
        <w:t>28</w:t>
      </w:r>
      <w:r w:rsidRPr="00310498">
        <w:fldChar w:fldCharType="end"/>
      </w:r>
      <w:r w:rsidRPr="00310498">
        <w:t>.</w:t>
      </w:r>
    </w:p>
    <w:p w14:paraId="453EBEB5" w14:textId="286C0816" w:rsidR="00485DF5" w:rsidRPr="00310498" w:rsidRDefault="00485DF5" w:rsidP="002A7EAA">
      <w:pPr>
        <w:pStyle w:val="Caption"/>
        <w:spacing w:before="240"/>
        <w:rPr>
          <w:rStyle w:val="CommentReference"/>
          <w:b/>
          <w:bCs w:val="0"/>
        </w:rPr>
      </w:pPr>
      <w:bookmarkStart w:id="90" w:name="_Ref174914062"/>
      <w:bookmarkStart w:id="91" w:name="_Hlk179305319"/>
      <w:r w:rsidRPr="00310498">
        <w:lastRenderedPageBreak/>
        <w:t xml:space="preserve">Table </w:t>
      </w:r>
      <w:r w:rsidR="00F267A0" w:rsidRPr="00310498">
        <w:fldChar w:fldCharType="begin" w:fldLock="1"/>
      </w:r>
      <w:r w:rsidR="00F267A0" w:rsidRPr="00310498">
        <w:instrText xml:space="preserve"> SEQ Table \* ARABIC </w:instrText>
      </w:r>
      <w:r w:rsidR="00F267A0" w:rsidRPr="00310498">
        <w:fldChar w:fldCharType="separate"/>
      </w:r>
      <w:r w:rsidR="002C52D8">
        <w:rPr>
          <w:noProof/>
        </w:rPr>
        <w:t>28</w:t>
      </w:r>
      <w:r w:rsidR="00F267A0" w:rsidRPr="00310498">
        <w:rPr>
          <w:noProof/>
        </w:rPr>
        <w:fldChar w:fldCharType="end"/>
      </w:r>
      <w:bookmarkEnd w:id="90"/>
      <w:r w:rsidRPr="00310498">
        <w:rPr>
          <w:rStyle w:val="CommentReference"/>
          <w:b/>
          <w:bCs w:val="0"/>
        </w:rPr>
        <w:t xml:space="preserve">: </w:t>
      </w:r>
      <w:r w:rsidRPr="00310498">
        <w:rPr>
          <w:rStyle w:val="CommentReference"/>
          <w:b/>
          <w:bCs w:val="0"/>
          <w:szCs w:val="24"/>
        </w:rPr>
        <w:t>Key inputs for financial estimates</w:t>
      </w:r>
    </w:p>
    <w:tbl>
      <w:tblPr>
        <w:tblStyle w:val="AZTable"/>
        <w:tblW w:w="4944" w:type="pct"/>
        <w:tblLayout w:type="fixed"/>
        <w:tblLook w:val="04A0" w:firstRow="1" w:lastRow="0" w:firstColumn="1" w:lastColumn="0" w:noHBand="0" w:noVBand="1"/>
      </w:tblPr>
      <w:tblGrid>
        <w:gridCol w:w="1413"/>
        <w:gridCol w:w="1701"/>
        <w:gridCol w:w="2415"/>
        <w:gridCol w:w="3401"/>
        <w:gridCol w:w="9"/>
      </w:tblGrid>
      <w:tr w:rsidR="00485DF5" w:rsidRPr="00310498" w14:paraId="75CEC790" w14:textId="77777777" w:rsidTr="7EE24840">
        <w:trPr>
          <w:gridAfter w:val="1"/>
          <w:cnfStyle w:val="100000000000" w:firstRow="1" w:lastRow="0" w:firstColumn="0" w:lastColumn="0" w:oddVBand="0" w:evenVBand="0" w:oddHBand="0" w:evenHBand="0" w:firstRowFirstColumn="0" w:firstRowLastColumn="0" w:lastRowFirstColumn="0" w:lastRowLastColumn="0"/>
          <w:wAfter w:w="9" w:type="dxa"/>
          <w:cantSplit/>
          <w:tblHeader/>
        </w:trPr>
        <w:tc>
          <w:tcPr>
            <w:tcW w:w="1409" w:type="dxa"/>
            <w:shd w:val="clear" w:color="auto" w:fill="auto"/>
            <w:tcMar>
              <w:left w:w="20" w:type="dxa"/>
              <w:right w:w="20" w:type="dxa"/>
            </w:tcMar>
          </w:tcPr>
          <w:bookmarkEnd w:id="91"/>
          <w:p w14:paraId="1326EFB6" w14:textId="77777777" w:rsidR="00485DF5" w:rsidRPr="00310498" w:rsidRDefault="00485DF5" w:rsidP="002A7EAA">
            <w:pPr>
              <w:pStyle w:val="In-tableHeading"/>
              <w:rPr>
                <w:sz w:val="20"/>
                <w:szCs w:val="20"/>
                <w:lang w:val="en-AU"/>
              </w:rPr>
            </w:pPr>
            <w:r w:rsidRPr="00310498">
              <w:rPr>
                <w:sz w:val="20"/>
                <w:szCs w:val="20"/>
                <w:lang w:val="en-AU"/>
              </w:rPr>
              <w:t>Data</w:t>
            </w:r>
          </w:p>
        </w:tc>
        <w:tc>
          <w:tcPr>
            <w:tcW w:w="1697" w:type="dxa"/>
            <w:tcMar>
              <w:left w:w="20" w:type="dxa"/>
              <w:right w:w="20" w:type="dxa"/>
            </w:tcMar>
          </w:tcPr>
          <w:p w14:paraId="57C6D74E" w14:textId="66A8923B" w:rsidR="00485DF5" w:rsidRPr="00310498" w:rsidRDefault="00485DF5" w:rsidP="002A7EAA">
            <w:pPr>
              <w:pStyle w:val="In-tableHeading"/>
              <w:jc w:val="center"/>
              <w:rPr>
                <w:sz w:val="20"/>
                <w:szCs w:val="20"/>
                <w:lang w:val="en-AU"/>
              </w:rPr>
            </w:pPr>
            <w:r w:rsidRPr="00310498">
              <w:rPr>
                <w:sz w:val="20"/>
                <w:szCs w:val="20"/>
                <w:lang w:val="en-AU"/>
              </w:rPr>
              <w:t>Value</w:t>
            </w:r>
            <w:r w:rsidR="004116FA">
              <w:rPr>
                <w:sz w:val="20"/>
                <w:szCs w:val="20"/>
                <w:lang w:val="en-AU"/>
              </w:rPr>
              <w:t xml:space="preserve"> in the submission</w:t>
            </w:r>
          </w:p>
        </w:tc>
        <w:tc>
          <w:tcPr>
            <w:tcW w:w="2409" w:type="dxa"/>
            <w:shd w:val="clear" w:color="auto" w:fill="auto"/>
            <w:tcMar>
              <w:left w:w="20" w:type="dxa"/>
              <w:right w:w="20" w:type="dxa"/>
            </w:tcMar>
          </w:tcPr>
          <w:p w14:paraId="023EC267" w14:textId="77777777" w:rsidR="00485DF5" w:rsidRPr="00310498" w:rsidRDefault="00485DF5" w:rsidP="002A7EAA">
            <w:pPr>
              <w:pStyle w:val="In-tableHeading"/>
              <w:jc w:val="center"/>
              <w:rPr>
                <w:sz w:val="20"/>
                <w:szCs w:val="20"/>
                <w:lang w:val="en-AU"/>
              </w:rPr>
            </w:pPr>
            <w:r w:rsidRPr="00310498">
              <w:rPr>
                <w:sz w:val="20"/>
                <w:szCs w:val="20"/>
                <w:lang w:val="en-AU"/>
              </w:rPr>
              <w:t>Source</w:t>
            </w:r>
          </w:p>
        </w:tc>
        <w:tc>
          <w:tcPr>
            <w:tcW w:w="3392" w:type="dxa"/>
            <w:shd w:val="clear" w:color="auto" w:fill="auto"/>
            <w:tcMar>
              <w:left w:w="20" w:type="dxa"/>
              <w:right w:w="20" w:type="dxa"/>
            </w:tcMar>
          </w:tcPr>
          <w:p w14:paraId="3CB48E95" w14:textId="45ACE7AE" w:rsidR="00485DF5" w:rsidRPr="00310498" w:rsidRDefault="00485DF5" w:rsidP="002A7EAA">
            <w:pPr>
              <w:pStyle w:val="In-tableHeading"/>
              <w:jc w:val="center"/>
              <w:rPr>
                <w:sz w:val="20"/>
                <w:szCs w:val="20"/>
                <w:lang w:val="en-AU"/>
              </w:rPr>
            </w:pPr>
            <w:r w:rsidRPr="00310498">
              <w:rPr>
                <w:sz w:val="20"/>
                <w:szCs w:val="20"/>
                <w:lang w:val="en-AU"/>
              </w:rPr>
              <w:t>Comment</w:t>
            </w:r>
            <w:r w:rsidR="004116FA">
              <w:rPr>
                <w:sz w:val="20"/>
                <w:szCs w:val="20"/>
                <w:lang w:val="en-AU"/>
              </w:rPr>
              <w:t xml:space="preserve"> (including revisions made in the PSCR)</w:t>
            </w:r>
          </w:p>
        </w:tc>
      </w:tr>
      <w:tr w:rsidR="00485DF5" w:rsidRPr="00310498" w14:paraId="3A88D5B8" w14:textId="77777777" w:rsidTr="7EE24840">
        <w:trPr>
          <w:cantSplit/>
        </w:trPr>
        <w:tc>
          <w:tcPr>
            <w:tcW w:w="8916" w:type="dxa"/>
            <w:gridSpan w:val="5"/>
            <w:tcMar>
              <w:left w:w="20" w:type="dxa"/>
              <w:right w:w="20" w:type="dxa"/>
            </w:tcMar>
            <w:vAlign w:val="center"/>
          </w:tcPr>
          <w:p w14:paraId="18CAE390" w14:textId="77777777" w:rsidR="00485DF5" w:rsidRPr="00310498" w:rsidRDefault="00485DF5" w:rsidP="002A7EAA">
            <w:pPr>
              <w:pStyle w:val="Tabletext"/>
              <w:keepNext/>
            </w:pPr>
            <w:r w:rsidRPr="00310498">
              <w:t>Eligible population - dMMR + pMMR</w:t>
            </w:r>
          </w:p>
        </w:tc>
      </w:tr>
      <w:tr w:rsidR="00485DF5" w:rsidRPr="00310498" w14:paraId="07F7EE2B" w14:textId="77777777" w:rsidTr="7EE24840">
        <w:trPr>
          <w:gridAfter w:val="1"/>
          <w:wAfter w:w="9" w:type="dxa"/>
          <w:cantSplit/>
        </w:trPr>
        <w:tc>
          <w:tcPr>
            <w:tcW w:w="1409" w:type="dxa"/>
            <w:shd w:val="clear" w:color="auto" w:fill="auto"/>
            <w:tcMar>
              <w:left w:w="20" w:type="dxa"/>
              <w:right w:w="20" w:type="dxa"/>
            </w:tcMar>
            <w:vAlign w:val="center"/>
          </w:tcPr>
          <w:p w14:paraId="2E7BB57B" w14:textId="77777777" w:rsidR="00485DF5" w:rsidRPr="00310498" w:rsidRDefault="00485DF5" w:rsidP="002A7EAA">
            <w:pPr>
              <w:pStyle w:val="Tabletext"/>
              <w:keepNext/>
            </w:pPr>
            <w:r w:rsidRPr="00310498">
              <w:t>Incident EC patients</w:t>
            </w:r>
          </w:p>
        </w:tc>
        <w:tc>
          <w:tcPr>
            <w:tcW w:w="1697" w:type="dxa"/>
            <w:tcMar>
              <w:left w:w="20" w:type="dxa"/>
              <w:right w:w="20" w:type="dxa"/>
            </w:tcMar>
            <w:vAlign w:val="center"/>
          </w:tcPr>
          <w:p w14:paraId="5AEE0E04" w14:textId="77777777" w:rsidR="00485DF5" w:rsidRPr="00310498" w:rsidRDefault="00485DF5" w:rsidP="002A7EAA">
            <w:pPr>
              <w:pStyle w:val="Tabletext"/>
              <w:keepNext/>
            </w:pPr>
            <w:r w:rsidRPr="00310498">
              <w:t>Yr 1: 3,464</w:t>
            </w:r>
          </w:p>
          <w:p w14:paraId="799CA397" w14:textId="77777777" w:rsidR="00485DF5" w:rsidRPr="00310498" w:rsidRDefault="00485DF5" w:rsidP="002A7EAA">
            <w:pPr>
              <w:pStyle w:val="Tabletext"/>
              <w:keepNext/>
            </w:pPr>
            <w:r w:rsidRPr="00310498">
              <w:t>Yr 2: 3,568</w:t>
            </w:r>
          </w:p>
          <w:p w14:paraId="093CC687" w14:textId="77777777" w:rsidR="00485DF5" w:rsidRPr="00310498" w:rsidRDefault="00485DF5" w:rsidP="002A7EAA">
            <w:pPr>
              <w:pStyle w:val="Tabletext"/>
              <w:keepNext/>
            </w:pPr>
            <w:r w:rsidRPr="00310498">
              <w:t>Yr 3: 3,675</w:t>
            </w:r>
          </w:p>
          <w:p w14:paraId="7B98E774" w14:textId="77777777" w:rsidR="00485DF5" w:rsidRPr="00310498" w:rsidRDefault="00485DF5" w:rsidP="002A7EAA">
            <w:pPr>
              <w:pStyle w:val="Tabletext"/>
              <w:keepNext/>
            </w:pPr>
            <w:r w:rsidRPr="00310498">
              <w:t>Yr 4: 3,785</w:t>
            </w:r>
          </w:p>
          <w:p w14:paraId="33F4591C" w14:textId="77777777" w:rsidR="00485DF5" w:rsidRPr="00310498" w:rsidRDefault="00485DF5" w:rsidP="002A7EAA">
            <w:pPr>
              <w:pStyle w:val="Tabletext"/>
              <w:keepNext/>
            </w:pPr>
            <w:r w:rsidRPr="00310498">
              <w:t>Yr 5: 3,898</w:t>
            </w:r>
          </w:p>
          <w:p w14:paraId="400B4656" w14:textId="77777777" w:rsidR="00485DF5" w:rsidRPr="00310498" w:rsidRDefault="00485DF5" w:rsidP="002A7EAA">
            <w:pPr>
              <w:pStyle w:val="Tabletext"/>
              <w:keepNext/>
            </w:pPr>
            <w:r w:rsidRPr="00310498">
              <w:t>Yr 6: 4,015</w:t>
            </w:r>
          </w:p>
        </w:tc>
        <w:tc>
          <w:tcPr>
            <w:tcW w:w="2409" w:type="dxa"/>
            <w:shd w:val="clear" w:color="auto" w:fill="auto"/>
            <w:tcMar>
              <w:left w:w="20" w:type="dxa"/>
              <w:right w:w="20" w:type="dxa"/>
            </w:tcMar>
            <w:vAlign w:val="center"/>
          </w:tcPr>
          <w:p w14:paraId="0B962FCE" w14:textId="3609D9E6" w:rsidR="00485DF5" w:rsidRPr="00310498" w:rsidRDefault="00485DF5" w:rsidP="002A7EAA">
            <w:pPr>
              <w:pStyle w:val="Tabletext"/>
              <w:keepNext/>
            </w:pPr>
            <w:r w:rsidRPr="00310498">
              <w:t>AIHW 2023 Cancer Data in Australia was used to obtain all age-specific rates of uterine cancer</w:t>
            </w:r>
            <w:r w:rsidR="00CB4E2B" w:rsidRPr="00310498">
              <w:t xml:space="preserve"> </w:t>
            </w:r>
            <w:r w:rsidRPr="00310498">
              <w:rPr>
                <w:vertAlign w:val="superscript"/>
              </w:rPr>
              <w:t>a</w:t>
            </w:r>
            <w:r w:rsidR="00CB4E2B" w:rsidRPr="00310498">
              <w:t>.</w:t>
            </w:r>
            <w:r w:rsidRPr="00310498">
              <w:t xml:space="preserve"> This rate was then multiplied by the Australian female population (ABS population – 3222.0 Series B) to calculate annual incidence until 2023, after which a 3% annual growth rate was applied. Then the application of 95% (proportion of uterine cancer reported as EC) to derive the projected incidence of EC (as reported by Cancer Australia).</w:t>
            </w:r>
          </w:p>
        </w:tc>
        <w:tc>
          <w:tcPr>
            <w:tcW w:w="3392" w:type="dxa"/>
            <w:shd w:val="clear" w:color="auto" w:fill="auto"/>
            <w:tcMar>
              <w:left w:w="20" w:type="dxa"/>
              <w:right w:w="20" w:type="dxa"/>
            </w:tcMar>
            <w:vAlign w:val="center"/>
          </w:tcPr>
          <w:p w14:paraId="1BB4AE28" w14:textId="77777777" w:rsidR="00485DF5" w:rsidRPr="00310498" w:rsidRDefault="00485DF5" w:rsidP="002A7EAA">
            <w:pPr>
              <w:pStyle w:val="Tabletext"/>
              <w:keepNext/>
            </w:pPr>
            <w:r w:rsidRPr="00310498">
              <w:t>The estimated EC incidence was consistent with the figures presented for dostarlimab.</w:t>
            </w:r>
          </w:p>
          <w:p w14:paraId="7D89F078" w14:textId="77777777" w:rsidR="00485DF5" w:rsidRPr="00310498" w:rsidRDefault="00485DF5" w:rsidP="002A7EAA">
            <w:pPr>
              <w:pStyle w:val="Tabletext"/>
              <w:keepNext/>
            </w:pPr>
            <w:r w:rsidRPr="00310498">
              <w:t>The average growth rate of 3% and 95% proportion of EC were consistent with the dostarlimab submission (Table 20, dostarlimab PSD, November 2023 PBAC meeting).</w:t>
            </w:r>
          </w:p>
          <w:p w14:paraId="2FDB37C9" w14:textId="77777777" w:rsidR="00485DF5" w:rsidRPr="00310498" w:rsidRDefault="00485DF5" w:rsidP="002A7EAA">
            <w:pPr>
              <w:pStyle w:val="Tabletext"/>
              <w:keepNext/>
            </w:pPr>
            <w:r w:rsidRPr="00310498">
              <w:t xml:space="preserve">The ABS dataset could not be independently verified during the evaluation. </w:t>
            </w:r>
            <w:r w:rsidRPr="00310498">
              <w:rPr>
                <w:vertAlign w:val="superscript"/>
              </w:rPr>
              <w:t>b</w:t>
            </w:r>
          </w:p>
        </w:tc>
      </w:tr>
      <w:tr w:rsidR="00485DF5" w:rsidRPr="00310498" w14:paraId="177C0C2D" w14:textId="77777777" w:rsidTr="7EE24840">
        <w:trPr>
          <w:gridAfter w:val="1"/>
          <w:wAfter w:w="9" w:type="dxa"/>
          <w:cantSplit/>
        </w:trPr>
        <w:tc>
          <w:tcPr>
            <w:tcW w:w="1409" w:type="dxa"/>
            <w:shd w:val="clear" w:color="auto" w:fill="auto"/>
            <w:tcMar>
              <w:left w:w="20" w:type="dxa"/>
              <w:right w:w="20" w:type="dxa"/>
            </w:tcMar>
            <w:vAlign w:val="center"/>
          </w:tcPr>
          <w:p w14:paraId="4D789A6C" w14:textId="77777777" w:rsidR="00485DF5" w:rsidRPr="00310498" w:rsidRDefault="00485DF5">
            <w:pPr>
              <w:pStyle w:val="Tabletext"/>
            </w:pPr>
            <w:r w:rsidRPr="00310498">
              <w:t>Distribution of disease</w:t>
            </w:r>
          </w:p>
        </w:tc>
        <w:tc>
          <w:tcPr>
            <w:tcW w:w="1697" w:type="dxa"/>
            <w:tcMar>
              <w:left w:w="20" w:type="dxa"/>
              <w:right w:w="20" w:type="dxa"/>
            </w:tcMar>
            <w:vAlign w:val="center"/>
          </w:tcPr>
          <w:p w14:paraId="26C900EB" w14:textId="77777777" w:rsidR="00485DF5" w:rsidRPr="00310498" w:rsidRDefault="00485DF5">
            <w:pPr>
              <w:pStyle w:val="Tabletext"/>
            </w:pPr>
            <w:r w:rsidRPr="00310498">
              <w:t>Proportion with Stage I-II disease: 82.0%</w:t>
            </w:r>
          </w:p>
          <w:p w14:paraId="08350F7E" w14:textId="77777777" w:rsidR="00485DF5" w:rsidRPr="00310498" w:rsidRDefault="00485DF5">
            <w:pPr>
              <w:pStyle w:val="Tabletext"/>
            </w:pPr>
            <w:r w:rsidRPr="00310498">
              <w:t>Proportion with Stage III disease with curative intent: 8.0%</w:t>
            </w:r>
          </w:p>
          <w:p w14:paraId="769FF943" w14:textId="77777777" w:rsidR="00485DF5" w:rsidRPr="00310498" w:rsidRDefault="00485DF5">
            <w:pPr>
              <w:pStyle w:val="Tabletext"/>
            </w:pPr>
            <w:r w:rsidRPr="00310498">
              <w:t>Proportion with Stage III/IV unresectable disease: 10.0%</w:t>
            </w:r>
          </w:p>
        </w:tc>
        <w:tc>
          <w:tcPr>
            <w:tcW w:w="2409" w:type="dxa"/>
            <w:shd w:val="clear" w:color="auto" w:fill="auto"/>
            <w:tcMar>
              <w:left w:w="20" w:type="dxa"/>
              <w:right w:w="20" w:type="dxa"/>
            </w:tcMar>
            <w:vAlign w:val="center"/>
          </w:tcPr>
          <w:p w14:paraId="722A6AC9" w14:textId="77777777" w:rsidR="00485DF5" w:rsidRPr="00310498" w:rsidRDefault="00485DF5">
            <w:pPr>
              <w:pStyle w:val="Tabletext"/>
            </w:pPr>
            <w:r w:rsidRPr="00310498">
              <w:t>Table 20, dostarlimab PSD, November 2023 PBAC meeting</w:t>
            </w:r>
          </w:p>
          <w:p w14:paraId="604F8D24" w14:textId="77777777" w:rsidR="00485DF5" w:rsidRPr="00310498" w:rsidRDefault="00485DF5">
            <w:pPr>
              <w:pStyle w:val="Tabletext"/>
            </w:pPr>
            <w:r w:rsidRPr="00310498">
              <w:t>Original source referenced: Surveillance, Epidemiology, and End Results (SEER) database and clinician feedback, accepted by PBAC in the PEM submission (Table 15, pembrolizumab PSD, March 2022 meeting).</w:t>
            </w:r>
          </w:p>
        </w:tc>
        <w:tc>
          <w:tcPr>
            <w:tcW w:w="3392" w:type="dxa"/>
            <w:shd w:val="clear" w:color="auto" w:fill="auto"/>
            <w:tcMar>
              <w:left w:w="20" w:type="dxa"/>
              <w:right w:w="20" w:type="dxa"/>
            </w:tcMar>
            <w:vAlign w:val="center"/>
          </w:tcPr>
          <w:p w14:paraId="66E67C1C" w14:textId="6B684F9D" w:rsidR="00485DF5" w:rsidRPr="00310498" w:rsidRDefault="0032043A">
            <w:pPr>
              <w:pStyle w:val="Tabletext"/>
            </w:pPr>
            <w:r>
              <w:t>T</w:t>
            </w:r>
            <w:r w:rsidR="00485DF5" w:rsidRPr="00310498">
              <w:t>he submission’s financial estimates d</w:t>
            </w:r>
            <w:r w:rsidR="007D6A80">
              <w:t>id</w:t>
            </w:r>
            <w:r w:rsidR="00485DF5" w:rsidRPr="00310498">
              <w:t xml:space="preserve"> not include the following:</w:t>
            </w:r>
          </w:p>
          <w:p w14:paraId="33343CCD" w14:textId="77777777" w:rsidR="00485DF5" w:rsidRPr="00310498" w:rsidRDefault="00485DF5">
            <w:pPr>
              <w:pStyle w:val="Tabletext"/>
            </w:pPr>
          </w:p>
          <w:p w14:paraId="760D5D42" w14:textId="77777777" w:rsidR="00485DF5" w:rsidRPr="00310498" w:rsidRDefault="00485DF5">
            <w:pPr>
              <w:pStyle w:val="Tabletext"/>
            </w:pPr>
            <w:r w:rsidRPr="00310498">
              <w:t>DTG 2: dMMR patients with Stage III/IV EC</w:t>
            </w:r>
          </w:p>
          <w:p w14:paraId="79BFB68B" w14:textId="77777777" w:rsidR="00485DF5" w:rsidRPr="00310498" w:rsidRDefault="00485DF5">
            <w:pPr>
              <w:pStyle w:val="Tabletext"/>
            </w:pPr>
            <w:r w:rsidRPr="00310498">
              <w:t>DTG 4: pMMR patients with stage III/IV EC, treated with durvalumab + olaparib</w:t>
            </w:r>
          </w:p>
          <w:p w14:paraId="4ACADF37" w14:textId="77777777" w:rsidR="00485DF5" w:rsidRPr="00310498" w:rsidRDefault="00485DF5">
            <w:pPr>
              <w:pStyle w:val="Tabletext"/>
            </w:pPr>
            <w:r w:rsidRPr="00310498">
              <w:t>DTG 5: pMMR patients with stage I, II or III recurrence treated with durvalumab</w:t>
            </w:r>
          </w:p>
          <w:p w14:paraId="63E23066" w14:textId="77777777" w:rsidR="00485DF5" w:rsidRPr="00310498" w:rsidRDefault="00485DF5">
            <w:pPr>
              <w:pStyle w:val="Tabletext"/>
            </w:pPr>
            <w:r w:rsidRPr="00310498">
              <w:t>DTG 6: pMMR patients with stage III/IV EC, treated with durvalumab</w:t>
            </w:r>
          </w:p>
          <w:p w14:paraId="16D35ECB" w14:textId="77777777" w:rsidR="00FB45E5" w:rsidRPr="00310498" w:rsidRDefault="00FB45E5">
            <w:pPr>
              <w:pStyle w:val="Tabletext"/>
            </w:pPr>
          </w:p>
          <w:p w14:paraId="5C0DC644" w14:textId="15CA14A5" w:rsidR="00FB45E5" w:rsidRPr="00310498" w:rsidRDefault="00D5226B">
            <w:pPr>
              <w:pStyle w:val="Tabletext"/>
            </w:pPr>
            <w:r w:rsidRPr="00310498">
              <w:t xml:space="preserve">These patients were </w:t>
            </w:r>
            <w:r w:rsidR="002E3B59" w:rsidRPr="00310498">
              <w:t>i</w:t>
            </w:r>
            <w:r w:rsidR="00FB45E5" w:rsidRPr="00310498">
              <w:t xml:space="preserve">ncluded in </w:t>
            </w:r>
            <w:r w:rsidRPr="00310498">
              <w:t xml:space="preserve">the </w:t>
            </w:r>
            <w:r w:rsidR="00154E78">
              <w:t xml:space="preserve">evaluation’s </w:t>
            </w:r>
            <w:r w:rsidRPr="00310498">
              <w:t xml:space="preserve">corrected estimates and the </w:t>
            </w:r>
            <w:r w:rsidR="00FB45E5" w:rsidRPr="00310498">
              <w:t>PSCR revised estimates.</w:t>
            </w:r>
          </w:p>
        </w:tc>
      </w:tr>
      <w:tr w:rsidR="00485DF5" w:rsidRPr="00310498" w14:paraId="77C99B2C" w14:textId="77777777" w:rsidTr="7EE24840">
        <w:trPr>
          <w:gridAfter w:val="1"/>
          <w:wAfter w:w="9" w:type="dxa"/>
          <w:cantSplit/>
        </w:trPr>
        <w:tc>
          <w:tcPr>
            <w:tcW w:w="1409" w:type="dxa"/>
            <w:shd w:val="clear" w:color="auto" w:fill="auto"/>
            <w:tcMar>
              <w:left w:w="20" w:type="dxa"/>
              <w:right w:w="20" w:type="dxa"/>
            </w:tcMar>
            <w:vAlign w:val="center"/>
          </w:tcPr>
          <w:p w14:paraId="0CEBDC4A" w14:textId="77777777" w:rsidR="00485DF5" w:rsidRPr="00310498" w:rsidRDefault="00485DF5">
            <w:pPr>
              <w:pStyle w:val="Tabletext"/>
            </w:pPr>
            <w:r w:rsidRPr="00310498">
              <w:t>Proportion with first recurrence Stage I/II</w:t>
            </w:r>
          </w:p>
        </w:tc>
        <w:tc>
          <w:tcPr>
            <w:tcW w:w="1697" w:type="dxa"/>
            <w:tcMar>
              <w:left w:w="20" w:type="dxa"/>
              <w:right w:w="20" w:type="dxa"/>
            </w:tcMar>
            <w:vAlign w:val="center"/>
          </w:tcPr>
          <w:p w14:paraId="4F6EB05D" w14:textId="77777777" w:rsidR="00485DF5" w:rsidRPr="00310498" w:rsidRDefault="00485DF5">
            <w:pPr>
              <w:pStyle w:val="Tabletext"/>
            </w:pPr>
            <w:r w:rsidRPr="00310498">
              <w:t>13%</w:t>
            </w:r>
          </w:p>
        </w:tc>
        <w:tc>
          <w:tcPr>
            <w:tcW w:w="2409" w:type="dxa"/>
            <w:shd w:val="clear" w:color="auto" w:fill="auto"/>
            <w:tcMar>
              <w:left w:w="20" w:type="dxa"/>
              <w:right w:w="20" w:type="dxa"/>
            </w:tcMar>
            <w:vAlign w:val="center"/>
          </w:tcPr>
          <w:p w14:paraId="6470C370" w14:textId="77777777" w:rsidR="00485DF5" w:rsidRPr="00310498" w:rsidRDefault="00485DF5">
            <w:pPr>
              <w:pStyle w:val="Tabletext"/>
            </w:pPr>
            <w:r w:rsidRPr="00310498">
              <w:t>Table 20, dostarlimab PSD, November 2023 PBAC meeting</w:t>
            </w:r>
          </w:p>
        </w:tc>
        <w:tc>
          <w:tcPr>
            <w:tcW w:w="3392" w:type="dxa"/>
            <w:shd w:val="clear" w:color="auto" w:fill="auto"/>
            <w:tcMar>
              <w:left w:w="20" w:type="dxa"/>
              <w:right w:w="20" w:type="dxa"/>
            </w:tcMar>
            <w:vAlign w:val="center"/>
          </w:tcPr>
          <w:p w14:paraId="55068FDB" w14:textId="77777777" w:rsidR="00485DF5" w:rsidRPr="00310498" w:rsidRDefault="00485DF5">
            <w:pPr>
              <w:pStyle w:val="Tabletext"/>
            </w:pPr>
            <w:r w:rsidRPr="00310498">
              <w:t xml:space="preserve">DUSC previously considered the 13% estimate of recurrence in Stage I/II EC may be reasonable (p5, dostarlimab DUSC advice, March 2022 meeting). </w:t>
            </w:r>
          </w:p>
        </w:tc>
      </w:tr>
      <w:tr w:rsidR="00485DF5" w:rsidRPr="00310498" w14:paraId="3CC994BC" w14:textId="77777777" w:rsidTr="7EE24840">
        <w:trPr>
          <w:gridAfter w:val="1"/>
          <w:wAfter w:w="9" w:type="dxa"/>
          <w:cantSplit/>
        </w:trPr>
        <w:tc>
          <w:tcPr>
            <w:tcW w:w="1409" w:type="dxa"/>
            <w:shd w:val="clear" w:color="auto" w:fill="auto"/>
            <w:tcMar>
              <w:left w:w="20" w:type="dxa"/>
              <w:right w:w="20" w:type="dxa"/>
            </w:tcMar>
            <w:vAlign w:val="center"/>
          </w:tcPr>
          <w:p w14:paraId="0C52E64B" w14:textId="77777777" w:rsidR="00485DF5" w:rsidRPr="00310498" w:rsidRDefault="00485DF5">
            <w:pPr>
              <w:pStyle w:val="Tabletext"/>
            </w:pPr>
            <w:r w:rsidRPr="00310498">
              <w:t>Proportion with first recurrence Stage III curative</w:t>
            </w:r>
          </w:p>
        </w:tc>
        <w:tc>
          <w:tcPr>
            <w:tcW w:w="1697" w:type="dxa"/>
            <w:tcMar>
              <w:left w:w="20" w:type="dxa"/>
              <w:right w:w="20" w:type="dxa"/>
            </w:tcMar>
            <w:vAlign w:val="center"/>
          </w:tcPr>
          <w:p w14:paraId="63596FBC" w14:textId="77777777" w:rsidR="00485DF5" w:rsidRPr="00310498" w:rsidRDefault="00485DF5">
            <w:pPr>
              <w:pStyle w:val="Tabletext"/>
            </w:pPr>
            <w:r w:rsidRPr="00310498">
              <w:t>30%</w:t>
            </w:r>
          </w:p>
        </w:tc>
        <w:tc>
          <w:tcPr>
            <w:tcW w:w="2409" w:type="dxa"/>
            <w:shd w:val="clear" w:color="auto" w:fill="auto"/>
            <w:tcMar>
              <w:left w:w="20" w:type="dxa"/>
              <w:right w:w="20" w:type="dxa"/>
            </w:tcMar>
            <w:vAlign w:val="center"/>
          </w:tcPr>
          <w:p w14:paraId="79206ABE" w14:textId="77777777" w:rsidR="00485DF5" w:rsidRPr="00310498" w:rsidRDefault="00485DF5">
            <w:pPr>
              <w:pStyle w:val="Tabletext"/>
            </w:pPr>
            <w:r w:rsidRPr="00310498">
              <w:t>Table 20, dostarlimab PSD, November 2023 PBAC meeting</w:t>
            </w:r>
          </w:p>
        </w:tc>
        <w:tc>
          <w:tcPr>
            <w:tcW w:w="3392" w:type="dxa"/>
            <w:shd w:val="clear" w:color="auto" w:fill="auto"/>
            <w:tcMar>
              <w:left w:w="20" w:type="dxa"/>
              <w:right w:w="20" w:type="dxa"/>
            </w:tcMar>
            <w:vAlign w:val="center"/>
          </w:tcPr>
          <w:p w14:paraId="6BABE6FE" w14:textId="77777777" w:rsidR="00485DF5" w:rsidRPr="00310498" w:rsidRDefault="00485DF5">
            <w:pPr>
              <w:pStyle w:val="Tabletext"/>
            </w:pPr>
            <w:r w:rsidRPr="00310498">
              <w:t>The PBAC considered a 30% recurrence rate for stage III patients would be appropriate, based on the 5 year failure-free survival in PORTEC3 of 70.9% (Table 20, dostarlimab PSD, November 2023 PBAC meeting).</w:t>
            </w:r>
          </w:p>
        </w:tc>
      </w:tr>
      <w:tr w:rsidR="00485DF5" w:rsidRPr="00310498" w14:paraId="2804217C" w14:textId="77777777" w:rsidTr="7EE24840">
        <w:trPr>
          <w:gridAfter w:val="1"/>
          <w:wAfter w:w="9" w:type="dxa"/>
          <w:cantSplit/>
        </w:trPr>
        <w:tc>
          <w:tcPr>
            <w:tcW w:w="1409" w:type="dxa"/>
            <w:shd w:val="clear" w:color="auto" w:fill="auto"/>
            <w:tcMar>
              <w:left w:w="20" w:type="dxa"/>
              <w:right w:w="20" w:type="dxa"/>
            </w:tcMar>
            <w:vAlign w:val="center"/>
          </w:tcPr>
          <w:p w14:paraId="1C5BD0E2" w14:textId="77777777" w:rsidR="00485DF5" w:rsidRPr="00310498" w:rsidRDefault="00485DF5">
            <w:pPr>
              <w:pStyle w:val="Tabletext"/>
            </w:pPr>
            <w:r w:rsidRPr="00310498">
              <w:t>Proportion with ECOG 0-1</w:t>
            </w:r>
          </w:p>
        </w:tc>
        <w:tc>
          <w:tcPr>
            <w:tcW w:w="1697" w:type="dxa"/>
            <w:tcMar>
              <w:left w:w="20" w:type="dxa"/>
              <w:right w:w="20" w:type="dxa"/>
            </w:tcMar>
            <w:vAlign w:val="center"/>
          </w:tcPr>
          <w:p w14:paraId="096926C0" w14:textId="77777777" w:rsidR="00485DF5" w:rsidRPr="00310498" w:rsidRDefault="00485DF5">
            <w:pPr>
              <w:pStyle w:val="Tabletext"/>
            </w:pPr>
            <w:r w:rsidRPr="00310498">
              <w:t>80%</w:t>
            </w:r>
          </w:p>
        </w:tc>
        <w:tc>
          <w:tcPr>
            <w:tcW w:w="2409" w:type="dxa"/>
            <w:shd w:val="clear" w:color="auto" w:fill="auto"/>
            <w:tcMar>
              <w:left w:w="20" w:type="dxa"/>
              <w:right w:w="20" w:type="dxa"/>
            </w:tcMar>
            <w:vAlign w:val="center"/>
          </w:tcPr>
          <w:p w14:paraId="22005384" w14:textId="77777777" w:rsidR="00485DF5" w:rsidRPr="00310498" w:rsidRDefault="00485DF5">
            <w:pPr>
              <w:pStyle w:val="Tabletext"/>
            </w:pPr>
            <w:r w:rsidRPr="00310498">
              <w:t>Table 20, dostarlimab PSD, November 2023 PBAC meeting</w:t>
            </w:r>
          </w:p>
        </w:tc>
        <w:tc>
          <w:tcPr>
            <w:tcW w:w="3392" w:type="dxa"/>
            <w:shd w:val="clear" w:color="auto" w:fill="auto"/>
            <w:tcMar>
              <w:left w:w="20" w:type="dxa"/>
              <w:right w:w="20" w:type="dxa"/>
            </w:tcMar>
            <w:vAlign w:val="center"/>
          </w:tcPr>
          <w:p w14:paraId="0190B889" w14:textId="159722A1" w:rsidR="00485DF5" w:rsidRPr="00310498" w:rsidRDefault="00485DF5">
            <w:pPr>
              <w:pStyle w:val="Tabletext"/>
            </w:pPr>
            <w:r w:rsidRPr="00310498">
              <w:t xml:space="preserve">DUSC previously considered that 80% was overestimated and 70% may be a more reasonable estimate. (p6, dostarlimab DUSC advice, March 2022 meeting). </w:t>
            </w:r>
          </w:p>
        </w:tc>
      </w:tr>
      <w:tr w:rsidR="00485DF5" w:rsidRPr="00310498" w14:paraId="2860FEA0" w14:textId="77777777" w:rsidTr="7EE24840">
        <w:trPr>
          <w:gridAfter w:val="1"/>
          <w:wAfter w:w="9" w:type="dxa"/>
          <w:cantSplit/>
        </w:trPr>
        <w:tc>
          <w:tcPr>
            <w:tcW w:w="1409" w:type="dxa"/>
            <w:shd w:val="clear" w:color="auto" w:fill="auto"/>
            <w:tcMar>
              <w:left w:w="20" w:type="dxa"/>
              <w:right w:w="20" w:type="dxa"/>
            </w:tcMar>
            <w:vAlign w:val="center"/>
          </w:tcPr>
          <w:p w14:paraId="418550FD" w14:textId="77777777" w:rsidR="00485DF5" w:rsidRPr="00310498" w:rsidRDefault="00485DF5">
            <w:pPr>
              <w:pStyle w:val="Tabletext"/>
            </w:pPr>
            <w:r w:rsidRPr="00310498">
              <w:t>Proportion with dMMR / pMMR</w:t>
            </w:r>
          </w:p>
        </w:tc>
        <w:tc>
          <w:tcPr>
            <w:tcW w:w="1697" w:type="dxa"/>
            <w:tcMar>
              <w:left w:w="20" w:type="dxa"/>
              <w:right w:w="20" w:type="dxa"/>
            </w:tcMar>
            <w:vAlign w:val="center"/>
          </w:tcPr>
          <w:p w14:paraId="3280CF11" w14:textId="77777777" w:rsidR="00485DF5" w:rsidRPr="00310498" w:rsidRDefault="00485DF5">
            <w:pPr>
              <w:pStyle w:val="Tabletext"/>
            </w:pPr>
            <w:r w:rsidRPr="00310498">
              <w:t>27% / 73%</w:t>
            </w:r>
          </w:p>
        </w:tc>
        <w:tc>
          <w:tcPr>
            <w:tcW w:w="2409" w:type="dxa"/>
            <w:shd w:val="clear" w:color="auto" w:fill="auto"/>
            <w:tcMar>
              <w:left w:w="20" w:type="dxa"/>
              <w:right w:w="20" w:type="dxa"/>
            </w:tcMar>
            <w:vAlign w:val="center"/>
          </w:tcPr>
          <w:p w14:paraId="1294968C" w14:textId="77777777" w:rsidR="00485DF5" w:rsidRPr="00310498" w:rsidRDefault="00485DF5">
            <w:pPr>
              <w:pStyle w:val="Tabletext"/>
            </w:pPr>
            <w:r w:rsidRPr="00310498">
              <w:t>Table 20, dostarlimab PSD, November 2023 PBAC meeting</w:t>
            </w:r>
          </w:p>
        </w:tc>
        <w:tc>
          <w:tcPr>
            <w:tcW w:w="3392" w:type="dxa"/>
            <w:shd w:val="clear" w:color="auto" w:fill="auto"/>
            <w:tcMar>
              <w:left w:w="20" w:type="dxa"/>
              <w:right w:w="20" w:type="dxa"/>
            </w:tcMar>
            <w:vAlign w:val="center"/>
          </w:tcPr>
          <w:p w14:paraId="69602464" w14:textId="24357FFA" w:rsidR="00485DF5" w:rsidRPr="00310498" w:rsidRDefault="00485DF5">
            <w:pPr>
              <w:pStyle w:val="Tabletext"/>
            </w:pPr>
            <w:r w:rsidRPr="00310498">
              <w:t>DUSC previously considered this proportion to be appropriate (p7, dostarlimab DUSC advice, March 2022 meeting). However</w:t>
            </w:r>
            <w:r w:rsidR="005E6A57" w:rsidRPr="00310498">
              <w:t>,</w:t>
            </w:r>
            <w:r w:rsidRPr="00310498">
              <w:t xml:space="preserve"> this was higher than the proportion of dMMR (20%) in DUO-E.</w:t>
            </w:r>
          </w:p>
        </w:tc>
      </w:tr>
      <w:tr w:rsidR="00485DF5" w:rsidRPr="00310498" w14:paraId="3CFA13C9" w14:textId="77777777" w:rsidTr="7EE24840">
        <w:trPr>
          <w:cantSplit/>
        </w:trPr>
        <w:tc>
          <w:tcPr>
            <w:tcW w:w="8916" w:type="dxa"/>
            <w:gridSpan w:val="5"/>
            <w:tcBorders>
              <w:bottom w:val="single" w:sz="4" w:space="0" w:color="auto"/>
            </w:tcBorders>
            <w:shd w:val="clear" w:color="auto" w:fill="auto"/>
            <w:tcMar>
              <w:left w:w="20" w:type="dxa"/>
              <w:right w:w="20" w:type="dxa"/>
            </w:tcMar>
            <w:vAlign w:val="center"/>
          </w:tcPr>
          <w:p w14:paraId="2C1501FD" w14:textId="77777777" w:rsidR="00485DF5" w:rsidRPr="00310498" w:rsidRDefault="00485DF5" w:rsidP="006D6F78">
            <w:pPr>
              <w:pStyle w:val="Tabletext"/>
              <w:keepNext/>
              <w:rPr>
                <w:szCs w:val="20"/>
              </w:rPr>
            </w:pPr>
            <w:r w:rsidRPr="00310498">
              <w:rPr>
                <w:szCs w:val="20"/>
              </w:rPr>
              <w:lastRenderedPageBreak/>
              <w:t>Treatment utilisation</w:t>
            </w:r>
          </w:p>
        </w:tc>
      </w:tr>
      <w:tr w:rsidR="00485DF5" w:rsidRPr="00310498" w14:paraId="165E0FF1" w14:textId="77777777" w:rsidTr="7EE24840">
        <w:trPr>
          <w:gridAfter w:val="1"/>
          <w:wAfter w:w="9" w:type="dxa"/>
          <w:cantSplit/>
        </w:trPr>
        <w:tc>
          <w:tcPr>
            <w:tcW w:w="1409"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60D5EDCB" w14:textId="77777777" w:rsidR="00485DF5" w:rsidRPr="00310498" w:rsidRDefault="00485DF5">
            <w:pPr>
              <w:pStyle w:val="Tabletext"/>
            </w:pPr>
            <w:r w:rsidRPr="00310498">
              <w:t>Grandfathered patients (pMMR)</w:t>
            </w:r>
          </w:p>
        </w:tc>
        <w:tc>
          <w:tcPr>
            <w:tcW w:w="1697"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0A10748B" w14:textId="706CE04B" w:rsidR="00485DF5" w:rsidRPr="00310498" w:rsidRDefault="00864EAF">
            <w:pPr>
              <w:pStyle w:val="Tabletext"/>
            </w:pPr>
            <w:r w:rsidRPr="00282289">
              <w:rPr>
                <w:color w:val="000000"/>
                <w:spacing w:val="56"/>
                <w:shd w:val="solid" w:color="000000" w:fill="000000"/>
                <w:fitText w:val="340" w:id="-761107445"/>
                <w14:textFill>
                  <w14:solidFill>
                    <w14:srgbClr w14:val="000000">
                      <w14:alpha w14:val="100000"/>
                    </w14:srgbClr>
                  </w14:solidFill>
                </w14:textFill>
              </w:rPr>
              <w:t>|||</w:t>
            </w:r>
            <w:r w:rsidRPr="00282289">
              <w:rPr>
                <w:color w:val="000000"/>
                <w:spacing w:val="2"/>
                <w:shd w:val="solid" w:color="000000" w:fill="000000"/>
                <w:fitText w:val="340" w:id="-761107445"/>
                <w14:textFill>
                  <w14:solidFill>
                    <w14:srgbClr w14:val="000000">
                      <w14:alpha w14:val="100000"/>
                    </w14:srgbClr>
                  </w14:solidFill>
                </w14:textFill>
              </w:rPr>
              <w:t>|</w:t>
            </w:r>
            <w:r w:rsidR="00485DF5" w:rsidRPr="00310498">
              <w:t xml:space="preserve"> </w:t>
            </w:r>
            <w:r w:rsidR="00C93E13" w:rsidRPr="00C93E13">
              <w:rPr>
                <w:vertAlign w:val="superscript"/>
              </w:rPr>
              <w:t>1</w:t>
            </w:r>
            <w:r w:rsidR="00485DF5" w:rsidRPr="00310498">
              <w:rPr>
                <w:vertAlign w:val="superscript"/>
              </w:rPr>
              <w:t>c</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3453AC46" w14:textId="77777777" w:rsidR="00485DF5" w:rsidRPr="00310498" w:rsidRDefault="00485DF5">
            <w:pPr>
              <w:pStyle w:val="Tabletext"/>
            </w:pPr>
            <w:r w:rsidRPr="00310498">
              <w:t xml:space="preserve">Sponsor estimate. </w:t>
            </w:r>
          </w:p>
        </w:tc>
        <w:tc>
          <w:tcPr>
            <w:tcW w:w="3392"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0904C09E" w14:textId="0338A9E4" w:rsidR="00485DF5" w:rsidRPr="00310498" w:rsidRDefault="00485DF5">
            <w:pPr>
              <w:pStyle w:val="Tabletext"/>
            </w:pPr>
            <w:r w:rsidRPr="00310498">
              <w:t xml:space="preserve">The submission stated that this included </w:t>
            </w:r>
            <w:r w:rsidR="00864EAF" w:rsidRPr="00282289">
              <w:rPr>
                <w:color w:val="000000"/>
                <w:spacing w:val="59"/>
                <w:w w:val="94"/>
                <w:shd w:val="solid" w:color="000000" w:fill="000000"/>
                <w:fitText w:val="340" w:id="-761107444"/>
                <w14:textFill>
                  <w14:solidFill>
                    <w14:srgbClr w14:val="000000">
                      <w14:alpha w14:val="100000"/>
                    </w14:srgbClr>
                  </w14:solidFill>
                </w14:textFill>
              </w:rPr>
              <w:t>|||</w:t>
            </w:r>
            <w:r w:rsidR="00864EAF" w:rsidRPr="00282289">
              <w:rPr>
                <w:color w:val="000000"/>
                <w:spacing w:val="3"/>
                <w:w w:val="94"/>
                <w:shd w:val="solid" w:color="000000" w:fill="000000"/>
                <w:fitText w:val="340" w:id="-761107444"/>
                <w14:textFill>
                  <w14:solidFill>
                    <w14:srgbClr w14:val="000000">
                      <w14:alpha w14:val="100000"/>
                    </w14:srgbClr>
                  </w14:solidFill>
                </w14:textFill>
              </w:rPr>
              <w:t>|</w:t>
            </w:r>
            <w:r w:rsidR="00DB0565" w:rsidRPr="00DB0565">
              <w:rPr>
                <w:vertAlign w:val="superscript"/>
              </w:rPr>
              <w:t>1</w:t>
            </w:r>
            <w:r w:rsidRPr="00DB0565">
              <w:rPr>
                <w:vertAlign w:val="superscript"/>
              </w:rPr>
              <w:t xml:space="preserve"> </w:t>
            </w:r>
            <w:r w:rsidR="00942ABF">
              <w:t xml:space="preserve">pMMR </w:t>
            </w:r>
            <w:r w:rsidRPr="00310498">
              <w:t xml:space="preserve">patients from a patient access program but did not provide any further details. </w:t>
            </w:r>
          </w:p>
        </w:tc>
      </w:tr>
      <w:tr w:rsidR="00485DF5" w:rsidRPr="00310498" w14:paraId="00A39358" w14:textId="77777777" w:rsidTr="7EE24840">
        <w:trPr>
          <w:gridAfter w:val="1"/>
          <w:wAfter w:w="9" w:type="dxa"/>
          <w:cantSplit/>
        </w:trPr>
        <w:tc>
          <w:tcPr>
            <w:tcW w:w="1409" w:type="dxa"/>
            <w:shd w:val="clear" w:color="auto" w:fill="auto"/>
            <w:tcMar>
              <w:left w:w="20" w:type="dxa"/>
              <w:right w:w="20" w:type="dxa"/>
            </w:tcMar>
            <w:vAlign w:val="center"/>
          </w:tcPr>
          <w:p w14:paraId="31966047" w14:textId="77777777" w:rsidR="00485DF5" w:rsidRPr="00310498" w:rsidRDefault="00485DF5">
            <w:pPr>
              <w:pStyle w:val="Tabletext"/>
            </w:pPr>
            <w:r w:rsidRPr="00310498">
              <w:t>Durvalumab market share of dMMR</w:t>
            </w:r>
          </w:p>
        </w:tc>
        <w:tc>
          <w:tcPr>
            <w:tcW w:w="1697" w:type="dxa"/>
            <w:tcMar>
              <w:left w:w="20" w:type="dxa"/>
              <w:right w:w="20" w:type="dxa"/>
            </w:tcMar>
            <w:vAlign w:val="center"/>
          </w:tcPr>
          <w:p w14:paraId="70F84175" w14:textId="77777777" w:rsidR="00485DF5" w:rsidRPr="00310498" w:rsidRDefault="00485DF5">
            <w:pPr>
              <w:pStyle w:val="Tabletext"/>
            </w:pPr>
            <w:r w:rsidRPr="00310498">
              <w:t>50%</w:t>
            </w:r>
          </w:p>
        </w:tc>
        <w:tc>
          <w:tcPr>
            <w:tcW w:w="2409" w:type="dxa"/>
            <w:shd w:val="clear" w:color="auto" w:fill="auto"/>
            <w:tcMar>
              <w:left w:w="20" w:type="dxa"/>
              <w:right w:w="20" w:type="dxa"/>
            </w:tcMar>
            <w:vAlign w:val="center"/>
          </w:tcPr>
          <w:p w14:paraId="7EF41225" w14:textId="77777777" w:rsidR="00485DF5" w:rsidRPr="00310498" w:rsidRDefault="00485DF5">
            <w:pPr>
              <w:pStyle w:val="Tabletext"/>
            </w:pPr>
            <w:r w:rsidRPr="00310498">
              <w:t xml:space="preserve">Sponsor Estimate. </w:t>
            </w:r>
          </w:p>
        </w:tc>
        <w:tc>
          <w:tcPr>
            <w:tcW w:w="3392" w:type="dxa"/>
            <w:shd w:val="clear" w:color="auto" w:fill="auto"/>
            <w:tcMar>
              <w:left w:w="20" w:type="dxa"/>
              <w:right w:w="20" w:type="dxa"/>
            </w:tcMar>
            <w:vAlign w:val="center"/>
          </w:tcPr>
          <w:p w14:paraId="74692454" w14:textId="1F7ED83B" w:rsidR="00485DF5" w:rsidRPr="00310498" w:rsidRDefault="00485DF5">
            <w:pPr>
              <w:pStyle w:val="Tabletext"/>
            </w:pPr>
            <w:r w:rsidRPr="00310498">
              <w:t xml:space="preserve">The submission claimed that this was validated by Australian Clinical Advisory Board but provided no further details. </w:t>
            </w:r>
            <w:r w:rsidR="00AF47F8">
              <w:t xml:space="preserve">The PBAC considered that this was overestimated in Years 1-3 (see paragraph </w:t>
            </w:r>
            <w:r w:rsidR="00AF47F8">
              <w:fldChar w:fldCharType="begin" w:fldLock="1"/>
            </w:r>
            <w:r w:rsidR="00AF47F8">
              <w:instrText xml:space="preserve"> REF _Ref183609247 \r \h </w:instrText>
            </w:r>
            <w:r w:rsidR="00AF47F8">
              <w:fldChar w:fldCharType="separate"/>
            </w:r>
            <w:r w:rsidR="00AF47F8">
              <w:t>6.97</w:t>
            </w:r>
            <w:r w:rsidR="00AF47F8">
              <w:fldChar w:fldCharType="end"/>
            </w:r>
            <w:r w:rsidR="00AF47F8">
              <w:t>).</w:t>
            </w:r>
          </w:p>
        </w:tc>
      </w:tr>
      <w:tr w:rsidR="00485DF5" w:rsidRPr="00310498" w14:paraId="50895C0F" w14:textId="77777777" w:rsidTr="7EE24840">
        <w:trPr>
          <w:gridAfter w:val="1"/>
          <w:wAfter w:w="9" w:type="dxa"/>
          <w:cantSplit/>
        </w:trPr>
        <w:tc>
          <w:tcPr>
            <w:tcW w:w="1409" w:type="dxa"/>
            <w:shd w:val="clear" w:color="auto" w:fill="auto"/>
            <w:tcMar>
              <w:left w:w="20" w:type="dxa"/>
              <w:right w:w="20" w:type="dxa"/>
            </w:tcMar>
            <w:vAlign w:val="center"/>
          </w:tcPr>
          <w:p w14:paraId="1E584EF1" w14:textId="77777777" w:rsidR="00485DF5" w:rsidRPr="00310498" w:rsidRDefault="00485DF5">
            <w:pPr>
              <w:pStyle w:val="Tabletext"/>
              <w:rPr>
                <w:highlight w:val="yellow"/>
              </w:rPr>
            </w:pPr>
            <w:r w:rsidRPr="00310498">
              <w:t>Uptake rate of 1L immuno-therapy (dMMR and pMMR)</w:t>
            </w:r>
          </w:p>
        </w:tc>
        <w:tc>
          <w:tcPr>
            <w:tcW w:w="1697" w:type="dxa"/>
            <w:tcMar>
              <w:left w:w="20" w:type="dxa"/>
              <w:right w:w="20" w:type="dxa"/>
            </w:tcMar>
            <w:vAlign w:val="center"/>
          </w:tcPr>
          <w:p w14:paraId="3CD94154" w14:textId="77777777" w:rsidR="00485DF5" w:rsidRPr="00310498" w:rsidRDefault="00485DF5">
            <w:pPr>
              <w:pStyle w:val="Tabletext"/>
            </w:pPr>
            <w:r w:rsidRPr="00310498">
              <w:t>95%</w:t>
            </w:r>
          </w:p>
        </w:tc>
        <w:tc>
          <w:tcPr>
            <w:tcW w:w="2409" w:type="dxa"/>
            <w:shd w:val="clear" w:color="auto" w:fill="auto"/>
            <w:tcMar>
              <w:left w:w="20" w:type="dxa"/>
              <w:right w:w="20" w:type="dxa"/>
            </w:tcMar>
            <w:vAlign w:val="center"/>
          </w:tcPr>
          <w:p w14:paraId="75AC0752" w14:textId="77777777" w:rsidR="00485DF5" w:rsidRPr="00310498" w:rsidRDefault="00485DF5">
            <w:pPr>
              <w:pStyle w:val="Tabletext"/>
            </w:pPr>
            <w:r w:rsidRPr="00310498">
              <w:t>Sponsor Estimate. The submission reported that this was validated by Australian Clinical Advisory Board.</w:t>
            </w:r>
          </w:p>
        </w:tc>
        <w:tc>
          <w:tcPr>
            <w:tcW w:w="3392" w:type="dxa"/>
            <w:shd w:val="clear" w:color="auto" w:fill="auto"/>
            <w:tcMar>
              <w:left w:w="20" w:type="dxa"/>
              <w:right w:w="20" w:type="dxa"/>
            </w:tcMar>
            <w:vAlign w:val="center"/>
          </w:tcPr>
          <w:p w14:paraId="63A1C82D" w14:textId="77777777" w:rsidR="00485DF5" w:rsidRPr="00310498" w:rsidRDefault="00485DF5">
            <w:pPr>
              <w:pStyle w:val="Tabletext"/>
            </w:pPr>
            <w:r w:rsidRPr="00310498">
              <w:t>The PBAC previously accepted an uptake rate of 95% for 2L immunotherapy in A/R EC (Table 15, pembrolizumab PSD, March 2022 meeting).</w:t>
            </w:r>
          </w:p>
        </w:tc>
      </w:tr>
      <w:tr w:rsidR="00485DF5" w:rsidRPr="00310498" w14:paraId="00788665" w14:textId="77777777" w:rsidTr="7EE24840">
        <w:trPr>
          <w:gridAfter w:val="1"/>
          <w:wAfter w:w="9" w:type="dxa"/>
          <w:cantSplit/>
        </w:trPr>
        <w:tc>
          <w:tcPr>
            <w:tcW w:w="1409" w:type="dxa"/>
            <w:shd w:val="clear" w:color="auto" w:fill="auto"/>
            <w:tcMar>
              <w:left w:w="20" w:type="dxa"/>
              <w:right w:w="20" w:type="dxa"/>
            </w:tcMar>
            <w:vAlign w:val="center"/>
          </w:tcPr>
          <w:p w14:paraId="409D9300" w14:textId="77777777" w:rsidR="00485DF5" w:rsidRPr="00310498" w:rsidRDefault="00485DF5">
            <w:pPr>
              <w:pStyle w:val="Tabletext"/>
            </w:pPr>
            <w:r w:rsidRPr="00310498">
              <w:t>Durvalumab treatment duration - dMMR</w:t>
            </w:r>
          </w:p>
        </w:tc>
        <w:tc>
          <w:tcPr>
            <w:tcW w:w="1697" w:type="dxa"/>
            <w:tcMar>
              <w:left w:w="20" w:type="dxa"/>
              <w:right w:w="20" w:type="dxa"/>
            </w:tcMar>
            <w:vAlign w:val="center"/>
          </w:tcPr>
          <w:p w14:paraId="781D41E3" w14:textId="77777777" w:rsidR="00485DF5" w:rsidRPr="00310498" w:rsidRDefault="00485DF5">
            <w:pPr>
              <w:pStyle w:val="Tabletext"/>
              <w:rPr>
                <w:vertAlign w:val="superscript"/>
              </w:rPr>
            </w:pPr>
            <w:r w:rsidRPr="00310498">
              <w:t>Initial phase: 5.0 months (21.7 weeks, 7.2 doses Q3W)</w:t>
            </w:r>
            <w:r w:rsidRPr="00310498">
              <w:rPr>
                <w:vertAlign w:val="superscript"/>
              </w:rPr>
              <w:t>d</w:t>
            </w:r>
            <w:r w:rsidRPr="00310498">
              <w:t xml:space="preserve">; maintenance phase: 18 months (78 weeks, 19.5 doses Q4W) </w:t>
            </w:r>
            <w:r w:rsidRPr="00310498">
              <w:rPr>
                <w:vertAlign w:val="superscript"/>
              </w:rPr>
              <w:t>e</w:t>
            </w:r>
          </w:p>
          <w:p w14:paraId="691B9BFD" w14:textId="77777777" w:rsidR="009F27D9" w:rsidRPr="00310498" w:rsidRDefault="009F27D9">
            <w:pPr>
              <w:pStyle w:val="Tabletext"/>
              <w:rPr>
                <w:vertAlign w:val="superscript"/>
              </w:rPr>
            </w:pPr>
          </w:p>
          <w:p w14:paraId="157587F8" w14:textId="77777777" w:rsidR="00485DF5" w:rsidRPr="00310498" w:rsidRDefault="00485DF5">
            <w:pPr>
              <w:pStyle w:val="Tabletext"/>
            </w:pPr>
            <w:r w:rsidRPr="00310498">
              <w:t>Total 99.7 weeks</w:t>
            </w:r>
          </w:p>
        </w:tc>
        <w:tc>
          <w:tcPr>
            <w:tcW w:w="2409" w:type="dxa"/>
            <w:shd w:val="clear" w:color="auto" w:fill="auto"/>
            <w:tcMar>
              <w:left w:w="20" w:type="dxa"/>
              <w:right w:w="20" w:type="dxa"/>
            </w:tcMar>
            <w:vAlign w:val="center"/>
          </w:tcPr>
          <w:p w14:paraId="58EDFB27" w14:textId="7FAF5812" w:rsidR="00485DF5" w:rsidRPr="00310498" w:rsidRDefault="00485DF5">
            <w:pPr>
              <w:pStyle w:val="Tabletext"/>
            </w:pPr>
            <w:r w:rsidRPr="00310498">
              <w:t xml:space="preserve">The submission claimed that treatment duration was consistent with the CMA </w:t>
            </w:r>
          </w:p>
        </w:tc>
        <w:tc>
          <w:tcPr>
            <w:tcW w:w="3392" w:type="dxa"/>
            <w:shd w:val="clear" w:color="auto" w:fill="auto"/>
            <w:tcMar>
              <w:left w:w="20" w:type="dxa"/>
              <w:right w:w="20" w:type="dxa"/>
            </w:tcMar>
            <w:vAlign w:val="center"/>
          </w:tcPr>
          <w:p w14:paraId="3CC8DAA3" w14:textId="779E3D63" w:rsidR="00485DF5" w:rsidRPr="00310498" w:rsidRDefault="00485DF5">
            <w:pPr>
              <w:pStyle w:val="Tabletext"/>
            </w:pPr>
            <w:r w:rsidRPr="00310498">
              <w:t xml:space="preserve">The duration of treatment in the financial estimates </w:t>
            </w:r>
            <w:r w:rsidR="00942ABF">
              <w:t xml:space="preserve">provided in the submission </w:t>
            </w:r>
            <w:r w:rsidRPr="00310498">
              <w:t xml:space="preserve">was longer than assumed in the CMA presented (87.3 weeks; 5.1 doses initiation and 18 doses maintenance). </w:t>
            </w:r>
            <w:r w:rsidR="00D5226B" w:rsidRPr="00310498">
              <w:t xml:space="preserve">The PSCR </w:t>
            </w:r>
            <w:r w:rsidR="00942ABF">
              <w:t>stated that, in the revised estimates,</w:t>
            </w:r>
            <w:r w:rsidR="00D5226B" w:rsidRPr="00310498">
              <w:t xml:space="preserve"> dMMR patients were assumed to receive 3.5 months of induction and 16.6 months of maintenance durvalumab</w:t>
            </w:r>
            <w:r w:rsidR="00942ABF">
              <w:t>, consistent with the CMA</w:t>
            </w:r>
            <w:r w:rsidR="00D5226B" w:rsidRPr="00310498">
              <w:t xml:space="preserve">. </w:t>
            </w:r>
          </w:p>
        </w:tc>
      </w:tr>
      <w:tr w:rsidR="00485DF5" w:rsidRPr="00310498" w14:paraId="3EDEA4E8" w14:textId="77777777" w:rsidTr="7EE24840">
        <w:trPr>
          <w:gridAfter w:val="1"/>
          <w:wAfter w:w="9" w:type="dxa"/>
          <w:cantSplit/>
        </w:trPr>
        <w:tc>
          <w:tcPr>
            <w:tcW w:w="1409" w:type="dxa"/>
            <w:tcBorders>
              <w:bottom w:val="single" w:sz="4" w:space="0" w:color="auto"/>
            </w:tcBorders>
            <w:shd w:val="clear" w:color="auto" w:fill="auto"/>
            <w:tcMar>
              <w:left w:w="20" w:type="dxa"/>
              <w:right w:w="20" w:type="dxa"/>
            </w:tcMar>
            <w:vAlign w:val="center"/>
          </w:tcPr>
          <w:p w14:paraId="2AC888BD" w14:textId="77777777" w:rsidR="00485DF5" w:rsidRPr="00310498" w:rsidRDefault="00485DF5">
            <w:pPr>
              <w:pStyle w:val="Tabletext"/>
            </w:pPr>
            <w:r w:rsidRPr="00310498">
              <w:t>Durvalumab treatment duration – pMMR</w:t>
            </w:r>
          </w:p>
        </w:tc>
        <w:tc>
          <w:tcPr>
            <w:tcW w:w="1697" w:type="dxa"/>
            <w:tcBorders>
              <w:bottom w:val="single" w:sz="4" w:space="0" w:color="auto"/>
            </w:tcBorders>
            <w:tcMar>
              <w:left w:w="20" w:type="dxa"/>
              <w:right w:w="20" w:type="dxa"/>
            </w:tcMar>
            <w:vAlign w:val="center"/>
          </w:tcPr>
          <w:p w14:paraId="6A328F67" w14:textId="77777777" w:rsidR="00485DF5" w:rsidRPr="00310498" w:rsidRDefault="00485DF5">
            <w:pPr>
              <w:pStyle w:val="Tabletext"/>
              <w:rPr>
                <w:vertAlign w:val="superscript"/>
              </w:rPr>
            </w:pPr>
            <w:r w:rsidRPr="00310498">
              <w:t>Initial phase: 5.0 months (21.7 weeks, 7.2 doses Q3W)</w:t>
            </w:r>
            <w:r w:rsidRPr="00310498">
              <w:rPr>
                <w:vertAlign w:val="superscript"/>
              </w:rPr>
              <w:t>d</w:t>
            </w:r>
            <w:r w:rsidRPr="00310498">
              <w:t xml:space="preserve">; maintenance phase 14.7 months (63.7 weeks, 15.9 doses Q4W) </w:t>
            </w:r>
            <w:r w:rsidRPr="00310498">
              <w:rPr>
                <w:vertAlign w:val="superscript"/>
              </w:rPr>
              <w:t>e</w:t>
            </w:r>
          </w:p>
          <w:p w14:paraId="30B45878" w14:textId="77777777" w:rsidR="00485DF5" w:rsidRPr="00310498" w:rsidRDefault="00485DF5">
            <w:pPr>
              <w:pStyle w:val="Tabletext"/>
              <w:rPr>
                <w:vertAlign w:val="superscript"/>
              </w:rPr>
            </w:pPr>
          </w:p>
          <w:p w14:paraId="11B2C0EC" w14:textId="77777777" w:rsidR="00485DF5" w:rsidRPr="00310498" w:rsidRDefault="00485DF5">
            <w:pPr>
              <w:pStyle w:val="Tabletext"/>
            </w:pPr>
            <w:r w:rsidRPr="00310498">
              <w:t>Total 85.4 weeks</w:t>
            </w:r>
          </w:p>
        </w:tc>
        <w:tc>
          <w:tcPr>
            <w:tcW w:w="2409" w:type="dxa"/>
            <w:tcBorders>
              <w:bottom w:val="single" w:sz="4" w:space="0" w:color="auto"/>
            </w:tcBorders>
            <w:shd w:val="clear" w:color="auto" w:fill="auto"/>
            <w:tcMar>
              <w:left w:w="20" w:type="dxa"/>
              <w:right w:w="20" w:type="dxa"/>
            </w:tcMar>
            <w:vAlign w:val="center"/>
          </w:tcPr>
          <w:p w14:paraId="119FE299" w14:textId="04D2B144" w:rsidR="00485DF5" w:rsidRPr="00310498" w:rsidRDefault="00485DF5">
            <w:pPr>
              <w:pStyle w:val="Tabletext"/>
              <w:rPr>
                <w:highlight w:val="yellow"/>
              </w:rPr>
            </w:pPr>
            <w:r w:rsidRPr="00310498">
              <w:t xml:space="preserve">The submission claimed that treatment duration was consistent with the economic model </w:t>
            </w:r>
          </w:p>
        </w:tc>
        <w:tc>
          <w:tcPr>
            <w:tcW w:w="3392" w:type="dxa"/>
            <w:tcBorders>
              <w:bottom w:val="single" w:sz="4" w:space="0" w:color="auto"/>
            </w:tcBorders>
            <w:shd w:val="clear" w:color="auto" w:fill="auto"/>
            <w:tcMar>
              <w:left w:w="20" w:type="dxa"/>
              <w:right w:w="20" w:type="dxa"/>
            </w:tcMar>
            <w:vAlign w:val="center"/>
          </w:tcPr>
          <w:p w14:paraId="3DC4B849" w14:textId="6BC776B8" w:rsidR="00485DF5" w:rsidRPr="00310498" w:rsidRDefault="00485DF5">
            <w:pPr>
              <w:pStyle w:val="Tabletext"/>
            </w:pPr>
            <w:r w:rsidRPr="00310498">
              <w:t>Despite</w:t>
            </w:r>
            <w:r w:rsidR="002E3B59" w:rsidRPr="00310498">
              <w:t xml:space="preserve"> the</w:t>
            </w:r>
            <w:r w:rsidRPr="00310498">
              <w:t xml:space="preserve"> submission claiming that there were six doses in initial phase, the inputs into the </w:t>
            </w:r>
            <w:r w:rsidR="003977BD">
              <w:t xml:space="preserve">submission’s </w:t>
            </w:r>
            <w:r w:rsidRPr="00310498">
              <w:t>spreadsheet implied a treatment duration of 5 months, which the model convert</w:t>
            </w:r>
            <w:r w:rsidR="00F80C3D">
              <w:t>ed</w:t>
            </w:r>
            <w:r w:rsidRPr="00310498">
              <w:t xml:space="preserve"> to 7.2 doses. </w:t>
            </w:r>
            <w:r w:rsidR="004116FA">
              <w:t xml:space="preserve">The source of </w:t>
            </w:r>
            <w:r w:rsidRPr="00310498">
              <w:t xml:space="preserve">maintenance treatment duration was </w:t>
            </w:r>
            <w:r w:rsidR="004116FA">
              <w:t>unclear</w:t>
            </w:r>
            <w:r w:rsidRPr="00310498">
              <w:t xml:space="preserve">. In the economic evaluation presented by the submission, the average treatment durations (based on cost of durvalumab) was 4.5 months for initiation and 15.2 months for maintenance. </w:t>
            </w:r>
            <w:r w:rsidR="00D5226B" w:rsidRPr="00310498">
              <w:t>The PSCR state</w:t>
            </w:r>
            <w:r w:rsidR="002E3B59" w:rsidRPr="00310498">
              <w:t>d</w:t>
            </w:r>
            <w:r w:rsidR="00D5226B" w:rsidRPr="00310498">
              <w:t xml:space="preserve"> that pMMR patients were assumed to receive 4.5 months of induction and 15.2 months of maintenance durvalumab in the revised estimates.</w:t>
            </w:r>
          </w:p>
        </w:tc>
      </w:tr>
      <w:tr w:rsidR="00485DF5" w:rsidRPr="00310498" w14:paraId="531720E3" w14:textId="77777777" w:rsidTr="7EE24840">
        <w:trPr>
          <w:gridAfter w:val="1"/>
          <w:wAfter w:w="9" w:type="dxa"/>
          <w:cantSplit/>
        </w:trPr>
        <w:tc>
          <w:tcPr>
            <w:tcW w:w="1409" w:type="dxa"/>
            <w:tcBorders>
              <w:bottom w:val="single" w:sz="4" w:space="0" w:color="auto"/>
            </w:tcBorders>
            <w:shd w:val="clear" w:color="auto" w:fill="auto"/>
            <w:tcMar>
              <w:left w:w="20" w:type="dxa"/>
              <w:right w:w="20" w:type="dxa"/>
            </w:tcMar>
            <w:vAlign w:val="center"/>
          </w:tcPr>
          <w:p w14:paraId="7E6930B1" w14:textId="77777777" w:rsidR="00485DF5" w:rsidRPr="00310498" w:rsidRDefault="00485DF5">
            <w:pPr>
              <w:pStyle w:val="Tabletext"/>
            </w:pPr>
            <w:r w:rsidRPr="00310498">
              <w:t>Olaparib treatment duration (pMMR)</w:t>
            </w:r>
          </w:p>
        </w:tc>
        <w:tc>
          <w:tcPr>
            <w:tcW w:w="1697" w:type="dxa"/>
            <w:tcBorders>
              <w:bottom w:val="single" w:sz="4" w:space="0" w:color="auto"/>
            </w:tcBorders>
            <w:tcMar>
              <w:left w:w="20" w:type="dxa"/>
              <w:right w:w="20" w:type="dxa"/>
            </w:tcMar>
            <w:vAlign w:val="center"/>
          </w:tcPr>
          <w:p w14:paraId="247E0365" w14:textId="77777777" w:rsidR="00485DF5" w:rsidRPr="00310498" w:rsidRDefault="00485DF5">
            <w:pPr>
              <w:pStyle w:val="Tabletext"/>
            </w:pPr>
            <w:r w:rsidRPr="00310498">
              <w:t xml:space="preserve">Initial phase: 5.0 months, maintenance phase 14.7 months </w:t>
            </w:r>
            <w:r w:rsidRPr="00310498">
              <w:rPr>
                <w:vertAlign w:val="superscript"/>
              </w:rPr>
              <w:t>f</w:t>
            </w:r>
          </w:p>
        </w:tc>
        <w:tc>
          <w:tcPr>
            <w:tcW w:w="2409" w:type="dxa"/>
            <w:tcBorders>
              <w:bottom w:val="single" w:sz="4" w:space="0" w:color="auto"/>
            </w:tcBorders>
            <w:shd w:val="clear" w:color="auto" w:fill="auto"/>
            <w:tcMar>
              <w:left w:w="20" w:type="dxa"/>
              <w:right w:w="20" w:type="dxa"/>
            </w:tcMar>
            <w:vAlign w:val="center"/>
          </w:tcPr>
          <w:p w14:paraId="1154EE5F" w14:textId="3B009E48" w:rsidR="00485DF5" w:rsidRPr="00310498" w:rsidRDefault="00485DF5">
            <w:pPr>
              <w:pStyle w:val="Tabletext"/>
            </w:pPr>
            <w:r w:rsidRPr="00310498">
              <w:t xml:space="preserve">The submission claimed that treatment duration was consistent with the economic model </w:t>
            </w:r>
          </w:p>
        </w:tc>
        <w:tc>
          <w:tcPr>
            <w:tcW w:w="3392" w:type="dxa"/>
            <w:tcBorders>
              <w:bottom w:val="single" w:sz="4" w:space="0" w:color="auto"/>
            </w:tcBorders>
            <w:shd w:val="clear" w:color="auto" w:fill="auto"/>
            <w:tcMar>
              <w:left w:w="20" w:type="dxa"/>
              <w:right w:w="20" w:type="dxa"/>
            </w:tcMar>
            <w:vAlign w:val="center"/>
          </w:tcPr>
          <w:p w14:paraId="02495A3A" w14:textId="2539371C" w:rsidR="00485DF5" w:rsidRPr="00310498" w:rsidRDefault="00485DF5">
            <w:pPr>
              <w:pStyle w:val="Tabletext"/>
            </w:pPr>
            <w:r w:rsidRPr="00310498">
              <w:t>As per the proposed regimen and as used in DUO-E, olaparib should only be used in the maintenance phase. This was amended during the evaluation.</w:t>
            </w:r>
            <w:r w:rsidR="00D5226B" w:rsidRPr="00310498">
              <w:t xml:space="preserve"> The PSCR stated that pMMR patients were assumed to receive 15.2 months of maintenance olaparib in the revised estimates.</w:t>
            </w:r>
          </w:p>
        </w:tc>
      </w:tr>
      <w:tr w:rsidR="00485DF5" w:rsidRPr="00310498" w14:paraId="1E33D784" w14:textId="77777777" w:rsidTr="7EE24840">
        <w:trPr>
          <w:gridAfter w:val="1"/>
          <w:wAfter w:w="9" w:type="dxa"/>
          <w:cantSplit/>
        </w:trPr>
        <w:tc>
          <w:tcPr>
            <w:tcW w:w="1409" w:type="dxa"/>
            <w:tcBorders>
              <w:bottom w:val="single" w:sz="4" w:space="0" w:color="auto"/>
            </w:tcBorders>
            <w:shd w:val="clear" w:color="auto" w:fill="auto"/>
            <w:tcMar>
              <w:left w:w="20" w:type="dxa"/>
              <w:right w:w="20" w:type="dxa"/>
            </w:tcMar>
            <w:vAlign w:val="center"/>
          </w:tcPr>
          <w:p w14:paraId="395578B0" w14:textId="4CE43FFE" w:rsidR="00485DF5" w:rsidRPr="00310498" w:rsidRDefault="00070C9A">
            <w:pPr>
              <w:pStyle w:val="Tabletext"/>
            </w:pPr>
            <w:r w:rsidRPr="00282289">
              <w:rPr>
                <w:color w:val="000000"/>
                <w:spacing w:val="54"/>
                <w:shd w:val="solid" w:color="000000" w:fill="000000"/>
                <w:fitText w:val="333" w:id="-723258108"/>
                <w14:textFill>
                  <w14:solidFill>
                    <w14:srgbClr w14:val="000000">
                      <w14:alpha w14:val="100000"/>
                    </w14:srgbClr>
                  </w14:solidFill>
                </w14:textFill>
              </w:rPr>
              <w:t>|||</w:t>
            </w:r>
            <w:r w:rsidRPr="00282289">
              <w:rPr>
                <w:color w:val="000000"/>
                <w:spacing w:val="1"/>
                <w:shd w:val="solid" w:color="000000" w:fill="000000"/>
                <w:fitText w:val="333" w:id="-723258108"/>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7"/>
                <w14:textFill>
                  <w14:solidFill>
                    <w14:srgbClr w14:val="000000">
                      <w14:alpha w14:val="100000"/>
                    </w14:srgbClr>
                  </w14:solidFill>
                </w14:textFill>
              </w:rPr>
              <w:t>|||</w:t>
            </w:r>
            <w:r w:rsidRPr="00282289">
              <w:rPr>
                <w:color w:val="000000"/>
                <w:spacing w:val="1"/>
                <w:shd w:val="solid" w:color="000000" w:fill="000000"/>
                <w:fitText w:val="333" w:id="-723258107"/>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06"/>
                <w14:textFill>
                  <w14:solidFill>
                    <w14:srgbClr w14:val="000000">
                      <w14:alpha w14:val="100000"/>
                    </w14:srgbClr>
                  </w14:solidFill>
                </w14:textFill>
              </w:rPr>
              <w:t>|||</w:t>
            </w:r>
            <w:r w:rsidRPr="00282289">
              <w:rPr>
                <w:color w:val="000000"/>
                <w:spacing w:val="2"/>
                <w:shd w:val="solid" w:color="000000" w:fill="000000"/>
                <w:fitText w:val="322" w:id="-723258106"/>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5"/>
                <w14:textFill>
                  <w14:solidFill>
                    <w14:srgbClr w14:val="000000">
                      <w14:alpha w14:val="100000"/>
                    </w14:srgbClr>
                  </w14:solidFill>
                </w14:textFill>
              </w:rPr>
              <w:t>|||</w:t>
            </w:r>
            <w:r w:rsidRPr="00282289">
              <w:rPr>
                <w:color w:val="000000"/>
                <w:spacing w:val="1"/>
                <w:shd w:val="solid" w:color="000000" w:fill="000000"/>
                <w:fitText w:val="333" w:id="-723258105"/>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4"/>
                <w14:textFill>
                  <w14:solidFill>
                    <w14:srgbClr w14:val="000000">
                      <w14:alpha w14:val="100000"/>
                    </w14:srgbClr>
                  </w14:solidFill>
                </w14:textFill>
              </w:rPr>
              <w:t>|||</w:t>
            </w:r>
            <w:r w:rsidRPr="00282289">
              <w:rPr>
                <w:color w:val="000000"/>
                <w:spacing w:val="1"/>
                <w:shd w:val="solid" w:color="000000" w:fill="000000"/>
                <w:fitText w:val="333" w:id="-723258104"/>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03"/>
                <w14:textFill>
                  <w14:solidFill>
                    <w14:srgbClr w14:val="000000">
                      <w14:alpha w14:val="100000"/>
                    </w14:srgbClr>
                  </w14:solidFill>
                </w14:textFill>
              </w:rPr>
              <w:t>|||</w:t>
            </w:r>
            <w:r w:rsidRPr="00282289">
              <w:rPr>
                <w:color w:val="000000"/>
                <w:spacing w:val="2"/>
                <w:shd w:val="solid" w:color="000000" w:fill="000000"/>
                <w:fitText w:val="322" w:id="-723258103"/>
                <w14:textFill>
                  <w14:solidFill>
                    <w14:srgbClr w14:val="000000">
                      <w14:alpha w14:val="100000"/>
                    </w14:srgbClr>
                  </w14:solidFill>
                </w14:textFill>
              </w:rPr>
              <w:t>|</w:t>
            </w:r>
            <w:r w:rsidR="4010482B" w:rsidRPr="00310498">
              <w:t xml:space="preserve"> </w:t>
            </w:r>
            <w:bookmarkStart w:id="92" w:name="_Ref196734375"/>
            <w:r w:rsidR="00B11861">
              <w:rPr>
                <w:rStyle w:val="FootnoteReference"/>
              </w:rPr>
              <w:footnoteReference w:id="18"/>
            </w:r>
            <w:bookmarkEnd w:id="92"/>
          </w:p>
        </w:tc>
        <w:tc>
          <w:tcPr>
            <w:tcW w:w="1697" w:type="dxa"/>
            <w:tcBorders>
              <w:bottom w:val="single" w:sz="4" w:space="0" w:color="auto"/>
            </w:tcBorders>
            <w:tcMar>
              <w:left w:w="20" w:type="dxa"/>
              <w:right w:w="20" w:type="dxa"/>
            </w:tcMar>
            <w:vAlign w:val="center"/>
          </w:tcPr>
          <w:p w14:paraId="489CB1D8" w14:textId="03515BAF" w:rsidR="00A27FA9" w:rsidRPr="00A27FA9" w:rsidRDefault="00070C9A">
            <w:pPr>
              <w:pStyle w:val="Tabletext"/>
            </w:pPr>
            <w:r w:rsidRPr="00282289">
              <w:rPr>
                <w:color w:val="000000"/>
                <w:spacing w:val="54"/>
                <w:shd w:val="solid" w:color="000000" w:fill="000000"/>
                <w:fitText w:val="334" w:id="-723258102"/>
                <w14:textFill>
                  <w14:solidFill>
                    <w14:srgbClr w14:val="000000">
                      <w14:alpha w14:val="100000"/>
                    </w14:srgbClr>
                  </w14:solidFill>
                </w14:textFill>
              </w:rPr>
              <w:t>|||</w:t>
            </w:r>
            <w:r w:rsidRPr="00282289">
              <w:rPr>
                <w:color w:val="000000"/>
                <w:spacing w:val="2"/>
                <w:shd w:val="solid" w:color="000000" w:fill="000000"/>
                <w:fitText w:val="334" w:id="-723258102"/>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3" w:id="-723258101"/>
                <w14:textFill>
                  <w14:solidFill>
                    <w14:srgbClr w14:val="000000">
                      <w14:alpha w14:val="100000"/>
                    </w14:srgbClr>
                  </w14:solidFill>
                </w14:textFill>
              </w:rPr>
              <w:t>|||</w:t>
            </w:r>
            <w:r w:rsidRPr="00282289">
              <w:rPr>
                <w:color w:val="000000"/>
                <w:spacing w:val="3"/>
                <w:shd w:val="solid" w:color="000000" w:fill="000000"/>
                <w:fitText w:val="323" w:id="-723258101"/>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00"/>
                <w14:textFill>
                  <w14:solidFill>
                    <w14:srgbClr w14:val="000000">
                      <w14:alpha w14:val="100000"/>
                    </w14:srgbClr>
                  </w14:solidFill>
                </w14:textFill>
              </w:rPr>
              <w:t>|||</w:t>
            </w:r>
            <w:r w:rsidRPr="00282289">
              <w:rPr>
                <w:color w:val="000000"/>
                <w:spacing w:val="2"/>
                <w:shd w:val="solid" w:color="000000" w:fill="000000"/>
                <w:fitText w:val="322" w:id="-723258100"/>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099"/>
                <w14:textFill>
                  <w14:solidFill>
                    <w14:srgbClr w14:val="000000">
                      <w14:alpha w14:val="100000"/>
                    </w14:srgbClr>
                  </w14:solidFill>
                </w14:textFill>
              </w:rPr>
              <w:t>|||</w:t>
            </w:r>
            <w:r w:rsidRPr="00282289">
              <w:rPr>
                <w:color w:val="000000"/>
                <w:spacing w:val="1"/>
                <w:shd w:val="solid" w:color="000000" w:fill="000000"/>
                <w:fitText w:val="333" w:id="-723258099"/>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4" w:id="-723258098"/>
                <w14:textFill>
                  <w14:solidFill>
                    <w14:srgbClr w14:val="000000">
                      <w14:alpha w14:val="100000"/>
                    </w14:srgbClr>
                  </w14:solidFill>
                </w14:textFill>
              </w:rPr>
              <w:t>|||</w:t>
            </w:r>
            <w:r w:rsidRPr="00282289">
              <w:rPr>
                <w:color w:val="000000"/>
                <w:spacing w:val="2"/>
                <w:shd w:val="solid" w:color="000000" w:fill="000000"/>
                <w:fitText w:val="334" w:id="-723258098"/>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3" w:id="-723258097"/>
                <w14:textFill>
                  <w14:solidFill>
                    <w14:srgbClr w14:val="000000">
                      <w14:alpha w14:val="100000"/>
                    </w14:srgbClr>
                  </w14:solidFill>
                </w14:textFill>
              </w:rPr>
              <w:t>|||</w:t>
            </w:r>
            <w:r w:rsidRPr="00282289">
              <w:rPr>
                <w:color w:val="000000"/>
                <w:spacing w:val="3"/>
                <w:shd w:val="solid" w:color="000000" w:fill="000000"/>
                <w:fitText w:val="323" w:id="-723258097"/>
                <w14:textFill>
                  <w14:solidFill>
                    <w14:srgbClr w14:val="000000">
                      <w14:alpha w14:val="100000"/>
                    </w14:srgbClr>
                  </w14:solidFill>
                </w14:textFill>
              </w:rPr>
              <w:t>|</w:t>
            </w:r>
          </w:p>
          <w:p w14:paraId="6F37C09C" w14:textId="45ED33AC" w:rsidR="00485DF5" w:rsidRPr="00310498" w:rsidRDefault="00070C9A">
            <w:pPr>
              <w:pStyle w:val="Tabletext"/>
            </w:pPr>
            <w:r w:rsidRPr="00282289">
              <w:rPr>
                <w:color w:val="000000"/>
                <w:spacing w:val="54"/>
                <w:shd w:val="solid" w:color="000000" w:fill="000000"/>
                <w:fitText w:val="334" w:id="-723258096"/>
                <w14:textFill>
                  <w14:solidFill>
                    <w14:srgbClr w14:val="000000">
                      <w14:alpha w14:val="100000"/>
                    </w14:srgbClr>
                  </w14:solidFill>
                </w14:textFill>
              </w:rPr>
              <w:t>|||</w:t>
            </w:r>
            <w:r w:rsidRPr="00282289">
              <w:rPr>
                <w:color w:val="000000"/>
                <w:spacing w:val="2"/>
                <w:shd w:val="solid" w:color="000000" w:fill="000000"/>
                <w:fitText w:val="334" w:id="-723258096"/>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3" w:id="-723258112"/>
                <w14:textFill>
                  <w14:solidFill>
                    <w14:srgbClr w14:val="000000">
                      <w14:alpha w14:val="100000"/>
                    </w14:srgbClr>
                  </w14:solidFill>
                </w14:textFill>
              </w:rPr>
              <w:t>|||</w:t>
            </w:r>
            <w:r w:rsidRPr="00282289">
              <w:rPr>
                <w:color w:val="000000"/>
                <w:spacing w:val="3"/>
                <w:shd w:val="solid" w:color="000000" w:fill="000000"/>
                <w:fitText w:val="323" w:id="-723258112"/>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11"/>
                <w14:textFill>
                  <w14:solidFill>
                    <w14:srgbClr w14:val="000000">
                      <w14:alpha w14:val="100000"/>
                    </w14:srgbClr>
                  </w14:solidFill>
                </w14:textFill>
              </w:rPr>
              <w:t>|||</w:t>
            </w:r>
            <w:r w:rsidRPr="00282289">
              <w:rPr>
                <w:color w:val="000000"/>
                <w:spacing w:val="2"/>
                <w:shd w:val="solid" w:color="000000" w:fill="000000"/>
                <w:fitText w:val="322" w:id="-723258111"/>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10"/>
                <w14:textFill>
                  <w14:solidFill>
                    <w14:srgbClr w14:val="000000">
                      <w14:alpha w14:val="100000"/>
                    </w14:srgbClr>
                  </w14:solidFill>
                </w14:textFill>
              </w:rPr>
              <w:t>|||</w:t>
            </w:r>
            <w:r w:rsidRPr="00282289">
              <w:rPr>
                <w:color w:val="000000"/>
                <w:spacing w:val="1"/>
                <w:shd w:val="solid" w:color="000000" w:fill="000000"/>
                <w:fitText w:val="333" w:id="-723258110"/>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4" w:id="-723258109"/>
                <w14:textFill>
                  <w14:solidFill>
                    <w14:srgbClr w14:val="000000">
                      <w14:alpha w14:val="100000"/>
                    </w14:srgbClr>
                  </w14:solidFill>
                </w14:textFill>
              </w:rPr>
              <w:t>|||</w:t>
            </w:r>
            <w:r w:rsidRPr="00282289">
              <w:rPr>
                <w:color w:val="000000"/>
                <w:spacing w:val="2"/>
                <w:shd w:val="solid" w:color="000000" w:fill="000000"/>
                <w:fitText w:val="334" w:id="-723258109"/>
                <w14:textFill>
                  <w14:solidFill>
                    <w14:srgbClr w14:val="000000">
                      <w14:alpha w14:val="100000"/>
                    </w14:srgbClr>
                  </w14:solidFill>
                </w14:textFill>
              </w:rPr>
              <w:t>|</w:t>
            </w:r>
            <w:r w:rsidR="00485DF5" w:rsidRPr="00310498">
              <w:t>.</w:t>
            </w:r>
            <w:r w:rsidR="000C028E" w:rsidRPr="000C028E">
              <w:rPr>
                <w:vertAlign w:val="superscript"/>
              </w:rPr>
              <w:t xml:space="preserve"> </w:t>
            </w:r>
            <w:r w:rsidR="00312BBA">
              <w:rPr>
                <w:vertAlign w:val="superscript"/>
              </w:rPr>
              <w:fldChar w:fldCharType="begin" w:fldLock="1"/>
            </w:r>
            <w:r w:rsidR="00312BBA">
              <w:rPr>
                <w:vertAlign w:val="superscript"/>
              </w:rPr>
              <w:instrText xml:space="preserve"> NOTEREF _Ref196734375 \h </w:instrText>
            </w:r>
            <w:r w:rsidR="00312BBA">
              <w:rPr>
                <w:vertAlign w:val="superscript"/>
              </w:rPr>
            </w:r>
            <w:r w:rsidR="00312BBA">
              <w:rPr>
                <w:vertAlign w:val="superscript"/>
              </w:rPr>
              <w:fldChar w:fldCharType="separate"/>
            </w:r>
            <w:r w:rsidR="00312BBA">
              <w:rPr>
                <w:vertAlign w:val="superscript"/>
              </w:rPr>
              <w:t>17</w:t>
            </w:r>
            <w:r w:rsidR="00312BBA">
              <w:rPr>
                <w:vertAlign w:val="superscript"/>
              </w:rPr>
              <w:fldChar w:fldCharType="end"/>
            </w:r>
          </w:p>
        </w:tc>
        <w:tc>
          <w:tcPr>
            <w:tcW w:w="2409" w:type="dxa"/>
            <w:tcBorders>
              <w:bottom w:val="single" w:sz="4" w:space="0" w:color="auto"/>
            </w:tcBorders>
            <w:shd w:val="clear" w:color="auto" w:fill="auto"/>
            <w:tcMar>
              <w:left w:w="20" w:type="dxa"/>
              <w:right w:w="20" w:type="dxa"/>
            </w:tcMar>
            <w:vAlign w:val="center"/>
          </w:tcPr>
          <w:p w14:paraId="48E52059" w14:textId="5AD49694" w:rsidR="00485DF5" w:rsidRPr="00310498" w:rsidRDefault="00070C9A">
            <w:pPr>
              <w:pStyle w:val="Tabletext"/>
            </w:pPr>
            <w:r w:rsidRPr="00282289">
              <w:rPr>
                <w:color w:val="000000"/>
                <w:spacing w:val="54"/>
                <w:shd w:val="solid" w:color="000000" w:fill="000000"/>
                <w:fitText w:val="334" w:id="-723258108"/>
                <w14:textFill>
                  <w14:solidFill>
                    <w14:srgbClr w14:val="000000">
                      <w14:alpha w14:val="100000"/>
                    </w14:srgbClr>
                  </w14:solidFill>
                </w14:textFill>
              </w:rPr>
              <w:t>|||</w:t>
            </w:r>
            <w:r w:rsidRPr="00282289">
              <w:rPr>
                <w:color w:val="000000"/>
                <w:spacing w:val="2"/>
                <w:shd w:val="solid" w:color="000000" w:fill="000000"/>
                <w:fitText w:val="334" w:id="-723258108"/>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3" w:id="-723258107"/>
                <w14:textFill>
                  <w14:solidFill>
                    <w14:srgbClr w14:val="000000">
                      <w14:alpha w14:val="100000"/>
                    </w14:srgbClr>
                  </w14:solidFill>
                </w14:textFill>
              </w:rPr>
              <w:t>|||</w:t>
            </w:r>
            <w:r w:rsidRPr="00282289">
              <w:rPr>
                <w:color w:val="000000"/>
                <w:spacing w:val="3"/>
                <w:shd w:val="solid" w:color="000000" w:fill="000000"/>
                <w:fitText w:val="323" w:id="-723258107"/>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06"/>
                <w14:textFill>
                  <w14:solidFill>
                    <w14:srgbClr w14:val="000000">
                      <w14:alpha w14:val="100000"/>
                    </w14:srgbClr>
                  </w14:solidFill>
                </w14:textFill>
              </w:rPr>
              <w:t>|||</w:t>
            </w:r>
            <w:r w:rsidRPr="00282289">
              <w:rPr>
                <w:color w:val="000000"/>
                <w:spacing w:val="2"/>
                <w:shd w:val="solid" w:color="000000" w:fill="000000"/>
                <w:fitText w:val="322" w:id="-723258106"/>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5"/>
                <w14:textFill>
                  <w14:solidFill>
                    <w14:srgbClr w14:val="000000">
                      <w14:alpha w14:val="100000"/>
                    </w14:srgbClr>
                  </w14:solidFill>
                </w14:textFill>
              </w:rPr>
              <w:t>|||</w:t>
            </w:r>
            <w:r w:rsidRPr="00282289">
              <w:rPr>
                <w:color w:val="000000"/>
                <w:spacing w:val="1"/>
                <w:shd w:val="solid" w:color="000000" w:fill="000000"/>
                <w:fitText w:val="333" w:id="-723258105"/>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4"/>
                <w14:textFill>
                  <w14:solidFill>
                    <w14:srgbClr w14:val="000000">
                      <w14:alpha w14:val="100000"/>
                    </w14:srgbClr>
                  </w14:solidFill>
                </w14:textFill>
              </w:rPr>
              <w:t>|||</w:t>
            </w:r>
            <w:r w:rsidRPr="00282289">
              <w:rPr>
                <w:color w:val="000000"/>
                <w:spacing w:val="1"/>
                <w:shd w:val="solid" w:color="000000" w:fill="000000"/>
                <w:fitText w:val="333" w:id="-723258104"/>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03"/>
                <w14:textFill>
                  <w14:solidFill>
                    <w14:srgbClr w14:val="000000">
                      <w14:alpha w14:val="100000"/>
                    </w14:srgbClr>
                  </w14:solidFill>
                </w14:textFill>
              </w:rPr>
              <w:t>|||</w:t>
            </w:r>
            <w:r w:rsidRPr="00282289">
              <w:rPr>
                <w:color w:val="000000"/>
                <w:spacing w:val="2"/>
                <w:shd w:val="solid" w:color="000000" w:fill="000000"/>
                <w:fitText w:val="322" w:id="-723258103"/>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4" w:id="-723258102"/>
                <w14:textFill>
                  <w14:solidFill>
                    <w14:srgbClr w14:val="000000">
                      <w14:alpha w14:val="100000"/>
                    </w14:srgbClr>
                  </w14:solidFill>
                </w14:textFill>
              </w:rPr>
              <w:t>|||</w:t>
            </w:r>
            <w:r w:rsidRPr="00282289">
              <w:rPr>
                <w:color w:val="000000"/>
                <w:spacing w:val="2"/>
                <w:shd w:val="solid" w:color="000000" w:fill="000000"/>
                <w:fitText w:val="334" w:id="-723258102"/>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3" w:id="-723258101"/>
                <w14:textFill>
                  <w14:solidFill>
                    <w14:srgbClr w14:val="000000">
                      <w14:alpha w14:val="100000"/>
                    </w14:srgbClr>
                  </w14:solidFill>
                </w14:textFill>
              </w:rPr>
              <w:t>|||</w:t>
            </w:r>
            <w:r w:rsidRPr="00282289">
              <w:rPr>
                <w:color w:val="000000"/>
                <w:spacing w:val="3"/>
                <w:shd w:val="solid" w:color="000000" w:fill="000000"/>
                <w:fitText w:val="323" w:id="-723258101"/>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00"/>
                <w14:textFill>
                  <w14:solidFill>
                    <w14:srgbClr w14:val="000000">
                      <w14:alpha w14:val="100000"/>
                    </w14:srgbClr>
                  </w14:solidFill>
                </w14:textFill>
              </w:rPr>
              <w:t>|||</w:t>
            </w:r>
            <w:r w:rsidRPr="00282289">
              <w:rPr>
                <w:color w:val="000000"/>
                <w:spacing w:val="2"/>
                <w:shd w:val="solid" w:color="000000" w:fill="000000"/>
                <w:fitText w:val="322" w:id="-723258100"/>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099"/>
                <w14:textFill>
                  <w14:solidFill>
                    <w14:srgbClr w14:val="000000">
                      <w14:alpha w14:val="100000"/>
                    </w14:srgbClr>
                  </w14:solidFill>
                </w14:textFill>
              </w:rPr>
              <w:t>|||</w:t>
            </w:r>
            <w:r w:rsidRPr="00282289">
              <w:rPr>
                <w:color w:val="000000"/>
                <w:spacing w:val="1"/>
                <w:shd w:val="solid" w:color="000000" w:fill="000000"/>
                <w:fitText w:val="333" w:id="-723258099"/>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098"/>
                <w14:textFill>
                  <w14:solidFill>
                    <w14:srgbClr w14:val="000000">
                      <w14:alpha w14:val="100000"/>
                    </w14:srgbClr>
                  </w14:solidFill>
                </w14:textFill>
              </w:rPr>
              <w:t>|||</w:t>
            </w:r>
            <w:r w:rsidRPr="00282289">
              <w:rPr>
                <w:color w:val="000000"/>
                <w:spacing w:val="1"/>
                <w:shd w:val="solid" w:color="000000" w:fill="000000"/>
                <w:fitText w:val="333" w:id="-723258098"/>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097"/>
                <w14:textFill>
                  <w14:solidFill>
                    <w14:srgbClr w14:val="000000">
                      <w14:alpha w14:val="100000"/>
                    </w14:srgbClr>
                  </w14:solidFill>
                </w14:textFill>
              </w:rPr>
              <w:t>|||</w:t>
            </w:r>
            <w:r w:rsidRPr="00282289">
              <w:rPr>
                <w:color w:val="000000"/>
                <w:spacing w:val="2"/>
                <w:shd w:val="solid" w:color="000000" w:fill="000000"/>
                <w:fitText w:val="322" w:id="-723258097"/>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4" w:id="-723258096"/>
                <w14:textFill>
                  <w14:solidFill>
                    <w14:srgbClr w14:val="000000">
                      <w14:alpha w14:val="100000"/>
                    </w14:srgbClr>
                  </w14:solidFill>
                </w14:textFill>
              </w:rPr>
              <w:t>|||</w:t>
            </w:r>
            <w:r w:rsidRPr="00282289">
              <w:rPr>
                <w:color w:val="000000"/>
                <w:spacing w:val="2"/>
                <w:shd w:val="solid" w:color="000000" w:fill="000000"/>
                <w:fitText w:val="334" w:id="-723258096"/>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3" w:id="-723258112"/>
                <w14:textFill>
                  <w14:solidFill>
                    <w14:srgbClr w14:val="000000">
                      <w14:alpha w14:val="100000"/>
                    </w14:srgbClr>
                  </w14:solidFill>
                </w14:textFill>
              </w:rPr>
              <w:t>|||</w:t>
            </w:r>
            <w:r w:rsidRPr="00282289">
              <w:rPr>
                <w:color w:val="000000"/>
                <w:spacing w:val="3"/>
                <w:shd w:val="solid" w:color="000000" w:fill="000000"/>
                <w:fitText w:val="323" w:id="-723258112"/>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11"/>
                <w14:textFill>
                  <w14:solidFill>
                    <w14:srgbClr w14:val="000000">
                      <w14:alpha w14:val="100000"/>
                    </w14:srgbClr>
                  </w14:solidFill>
                </w14:textFill>
              </w:rPr>
              <w:t>|||</w:t>
            </w:r>
            <w:r w:rsidRPr="00282289">
              <w:rPr>
                <w:color w:val="000000"/>
                <w:spacing w:val="2"/>
                <w:shd w:val="solid" w:color="000000" w:fill="000000"/>
                <w:fitText w:val="322" w:id="-723258111"/>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10"/>
                <w14:textFill>
                  <w14:solidFill>
                    <w14:srgbClr w14:val="000000">
                      <w14:alpha w14:val="100000"/>
                    </w14:srgbClr>
                  </w14:solidFill>
                </w14:textFill>
              </w:rPr>
              <w:t>|||</w:t>
            </w:r>
            <w:r w:rsidRPr="00282289">
              <w:rPr>
                <w:color w:val="000000"/>
                <w:spacing w:val="1"/>
                <w:shd w:val="solid" w:color="000000" w:fill="000000"/>
                <w:fitText w:val="333" w:id="-723258110"/>
                <w14:textFill>
                  <w14:solidFill>
                    <w14:srgbClr w14:val="000000">
                      <w14:alpha w14:val="100000"/>
                    </w14:srgbClr>
                  </w14:solidFill>
                </w14:textFill>
              </w:rPr>
              <w:t>|</w:t>
            </w:r>
            <w:r w:rsidR="00485DF5" w:rsidRPr="00310498">
              <w:t>.</w:t>
            </w:r>
            <w:r w:rsidR="000C028E">
              <w:t xml:space="preserve"> </w:t>
            </w:r>
            <w:r w:rsidR="000C028E" w:rsidRPr="00310498">
              <w:t>.</w:t>
            </w:r>
            <w:r w:rsidR="00312BBA" w:rsidRPr="000C028E">
              <w:rPr>
                <w:vertAlign w:val="superscript"/>
              </w:rPr>
              <w:t xml:space="preserve"> </w:t>
            </w:r>
            <w:r w:rsidR="00312BBA">
              <w:rPr>
                <w:vertAlign w:val="superscript"/>
              </w:rPr>
              <w:fldChar w:fldCharType="begin" w:fldLock="1"/>
            </w:r>
            <w:r w:rsidR="00312BBA">
              <w:rPr>
                <w:vertAlign w:val="superscript"/>
              </w:rPr>
              <w:instrText xml:space="preserve"> NOTEREF _Ref196734375 \h </w:instrText>
            </w:r>
            <w:r w:rsidR="00312BBA">
              <w:rPr>
                <w:vertAlign w:val="superscript"/>
              </w:rPr>
            </w:r>
            <w:r w:rsidR="00312BBA">
              <w:rPr>
                <w:vertAlign w:val="superscript"/>
              </w:rPr>
              <w:fldChar w:fldCharType="separate"/>
            </w:r>
            <w:r w:rsidR="00312BBA">
              <w:rPr>
                <w:vertAlign w:val="superscript"/>
              </w:rPr>
              <w:t>17</w:t>
            </w:r>
            <w:r w:rsidR="00312BBA">
              <w:rPr>
                <w:vertAlign w:val="superscript"/>
              </w:rPr>
              <w:fldChar w:fldCharType="end"/>
            </w:r>
          </w:p>
        </w:tc>
        <w:tc>
          <w:tcPr>
            <w:tcW w:w="3392" w:type="dxa"/>
            <w:tcBorders>
              <w:bottom w:val="single" w:sz="4" w:space="0" w:color="auto"/>
            </w:tcBorders>
            <w:shd w:val="clear" w:color="auto" w:fill="auto"/>
            <w:tcMar>
              <w:left w:w="20" w:type="dxa"/>
              <w:right w:w="20" w:type="dxa"/>
            </w:tcMar>
            <w:vAlign w:val="center"/>
          </w:tcPr>
          <w:p w14:paraId="1916E3F4" w14:textId="5B1E93FC" w:rsidR="00485DF5" w:rsidRPr="00310498" w:rsidRDefault="00070C9A">
            <w:pPr>
              <w:pStyle w:val="Tabletext"/>
            </w:pPr>
            <w:r w:rsidRPr="00282289">
              <w:rPr>
                <w:color w:val="000000"/>
                <w:spacing w:val="54"/>
                <w:shd w:val="solid" w:color="000000" w:fill="000000"/>
                <w:fitText w:val="333" w:id="-723258109"/>
                <w14:textFill>
                  <w14:solidFill>
                    <w14:srgbClr w14:val="000000">
                      <w14:alpha w14:val="100000"/>
                    </w14:srgbClr>
                  </w14:solidFill>
                </w14:textFill>
              </w:rPr>
              <w:t>|||</w:t>
            </w:r>
            <w:r w:rsidRPr="00282289">
              <w:rPr>
                <w:color w:val="000000"/>
                <w:spacing w:val="1"/>
                <w:shd w:val="solid" w:color="000000" w:fill="000000"/>
                <w:fitText w:val="333" w:id="-723258109"/>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4" w:id="-723258108"/>
                <w14:textFill>
                  <w14:solidFill>
                    <w14:srgbClr w14:val="000000">
                      <w14:alpha w14:val="100000"/>
                    </w14:srgbClr>
                  </w14:solidFill>
                </w14:textFill>
              </w:rPr>
              <w:t>|||</w:t>
            </w:r>
            <w:r w:rsidRPr="00282289">
              <w:rPr>
                <w:color w:val="000000"/>
                <w:spacing w:val="2"/>
                <w:shd w:val="solid" w:color="000000" w:fill="000000"/>
                <w:fitText w:val="334" w:id="-723258108"/>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3" w:id="-723258107"/>
                <w14:textFill>
                  <w14:solidFill>
                    <w14:srgbClr w14:val="000000">
                      <w14:alpha w14:val="100000"/>
                    </w14:srgbClr>
                  </w14:solidFill>
                </w14:textFill>
              </w:rPr>
              <w:t>|||</w:t>
            </w:r>
            <w:r w:rsidRPr="00282289">
              <w:rPr>
                <w:color w:val="000000"/>
                <w:spacing w:val="3"/>
                <w:shd w:val="solid" w:color="000000" w:fill="000000"/>
                <w:fitText w:val="323" w:id="-723258107"/>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6"/>
                <w14:textFill>
                  <w14:solidFill>
                    <w14:srgbClr w14:val="000000">
                      <w14:alpha w14:val="100000"/>
                    </w14:srgbClr>
                  </w14:solidFill>
                </w14:textFill>
              </w:rPr>
              <w:t>|||</w:t>
            </w:r>
            <w:r w:rsidRPr="00282289">
              <w:rPr>
                <w:color w:val="000000"/>
                <w:spacing w:val="1"/>
                <w:shd w:val="solid" w:color="000000" w:fill="000000"/>
                <w:fitText w:val="333" w:id="-723258106"/>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5"/>
                <w14:textFill>
                  <w14:solidFill>
                    <w14:srgbClr w14:val="000000">
                      <w14:alpha w14:val="100000"/>
                    </w14:srgbClr>
                  </w14:solidFill>
                </w14:textFill>
              </w:rPr>
              <w:t>|||</w:t>
            </w:r>
            <w:r w:rsidRPr="00282289">
              <w:rPr>
                <w:color w:val="000000"/>
                <w:spacing w:val="1"/>
                <w:shd w:val="solid" w:color="000000" w:fill="000000"/>
                <w:fitText w:val="333" w:id="-723258105"/>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04"/>
                <w14:textFill>
                  <w14:solidFill>
                    <w14:srgbClr w14:val="000000">
                      <w14:alpha w14:val="100000"/>
                    </w14:srgbClr>
                  </w14:solidFill>
                </w14:textFill>
              </w:rPr>
              <w:t>|||</w:t>
            </w:r>
            <w:r w:rsidRPr="00282289">
              <w:rPr>
                <w:color w:val="000000"/>
                <w:spacing w:val="2"/>
                <w:shd w:val="solid" w:color="000000" w:fill="000000"/>
                <w:fitText w:val="322" w:id="-723258104"/>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03"/>
                <w14:textFill>
                  <w14:solidFill>
                    <w14:srgbClr w14:val="000000">
                      <w14:alpha w14:val="100000"/>
                    </w14:srgbClr>
                  </w14:solidFill>
                </w14:textFill>
              </w:rPr>
              <w:t>|||</w:t>
            </w:r>
            <w:r w:rsidRPr="00282289">
              <w:rPr>
                <w:color w:val="000000"/>
                <w:spacing w:val="2"/>
                <w:shd w:val="solid" w:color="000000" w:fill="000000"/>
                <w:fitText w:val="322" w:id="-723258103"/>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4" w:id="-723258102"/>
                <w14:textFill>
                  <w14:solidFill>
                    <w14:srgbClr w14:val="000000">
                      <w14:alpha w14:val="100000"/>
                    </w14:srgbClr>
                  </w14:solidFill>
                </w14:textFill>
              </w:rPr>
              <w:t>|||</w:t>
            </w:r>
            <w:r w:rsidRPr="00282289">
              <w:rPr>
                <w:color w:val="000000"/>
                <w:spacing w:val="2"/>
                <w:shd w:val="solid" w:color="000000" w:fill="000000"/>
                <w:fitText w:val="334" w:id="-723258102"/>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1"/>
                <w14:textFill>
                  <w14:solidFill>
                    <w14:srgbClr w14:val="000000">
                      <w14:alpha w14:val="100000"/>
                    </w14:srgbClr>
                  </w14:solidFill>
                </w14:textFill>
              </w:rPr>
              <w:t>|||</w:t>
            </w:r>
            <w:r w:rsidRPr="00282289">
              <w:rPr>
                <w:color w:val="000000"/>
                <w:spacing w:val="1"/>
                <w:shd w:val="solid" w:color="000000" w:fill="000000"/>
                <w:fitText w:val="333" w:id="-723258101"/>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0"/>
                <w14:textFill>
                  <w14:solidFill>
                    <w14:srgbClr w14:val="000000">
                      <w14:alpha w14:val="100000"/>
                    </w14:srgbClr>
                  </w14:solidFill>
                </w14:textFill>
              </w:rPr>
              <w:t>|||</w:t>
            </w:r>
            <w:r w:rsidRPr="00282289">
              <w:rPr>
                <w:color w:val="000000"/>
                <w:spacing w:val="1"/>
                <w:shd w:val="solid" w:color="000000" w:fill="000000"/>
                <w:fitText w:val="333" w:id="-723258100"/>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4" w:id="-723258099"/>
                <w14:textFill>
                  <w14:solidFill>
                    <w14:srgbClr w14:val="000000">
                      <w14:alpha w14:val="100000"/>
                    </w14:srgbClr>
                  </w14:solidFill>
                </w14:textFill>
              </w:rPr>
              <w:t>|||</w:t>
            </w:r>
            <w:r w:rsidRPr="00282289">
              <w:rPr>
                <w:color w:val="000000"/>
                <w:spacing w:val="2"/>
                <w:shd w:val="solid" w:color="000000" w:fill="000000"/>
                <w:fitText w:val="334" w:id="-723258099"/>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3" w:id="-723258098"/>
                <w14:textFill>
                  <w14:solidFill>
                    <w14:srgbClr w14:val="000000">
                      <w14:alpha w14:val="100000"/>
                    </w14:srgbClr>
                  </w14:solidFill>
                </w14:textFill>
              </w:rPr>
              <w:t>|||</w:t>
            </w:r>
            <w:r w:rsidRPr="00282289">
              <w:rPr>
                <w:color w:val="000000"/>
                <w:spacing w:val="3"/>
                <w:shd w:val="solid" w:color="000000" w:fill="000000"/>
                <w:fitText w:val="323" w:id="-723258098"/>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097"/>
                <w14:textFill>
                  <w14:solidFill>
                    <w14:srgbClr w14:val="000000">
                      <w14:alpha w14:val="100000"/>
                    </w14:srgbClr>
                  </w14:solidFill>
                </w14:textFill>
              </w:rPr>
              <w:t>|||</w:t>
            </w:r>
            <w:r w:rsidRPr="00282289">
              <w:rPr>
                <w:color w:val="000000"/>
                <w:spacing w:val="1"/>
                <w:shd w:val="solid" w:color="000000" w:fill="000000"/>
                <w:fitText w:val="333" w:id="-723258097"/>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096"/>
                <w14:textFill>
                  <w14:solidFill>
                    <w14:srgbClr w14:val="000000">
                      <w14:alpha w14:val="100000"/>
                    </w14:srgbClr>
                  </w14:solidFill>
                </w14:textFill>
              </w:rPr>
              <w:t>|||</w:t>
            </w:r>
            <w:r w:rsidRPr="00282289">
              <w:rPr>
                <w:color w:val="000000"/>
                <w:spacing w:val="1"/>
                <w:shd w:val="solid" w:color="000000" w:fill="000000"/>
                <w:fitText w:val="333" w:id="-723258096"/>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12"/>
                <w14:textFill>
                  <w14:solidFill>
                    <w14:srgbClr w14:val="000000">
                      <w14:alpha w14:val="100000"/>
                    </w14:srgbClr>
                  </w14:solidFill>
                </w14:textFill>
              </w:rPr>
              <w:t>|||</w:t>
            </w:r>
            <w:r w:rsidRPr="00282289">
              <w:rPr>
                <w:color w:val="000000"/>
                <w:spacing w:val="2"/>
                <w:shd w:val="solid" w:color="000000" w:fill="000000"/>
                <w:fitText w:val="322" w:id="-723258112"/>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2" w:id="-723258111"/>
                <w14:textFill>
                  <w14:solidFill>
                    <w14:srgbClr w14:val="000000">
                      <w14:alpha w14:val="100000"/>
                    </w14:srgbClr>
                  </w14:solidFill>
                </w14:textFill>
              </w:rPr>
              <w:t>|||</w:t>
            </w:r>
            <w:r w:rsidRPr="00282289">
              <w:rPr>
                <w:color w:val="000000"/>
                <w:spacing w:val="2"/>
                <w:shd w:val="solid" w:color="000000" w:fill="000000"/>
                <w:fitText w:val="322" w:id="-723258111"/>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4" w:id="-723258110"/>
                <w14:textFill>
                  <w14:solidFill>
                    <w14:srgbClr w14:val="000000">
                      <w14:alpha w14:val="100000"/>
                    </w14:srgbClr>
                  </w14:solidFill>
                </w14:textFill>
              </w:rPr>
              <w:t>|||</w:t>
            </w:r>
            <w:r w:rsidRPr="00282289">
              <w:rPr>
                <w:color w:val="000000"/>
                <w:spacing w:val="2"/>
                <w:shd w:val="solid" w:color="000000" w:fill="000000"/>
                <w:fitText w:val="334" w:id="-723258110"/>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9"/>
                <w14:textFill>
                  <w14:solidFill>
                    <w14:srgbClr w14:val="000000">
                      <w14:alpha w14:val="100000"/>
                    </w14:srgbClr>
                  </w14:solidFill>
                </w14:textFill>
              </w:rPr>
              <w:t>|||</w:t>
            </w:r>
            <w:r w:rsidRPr="00282289">
              <w:rPr>
                <w:color w:val="000000"/>
                <w:spacing w:val="1"/>
                <w:shd w:val="solid" w:color="000000" w:fill="000000"/>
                <w:fitText w:val="333" w:id="-723258109"/>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8"/>
                <w14:textFill>
                  <w14:solidFill>
                    <w14:srgbClr w14:val="000000">
                      <w14:alpha w14:val="100000"/>
                    </w14:srgbClr>
                  </w14:solidFill>
                </w14:textFill>
              </w:rPr>
              <w:t>|||</w:t>
            </w:r>
            <w:r w:rsidRPr="00282289">
              <w:rPr>
                <w:color w:val="000000"/>
                <w:spacing w:val="1"/>
                <w:shd w:val="solid" w:color="000000" w:fill="000000"/>
                <w:fitText w:val="333" w:id="-723258108"/>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4" w:id="-723258107"/>
                <w14:textFill>
                  <w14:solidFill>
                    <w14:srgbClr w14:val="000000">
                      <w14:alpha w14:val="100000"/>
                    </w14:srgbClr>
                  </w14:solidFill>
                </w14:textFill>
              </w:rPr>
              <w:t>|||</w:t>
            </w:r>
            <w:r w:rsidRPr="00282289">
              <w:rPr>
                <w:color w:val="000000"/>
                <w:spacing w:val="2"/>
                <w:shd w:val="solid" w:color="000000" w:fill="000000"/>
                <w:fitText w:val="334" w:id="-723258107"/>
                <w14:textFill>
                  <w14:solidFill>
                    <w14:srgbClr w14:val="000000">
                      <w14:alpha w14:val="100000"/>
                    </w14:srgbClr>
                  </w14:solidFill>
                </w14:textFill>
              </w:rPr>
              <w:t>|</w:t>
            </w:r>
            <w:r w:rsidR="00A27FA9" w:rsidRPr="00A27FA9">
              <w:t xml:space="preserve"> </w:t>
            </w:r>
            <w:r w:rsidRPr="00282289">
              <w:rPr>
                <w:color w:val="000000"/>
                <w:spacing w:val="50"/>
                <w:shd w:val="solid" w:color="000000" w:fill="000000"/>
                <w:fitText w:val="323" w:id="-723258106"/>
                <w14:textFill>
                  <w14:solidFill>
                    <w14:srgbClr w14:val="000000">
                      <w14:alpha w14:val="100000"/>
                    </w14:srgbClr>
                  </w14:solidFill>
                </w14:textFill>
              </w:rPr>
              <w:t>|||</w:t>
            </w:r>
            <w:r w:rsidRPr="00282289">
              <w:rPr>
                <w:color w:val="000000"/>
                <w:spacing w:val="3"/>
                <w:shd w:val="solid" w:color="000000" w:fill="000000"/>
                <w:fitText w:val="323" w:id="-723258106"/>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5"/>
                <w14:textFill>
                  <w14:solidFill>
                    <w14:srgbClr w14:val="000000">
                      <w14:alpha w14:val="100000"/>
                    </w14:srgbClr>
                  </w14:solidFill>
                </w14:textFill>
              </w:rPr>
              <w:t>|||</w:t>
            </w:r>
            <w:r w:rsidRPr="00282289">
              <w:rPr>
                <w:color w:val="000000"/>
                <w:spacing w:val="1"/>
                <w:shd w:val="solid" w:color="000000" w:fill="000000"/>
                <w:fitText w:val="333" w:id="-723258105"/>
                <w14:textFill>
                  <w14:solidFill>
                    <w14:srgbClr w14:val="000000">
                      <w14:alpha w14:val="100000"/>
                    </w14:srgbClr>
                  </w14:solidFill>
                </w14:textFill>
              </w:rPr>
              <w:t>|</w:t>
            </w:r>
            <w:r w:rsidR="00A27FA9" w:rsidRPr="00A27FA9">
              <w:t xml:space="preserve"> </w:t>
            </w:r>
            <w:r w:rsidRPr="00282289">
              <w:rPr>
                <w:color w:val="000000"/>
                <w:spacing w:val="54"/>
                <w:shd w:val="solid" w:color="000000" w:fill="000000"/>
                <w:fitText w:val="333" w:id="-723258104"/>
                <w14:textFill>
                  <w14:solidFill>
                    <w14:srgbClr w14:val="000000">
                      <w14:alpha w14:val="100000"/>
                    </w14:srgbClr>
                  </w14:solidFill>
                </w14:textFill>
              </w:rPr>
              <w:t>|||</w:t>
            </w:r>
            <w:r w:rsidRPr="00282289">
              <w:rPr>
                <w:color w:val="000000"/>
                <w:spacing w:val="1"/>
                <w:shd w:val="solid" w:color="000000" w:fill="000000"/>
                <w:fitText w:val="333" w:id="-723258104"/>
                <w14:textFill>
                  <w14:solidFill>
                    <w14:srgbClr w14:val="000000">
                      <w14:alpha w14:val="100000"/>
                    </w14:srgbClr>
                  </w14:solidFill>
                </w14:textFill>
              </w:rPr>
              <w:t>|</w:t>
            </w:r>
            <w:r w:rsidR="00485DF5" w:rsidRPr="00310498">
              <w:t xml:space="preserve">. </w:t>
            </w:r>
            <w:r w:rsidR="000C028E" w:rsidRPr="00310498">
              <w:t>.</w:t>
            </w:r>
            <w:r w:rsidR="00312BBA" w:rsidRPr="000C028E">
              <w:rPr>
                <w:vertAlign w:val="superscript"/>
              </w:rPr>
              <w:t xml:space="preserve"> </w:t>
            </w:r>
            <w:r w:rsidR="00312BBA">
              <w:rPr>
                <w:vertAlign w:val="superscript"/>
              </w:rPr>
              <w:fldChar w:fldCharType="begin" w:fldLock="1"/>
            </w:r>
            <w:r w:rsidR="00312BBA">
              <w:rPr>
                <w:vertAlign w:val="superscript"/>
              </w:rPr>
              <w:instrText xml:space="preserve"> NOTEREF _Ref196734375 \h </w:instrText>
            </w:r>
            <w:r w:rsidR="00312BBA">
              <w:rPr>
                <w:vertAlign w:val="superscript"/>
              </w:rPr>
            </w:r>
            <w:r w:rsidR="00312BBA">
              <w:rPr>
                <w:vertAlign w:val="superscript"/>
              </w:rPr>
              <w:fldChar w:fldCharType="separate"/>
            </w:r>
            <w:r w:rsidR="00312BBA">
              <w:rPr>
                <w:vertAlign w:val="superscript"/>
              </w:rPr>
              <w:t>17</w:t>
            </w:r>
            <w:r w:rsidR="00312BBA">
              <w:rPr>
                <w:vertAlign w:val="superscript"/>
              </w:rPr>
              <w:fldChar w:fldCharType="end"/>
            </w:r>
          </w:p>
        </w:tc>
      </w:tr>
      <w:tr w:rsidR="00485DF5" w:rsidRPr="00310498" w14:paraId="7D3728B6" w14:textId="77777777" w:rsidTr="7EE24840">
        <w:trPr>
          <w:gridAfter w:val="1"/>
          <w:wAfter w:w="9" w:type="dxa"/>
          <w:cantSplit/>
        </w:trPr>
        <w:tc>
          <w:tcPr>
            <w:tcW w:w="1409" w:type="dxa"/>
            <w:tcBorders>
              <w:bottom w:val="single" w:sz="4" w:space="0" w:color="auto"/>
            </w:tcBorders>
            <w:shd w:val="clear" w:color="auto" w:fill="auto"/>
            <w:tcMar>
              <w:left w:w="20" w:type="dxa"/>
              <w:right w:w="20" w:type="dxa"/>
            </w:tcMar>
            <w:vAlign w:val="center"/>
          </w:tcPr>
          <w:p w14:paraId="45DFAE8E" w14:textId="77777777" w:rsidR="00485DF5" w:rsidRPr="00310498" w:rsidRDefault="00485DF5">
            <w:pPr>
              <w:pStyle w:val="Tabletext"/>
            </w:pPr>
            <w:r w:rsidRPr="00310498">
              <w:lastRenderedPageBreak/>
              <w:t>Dostarlimab treatment duration (dMMR)</w:t>
            </w:r>
          </w:p>
        </w:tc>
        <w:tc>
          <w:tcPr>
            <w:tcW w:w="1697" w:type="dxa"/>
            <w:tcBorders>
              <w:bottom w:val="single" w:sz="4" w:space="0" w:color="auto"/>
            </w:tcBorders>
            <w:tcMar>
              <w:left w:w="20" w:type="dxa"/>
              <w:right w:w="20" w:type="dxa"/>
            </w:tcMar>
            <w:vAlign w:val="center"/>
          </w:tcPr>
          <w:p w14:paraId="313861FE" w14:textId="77777777" w:rsidR="00485DF5" w:rsidRPr="00310498" w:rsidRDefault="00485DF5">
            <w:pPr>
              <w:pStyle w:val="Tabletext"/>
            </w:pPr>
            <w:r w:rsidRPr="00310498">
              <w:t>Initiation phase: 20.0 weeks (5.66 scripts)</w:t>
            </w:r>
          </w:p>
          <w:p w14:paraId="5B141009" w14:textId="77777777" w:rsidR="00485DF5" w:rsidRPr="00310498" w:rsidRDefault="00485DF5">
            <w:pPr>
              <w:pStyle w:val="Tabletext"/>
            </w:pPr>
            <w:r w:rsidRPr="00310498">
              <w:t>Maintenance phase: 68.94 weeks (11.16 scripts)</w:t>
            </w:r>
          </w:p>
        </w:tc>
        <w:tc>
          <w:tcPr>
            <w:tcW w:w="2409" w:type="dxa"/>
            <w:tcBorders>
              <w:bottom w:val="single" w:sz="4" w:space="0" w:color="auto"/>
            </w:tcBorders>
            <w:shd w:val="clear" w:color="auto" w:fill="auto"/>
            <w:tcMar>
              <w:left w:w="20" w:type="dxa"/>
              <w:right w:w="20" w:type="dxa"/>
            </w:tcMar>
            <w:vAlign w:val="center"/>
          </w:tcPr>
          <w:p w14:paraId="2BB7FD0A" w14:textId="77777777" w:rsidR="00485DF5" w:rsidRPr="00310498" w:rsidRDefault="00485DF5">
            <w:pPr>
              <w:pStyle w:val="Tabletext"/>
            </w:pPr>
            <w:r w:rsidRPr="00310498">
              <w:t>Table 18, dostarlimab PSD, November 2023 PBAC meeting</w:t>
            </w:r>
          </w:p>
        </w:tc>
        <w:tc>
          <w:tcPr>
            <w:tcW w:w="3392" w:type="dxa"/>
            <w:tcBorders>
              <w:bottom w:val="single" w:sz="4" w:space="0" w:color="auto"/>
            </w:tcBorders>
            <w:shd w:val="clear" w:color="auto" w:fill="auto"/>
            <w:tcMar>
              <w:left w:w="20" w:type="dxa"/>
              <w:right w:w="20" w:type="dxa"/>
            </w:tcMar>
            <w:vAlign w:val="center"/>
          </w:tcPr>
          <w:p w14:paraId="4C734552" w14:textId="65B09DE0" w:rsidR="00485DF5" w:rsidRPr="00310498" w:rsidRDefault="00485DF5">
            <w:pPr>
              <w:pStyle w:val="Tabletext"/>
            </w:pPr>
            <w:r w:rsidRPr="00310498">
              <w:t>This treatment duration differed to the CMA (5.1 doses initiation and 12 doses continuing)</w:t>
            </w:r>
            <w:r w:rsidR="003977BD">
              <w:t>, which appeared to have been inappropriate and did not appear to have been corrected in the PSCR’s revised estimates</w:t>
            </w:r>
            <w:r w:rsidRPr="00310498">
              <w:t xml:space="preserve">. </w:t>
            </w:r>
          </w:p>
        </w:tc>
      </w:tr>
      <w:tr w:rsidR="00485DF5" w:rsidRPr="00310498" w14:paraId="536AF7BE" w14:textId="77777777" w:rsidTr="7EE24840">
        <w:trPr>
          <w:cantSplit/>
        </w:trPr>
        <w:tc>
          <w:tcPr>
            <w:tcW w:w="8916" w:type="dxa"/>
            <w:gridSpan w:val="5"/>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4821CAB9" w14:textId="77777777" w:rsidR="00485DF5" w:rsidRPr="00310498" w:rsidRDefault="00485DF5">
            <w:pPr>
              <w:pStyle w:val="Tabletext"/>
              <w:rPr>
                <w:szCs w:val="20"/>
              </w:rPr>
            </w:pPr>
            <w:r w:rsidRPr="00310498">
              <w:rPr>
                <w:szCs w:val="20"/>
              </w:rPr>
              <w:t>Costs</w:t>
            </w:r>
          </w:p>
        </w:tc>
      </w:tr>
      <w:tr w:rsidR="00485DF5" w:rsidRPr="00310498" w14:paraId="795C7AC6" w14:textId="77777777" w:rsidTr="7EE24840">
        <w:trPr>
          <w:gridAfter w:val="1"/>
          <w:wAfter w:w="9" w:type="dxa"/>
          <w:cantSplit/>
        </w:trPr>
        <w:tc>
          <w:tcPr>
            <w:tcW w:w="1409"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49AF1A60" w14:textId="77777777" w:rsidR="00485DF5" w:rsidRPr="00310498" w:rsidRDefault="00485DF5">
            <w:pPr>
              <w:pStyle w:val="Tabletext"/>
            </w:pPr>
            <w:r w:rsidRPr="00310498">
              <w:t>Dostarlimab</w:t>
            </w:r>
          </w:p>
        </w:tc>
        <w:tc>
          <w:tcPr>
            <w:tcW w:w="4106" w:type="dxa"/>
            <w:gridSpan w:val="2"/>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5D93B35C" w14:textId="68B6DDEE" w:rsidR="00485DF5" w:rsidRPr="00310498" w:rsidRDefault="00485DF5">
            <w:pPr>
              <w:pStyle w:val="Tabletext"/>
            </w:pPr>
            <w:r w:rsidRPr="00310498">
              <w:t xml:space="preserve">For dMMR EC, a PBS listing for durvalumab (+ PC) would result in substitution of dostarlimab (+ PC). </w:t>
            </w:r>
            <w:r w:rsidR="003977BD">
              <w:t>However</w:t>
            </w:r>
            <w:r w:rsidR="00177788" w:rsidRPr="00310498">
              <w:t>,</w:t>
            </w:r>
            <w:r w:rsidRPr="00310498">
              <w:t xml:space="preserve"> the submission did not include dostarlimab costs in the financial estimates.</w:t>
            </w:r>
          </w:p>
        </w:tc>
        <w:tc>
          <w:tcPr>
            <w:tcW w:w="3392"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0654AC23" w14:textId="59EF583B" w:rsidR="00485DF5" w:rsidRPr="00310498" w:rsidRDefault="00485DF5">
            <w:pPr>
              <w:pStyle w:val="Tabletext"/>
            </w:pPr>
            <w:r w:rsidRPr="00310498">
              <w:t>Inappropriate</w:t>
            </w:r>
            <w:r w:rsidR="00177788" w:rsidRPr="00310498">
              <w:t xml:space="preserve">. </w:t>
            </w:r>
            <w:r w:rsidR="002E3B59" w:rsidRPr="00310498">
              <w:t>O</w:t>
            </w:r>
            <w:r w:rsidR="00177788" w:rsidRPr="00310498">
              <w:t>ffsets were</w:t>
            </w:r>
            <w:r w:rsidRPr="00310498">
              <w:t xml:space="preserve"> not included in the financial estimates </w:t>
            </w:r>
            <w:r w:rsidR="003977BD">
              <w:t>provided in the submission but were included in the PSCR’s revised estimates</w:t>
            </w:r>
            <w:r w:rsidRPr="00310498">
              <w:t xml:space="preserve">. </w:t>
            </w:r>
          </w:p>
        </w:tc>
      </w:tr>
      <w:tr w:rsidR="00485DF5" w:rsidRPr="00310498" w14:paraId="11DD0559" w14:textId="77777777" w:rsidTr="7EE24840">
        <w:trPr>
          <w:gridAfter w:val="1"/>
          <w:wAfter w:w="9" w:type="dxa"/>
          <w:cantSplit/>
        </w:trPr>
        <w:tc>
          <w:tcPr>
            <w:tcW w:w="1409"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6BDF09BE" w14:textId="77777777" w:rsidR="00485DF5" w:rsidRPr="00310498" w:rsidRDefault="00485DF5">
            <w:pPr>
              <w:pStyle w:val="Tabletext"/>
            </w:pPr>
            <w:r w:rsidRPr="00310498">
              <w:t>Pembrolizumab and lenvatinib</w:t>
            </w:r>
          </w:p>
        </w:tc>
        <w:tc>
          <w:tcPr>
            <w:tcW w:w="4106" w:type="dxa"/>
            <w:gridSpan w:val="2"/>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6685BC20" w14:textId="7A149815" w:rsidR="00485DF5" w:rsidRPr="00310498" w:rsidRDefault="00485DF5">
            <w:pPr>
              <w:pStyle w:val="Tabletext"/>
            </w:pPr>
            <w:r w:rsidRPr="00310498">
              <w:t xml:space="preserve">The submission presented the estimated cost offsets from avoided </w:t>
            </w:r>
            <w:r w:rsidR="00395FE5" w:rsidRPr="00310498">
              <w:t>2L</w:t>
            </w:r>
            <w:r w:rsidRPr="00310498">
              <w:t xml:space="preserve"> pembrolizumab + lenvatinib due to the use of </w:t>
            </w:r>
            <w:r w:rsidR="00464CDF" w:rsidRPr="00310498">
              <w:t>1L</w:t>
            </w:r>
            <w:r w:rsidRPr="00310498">
              <w:t xml:space="preserve"> durvalumab. </w:t>
            </w:r>
          </w:p>
        </w:tc>
        <w:tc>
          <w:tcPr>
            <w:tcW w:w="3392"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338F0C70" w14:textId="7F2F84A5" w:rsidR="00485DF5" w:rsidRPr="00310498" w:rsidRDefault="00485DF5">
            <w:pPr>
              <w:pStyle w:val="Tabletext"/>
            </w:pPr>
            <w:r w:rsidRPr="00310498">
              <w:t xml:space="preserve">These were not incorporated into the financial estimates and could not be verified. </w:t>
            </w:r>
            <w:r w:rsidR="00D5226B" w:rsidRPr="00310498">
              <w:t>Cost offsets for pembrolizumab and lenvatinib were included in the PSCR revised estimates.</w:t>
            </w:r>
          </w:p>
        </w:tc>
      </w:tr>
      <w:tr w:rsidR="00485DF5" w:rsidRPr="00310498" w14:paraId="34FA8479" w14:textId="77777777" w:rsidTr="7EE24840">
        <w:trPr>
          <w:gridAfter w:val="1"/>
          <w:wAfter w:w="9" w:type="dxa"/>
          <w:cantSplit/>
        </w:trPr>
        <w:tc>
          <w:tcPr>
            <w:tcW w:w="1409"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6722E6F2" w14:textId="77777777" w:rsidR="00485DF5" w:rsidRPr="00310498" w:rsidRDefault="00485DF5">
            <w:pPr>
              <w:pStyle w:val="Tabletext"/>
            </w:pPr>
            <w:r w:rsidRPr="00310498">
              <w:t>Infusion costs</w:t>
            </w:r>
          </w:p>
        </w:tc>
        <w:tc>
          <w:tcPr>
            <w:tcW w:w="1697" w:type="dxa"/>
            <w:tcBorders>
              <w:top w:val="single" w:sz="4" w:space="0" w:color="auto"/>
              <w:left w:val="single" w:sz="4" w:space="0" w:color="auto"/>
              <w:bottom w:val="single" w:sz="4" w:space="0" w:color="auto"/>
              <w:right w:val="single" w:sz="4" w:space="0" w:color="auto"/>
            </w:tcBorders>
            <w:tcMar>
              <w:left w:w="20" w:type="dxa"/>
              <w:right w:w="20" w:type="dxa"/>
            </w:tcMar>
            <w:vAlign w:val="center"/>
          </w:tcPr>
          <w:p w14:paraId="4102B3EC" w14:textId="77777777" w:rsidR="00485DF5" w:rsidRPr="00310498" w:rsidRDefault="00485DF5">
            <w:pPr>
              <w:pStyle w:val="Tabletext"/>
            </w:pPr>
            <w:r w:rsidRPr="00310498">
              <w:t>$123.05</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1FBD2EB1" w14:textId="77777777" w:rsidR="00485DF5" w:rsidRPr="00310498" w:rsidRDefault="00485DF5">
            <w:pPr>
              <w:pStyle w:val="Tabletext"/>
            </w:pPr>
            <w:r w:rsidRPr="00310498">
              <w:t>MBS item 13950</w:t>
            </w:r>
          </w:p>
        </w:tc>
        <w:tc>
          <w:tcPr>
            <w:tcW w:w="3392"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37B4FA7E" w14:textId="77777777" w:rsidR="00485DF5" w:rsidRPr="00310498" w:rsidRDefault="00485DF5">
            <w:pPr>
              <w:pStyle w:val="Tabletext"/>
            </w:pPr>
            <w:r w:rsidRPr="00310498">
              <w:t>Consistent with the economic model and CMA.</w:t>
            </w:r>
          </w:p>
        </w:tc>
      </w:tr>
    </w:tbl>
    <w:p w14:paraId="5C6D8138" w14:textId="77777777" w:rsidR="00E24B8A" w:rsidRPr="00310498" w:rsidRDefault="00E24B8A" w:rsidP="00D17A65">
      <w:pPr>
        <w:pStyle w:val="TableFigureFooter"/>
      </w:pPr>
      <w:r w:rsidRPr="00310498">
        <w:t>Source: Tables 4.1, 4.2, 4.3,4.4,4.5, 4.6, 4.7, 4.8,4.10, 4.11, 4.12, 4.13, 4.14, 4.15, 4.16, 4.17, 4.21, 4.22 pp184- 196, 200 of the submission.</w:t>
      </w:r>
    </w:p>
    <w:p w14:paraId="09B8E17D" w14:textId="476C3A50" w:rsidR="00485DF5" w:rsidRPr="00310498" w:rsidRDefault="00485DF5" w:rsidP="00D17A65">
      <w:pPr>
        <w:pStyle w:val="TableFigureFooter"/>
      </w:pPr>
      <w:r w:rsidRPr="00310498">
        <w:t>ABS = Australian Bureau of Statistics; AIHW = Australian Institute of Health and Welfare; dMMR = deficient mismatch repair; EC = endometrial cancer; EC = endometrial cancer; ECOG = Eastern Conference Oncology Group;</w:t>
      </w:r>
      <w:r w:rsidR="00B66680" w:rsidRPr="00310498">
        <w:t xml:space="preserve"> </w:t>
      </w:r>
      <w:r w:rsidRPr="00310498">
        <w:t>PC = paclitaxel + carboplatin; pMMR = proficient mismatch repair; Q3W = every three weeks; Q4W = every four weeks</w:t>
      </w:r>
    </w:p>
    <w:p w14:paraId="14AF2F7C" w14:textId="77777777" w:rsidR="00485DF5" w:rsidRPr="00310498" w:rsidRDefault="00485DF5" w:rsidP="00D17A65">
      <w:pPr>
        <w:pStyle w:val="TableFigureFooter"/>
      </w:pPr>
      <w:r w:rsidRPr="00310498">
        <w:t>a Rates for 2024 to 2030 were set to equal 25.1, which was equal to the rate calculated from AIHW data for 2023.</w:t>
      </w:r>
    </w:p>
    <w:p w14:paraId="1FBD6EEE" w14:textId="77777777" w:rsidR="00485DF5" w:rsidRPr="00310498" w:rsidRDefault="00485DF5" w:rsidP="00D17A65">
      <w:pPr>
        <w:pStyle w:val="TableFigureFooter"/>
      </w:pPr>
      <w:r w:rsidRPr="00310498">
        <w:t>b The submission’s data corresponded to the ABS data for years 2012-2016 but was different from 2017 onwards.)</w:t>
      </w:r>
    </w:p>
    <w:p w14:paraId="415573DB" w14:textId="77777777" w:rsidR="00485DF5" w:rsidRPr="00310498" w:rsidRDefault="00485DF5" w:rsidP="00D17A65">
      <w:pPr>
        <w:pStyle w:val="TableFigureFooter"/>
      </w:pPr>
      <w:r w:rsidRPr="00310498">
        <w:t>c All grandfathered patients were assumed to receive durvalumab and olaparib for 14.7 months (maintenance).</w:t>
      </w:r>
    </w:p>
    <w:p w14:paraId="064A78C5" w14:textId="77777777" w:rsidR="00485DF5" w:rsidRPr="00310498" w:rsidRDefault="00485DF5" w:rsidP="00D17A65">
      <w:pPr>
        <w:pStyle w:val="TableFigureFooter"/>
      </w:pPr>
      <w:r w:rsidRPr="00310498">
        <w:t>d Durvalumab initial dose of 1,120 mg (2 x 500 mg + 1 x 120 mg) given every 3 weeks for 6 cycles. Dose intensity assumed to be 100%.</w:t>
      </w:r>
    </w:p>
    <w:p w14:paraId="7207D9BB" w14:textId="77777777" w:rsidR="00485DF5" w:rsidRPr="00310498" w:rsidRDefault="00485DF5" w:rsidP="00D17A65">
      <w:pPr>
        <w:pStyle w:val="TableFigureFooter"/>
      </w:pPr>
      <w:r w:rsidRPr="00310498">
        <w:t>e Durvalumab maintenance dose of 1,500 mg (3 x 500 mg) given every 4 weeks. Dose intensity assumed to be 100%.</w:t>
      </w:r>
    </w:p>
    <w:p w14:paraId="418C212D" w14:textId="77777777" w:rsidR="00BB07DD" w:rsidRDefault="00485DF5" w:rsidP="00D17A65">
      <w:pPr>
        <w:pStyle w:val="TableFigureFooter"/>
      </w:pPr>
      <w:r w:rsidRPr="00310498">
        <w:t>f Olaparib dose of 600mg per day (4 tablets per day). Dose intensity assumed to be 100%.</w:t>
      </w:r>
      <w:r w:rsidR="00BB07DD" w:rsidRPr="00BB07DD">
        <w:t xml:space="preserve"> </w:t>
      </w:r>
    </w:p>
    <w:p w14:paraId="48F1DF0A" w14:textId="254ACC4B" w:rsidR="00BB07DD" w:rsidRPr="006D6F78" w:rsidRDefault="00BB07DD" w:rsidP="00D17A65">
      <w:pPr>
        <w:pStyle w:val="TableFigureFooter"/>
        <w:rPr>
          <w:i/>
          <w:iCs/>
        </w:rPr>
      </w:pPr>
      <w:r w:rsidRPr="006D6F78">
        <w:rPr>
          <w:i/>
          <w:iCs/>
        </w:rPr>
        <w:t>The redacted values correspond to the following ranges:</w:t>
      </w:r>
    </w:p>
    <w:p w14:paraId="3238D5AB" w14:textId="3CCB45AA" w:rsidR="00485DF5" w:rsidRPr="00310498" w:rsidRDefault="00BB07DD" w:rsidP="00D17A65">
      <w:pPr>
        <w:pStyle w:val="TableFigureFooter"/>
      </w:pPr>
      <w:r w:rsidRPr="006D6F78">
        <w:rPr>
          <w:i/>
          <w:iCs/>
        </w:rPr>
        <w:t>1 &lt;500</w:t>
      </w:r>
    </w:p>
    <w:p w14:paraId="17D4548F" w14:textId="45F9122E" w:rsidR="008C4E50" w:rsidRPr="00A0075B" w:rsidRDefault="008C4E50" w:rsidP="008C4E50">
      <w:pPr>
        <w:pStyle w:val="3-BodyText"/>
        <w:numPr>
          <w:ilvl w:val="0"/>
          <w:numId w:val="0"/>
        </w:numPr>
        <w:outlineLvl w:val="2"/>
        <w:rPr>
          <w:u w:val="single"/>
        </w:rPr>
      </w:pPr>
      <w:bookmarkStart w:id="93" w:name="_Hlk183080255"/>
      <w:r w:rsidRPr="00A0075B">
        <w:rPr>
          <w:u w:val="single"/>
        </w:rPr>
        <w:t>dMMR population</w:t>
      </w:r>
    </w:p>
    <w:p w14:paraId="564ED1E2" w14:textId="2B51A1A7" w:rsidR="008C4E50" w:rsidRPr="008C4E50" w:rsidRDefault="008C4E50" w:rsidP="008C4E50">
      <w:pPr>
        <w:pStyle w:val="3-BodyText"/>
        <w:rPr>
          <w:b/>
          <w:bCs/>
          <w:u w:val="single"/>
        </w:rPr>
      </w:pPr>
      <w:r w:rsidRPr="00310498">
        <w:fldChar w:fldCharType="begin" w:fldLock="1"/>
      </w:r>
      <w:r w:rsidRPr="00310498">
        <w:instrText xml:space="preserve"> REF _Ref179474571 \h  \* MERGEFORMAT </w:instrText>
      </w:r>
      <w:r w:rsidRPr="00310498">
        <w:fldChar w:fldCharType="end"/>
      </w:r>
      <w:r w:rsidR="009D4286">
        <w:fldChar w:fldCharType="begin" w:fldLock="1"/>
      </w:r>
      <w:r w:rsidR="009D4286">
        <w:instrText xml:space="preserve"> REF _Ref183163038 \h </w:instrText>
      </w:r>
      <w:r w:rsidR="009D4286">
        <w:fldChar w:fldCharType="separate"/>
      </w:r>
      <w:r w:rsidR="009D4286" w:rsidRPr="0032043A">
        <w:t xml:space="preserve">Table </w:t>
      </w:r>
      <w:r w:rsidR="009D4286">
        <w:rPr>
          <w:noProof/>
        </w:rPr>
        <w:t>29</w:t>
      </w:r>
      <w:r w:rsidR="009D4286">
        <w:fldChar w:fldCharType="end"/>
      </w:r>
      <w:r w:rsidR="009D4286">
        <w:t xml:space="preserve"> </w:t>
      </w:r>
      <w:r w:rsidRPr="00310498">
        <w:t>presents the revised estimates</w:t>
      </w:r>
      <w:r>
        <w:t xml:space="preserve"> for the dMMR population that were</w:t>
      </w:r>
      <w:r w:rsidRPr="00310498">
        <w:t xml:space="preserve"> presented in the PSCR. These estimates include changes to the duration of therapy for durvalumab, and cost offsets associated with reduced dostarlimab use. These estimates have not been evaluated</w:t>
      </w:r>
      <w:bookmarkEnd w:id="93"/>
      <w:r>
        <w:t>.</w:t>
      </w:r>
    </w:p>
    <w:p w14:paraId="6F9A6C61" w14:textId="1BB42232" w:rsidR="008C4E50" w:rsidRPr="0032043A" w:rsidRDefault="008C4E50" w:rsidP="00C76447">
      <w:pPr>
        <w:pStyle w:val="Caption"/>
      </w:pPr>
      <w:bookmarkStart w:id="94" w:name="_Ref183163038"/>
      <w:r w:rsidRPr="0032043A">
        <w:lastRenderedPageBreak/>
        <w:t xml:space="preserve">Table </w:t>
      </w:r>
      <w:r w:rsidRPr="0032043A">
        <w:fldChar w:fldCharType="begin" w:fldLock="1"/>
      </w:r>
      <w:r w:rsidRPr="0032043A">
        <w:instrText xml:space="preserve"> SEQ Table \* ARABIC </w:instrText>
      </w:r>
      <w:r w:rsidRPr="0032043A">
        <w:fldChar w:fldCharType="separate"/>
      </w:r>
      <w:r w:rsidR="002C52D8">
        <w:rPr>
          <w:noProof/>
        </w:rPr>
        <w:t>29</w:t>
      </w:r>
      <w:r w:rsidRPr="0032043A">
        <w:fldChar w:fldCharType="end"/>
      </w:r>
      <w:bookmarkEnd w:id="94"/>
      <w:r w:rsidRPr="0032043A">
        <w:t xml:space="preserve">: </w:t>
      </w:r>
      <w:r w:rsidRPr="0032043A">
        <w:rPr>
          <w:rStyle w:val="CommentReference"/>
          <w:b/>
          <w:szCs w:val="24"/>
        </w:rPr>
        <w:t xml:space="preserve">Estimated use and financial implications </w:t>
      </w:r>
      <w:r>
        <w:rPr>
          <w:rStyle w:val="CommentReference"/>
          <w:b/>
          <w:szCs w:val="24"/>
        </w:rPr>
        <w:t>for the dMMR population</w:t>
      </w:r>
      <w:r w:rsidR="00942ABF">
        <w:rPr>
          <w:rStyle w:val="CommentReference"/>
          <w:b/>
          <w:szCs w:val="24"/>
        </w:rPr>
        <w:t>,</w:t>
      </w:r>
      <w:r w:rsidRPr="0032043A">
        <w:rPr>
          <w:rStyle w:val="CommentReference"/>
          <w:b/>
          <w:szCs w:val="24"/>
        </w:rPr>
        <w:t xml:space="preserve"> </w:t>
      </w:r>
      <w:r w:rsidR="00942ABF">
        <w:rPr>
          <w:rStyle w:val="CommentReference"/>
          <w:b/>
          <w:szCs w:val="24"/>
        </w:rPr>
        <w:t>as</w:t>
      </w:r>
      <w:r w:rsidRPr="0032043A">
        <w:rPr>
          <w:rStyle w:val="CommentReference"/>
          <w:b/>
          <w:szCs w:val="24"/>
        </w:rPr>
        <w:t xml:space="preserve"> presented in </w:t>
      </w:r>
      <w:r w:rsidR="001764F9">
        <w:rPr>
          <w:rStyle w:val="CommentReference"/>
          <w:b/>
          <w:szCs w:val="24"/>
        </w:rPr>
        <w:t xml:space="preserve">the </w:t>
      </w:r>
      <w:r w:rsidRPr="0032043A">
        <w:rPr>
          <w:rStyle w:val="CommentReference"/>
          <w:b/>
          <w:szCs w:val="24"/>
        </w:rPr>
        <w:t>PSCR</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99"/>
        <w:gridCol w:w="1169"/>
        <w:gridCol w:w="1169"/>
        <w:gridCol w:w="1108"/>
        <w:gridCol w:w="1230"/>
        <w:gridCol w:w="1169"/>
        <w:gridCol w:w="1373"/>
      </w:tblGrid>
      <w:tr w:rsidR="008C4E50" w:rsidRPr="0032043A" w14:paraId="75990B99" w14:textId="77777777" w:rsidTr="007468F4">
        <w:trPr>
          <w:tblHeader/>
        </w:trPr>
        <w:tc>
          <w:tcPr>
            <w:tcW w:w="1799" w:type="dxa"/>
            <w:shd w:val="clear" w:color="auto" w:fill="auto"/>
            <w:vAlign w:val="center"/>
          </w:tcPr>
          <w:p w14:paraId="123CC96A" w14:textId="77777777" w:rsidR="008C4E50" w:rsidRPr="0032043A" w:rsidRDefault="008C4E50" w:rsidP="00C76447">
            <w:pPr>
              <w:pStyle w:val="In-tableHeading"/>
              <w:jc w:val="center"/>
              <w:rPr>
                <w:szCs w:val="20"/>
                <w:lang w:val="en-AU"/>
              </w:rPr>
            </w:pPr>
          </w:p>
        </w:tc>
        <w:tc>
          <w:tcPr>
            <w:tcW w:w="1169" w:type="dxa"/>
            <w:shd w:val="clear" w:color="auto" w:fill="auto"/>
            <w:vAlign w:val="center"/>
          </w:tcPr>
          <w:p w14:paraId="4107AADE" w14:textId="77777777" w:rsidR="008C4E50" w:rsidRPr="0032043A" w:rsidRDefault="008C4E50" w:rsidP="00C76447">
            <w:pPr>
              <w:pStyle w:val="In-tableHeading"/>
              <w:jc w:val="center"/>
              <w:rPr>
                <w:szCs w:val="20"/>
                <w:lang w:val="en-AU"/>
              </w:rPr>
            </w:pPr>
            <w:r w:rsidRPr="0032043A">
              <w:rPr>
                <w:szCs w:val="20"/>
                <w:lang w:val="en-AU"/>
              </w:rPr>
              <w:t>Year 1</w:t>
            </w:r>
          </w:p>
        </w:tc>
        <w:tc>
          <w:tcPr>
            <w:tcW w:w="1169" w:type="dxa"/>
            <w:shd w:val="clear" w:color="auto" w:fill="auto"/>
            <w:vAlign w:val="center"/>
          </w:tcPr>
          <w:p w14:paraId="5E32EBCD" w14:textId="77777777" w:rsidR="008C4E50" w:rsidRPr="0032043A" w:rsidRDefault="008C4E50" w:rsidP="00C76447">
            <w:pPr>
              <w:pStyle w:val="In-tableHeading"/>
              <w:jc w:val="center"/>
              <w:rPr>
                <w:szCs w:val="20"/>
                <w:lang w:val="en-AU"/>
              </w:rPr>
            </w:pPr>
            <w:r w:rsidRPr="0032043A">
              <w:rPr>
                <w:szCs w:val="20"/>
                <w:lang w:val="en-AU"/>
              </w:rPr>
              <w:t>Year 2</w:t>
            </w:r>
          </w:p>
        </w:tc>
        <w:tc>
          <w:tcPr>
            <w:tcW w:w="1108" w:type="dxa"/>
            <w:shd w:val="clear" w:color="auto" w:fill="auto"/>
            <w:vAlign w:val="center"/>
          </w:tcPr>
          <w:p w14:paraId="628CF98D" w14:textId="77777777" w:rsidR="008C4E50" w:rsidRPr="0032043A" w:rsidRDefault="008C4E50" w:rsidP="00C76447">
            <w:pPr>
              <w:pStyle w:val="In-tableHeading"/>
              <w:jc w:val="center"/>
              <w:rPr>
                <w:szCs w:val="20"/>
                <w:lang w:val="en-AU"/>
              </w:rPr>
            </w:pPr>
            <w:r w:rsidRPr="0032043A">
              <w:rPr>
                <w:szCs w:val="20"/>
                <w:lang w:val="en-AU"/>
              </w:rPr>
              <w:t>Year 3</w:t>
            </w:r>
          </w:p>
        </w:tc>
        <w:tc>
          <w:tcPr>
            <w:tcW w:w="1230" w:type="dxa"/>
            <w:shd w:val="clear" w:color="auto" w:fill="auto"/>
            <w:vAlign w:val="center"/>
          </w:tcPr>
          <w:p w14:paraId="554E8D82" w14:textId="77777777" w:rsidR="008C4E50" w:rsidRPr="0032043A" w:rsidRDefault="008C4E50" w:rsidP="00C76447">
            <w:pPr>
              <w:pStyle w:val="In-tableHeading"/>
              <w:jc w:val="center"/>
              <w:rPr>
                <w:szCs w:val="20"/>
                <w:lang w:val="en-AU"/>
              </w:rPr>
            </w:pPr>
            <w:r w:rsidRPr="0032043A">
              <w:rPr>
                <w:szCs w:val="20"/>
                <w:lang w:val="en-AU"/>
              </w:rPr>
              <w:t>Year 4</w:t>
            </w:r>
          </w:p>
        </w:tc>
        <w:tc>
          <w:tcPr>
            <w:tcW w:w="1169" w:type="dxa"/>
            <w:shd w:val="clear" w:color="auto" w:fill="auto"/>
            <w:vAlign w:val="center"/>
          </w:tcPr>
          <w:p w14:paraId="419794A9" w14:textId="77777777" w:rsidR="008C4E50" w:rsidRPr="0032043A" w:rsidRDefault="008C4E50" w:rsidP="00C76447">
            <w:pPr>
              <w:pStyle w:val="In-tableHeading"/>
              <w:jc w:val="center"/>
              <w:rPr>
                <w:szCs w:val="20"/>
                <w:lang w:val="en-AU"/>
              </w:rPr>
            </w:pPr>
            <w:r w:rsidRPr="0032043A">
              <w:rPr>
                <w:szCs w:val="20"/>
                <w:lang w:val="en-AU"/>
              </w:rPr>
              <w:t>Year 5</w:t>
            </w:r>
          </w:p>
        </w:tc>
        <w:tc>
          <w:tcPr>
            <w:tcW w:w="1373" w:type="dxa"/>
          </w:tcPr>
          <w:p w14:paraId="6F2EE877" w14:textId="77777777" w:rsidR="008C4E50" w:rsidRPr="0032043A" w:rsidRDefault="008C4E50" w:rsidP="00C76447">
            <w:pPr>
              <w:pStyle w:val="In-tableHeading"/>
              <w:jc w:val="center"/>
              <w:rPr>
                <w:szCs w:val="20"/>
                <w:lang w:val="en-AU"/>
              </w:rPr>
            </w:pPr>
            <w:r w:rsidRPr="0032043A">
              <w:rPr>
                <w:szCs w:val="20"/>
                <w:lang w:val="en-AU"/>
              </w:rPr>
              <w:t>Year 6</w:t>
            </w:r>
          </w:p>
        </w:tc>
      </w:tr>
      <w:tr w:rsidR="008C4E50" w:rsidRPr="0032043A" w14:paraId="512509FE" w14:textId="77777777" w:rsidTr="00022017">
        <w:tc>
          <w:tcPr>
            <w:tcW w:w="9017" w:type="dxa"/>
            <w:gridSpan w:val="7"/>
            <w:shd w:val="clear" w:color="auto" w:fill="auto"/>
            <w:vAlign w:val="center"/>
          </w:tcPr>
          <w:p w14:paraId="0B5EDBDB" w14:textId="77777777" w:rsidR="008C4E50" w:rsidRPr="0032043A" w:rsidRDefault="008C4E50" w:rsidP="00C76447">
            <w:pPr>
              <w:pStyle w:val="Tabletext"/>
              <w:keepNext/>
              <w:keepLines/>
              <w:rPr>
                <w:b/>
                <w:bCs/>
                <w:szCs w:val="20"/>
              </w:rPr>
            </w:pPr>
            <w:r w:rsidRPr="0032043A">
              <w:rPr>
                <w:b/>
                <w:bCs/>
                <w:szCs w:val="20"/>
              </w:rPr>
              <w:t>Estimated extent of use</w:t>
            </w:r>
          </w:p>
        </w:tc>
      </w:tr>
      <w:tr w:rsidR="008C4E50" w:rsidRPr="0032043A" w14:paraId="0CC4AD2E" w14:textId="77777777" w:rsidTr="007468F4">
        <w:tc>
          <w:tcPr>
            <w:tcW w:w="1799" w:type="dxa"/>
            <w:shd w:val="clear" w:color="auto" w:fill="auto"/>
            <w:vAlign w:val="center"/>
          </w:tcPr>
          <w:p w14:paraId="14FD4046" w14:textId="63768989" w:rsidR="008C4E50" w:rsidRPr="0032043A" w:rsidRDefault="008C4E50" w:rsidP="00C76447">
            <w:pPr>
              <w:pStyle w:val="Tabletext"/>
              <w:keepNext/>
              <w:keepLines/>
              <w:rPr>
                <w:szCs w:val="20"/>
              </w:rPr>
            </w:pPr>
            <w:r w:rsidRPr="0032043A">
              <w:rPr>
                <w:szCs w:val="20"/>
              </w:rPr>
              <w:t xml:space="preserve">Number of </w:t>
            </w:r>
            <w:r w:rsidR="00016FDF">
              <w:rPr>
                <w:szCs w:val="20"/>
              </w:rPr>
              <w:t xml:space="preserve">initiating </w:t>
            </w:r>
            <w:r w:rsidRPr="0032043A">
              <w:rPr>
                <w:szCs w:val="20"/>
              </w:rPr>
              <w:t>patients treated, dMMR</w:t>
            </w:r>
          </w:p>
        </w:tc>
        <w:tc>
          <w:tcPr>
            <w:tcW w:w="1169" w:type="dxa"/>
            <w:shd w:val="clear" w:color="auto" w:fill="auto"/>
            <w:vAlign w:val="center"/>
          </w:tcPr>
          <w:p w14:paraId="52977F97" w14:textId="3E44B079" w:rsidR="008C4E50" w:rsidRPr="004C2DC7" w:rsidRDefault="00864EAF" w:rsidP="00C76447">
            <w:pPr>
              <w:pStyle w:val="Tabletext"/>
              <w:keepNext/>
              <w:keepLines/>
              <w:jc w:val="center"/>
              <w:rPr>
                <w:szCs w:val="20"/>
                <w:highlight w:val="darkGray"/>
              </w:rPr>
            </w:pPr>
            <w:r w:rsidRPr="00112051">
              <w:rPr>
                <w:rFonts w:hint="eastAsia"/>
                <w:color w:val="000000"/>
                <w:w w:val="15"/>
                <w:szCs w:val="20"/>
                <w:shd w:val="solid" w:color="000000" w:fill="000000"/>
                <w:fitText w:val="20" w:id="-761107443"/>
                <w14:textFill>
                  <w14:solidFill>
                    <w14:srgbClr w14:val="000000">
                      <w14:alpha w14:val="100000"/>
                    </w14:srgbClr>
                  </w14:solidFill>
                </w14:textFill>
              </w:rPr>
              <w:t xml:space="preserve">　</w:t>
            </w:r>
            <w:r w:rsidRPr="00112051">
              <w:rPr>
                <w:color w:val="000000"/>
                <w:w w:val="15"/>
                <w:szCs w:val="20"/>
                <w:shd w:val="solid" w:color="000000" w:fill="000000"/>
                <w:fitText w:val="20" w:id="-761107443"/>
                <w14:textFill>
                  <w14:solidFill>
                    <w14:srgbClr w14:val="000000">
                      <w14:alpha w14:val="100000"/>
                    </w14:srgbClr>
                  </w14:solidFill>
                </w14:textFill>
              </w:rPr>
              <w:t>|</w:t>
            </w:r>
            <w:r w:rsidRPr="00112051">
              <w:rPr>
                <w:rFonts w:hint="eastAsia"/>
                <w:color w:val="000000"/>
                <w:spacing w:val="-45"/>
                <w:w w:val="15"/>
                <w:szCs w:val="20"/>
                <w:shd w:val="solid" w:color="000000" w:fill="000000"/>
                <w:fitText w:val="20" w:id="-761107443"/>
                <w14:textFill>
                  <w14:solidFill>
                    <w14:srgbClr w14:val="000000">
                      <w14:alpha w14:val="100000"/>
                    </w14:srgbClr>
                  </w14:solidFill>
                </w14:textFill>
              </w:rPr>
              <w:t xml:space="preserve">　</w:t>
            </w:r>
            <w:r w:rsidR="004A30EC" w:rsidRPr="004A30EC">
              <w:rPr>
                <w:szCs w:val="20"/>
                <w:vertAlign w:val="superscript"/>
              </w:rPr>
              <w:t>1</w:t>
            </w:r>
          </w:p>
        </w:tc>
        <w:tc>
          <w:tcPr>
            <w:tcW w:w="1169" w:type="dxa"/>
            <w:shd w:val="clear" w:color="auto" w:fill="auto"/>
            <w:vAlign w:val="center"/>
          </w:tcPr>
          <w:p w14:paraId="1906AC9C" w14:textId="0B6DD66A" w:rsidR="008C4E50" w:rsidRPr="004C2DC7" w:rsidRDefault="00864EAF" w:rsidP="00C76447">
            <w:pPr>
              <w:pStyle w:val="Tabletext"/>
              <w:keepNext/>
              <w:keepLines/>
              <w:jc w:val="center"/>
              <w:rPr>
                <w:szCs w:val="20"/>
                <w:highlight w:val="darkGray"/>
              </w:rPr>
            </w:pPr>
            <w:r w:rsidRPr="00112051">
              <w:rPr>
                <w:rFonts w:hint="eastAsia"/>
                <w:color w:val="000000"/>
                <w:w w:val="15"/>
                <w:szCs w:val="20"/>
                <w:shd w:val="solid" w:color="000000" w:fill="000000"/>
                <w:fitText w:val="20" w:id="-761107442"/>
                <w14:textFill>
                  <w14:solidFill>
                    <w14:srgbClr w14:val="000000">
                      <w14:alpha w14:val="100000"/>
                    </w14:srgbClr>
                  </w14:solidFill>
                </w14:textFill>
              </w:rPr>
              <w:t xml:space="preserve">　</w:t>
            </w:r>
            <w:r w:rsidRPr="00112051">
              <w:rPr>
                <w:color w:val="000000"/>
                <w:w w:val="15"/>
                <w:szCs w:val="20"/>
                <w:shd w:val="solid" w:color="000000" w:fill="000000"/>
                <w:fitText w:val="20" w:id="-761107442"/>
                <w14:textFill>
                  <w14:solidFill>
                    <w14:srgbClr w14:val="000000">
                      <w14:alpha w14:val="100000"/>
                    </w14:srgbClr>
                  </w14:solidFill>
                </w14:textFill>
              </w:rPr>
              <w:t>|</w:t>
            </w:r>
            <w:r w:rsidRPr="00112051">
              <w:rPr>
                <w:rFonts w:hint="eastAsia"/>
                <w:color w:val="000000"/>
                <w:spacing w:val="-45"/>
                <w:w w:val="15"/>
                <w:szCs w:val="20"/>
                <w:shd w:val="solid" w:color="000000" w:fill="000000"/>
                <w:fitText w:val="20" w:id="-761107442"/>
                <w14:textFill>
                  <w14:solidFill>
                    <w14:srgbClr w14:val="000000">
                      <w14:alpha w14:val="100000"/>
                    </w14:srgbClr>
                  </w14:solidFill>
                </w14:textFill>
              </w:rPr>
              <w:t xml:space="preserve">　</w:t>
            </w:r>
            <w:r w:rsidR="004A30EC" w:rsidRPr="004A30EC">
              <w:rPr>
                <w:szCs w:val="20"/>
                <w:vertAlign w:val="superscript"/>
              </w:rPr>
              <w:t>1</w:t>
            </w:r>
          </w:p>
        </w:tc>
        <w:tc>
          <w:tcPr>
            <w:tcW w:w="1108" w:type="dxa"/>
            <w:shd w:val="clear" w:color="auto" w:fill="auto"/>
            <w:vAlign w:val="center"/>
          </w:tcPr>
          <w:p w14:paraId="30188D9A" w14:textId="1AAD41EE" w:rsidR="008C4E50" w:rsidRPr="004C2DC7" w:rsidRDefault="00864EAF" w:rsidP="00C76447">
            <w:pPr>
              <w:pStyle w:val="Tabletext"/>
              <w:keepNext/>
              <w:keepLines/>
              <w:jc w:val="center"/>
              <w:rPr>
                <w:szCs w:val="20"/>
                <w:highlight w:val="darkGray"/>
              </w:rPr>
            </w:pPr>
            <w:r w:rsidRPr="00864EAF">
              <w:rPr>
                <w:rFonts w:hint="eastAsia"/>
                <w:color w:val="000000"/>
                <w:w w:val="15"/>
                <w:szCs w:val="20"/>
                <w:shd w:val="solid" w:color="000000" w:fill="000000"/>
                <w:fitText w:val="60" w:id="-761107441"/>
                <w14:textFill>
                  <w14:solidFill>
                    <w14:srgbClr w14:val="000000">
                      <w14:alpha w14:val="100000"/>
                    </w14:srgbClr>
                  </w14:solidFill>
                </w14:textFill>
              </w:rPr>
              <w:t xml:space="preserve">　</w:t>
            </w:r>
            <w:r w:rsidRPr="00864EAF">
              <w:rPr>
                <w:color w:val="000000"/>
                <w:w w:val="15"/>
                <w:szCs w:val="20"/>
                <w:shd w:val="solid" w:color="000000" w:fill="000000"/>
                <w:fitText w:val="60" w:id="-761107441"/>
                <w14:textFill>
                  <w14:solidFill>
                    <w14:srgbClr w14:val="000000">
                      <w14:alpha w14:val="100000"/>
                    </w14:srgbClr>
                  </w14:solidFill>
                </w14:textFill>
              </w:rPr>
              <w:t>|</w:t>
            </w:r>
            <w:r w:rsidRPr="00864EAF">
              <w:rPr>
                <w:rFonts w:hint="eastAsia"/>
                <w:color w:val="000000"/>
                <w:spacing w:val="-5"/>
                <w:w w:val="15"/>
                <w:szCs w:val="20"/>
                <w:shd w:val="solid" w:color="000000" w:fill="000000"/>
                <w:fitText w:val="60" w:id="-761107441"/>
                <w14:textFill>
                  <w14:solidFill>
                    <w14:srgbClr w14:val="000000">
                      <w14:alpha w14:val="100000"/>
                    </w14:srgbClr>
                  </w14:solidFill>
                </w14:textFill>
              </w:rPr>
              <w:t xml:space="preserve">　</w:t>
            </w:r>
            <w:r w:rsidR="004A30EC" w:rsidRPr="004A30EC">
              <w:rPr>
                <w:szCs w:val="20"/>
                <w:vertAlign w:val="superscript"/>
              </w:rPr>
              <w:t>1</w:t>
            </w:r>
          </w:p>
        </w:tc>
        <w:tc>
          <w:tcPr>
            <w:tcW w:w="1230" w:type="dxa"/>
            <w:shd w:val="clear" w:color="auto" w:fill="auto"/>
            <w:vAlign w:val="center"/>
          </w:tcPr>
          <w:p w14:paraId="38FD17E0" w14:textId="753E64E3" w:rsidR="008C4E50" w:rsidRPr="004C2DC7" w:rsidRDefault="00864EAF" w:rsidP="00C76447">
            <w:pPr>
              <w:pStyle w:val="Tabletext"/>
              <w:keepNext/>
              <w:keepLines/>
              <w:jc w:val="center"/>
              <w:rPr>
                <w:szCs w:val="20"/>
                <w:highlight w:val="darkGray"/>
              </w:rPr>
            </w:pPr>
            <w:r w:rsidRPr="00864EAF">
              <w:rPr>
                <w:color w:val="000000"/>
                <w:szCs w:val="20"/>
                <w:shd w:val="solid" w:color="000000" w:fill="000000"/>
                <w14:textFill>
                  <w14:solidFill>
                    <w14:srgbClr w14:val="000000">
                      <w14:alpha w14:val="100000"/>
                    </w14:srgbClr>
                  </w14:solidFill>
                </w14:textFill>
              </w:rPr>
              <w:t>|</w:t>
            </w:r>
            <w:r w:rsidR="004A30EC" w:rsidRPr="004A30EC">
              <w:rPr>
                <w:szCs w:val="20"/>
                <w:vertAlign w:val="superscript"/>
              </w:rPr>
              <w:t>1</w:t>
            </w:r>
          </w:p>
        </w:tc>
        <w:tc>
          <w:tcPr>
            <w:tcW w:w="1169" w:type="dxa"/>
            <w:shd w:val="clear" w:color="auto" w:fill="auto"/>
            <w:vAlign w:val="center"/>
          </w:tcPr>
          <w:p w14:paraId="6089B86D" w14:textId="6AF3A9CE" w:rsidR="008C4E50" w:rsidRPr="004C2DC7" w:rsidRDefault="00864EAF" w:rsidP="00C76447">
            <w:pPr>
              <w:pStyle w:val="Tabletext"/>
              <w:keepNext/>
              <w:keepLines/>
              <w:jc w:val="center"/>
              <w:rPr>
                <w:szCs w:val="20"/>
                <w:highlight w:val="darkGray"/>
              </w:rPr>
            </w:pPr>
            <w:r w:rsidRPr="00112051">
              <w:rPr>
                <w:rFonts w:hint="eastAsia"/>
                <w:color w:val="000000"/>
                <w:w w:val="15"/>
                <w:szCs w:val="20"/>
                <w:shd w:val="solid" w:color="000000" w:fill="000000"/>
                <w:fitText w:val="20" w:id="-761107440"/>
                <w14:textFill>
                  <w14:solidFill>
                    <w14:srgbClr w14:val="000000">
                      <w14:alpha w14:val="100000"/>
                    </w14:srgbClr>
                  </w14:solidFill>
                </w14:textFill>
              </w:rPr>
              <w:t xml:space="preserve">　</w:t>
            </w:r>
            <w:r w:rsidRPr="00112051">
              <w:rPr>
                <w:color w:val="000000"/>
                <w:w w:val="15"/>
                <w:szCs w:val="20"/>
                <w:shd w:val="solid" w:color="000000" w:fill="000000"/>
                <w:fitText w:val="20" w:id="-761107440"/>
                <w14:textFill>
                  <w14:solidFill>
                    <w14:srgbClr w14:val="000000">
                      <w14:alpha w14:val="100000"/>
                    </w14:srgbClr>
                  </w14:solidFill>
                </w14:textFill>
              </w:rPr>
              <w:t>|</w:t>
            </w:r>
            <w:r w:rsidRPr="00112051">
              <w:rPr>
                <w:rFonts w:hint="eastAsia"/>
                <w:color w:val="000000"/>
                <w:spacing w:val="-45"/>
                <w:w w:val="15"/>
                <w:szCs w:val="20"/>
                <w:shd w:val="solid" w:color="000000" w:fill="000000"/>
                <w:fitText w:val="20" w:id="-761107440"/>
                <w14:textFill>
                  <w14:solidFill>
                    <w14:srgbClr w14:val="000000">
                      <w14:alpha w14:val="100000"/>
                    </w14:srgbClr>
                  </w14:solidFill>
                </w14:textFill>
              </w:rPr>
              <w:t xml:space="preserve">　</w:t>
            </w:r>
            <w:r w:rsidR="004A30EC" w:rsidRPr="004A30EC">
              <w:rPr>
                <w:szCs w:val="20"/>
                <w:vertAlign w:val="superscript"/>
              </w:rPr>
              <w:t>1</w:t>
            </w:r>
          </w:p>
        </w:tc>
        <w:tc>
          <w:tcPr>
            <w:tcW w:w="1373" w:type="dxa"/>
            <w:vAlign w:val="center"/>
          </w:tcPr>
          <w:p w14:paraId="1E751573" w14:textId="54AD3C7B" w:rsidR="008C4E50" w:rsidRPr="004C2DC7" w:rsidRDefault="00864EAF" w:rsidP="00C76447">
            <w:pPr>
              <w:pStyle w:val="Tabletext"/>
              <w:keepNext/>
              <w:keepLines/>
              <w:jc w:val="center"/>
              <w:rPr>
                <w:szCs w:val="20"/>
                <w:highlight w:val="darkGray"/>
              </w:rPr>
            </w:pPr>
            <w:r w:rsidRPr="00864EAF">
              <w:rPr>
                <w:color w:val="000000"/>
                <w:szCs w:val="20"/>
                <w:shd w:val="solid" w:color="000000" w:fill="000000"/>
                <w14:textFill>
                  <w14:solidFill>
                    <w14:srgbClr w14:val="000000">
                      <w14:alpha w14:val="100000"/>
                    </w14:srgbClr>
                  </w14:solidFill>
                </w14:textFill>
              </w:rPr>
              <w:t>|</w:t>
            </w:r>
            <w:r w:rsidR="004A30EC" w:rsidRPr="004A30EC">
              <w:rPr>
                <w:szCs w:val="20"/>
                <w:vertAlign w:val="superscript"/>
              </w:rPr>
              <w:t>1</w:t>
            </w:r>
          </w:p>
        </w:tc>
      </w:tr>
      <w:tr w:rsidR="008C4E50" w:rsidRPr="0032043A" w14:paraId="10F12C1F" w14:textId="77777777" w:rsidTr="00022017">
        <w:tc>
          <w:tcPr>
            <w:tcW w:w="9017" w:type="dxa"/>
            <w:gridSpan w:val="7"/>
            <w:shd w:val="clear" w:color="auto" w:fill="auto"/>
            <w:vAlign w:val="center"/>
          </w:tcPr>
          <w:p w14:paraId="427EAE4A" w14:textId="77777777" w:rsidR="008C4E50" w:rsidRPr="0032043A" w:rsidRDefault="008C4E50" w:rsidP="00C76447">
            <w:pPr>
              <w:pStyle w:val="Tabletext"/>
              <w:keepNext/>
              <w:keepLines/>
              <w:rPr>
                <w:b/>
                <w:bCs/>
                <w:szCs w:val="20"/>
              </w:rPr>
            </w:pPr>
            <w:r w:rsidRPr="0032043A">
              <w:rPr>
                <w:b/>
                <w:bCs/>
                <w:szCs w:val="20"/>
              </w:rPr>
              <w:t>Number of scripts (PBS + RPBS)</w:t>
            </w:r>
          </w:p>
        </w:tc>
      </w:tr>
      <w:tr w:rsidR="008C4E50" w:rsidRPr="0032043A" w14:paraId="45D1D837" w14:textId="77777777" w:rsidTr="007468F4">
        <w:tc>
          <w:tcPr>
            <w:tcW w:w="1799" w:type="dxa"/>
            <w:shd w:val="clear" w:color="auto" w:fill="auto"/>
            <w:vAlign w:val="center"/>
          </w:tcPr>
          <w:p w14:paraId="0F364F92" w14:textId="77777777" w:rsidR="008C4E50" w:rsidRPr="0032043A" w:rsidRDefault="008C4E50" w:rsidP="00C76447">
            <w:pPr>
              <w:pStyle w:val="Tabletext"/>
              <w:keepNext/>
              <w:keepLines/>
              <w:rPr>
                <w:szCs w:val="20"/>
              </w:rPr>
            </w:pPr>
            <w:r w:rsidRPr="0032043A">
              <w:rPr>
                <w:szCs w:val="20"/>
              </w:rPr>
              <w:t xml:space="preserve">Durvalumab dMMR, initial </w:t>
            </w:r>
          </w:p>
        </w:tc>
        <w:tc>
          <w:tcPr>
            <w:tcW w:w="1169" w:type="dxa"/>
            <w:shd w:val="clear" w:color="auto" w:fill="auto"/>
            <w:vAlign w:val="center"/>
          </w:tcPr>
          <w:p w14:paraId="31975142" w14:textId="4880D745" w:rsidR="008C4E50" w:rsidRPr="004C2DC7" w:rsidRDefault="00864EAF" w:rsidP="00C76447">
            <w:pPr>
              <w:pStyle w:val="Tabletext"/>
              <w:keepNext/>
              <w:keepLines/>
              <w:jc w:val="center"/>
              <w:rPr>
                <w:szCs w:val="20"/>
                <w:highlight w:val="darkGray"/>
              </w:rPr>
            </w:pPr>
            <w:r w:rsidRPr="00112051">
              <w:rPr>
                <w:rFonts w:cs="Arial" w:hint="eastAsia"/>
                <w:color w:val="000000"/>
                <w:w w:val="15"/>
                <w:szCs w:val="20"/>
                <w:shd w:val="solid" w:color="000000" w:fill="000000"/>
                <w:fitText w:val="20" w:id="-761107456"/>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456"/>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456"/>
                <w14:textFill>
                  <w14:solidFill>
                    <w14:srgbClr w14:val="000000">
                      <w14:alpha w14:val="100000"/>
                    </w14:srgbClr>
                  </w14:solidFill>
                </w14:textFill>
              </w:rPr>
              <w:t xml:space="preserve">　</w:t>
            </w:r>
            <w:r w:rsidR="00D16020" w:rsidRPr="00D16020">
              <w:rPr>
                <w:rFonts w:cs="Arial"/>
                <w:color w:val="000000"/>
                <w:szCs w:val="20"/>
                <w:vertAlign w:val="superscript"/>
              </w:rPr>
              <w:t>2</w:t>
            </w:r>
          </w:p>
        </w:tc>
        <w:tc>
          <w:tcPr>
            <w:tcW w:w="1169" w:type="dxa"/>
            <w:shd w:val="clear" w:color="auto" w:fill="auto"/>
            <w:vAlign w:val="center"/>
          </w:tcPr>
          <w:p w14:paraId="151513D1" w14:textId="1360B6DF" w:rsidR="008C4E50" w:rsidRPr="004C2DC7" w:rsidRDefault="00864EAF" w:rsidP="00C76447">
            <w:pPr>
              <w:pStyle w:val="Tabletext"/>
              <w:keepNext/>
              <w:keepLines/>
              <w:jc w:val="center"/>
              <w:rPr>
                <w:szCs w:val="20"/>
                <w:highlight w:val="darkGray"/>
              </w:rPr>
            </w:pPr>
            <w:r w:rsidRPr="00112051">
              <w:rPr>
                <w:rFonts w:cs="Arial" w:hint="eastAsia"/>
                <w:color w:val="000000"/>
                <w:w w:val="15"/>
                <w:szCs w:val="20"/>
                <w:shd w:val="solid" w:color="000000" w:fill="000000"/>
                <w:fitText w:val="20" w:id="-761107455"/>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455"/>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455"/>
                <w14:textFill>
                  <w14:solidFill>
                    <w14:srgbClr w14:val="000000">
                      <w14:alpha w14:val="100000"/>
                    </w14:srgbClr>
                  </w14:solidFill>
                </w14:textFill>
              </w:rPr>
              <w:t xml:space="preserve">　</w:t>
            </w:r>
            <w:r w:rsidR="00D16020" w:rsidRPr="00D16020">
              <w:rPr>
                <w:rFonts w:cs="Arial"/>
                <w:color w:val="000000"/>
                <w:szCs w:val="20"/>
                <w:vertAlign w:val="superscript"/>
              </w:rPr>
              <w:t>2</w:t>
            </w:r>
          </w:p>
        </w:tc>
        <w:tc>
          <w:tcPr>
            <w:tcW w:w="1108" w:type="dxa"/>
            <w:shd w:val="clear" w:color="auto" w:fill="auto"/>
            <w:vAlign w:val="center"/>
          </w:tcPr>
          <w:p w14:paraId="64A5ED4C" w14:textId="37501969" w:rsidR="008C4E50" w:rsidRPr="004C2DC7" w:rsidRDefault="00864EAF" w:rsidP="00C76447">
            <w:pPr>
              <w:pStyle w:val="Tabletext"/>
              <w:keepNext/>
              <w:keepLines/>
              <w:jc w:val="center"/>
              <w:rPr>
                <w:szCs w:val="20"/>
                <w:highlight w:val="darkGray"/>
              </w:rPr>
            </w:pPr>
            <w:r w:rsidRPr="00864EAF">
              <w:rPr>
                <w:rFonts w:cs="Arial" w:hint="eastAsia"/>
                <w:color w:val="000000"/>
                <w:w w:val="15"/>
                <w:szCs w:val="20"/>
                <w:shd w:val="solid" w:color="000000" w:fill="000000"/>
                <w:fitText w:val="60" w:id="-761107454"/>
                <w14:textFill>
                  <w14:solidFill>
                    <w14:srgbClr w14:val="000000">
                      <w14:alpha w14:val="100000"/>
                    </w14:srgbClr>
                  </w14:solidFill>
                </w14:textFill>
              </w:rPr>
              <w:t xml:space="preserve">　</w:t>
            </w:r>
            <w:r w:rsidRPr="00864EAF">
              <w:rPr>
                <w:rFonts w:cs="Arial"/>
                <w:color w:val="000000"/>
                <w:w w:val="15"/>
                <w:szCs w:val="20"/>
                <w:shd w:val="solid" w:color="000000" w:fill="000000"/>
                <w:fitText w:val="60" w:id="-761107454"/>
                <w14:textFill>
                  <w14:solidFill>
                    <w14:srgbClr w14:val="000000">
                      <w14:alpha w14:val="100000"/>
                    </w14:srgbClr>
                  </w14:solidFill>
                </w14:textFill>
              </w:rPr>
              <w:t>|</w:t>
            </w:r>
            <w:r w:rsidRPr="00864EAF">
              <w:rPr>
                <w:rFonts w:cs="Arial" w:hint="eastAsia"/>
                <w:color w:val="000000"/>
                <w:spacing w:val="-5"/>
                <w:w w:val="15"/>
                <w:szCs w:val="20"/>
                <w:shd w:val="solid" w:color="000000" w:fill="000000"/>
                <w:fitText w:val="60" w:id="-761107454"/>
                <w14:textFill>
                  <w14:solidFill>
                    <w14:srgbClr w14:val="000000">
                      <w14:alpha w14:val="100000"/>
                    </w14:srgbClr>
                  </w14:solidFill>
                </w14:textFill>
              </w:rPr>
              <w:t xml:space="preserve">　</w:t>
            </w:r>
            <w:r w:rsidR="00D16020" w:rsidRPr="00D16020">
              <w:rPr>
                <w:rFonts w:cs="Arial"/>
                <w:color w:val="000000"/>
                <w:szCs w:val="20"/>
                <w:vertAlign w:val="superscript"/>
              </w:rPr>
              <w:t>2</w:t>
            </w:r>
          </w:p>
        </w:tc>
        <w:tc>
          <w:tcPr>
            <w:tcW w:w="1230" w:type="dxa"/>
            <w:shd w:val="clear" w:color="auto" w:fill="auto"/>
            <w:vAlign w:val="center"/>
          </w:tcPr>
          <w:p w14:paraId="4C8D7B8A" w14:textId="28E4FF64" w:rsidR="008C4E50" w:rsidRPr="004C2DC7" w:rsidRDefault="00864EAF" w:rsidP="00C76447">
            <w:pPr>
              <w:pStyle w:val="Tabletext"/>
              <w:keepNext/>
              <w:keepLines/>
              <w:jc w:val="center"/>
              <w:rPr>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D16020" w:rsidRPr="00D16020">
              <w:rPr>
                <w:rFonts w:cs="Arial"/>
                <w:color w:val="000000"/>
                <w:szCs w:val="20"/>
                <w:vertAlign w:val="superscript"/>
              </w:rPr>
              <w:t>2</w:t>
            </w:r>
          </w:p>
        </w:tc>
        <w:tc>
          <w:tcPr>
            <w:tcW w:w="1169" w:type="dxa"/>
            <w:shd w:val="clear" w:color="auto" w:fill="auto"/>
            <w:vAlign w:val="center"/>
          </w:tcPr>
          <w:p w14:paraId="6AC92B6E" w14:textId="4AA0AC4A" w:rsidR="008C4E50" w:rsidRPr="004C2DC7" w:rsidRDefault="00864EAF" w:rsidP="00C76447">
            <w:pPr>
              <w:pStyle w:val="Tabletext"/>
              <w:keepNext/>
              <w:keepLines/>
              <w:jc w:val="center"/>
              <w:rPr>
                <w:szCs w:val="20"/>
                <w:highlight w:val="darkGray"/>
              </w:rPr>
            </w:pPr>
            <w:r w:rsidRPr="00112051">
              <w:rPr>
                <w:rFonts w:cs="Arial" w:hint="eastAsia"/>
                <w:color w:val="000000"/>
                <w:w w:val="15"/>
                <w:szCs w:val="20"/>
                <w:shd w:val="solid" w:color="000000" w:fill="000000"/>
                <w:fitText w:val="20" w:id="-761107453"/>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453"/>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453"/>
                <w14:textFill>
                  <w14:solidFill>
                    <w14:srgbClr w14:val="000000">
                      <w14:alpha w14:val="100000"/>
                    </w14:srgbClr>
                  </w14:solidFill>
                </w14:textFill>
              </w:rPr>
              <w:t xml:space="preserve">　</w:t>
            </w:r>
            <w:r w:rsidR="00D16020" w:rsidRPr="00D16020">
              <w:rPr>
                <w:rFonts w:cs="Arial"/>
                <w:color w:val="000000"/>
                <w:szCs w:val="20"/>
                <w:vertAlign w:val="superscript"/>
              </w:rPr>
              <w:t>2</w:t>
            </w:r>
          </w:p>
        </w:tc>
        <w:tc>
          <w:tcPr>
            <w:tcW w:w="1373" w:type="dxa"/>
            <w:vAlign w:val="center"/>
          </w:tcPr>
          <w:p w14:paraId="4294140C" w14:textId="3AABC9A8" w:rsidR="008C4E50" w:rsidRPr="004C2DC7" w:rsidRDefault="00864EAF" w:rsidP="00C76447">
            <w:pPr>
              <w:pStyle w:val="Tabletext"/>
              <w:keepNext/>
              <w:keepLines/>
              <w:jc w:val="center"/>
              <w:rPr>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D16020" w:rsidRPr="00D16020">
              <w:rPr>
                <w:rFonts w:cs="Arial"/>
                <w:color w:val="000000"/>
                <w:szCs w:val="20"/>
                <w:vertAlign w:val="superscript"/>
              </w:rPr>
              <w:t>2</w:t>
            </w:r>
          </w:p>
        </w:tc>
      </w:tr>
      <w:tr w:rsidR="008C4E50" w:rsidRPr="0032043A" w14:paraId="364DA705" w14:textId="77777777" w:rsidTr="007468F4">
        <w:tc>
          <w:tcPr>
            <w:tcW w:w="1799" w:type="dxa"/>
            <w:shd w:val="clear" w:color="auto" w:fill="auto"/>
            <w:vAlign w:val="center"/>
          </w:tcPr>
          <w:p w14:paraId="1E60973D" w14:textId="77777777" w:rsidR="008C4E50" w:rsidRPr="0032043A" w:rsidRDefault="008C4E50" w:rsidP="00C76447">
            <w:pPr>
              <w:pStyle w:val="Tabletext"/>
              <w:keepNext/>
              <w:keepLines/>
              <w:rPr>
                <w:szCs w:val="20"/>
              </w:rPr>
            </w:pPr>
            <w:r w:rsidRPr="0032043A">
              <w:rPr>
                <w:szCs w:val="20"/>
              </w:rPr>
              <w:t>Durvalumab dMMR, maintenance</w:t>
            </w:r>
          </w:p>
        </w:tc>
        <w:tc>
          <w:tcPr>
            <w:tcW w:w="1169" w:type="dxa"/>
            <w:shd w:val="clear" w:color="auto" w:fill="auto"/>
            <w:vAlign w:val="center"/>
          </w:tcPr>
          <w:p w14:paraId="7A96D028" w14:textId="45DD52A0" w:rsidR="008C4E50" w:rsidRPr="004C2DC7" w:rsidRDefault="00864EAF" w:rsidP="00C76447">
            <w:pPr>
              <w:pStyle w:val="Tabletext"/>
              <w:keepNext/>
              <w:keepLines/>
              <w:jc w:val="center"/>
              <w:rPr>
                <w:szCs w:val="20"/>
                <w:highlight w:val="darkGray"/>
              </w:rPr>
            </w:pPr>
            <w:r w:rsidRPr="00112051">
              <w:rPr>
                <w:rFonts w:cs="Arial" w:hint="eastAsia"/>
                <w:color w:val="000000"/>
                <w:w w:val="15"/>
                <w:szCs w:val="20"/>
                <w:shd w:val="solid" w:color="000000" w:fill="000000"/>
                <w:fitText w:val="20" w:id="-761107452"/>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452"/>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452"/>
                <w14:textFill>
                  <w14:solidFill>
                    <w14:srgbClr w14:val="000000">
                      <w14:alpha w14:val="100000"/>
                    </w14:srgbClr>
                  </w14:solidFill>
                </w14:textFill>
              </w:rPr>
              <w:t xml:space="preserve">　</w:t>
            </w:r>
            <w:r w:rsidR="00D16020" w:rsidRPr="00D16020">
              <w:rPr>
                <w:rFonts w:cs="Arial"/>
                <w:color w:val="000000"/>
                <w:szCs w:val="20"/>
                <w:vertAlign w:val="superscript"/>
              </w:rPr>
              <w:t>2</w:t>
            </w:r>
          </w:p>
        </w:tc>
        <w:tc>
          <w:tcPr>
            <w:tcW w:w="1169" w:type="dxa"/>
            <w:shd w:val="clear" w:color="auto" w:fill="auto"/>
            <w:vAlign w:val="center"/>
          </w:tcPr>
          <w:p w14:paraId="06BC75F0" w14:textId="70CC56BE" w:rsidR="008C4E50" w:rsidRPr="004C2DC7" w:rsidRDefault="00864EAF" w:rsidP="00C76447">
            <w:pPr>
              <w:pStyle w:val="Tabletext"/>
              <w:keepNext/>
              <w:keepLines/>
              <w:jc w:val="center"/>
              <w:rPr>
                <w:szCs w:val="20"/>
                <w:highlight w:val="darkGray"/>
              </w:rPr>
            </w:pPr>
            <w:r w:rsidRPr="00112051">
              <w:rPr>
                <w:rFonts w:cs="Arial" w:hint="eastAsia"/>
                <w:color w:val="000000"/>
                <w:w w:val="15"/>
                <w:szCs w:val="20"/>
                <w:shd w:val="solid" w:color="000000" w:fill="000000"/>
                <w:fitText w:val="20" w:id="-761107451"/>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451"/>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451"/>
                <w14:textFill>
                  <w14:solidFill>
                    <w14:srgbClr w14:val="000000">
                      <w14:alpha w14:val="100000"/>
                    </w14:srgbClr>
                  </w14:solidFill>
                </w14:textFill>
              </w:rPr>
              <w:t xml:space="preserve">　</w:t>
            </w:r>
            <w:r w:rsidR="00D16020" w:rsidRPr="00D16020">
              <w:rPr>
                <w:rFonts w:cs="Arial"/>
                <w:color w:val="000000"/>
                <w:szCs w:val="20"/>
                <w:vertAlign w:val="superscript"/>
              </w:rPr>
              <w:t>2</w:t>
            </w:r>
          </w:p>
        </w:tc>
        <w:tc>
          <w:tcPr>
            <w:tcW w:w="1108" w:type="dxa"/>
            <w:shd w:val="clear" w:color="auto" w:fill="auto"/>
            <w:vAlign w:val="center"/>
          </w:tcPr>
          <w:p w14:paraId="07051EC8" w14:textId="4FA56696" w:rsidR="008C4E50" w:rsidRPr="004C2DC7" w:rsidRDefault="00864EAF" w:rsidP="00C76447">
            <w:pPr>
              <w:pStyle w:val="Tabletext"/>
              <w:keepNext/>
              <w:keepLines/>
              <w:jc w:val="center"/>
              <w:rPr>
                <w:szCs w:val="20"/>
                <w:highlight w:val="darkGray"/>
              </w:rPr>
            </w:pPr>
            <w:r w:rsidRPr="00864EAF">
              <w:rPr>
                <w:rFonts w:cs="Arial" w:hint="eastAsia"/>
                <w:color w:val="000000"/>
                <w:w w:val="15"/>
                <w:szCs w:val="20"/>
                <w:shd w:val="solid" w:color="000000" w:fill="000000"/>
                <w:fitText w:val="60" w:id="-761107450"/>
                <w14:textFill>
                  <w14:solidFill>
                    <w14:srgbClr w14:val="000000">
                      <w14:alpha w14:val="100000"/>
                    </w14:srgbClr>
                  </w14:solidFill>
                </w14:textFill>
              </w:rPr>
              <w:t xml:space="preserve">　</w:t>
            </w:r>
            <w:r w:rsidRPr="00864EAF">
              <w:rPr>
                <w:rFonts w:cs="Arial"/>
                <w:color w:val="000000"/>
                <w:w w:val="15"/>
                <w:szCs w:val="20"/>
                <w:shd w:val="solid" w:color="000000" w:fill="000000"/>
                <w:fitText w:val="60" w:id="-761107450"/>
                <w14:textFill>
                  <w14:solidFill>
                    <w14:srgbClr w14:val="000000">
                      <w14:alpha w14:val="100000"/>
                    </w14:srgbClr>
                  </w14:solidFill>
                </w14:textFill>
              </w:rPr>
              <w:t>|</w:t>
            </w:r>
            <w:r w:rsidRPr="00864EAF">
              <w:rPr>
                <w:rFonts w:cs="Arial" w:hint="eastAsia"/>
                <w:color w:val="000000"/>
                <w:spacing w:val="-5"/>
                <w:w w:val="15"/>
                <w:szCs w:val="20"/>
                <w:shd w:val="solid" w:color="000000" w:fill="000000"/>
                <w:fitText w:val="60" w:id="-761107450"/>
                <w14:textFill>
                  <w14:solidFill>
                    <w14:srgbClr w14:val="000000">
                      <w14:alpha w14:val="100000"/>
                    </w14:srgbClr>
                  </w14:solidFill>
                </w14:textFill>
              </w:rPr>
              <w:t xml:space="preserve">　</w:t>
            </w:r>
            <w:r w:rsidR="00D16020" w:rsidRPr="00D16020">
              <w:rPr>
                <w:rFonts w:cs="Arial"/>
                <w:color w:val="000000"/>
                <w:szCs w:val="20"/>
                <w:vertAlign w:val="superscript"/>
              </w:rPr>
              <w:t>2</w:t>
            </w:r>
          </w:p>
        </w:tc>
        <w:tc>
          <w:tcPr>
            <w:tcW w:w="1230" w:type="dxa"/>
            <w:shd w:val="clear" w:color="auto" w:fill="auto"/>
            <w:vAlign w:val="center"/>
          </w:tcPr>
          <w:p w14:paraId="6A7A80AC" w14:textId="42A6CE83" w:rsidR="008C4E50" w:rsidRPr="004C2DC7" w:rsidRDefault="00864EAF" w:rsidP="00C76447">
            <w:pPr>
              <w:pStyle w:val="Tabletext"/>
              <w:keepNext/>
              <w:keepLines/>
              <w:jc w:val="center"/>
              <w:rPr>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D16020" w:rsidRPr="00D16020">
              <w:rPr>
                <w:rFonts w:cs="Arial"/>
                <w:color w:val="000000"/>
                <w:szCs w:val="20"/>
                <w:vertAlign w:val="superscript"/>
              </w:rPr>
              <w:t>2</w:t>
            </w:r>
          </w:p>
        </w:tc>
        <w:tc>
          <w:tcPr>
            <w:tcW w:w="1169" w:type="dxa"/>
            <w:shd w:val="clear" w:color="auto" w:fill="auto"/>
            <w:vAlign w:val="center"/>
          </w:tcPr>
          <w:p w14:paraId="78A73227" w14:textId="15BCA41C" w:rsidR="008C4E50" w:rsidRPr="004C2DC7" w:rsidRDefault="00864EAF" w:rsidP="00C76447">
            <w:pPr>
              <w:pStyle w:val="Tabletext"/>
              <w:keepNext/>
              <w:keepLines/>
              <w:jc w:val="center"/>
              <w:rPr>
                <w:szCs w:val="20"/>
                <w:highlight w:val="darkGray"/>
              </w:rPr>
            </w:pPr>
            <w:r w:rsidRPr="00112051">
              <w:rPr>
                <w:rFonts w:cs="Arial" w:hint="eastAsia"/>
                <w:color w:val="000000"/>
                <w:w w:val="15"/>
                <w:szCs w:val="20"/>
                <w:shd w:val="solid" w:color="000000" w:fill="000000"/>
                <w:fitText w:val="20" w:id="-761107449"/>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449"/>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449"/>
                <w14:textFill>
                  <w14:solidFill>
                    <w14:srgbClr w14:val="000000">
                      <w14:alpha w14:val="100000"/>
                    </w14:srgbClr>
                  </w14:solidFill>
                </w14:textFill>
              </w:rPr>
              <w:t xml:space="preserve">　</w:t>
            </w:r>
            <w:r w:rsidR="00D16020" w:rsidRPr="00D16020">
              <w:rPr>
                <w:rFonts w:cs="Arial"/>
                <w:color w:val="000000"/>
                <w:szCs w:val="20"/>
                <w:vertAlign w:val="superscript"/>
              </w:rPr>
              <w:t>2</w:t>
            </w:r>
          </w:p>
        </w:tc>
        <w:tc>
          <w:tcPr>
            <w:tcW w:w="1373" w:type="dxa"/>
            <w:vAlign w:val="center"/>
          </w:tcPr>
          <w:p w14:paraId="413C030B" w14:textId="5F566E9E" w:rsidR="008C4E50" w:rsidRPr="004C2DC7" w:rsidRDefault="00864EAF" w:rsidP="00C76447">
            <w:pPr>
              <w:pStyle w:val="Tabletext"/>
              <w:keepNext/>
              <w:keepLines/>
              <w:jc w:val="center"/>
              <w:rPr>
                <w:szCs w:val="20"/>
                <w:highlight w:val="darkGray"/>
              </w:rPr>
            </w:pPr>
            <w:r w:rsidRPr="00864EAF">
              <w:rPr>
                <w:rFonts w:cs="Arial" w:hint="eastAsia"/>
                <w:color w:val="000000"/>
                <w:w w:val="27"/>
                <w:szCs w:val="20"/>
                <w:shd w:val="solid" w:color="000000" w:fill="000000"/>
                <w:fitText w:val="120" w:id="-761107448"/>
                <w14:textFill>
                  <w14:solidFill>
                    <w14:srgbClr w14:val="000000">
                      <w14:alpha w14:val="100000"/>
                    </w14:srgbClr>
                  </w14:solidFill>
                </w14:textFill>
              </w:rPr>
              <w:t xml:space="preserve">　</w:t>
            </w:r>
            <w:r w:rsidRPr="00864EAF">
              <w:rPr>
                <w:rFonts w:cs="Arial"/>
                <w:color w:val="000000"/>
                <w:w w:val="27"/>
                <w:szCs w:val="20"/>
                <w:shd w:val="solid" w:color="000000" w:fill="000000"/>
                <w:fitText w:val="120" w:id="-761107448"/>
                <w14:textFill>
                  <w14:solidFill>
                    <w14:srgbClr w14:val="000000">
                      <w14:alpha w14:val="100000"/>
                    </w14:srgbClr>
                  </w14:solidFill>
                </w14:textFill>
              </w:rPr>
              <w:t>|</w:t>
            </w:r>
            <w:r w:rsidRPr="00864EAF">
              <w:rPr>
                <w:rFonts w:cs="Arial" w:hint="eastAsia"/>
                <w:color w:val="000000"/>
                <w:spacing w:val="2"/>
                <w:w w:val="27"/>
                <w:szCs w:val="20"/>
                <w:shd w:val="solid" w:color="000000" w:fill="000000"/>
                <w:fitText w:val="120" w:id="-761107448"/>
                <w14:textFill>
                  <w14:solidFill>
                    <w14:srgbClr w14:val="000000">
                      <w14:alpha w14:val="100000"/>
                    </w14:srgbClr>
                  </w14:solidFill>
                </w14:textFill>
              </w:rPr>
              <w:t xml:space="preserve">　</w:t>
            </w:r>
            <w:r w:rsidR="00D16020" w:rsidRPr="00D16020">
              <w:rPr>
                <w:rFonts w:cs="Arial"/>
                <w:color w:val="000000"/>
                <w:szCs w:val="20"/>
                <w:vertAlign w:val="superscript"/>
              </w:rPr>
              <w:t>2</w:t>
            </w:r>
          </w:p>
        </w:tc>
      </w:tr>
      <w:tr w:rsidR="008C4E50" w:rsidRPr="0032043A" w14:paraId="6F2646A2" w14:textId="77777777" w:rsidTr="00022017">
        <w:tc>
          <w:tcPr>
            <w:tcW w:w="9017" w:type="dxa"/>
            <w:gridSpan w:val="7"/>
            <w:shd w:val="clear" w:color="auto" w:fill="auto"/>
            <w:vAlign w:val="center"/>
          </w:tcPr>
          <w:p w14:paraId="7E647696" w14:textId="51E0DF2B" w:rsidR="008C4E50" w:rsidRPr="0032043A" w:rsidRDefault="008C4E50" w:rsidP="00C76447">
            <w:pPr>
              <w:pStyle w:val="Tabletext"/>
              <w:keepNext/>
              <w:keepLines/>
              <w:rPr>
                <w:b/>
                <w:bCs/>
                <w:szCs w:val="20"/>
              </w:rPr>
            </w:pPr>
            <w:r w:rsidRPr="0032043A">
              <w:rPr>
                <w:b/>
                <w:bCs/>
                <w:szCs w:val="20"/>
              </w:rPr>
              <w:t xml:space="preserve">Estimated financial implications of durvalumab </w:t>
            </w:r>
          </w:p>
        </w:tc>
      </w:tr>
      <w:tr w:rsidR="008C4E50" w:rsidRPr="0032043A" w14:paraId="35A08118" w14:textId="77777777" w:rsidTr="007468F4">
        <w:tc>
          <w:tcPr>
            <w:tcW w:w="1799" w:type="dxa"/>
            <w:shd w:val="clear" w:color="auto" w:fill="auto"/>
            <w:vAlign w:val="center"/>
          </w:tcPr>
          <w:p w14:paraId="2A70B5A8" w14:textId="712C3741" w:rsidR="008C4E50" w:rsidRPr="0032043A" w:rsidRDefault="008C4E50" w:rsidP="00C76447">
            <w:pPr>
              <w:pStyle w:val="Tabletext"/>
              <w:keepNext/>
              <w:keepLines/>
              <w:rPr>
                <w:szCs w:val="20"/>
              </w:rPr>
            </w:pPr>
            <w:r w:rsidRPr="0032043A">
              <w:rPr>
                <w:szCs w:val="20"/>
              </w:rPr>
              <w:t>dMMR durvalumab</w:t>
            </w:r>
            <w:r w:rsidR="001764F9">
              <w:rPr>
                <w:szCs w:val="20"/>
              </w:rPr>
              <w:t xml:space="preserve"> (effective)</w:t>
            </w:r>
          </w:p>
        </w:tc>
        <w:tc>
          <w:tcPr>
            <w:tcW w:w="1169" w:type="dxa"/>
            <w:tcBorders>
              <w:bottom w:val="single" w:sz="4" w:space="0" w:color="auto"/>
            </w:tcBorders>
            <w:shd w:val="clear" w:color="auto" w:fill="auto"/>
            <w:vAlign w:val="center"/>
          </w:tcPr>
          <w:p w14:paraId="40F5AACC" w14:textId="450638D2" w:rsidR="008C4E50"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447"/>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447"/>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447"/>
                <w14:textFill>
                  <w14:solidFill>
                    <w14:srgbClr w14:val="000000">
                      <w14:alpha w14:val="100000"/>
                    </w14:srgbClr>
                  </w14:solidFill>
                </w14:textFill>
              </w:rPr>
              <w:t xml:space="preserve">　</w:t>
            </w:r>
            <w:r w:rsidR="000368E4" w:rsidRPr="000368E4">
              <w:rPr>
                <w:rFonts w:cs="Arial"/>
                <w:color w:val="000000"/>
                <w:szCs w:val="20"/>
                <w:vertAlign w:val="superscript"/>
              </w:rPr>
              <w:t>3</w:t>
            </w:r>
          </w:p>
        </w:tc>
        <w:tc>
          <w:tcPr>
            <w:tcW w:w="1169" w:type="dxa"/>
            <w:tcBorders>
              <w:bottom w:val="single" w:sz="4" w:space="0" w:color="auto"/>
            </w:tcBorders>
            <w:shd w:val="clear" w:color="auto" w:fill="auto"/>
            <w:vAlign w:val="center"/>
          </w:tcPr>
          <w:p w14:paraId="2BA639DD" w14:textId="08312B94" w:rsidR="008C4E50"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446"/>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446"/>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446"/>
                <w14:textFill>
                  <w14:solidFill>
                    <w14:srgbClr w14:val="000000">
                      <w14:alpha w14:val="100000"/>
                    </w14:srgbClr>
                  </w14:solidFill>
                </w14:textFill>
              </w:rPr>
              <w:t xml:space="preserve">　</w:t>
            </w:r>
            <w:r w:rsidR="000368E4" w:rsidRPr="000368E4">
              <w:rPr>
                <w:rFonts w:cs="Arial"/>
                <w:color w:val="000000"/>
                <w:szCs w:val="20"/>
                <w:vertAlign w:val="superscript"/>
              </w:rPr>
              <w:t>3</w:t>
            </w:r>
          </w:p>
        </w:tc>
        <w:tc>
          <w:tcPr>
            <w:tcW w:w="1108" w:type="dxa"/>
            <w:tcBorders>
              <w:bottom w:val="single" w:sz="4" w:space="0" w:color="auto"/>
            </w:tcBorders>
            <w:shd w:val="clear" w:color="auto" w:fill="auto"/>
            <w:vAlign w:val="center"/>
          </w:tcPr>
          <w:p w14:paraId="2306A063" w14:textId="7AFBE420" w:rsidR="008C4E50" w:rsidRPr="004C2DC7" w:rsidRDefault="00864EAF" w:rsidP="00C76447">
            <w:pPr>
              <w:pStyle w:val="Tabletext"/>
              <w:keepNext/>
              <w:keepLines/>
              <w:jc w:val="center"/>
              <w:rPr>
                <w:rFonts w:cs="Arial"/>
                <w:color w:val="000000"/>
                <w:szCs w:val="20"/>
                <w:highlight w:val="darkGray"/>
              </w:rPr>
            </w:pPr>
            <w:r w:rsidRPr="00864EAF">
              <w:rPr>
                <w:rFonts w:cs="Arial" w:hint="eastAsia"/>
                <w:color w:val="000000"/>
                <w:w w:val="15"/>
                <w:szCs w:val="20"/>
                <w:shd w:val="solid" w:color="000000" w:fill="000000"/>
                <w:fitText w:val="60" w:id="-761107200"/>
                <w14:textFill>
                  <w14:solidFill>
                    <w14:srgbClr w14:val="000000">
                      <w14:alpha w14:val="100000"/>
                    </w14:srgbClr>
                  </w14:solidFill>
                </w14:textFill>
              </w:rPr>
              <w:t xml:space="preserve">　</w:t>
            </w:r>
            <w:r w:rsidRPr="00864EAF">
              <w:rPr>
                <w:rFonts w:cs="Arial"/>
                <w:color w:val="000000"/>
                <w:w w:val="15"/>
                <w:szCs w:val="20"/>
                <w:shd w:val="solid" w:color="000000" w:fill="000000"/>
                <w:fitText w:val="60" w:id="-761107200"/>
                <w14:textFill>
                  <w14:solidFill>
                    <w14:srgbClr w14:val="000000">
                      <w14:alpha w14:val="100000"/>
                    </w14:srgbClr>
                  </w14:solidFill>
                </w14:textFill>
              </w:rPr>
              <w:t>|</w:t>
            </w:r>
            <w:r w:rsidRPr="00864EAF">
              <w:rPr>
                <w:rFonts w:cs="Arial" w:hint="eastAsia"/>
                <w:color w:val="000000"/>
                <w:spacing w:val="-5"/>
                <w:w w:val="15"/>
                <w:szCs w:val="20"/>
                <w:shd w:val="solid" w:color="000000" w:fill="000000"/>
                <w:fitText w:val="60" w:id="-761107200"/>
                <w14:textFill>
                  <w14:solidFill>
                    <w14:srgbClr w14:val="000000">
                      <w14:alpha w14:val="100000"/>
                    </w14:srgbClr>
                  </w14:solidFill>
                </w14:textFill>
              </w:rPr>
              <w:t xml:space="preserve">　</w:t>
            </w:r>
            <w:r w:rsidR="000368E4" w:rsidRPr="000368E4">
              <w:rPr>
                <w:rFonts w:cs="Arial"/>
                <w:color w:val="000000"/>
                <w:szCs w:val="20"/>
                <w:vertAlign w:val="superscript"/>
              </w:rPr>
              <w:t>3</w:t>
            </w:r>
          </w:p>
        </w:tc>
        <w:tc>
          <w:tcPr>
            <w:tcW w:w="1230" w:type="dxa"/>
            <w:tcBorders>
              <w:bottom w:val="single" w:sz="4" w:space="0" w:color="auto"/>
            </w:tcBorders>
            <w:shd w:val="clear" w:color="auto" w:fill="auto"/>
            <w:vAlign w:val="center"/>
          </w:tcPr>
          <w:p w14:paraId="5043CC48" w14:textId="67F78505" w:rsidR="008C4E50" w:rsidRPr="004C2DC7"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0368E4" w:rsidRPr="000368E4">
              <w:rPr>
                <w:rFonts w:cs="Arial"/>
                <w:color w:val="000000"/>
                <w:szCs w:val="20"/>
                <w:vertAlign w:val="superscript"/>
              </w:rPr>
              <w:t>3</w:t>
            </w:r>
          </w:p>
        </w:tc>
        <w:tc>
          <w:tcPr>
            <w:tcW w:w="1169" w:type="dxa"/>
            <w:tcBorders>
              <w:bottom w:val="single" w:sz="4" w:space="0" w:color="auto"/>
            </w:tcBorders>
            <w:shd w:val="clear" w:color="auto" w:fill="auto"/>
            <w:vAlign w:val="center"/>
          </w:tcPr>
          <w:p w14:paraId="5400C996" w14:textId="7B1F48EC" w:rsidR="008C4E50"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9"/>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9"/>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9"/>
                <w14:textFill>
                  <w14:solidFill>
                    <w14:srgbClr w14:val="000000">
                      <w14:alpha w14:val="100000"/>
                    </w14:srgbClr>
                  </w14:solidFill>
                </w14:textFill>
              </w:rPr>
              <w:t xml:space="preserve">　</w:t>
            </w:r>
            <w:r w:rsidR="000368E4" w:rsidRPr="000368E4">
              <w:rPr>
                <w:rFonts w:cs="Arial"/>
                <w:color w:val="000000"/>
                <w:szCs w:val="20"/>
                <w:vertAlign w:val="superscript"/>
              </w:rPr>
              <w:t>3</w:t>
            </w:r>
          </w:p>
        </w:tc>
        <w:tc>
          <w:tcPr>
            <w:tcW w:w="1373" w:type="dxa"/>
            <w:tcBorders>
              <w:bottom w:val="single" w:sz="4" w:space="0" w:color="auto"/>
            </w:tcBorders>
            <w:vAlign w:val="center"/>
          </w:tcPr>
          <w:p w14:paraId="3D425AC1" w14:textId="29A9B88A" w:rsidR="008C4E50" w:rsidRPr="004C2DC7"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0368E4" w:rsidRPr="000368E4">
              <w:rPr>
                <w:rFonts w:cs="Arial"/>
                <w:color w:val="000000"/>
                <w:szCs w:val="20"/>
                <w:vertAlign w:val="superscript"/>
              </w:rPr>
              <w:t>3</w:t>
            </w:r>
          </w:p>
        </w:tc>
      </w:tr>
      <w:tr w:rsidR="001764F9" w:rsidRPr="0032043A" w14:paraId="45ABCBB8" w14:textId="77777777" w:rsidTr="007468F4">
        <w:tc>
          <w:tcPr>
            <w:tcW w:w="1799" w:type="dxa"/>
            <w:shd w:val="clear" w:color="auto" w:fill="auto"/>
            <w:vAlign w:val="center"/>
          </w:tcPr>
          <w:p w14:paraId="746E0067" w14:textId="36026969" w:rsidR="001764F9" w:rsidRPr="0032043A" w:rsidRDefault="001764F9" w:rsidP="00C76447">
            <w:pPr>
              <w:pStyle w:val="Tabletext"/>
              <w:keepNext/>
              <w:keepLines/>
              <w:rPr>
                <w:szCs w:val="20"/>
              </w:rPr>
            </w:pPr>
            <w:r w:rsidRPr="0032043A">
              <w:rPr>
                <w:szCs w:val="20"/>
              </w:rPr>
              <w:t>dMMR durvalumab</w:t>
            </w:r>
            <w:r>
              <w:rPr>
                <w:szCs w:val="20"/>
              </w:rPr>
              <w:t xml:space="preserve"> (published)</w:t>
            </w:r>
          </w:p>
        </w:tc>
        <w:tc>
          <w:tcPr>
            <w:tcW w:w="1169" w:type="dxa"/>
            <w:tcBorders>
              <w:top w:val="single" w:sz="4" w:space="0" w:color="auto"/>
              <w:left w:val="nil"/>
              <w:bottom w:val="single" w:sz="4" w:space="0" w:color="auto"/>
              <w:right w:val="single" w:sz="4" w:space="0" w:color="auto"/>
            </w:tcBorders>
            <w:shd w:val="clear" w:color="auto" w:fill="auto"/>
            <w:vAlign w:val="center"/>
          </w:tcPr>
          <w:p w14:paraId="3B12638F" w14:textId="4390C4CA" w:rsidR="001764F9"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8"/>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8"/>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8"/>
                <w14:textFill>
                  <w14:solidFill>
                    <w14:srgbClr w14:val="000000">
                      <w14:alpha w14:val="100000"/>
                    </w14:srgbClr>
                  </w14:solidFill>
                </w14:textFill>
              </w:rPr>
              <w:t xml:space="preserve">　</w:t>
            </w:r>
            <w:r w:rsidR="002B6F9E" w:rsidRPr="002B6F9E">
              <w:rPr>
                <w:rFonts w:cs="Arial"/>
                <w:color w:val="000000"/>
                <w:szCs w:val="20"/>
                <w:vertAlign w:val="superscript"/>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B822D68" w14:textId="7BD32D9D" w:rsidR="001764F9"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7"/>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7"/>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7"/>
                <w14:textFill>
                  <w14:solidFill>
                    <w14:srgbClr w14:val="000000">
                      <w14:alpha w14:val="100000"/>
                    </w14:srgbClr>
                  </w14:solidFill>
                </w14:textFill>
              </w:rPr>
              <w:t xml:space="preserve">　</w:t>
            </w:r>
            <w:r w:rsidR="002E69F5">
              <w:rPr>
                <w:rFonts w:cs="Arial"/>
                <w:color w:val="000000"/>
                <w:szCs w:val="20"/>
                <w:vertAlign w:val="superscript"/>
              </w:rPr>
              <w:t>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C14BB0F" w14:textId="0B2FD9A7" w:rsidR="001764F9" w:rsidRPr="004C2DC7" w:rsidRDefault="00864EAF" w:rsidP="00C76447">
            <w:pPr>
              <w:pStyle w:val="Tabletext"/>
              <w:keepNext/>
              <w:keepLines/>
              <w:jc w:val="center"/>
              <w:rPr>
                <w:rFonts w:cs="Arial"/>
                <w:color w:val="000000"/>
                <w:szCs w:val="20"/>
                <w:highlight w:val="darkGray"/>
              </w:rPr>
            </w:pPr>
            <w:r w:rsidRPr="00864EAF">
              <w:rPr>
                <w:rFonts w:cs="Arial" w:hint="eastAsia"/>
                <w:color w:val="000000"/>
                <w:w w:val="15"/>
                <w:szCs w:val="20"/>
                <w:shd w:val="solid" w:color="000000" w:fill="000000"/>
                <w:fitText w:val="60" w:id="-761107196"/>
                <w14:textFill>
                  <w14:solidFill>
                    <w14:srgbClr w14:val="000000">
                      <w14:alpha w14:val="100000"/>
                    </w14:srgbClr>
                  </w14:solidFill>
                </w14:textFill>
              </w:rPr>
              <w:t xml:space="preserve">　</w:t>
            </w:r>
            <w:r w:rsidRPr="00864EAF">
              <w:rPr>
                <w:rFonts w:cs="Arial"/>
                <w:color w:val="000000"/>
                <w:w w:val="15"/>
                <w:szCs w:val="20"/>
                <w:shd w:val="solid" w:color="000000" w:fill="000000"/>
                <w:fitText w:val="60" w:id="-761107196"/>
                <w14:textFill>
                  <w14:solidFill>
                    <w14:srgbClr w14:val="000000">
                      <w14:alpha w14:val="100000"/>
                    </w14:srgbClr>
                  </w14:solidFill>
                </w14:textFill>
              </w:rPr>
              <w:t>|</w:t>
            </w:r>
            <w:r w:rsidRPr="00864EAF">
              <w:rPr>
                <w:rFonts w:cs="Arial" w:hint="eastAsia"/>
                <w:color w:val="000000"/>
                <w:spacing w:val="-5"/>
                <w:w w:val="15"/>
                <w:szCs w:val="20"/>
                <w:shd w:val="solid" w:color="000000" w:fill="000000"/>
                <w:fitText w:val="60" w:id="-761107196"/>
                <w14:textFill>
                  <w14:solidFill>
                    <w14:srgbClr w14:val="000000">
                      <w14:alpha w14:val="100000"/>
                    </w14:srgbClr>
                  </w14:solidFill>
                </w14:textFill>
              </w:rPr>
              <w:t xml:space="preserve">　</w:t>
            </w:r>
            <w:r w:rsidR="002E69F5">
              <w:rPr>
                <w:rFonts w:cs="Arial"/>
                <w:color w:val="000000"/>
                <w:szCs w:val="20"/>
                <w:vertAlign w:val="superscript"/>
              </w:rPr>
              <w:t>5</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25904D8" w14:textId="46564941" w:rsidR="001764F9" w:rsidRPr="004C2DC7"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2E69F5">
              <w:rPr>
                <w:rFonts w:cs="Arial"/>
                <w:color w:val="000000"/>
                <w:szCs w:val="20"/>
                <w:vertAlign w:val="superscript"/>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C1B9681" w14:textId="096E2381" w:rsidR="001764F9"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5"/>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5"/>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5"/>
                <w14:textFill>
                  <w14:solidFill>
                    <w14:srgbClr w14:val="000000">
                      <w14:alpha w14:val="100000"/>
                    </w14:srgbClr>
                  </w14:solidFill>
                </w14:textFill>
              </w:rPr>
              <w:t xml:space="preserve">　</w:t>
            </w:r>
            <w:r w:rsidR="002E69F5">
              <w:rPr>
                <w:rFonts w:cs="Arial"/>
                <w:color w:val="000000"/>
                <w:szCs w:val="20"/>
                <w:vertAlign w:val="superscript"/>
              </w:rPr>
              <w:t>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5969AA01" w14:textId="6B2BC2E2" w:rsidR="001764F9" w:rsidRPr="004C2DC7"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2E69F5">
              <w:rPr>
                <w:rFonts w:cs="Arial"/>
                <w:color w:val="000000"/>
                <w:szCs w:val="20"/>
                <w:vertAlign w:val="superscript"/>
              </w:rPr>
              <w:t>5</w:t>
            </w:r>
          </w:p>
        </w:tc>
      </w:tr>
      <w:tr w:rsidR="008C4E50" w:rsidRPr="0032043A" w14:paraId="09120BCF" w14:textId="77777777" w:rsidTr="00022017">
        <w:tc>
          <w:tcPr>
            <w:tcW w:w="9017" w:type="dxa"/>
            <w:gridSpan w:val="7"/>
            <w:shd w:val="clear" w:color="auto" w:fill="auto"/>
            <w:vAlign w:val="center"/>
          </w:tcPr>
          <w:p w14:paraId="48D0B08E" w14:textId="7E0F42AA" w:rsidR="008C4E50" w:rsidRPr="0032043A" w:rsidRDefault="008C4E50" w:rsidP="00C76447">
            <w:pPr>
              <w:pStyle w:val="Tabletext"/>
              <w:keepNext/>
              <w:keepLines/>
              <w:rPr>
                <w:b/>
                <w:bCs/>
                <w:szCs w:val="20"/>
              </w:rPr>
            </w:pPr>
            <w:r w:rsidRPr="0032043A">
              <w:rPr>
                <w:b/>
                <w:bCs/>
                <w:szCs w:val="20"/>
              </w:rPr>
              <w:t>Estimated cost offsets</w:t>
            </w:r>
            <w:r w:rsidR="001764F9">
              <w:rPr>
                <w:b/>
                <w:bCs/>
                <w:szCs w:val="20"/>
              </w:rPr>
              <w:t xml:space="preserve"> (published)</w:t>
            </w:r>
          </w:p>
        </w:tc>
      </w:tr>
      <w:tr w:rsidR="008C4E50" w:rsidRPr="001764F9" w14:paraId="6E0FC907" w14:textId="77777777" w:rsidTr="007468F4">
        <w:tc>
          <w:tcPr>
            <w:tcW w:w="1799" w:type="dxa"/>
            <w:shd w:val="clear" w:color="auto" w:fill="auto"/>
            <w:vAlign w:val="center"/>
          </w:tcPr>
          <w:p w14:paraId="145BBDF9" w14:textId="77777777" w:rsidR="008C4E50" w:rsidRPr="0032043A" w:rsidRDefault="008C4E50" w:rsidP="00C76447">
            <w:pPr>
              <w:pStyle w:val="Tabletext"/>
              <w:keepNext/>
              <w:keepLines/>
              <w:rPr>
                <w:szCs w:val="20"/>
              </w:rPr>
            </w:pPr>
            <w:r w:rsidRPr="0032043A">
              <w:rPr>
                <w:szCs w:val="20"/>
              </w:rPr>
              <w:t>Dostarlimab scripts</w:t>
            </w:r>
          </w:p>
        </w:tc>
        <w:tc>
          <w:tcPr>
            <w:tcW w:w="1169" w:type="dxa"/>
            <w:shd w:val="clear" w:color="auto" w:fill="auto"/>
            <w:vAlign w:val="center"/>
          </w:tcPr>
          <w:p w14:paraId="1E93AEA9" w14:textId="618C7F2F" w:rsidR="008C4E50" w:rsidRPr="001764F9" w:rsidRDefault="008C4E50" w:rsidP="00C76447">
            <w:pPr>
              <w:pStyle w:val="Tabletext"/>
              <w:keepNext/>
              <w:keepLines/>
              <w:jc w:val="center"/>
              <w:rPr>
                <w:rFonts w:cs="Arial"/>
                <w:color w:val="000000"/>
                <w:szCs w:val="20"/>
              </w:rPr>
            </w:pPr>
            <w:r w:rsidRPr="001764F9">
              <w:rPr>
                <w:rFonts w:cs="Arial"/>
                <w:color w:val="000000"/>
                <w:szCs w:val="20"/>
              </w:rPr>
              <w:t>-</w:t>
            </w:r>
            <w:r w:rsidR="00864EAF" w:rsidRPr="00864EAF">
              <w:rPr>
                <w:rFonts w:cs="Arial" w:hint="eastAsia"/>
                <w:color w:val="000000"/>
                <w:w w:val="18"/>
                <w:szCs w:val="20"/>
                <w:shd w:val="solid" w:color="000000" w:fill="000000"/>
                <w:fitText w:val="80" w:id="-761107194"/>
                <w14:textFill>
                  <w14:solidFill>
                    <w14:srgbClr w14:val="000000">
                      <w14:alpha w14:val="100000"/>
                    </w14:srgbClr>
                  </w14:solidFill>
                </w14:textFill>
              </w:rPr>
              <w:t xml:space="preserve">　</w:t>
            </w:r>
            <w:r w:rsidR="00864EAF" w:rsidRPr="00864EAF">
              <w:rPr>
                <w:rFonts w:cs="Arial"/>
                <w:color w:val="000000"/>
                <w:w w:val="18"/>
                <w:szCs w:val="20"/>
                <w:shd w:val="solid" w:color="000000" w:fill="000000"/>
                <w:fitText w:val="80" w:id="-761107194"/>
                <w14:textFill>
                  <w14:solidFill>
                    <w14:srgbClr w14:val="000000">
                      <w14:alpha w14:val="100000"/>
                    </w14:srgbClr>
                  </w14:solidFill>
                </w14:textFill>
              </w:rPr>
              <w:t>|</w:t>
            </w:r>
            <w:r w:rsidR="00864EAF" w:rsidRPr="00864EAF">
              <w:rPr>
                <w:rFonts w:cs="Arial" w:hint="eastAsia"/>
                <w:color w:val="000000"/>
                <w:w w:val="18"/>
                <w:szCs w:val="20"/>
                <w:shd w:val="solid" w:color="000000" w:fill="000000"/>
                <w:fitText w:val="80" w:id="-761107194"/>
                <w14:textFill>
                  <w14:solidFill>
                    <w14:srgbClr w14:val="000000">
                      <w14:alpha w14:val="100000"/>
                    </w14:srgbClr>
                  </w14:solidFill>
                </w14:textFill>
              </w:rPr>
              <w:t xml:space="preserve">　</w:t>
            </w:r>
            <w:r w:rsidRPr="001764F9">
              <w:rPr>
                <w:rFonts w:cs="Arial"/>
                <w:color w:val="000000"/>
                <w:szCs w:val="20"/>
              </w:rPr>
              <w:t xml:space="preserve"> </w:t>
            </w:r>
            <w:r w:rsidR="00D16020" w:rsidRPr="00D16020">
              <w:rPr>
                <w:rFonts w:cs="Arial"/>
                <w:color w:val="000000"/>
                <w:szCs w:val="20"/>
                <w:vertAlign w:val="superscript"/>
              </w:rPr>
              <w:t>2</w:t>
            </w:r>
          </w:p>
        </w:tc>
        <w:tc>
          <w:tcPr>
            <w:tcW w:w="1169" w:type="dxa"/>
            <w:shd w:val="clear" w:color="auto" w:fill="auto"/>
            <w:vAlign w:val="center"/>
          </w:tcPr>
          <w:p w14:paraId="22A03B86" w14:textId="04BE5235" w:rsidR="008C4E50" w:rsidRPr="001764F9" w:rsidRDefault="008C4E50" w:rsidP="00C76447">
            <w:pPr>
              <w:pStyle w:val="Tabletext"/>
              <w:keepNext/>
              <w:keepLines/>
              <w:jc w:val="center"/>
              <w:rPr>
                <w:rFonts w:cs="Arial"/>
                <w:color w:val="000000"/>
                <w:szCs w:val="20"/>
              </w:rPr>
            </w:pPr>
            <w:r w:rsidRPr="001764F9">
              <w:rPr>
                <w:rFonts w:cs="Arial"/>
                <w:color w:val="000000"/>
                <w:szCs w:val="20"/>
              </w:rPr>
              <w:t>-</w:t>
            </w:r>
            <w:r w:rsidR="00864EAF" w:rsidRPr="00864EAF">
              <w:rPr>
                <w:rFonts w:cs="Arial" w:hint="eastAsia"/>
                <w:color w:val="000000"/>
                <w:w w:val="18"/>
                <w:szCs w:val="20"/>
                <w:shd w:val="solid" w:color="000000" w:fill="000000"/>
                <w:fitText w:val="80" w:id="-761107193"/>
                <w14:textFill>
                  <w14:solidFill>
                    <w14:srgbClr w14:val="000000">
                      <w14:alpha w14:val="100000"/>
                    </w14:srgbClr>
                  </w14:solidFill>
                </w14:textFill>
              </w:rPr>
              <w:t xml:space="preserve">　</w:t>
            </w:r>
            <w:r w:rsidR="00864EAF" w:rsidRPr="00864EAF">
              <w:rPr>
                <w:rFonts w:cs="Arial"/>
                <w:color w:val="000000"/>
                <w:w w:val="18"/>
                <w:szCs w:val="20"/>
                <w:shd w:val="solid" w:color="000000" w:fill="000000"/>
                <w:fitText w:val="80" w:id="-761107193"/>
                <w14:textFill>
                  <w14:solidFill>
                    <w14:srgbClr w14:val="000000">
                      <w14:alpha w14:val="100000"/>
                    </w14:srgbClr>
                  </w14:solidFill>
                </w14:textFill>
              </w:rPr>
              <w:t>|</w:t>
            </w:r>
            <w:r w:rsidR="00864EAF" w:rsidRPr="00864EAF">
              <w:rPr>
                <w:rFonts w:cs="Arial" w:hint="eastAsia"/>
                <w:color w:val="000000"/>
                <w:w w:val="18"/>
                <w:szCs w:val="20"/>
                <w:shd w:val="solid" w:color="000000" w:fill="000000"/>
                <w:fitText w:val="80" w:id="-761107193"/>
                <w14:textFill>
                  <w14:solidFill>
                    <w14:srgbClr w14:val="000000">
                      <w14:alpha w14:val="100000"/>
                    </w14:srgbClr>
                  </w14:solidFill>
                </w14:textFill>
              </w:rPr>
              <w:t xml:space="preserve">　</w:t>
            </w:r>
            <w:r w:rsidRPr="001764F9">
              <w:rPr>
                <w:rFonts w:cs="Arial"/>
                <w:color w:val="000000"/>
                <w:szCs w:val="20"/>
              </w:rPr>
              <w:t xml:space="preserve"> </w:t>
            </w:r>
            <w:r w:rsidR="00D16020" w:rsidRPr="00D16020">
              <w:rPr>
                <w:rFonts w:cs="Arial"/>
                <w:color w:val="000000"/>
                <w:szCs w:val="20"/>
                <w:vertAlign w:val="superscript"/>
              </w:rPr>
              <w:t>2</w:t>
            </w:r>
          </w:p>
        </w:tc>
        <w:tc>
          <w:tcPr>
            <w:tcW w:w="1108" w:type="dxa"/>
            <w:shd w:val="clear" w:color="auto" w:fill="auto"/>
            <w:vAlign w:val="center"/>
          </w:tcPr>
          <w:p w14:paraId="78184B02" w14:textId="31E66E7C" w:rsidR="008C4E50" w:rsidRPr="001764F9" w:rsidRDefault="008C4E50" w:rsidP="00C76447">
            <w:pPr>
              <w:pStyle w:val="Tabletext"/>
              <w:keepNext/>
              <w:keepLines/>
              <w:jc w:val="center"/>
              <w:rPr>
                <w:rFonts w:cs="Arial"/>
                <w:color w:val="000000"/>
                <w:szCs w:val="20"/>
              </w:rPr>
            </w:pPr>
            <w:r w:rsidRPr="001764F9">
              <w:rPr>
                <w:rFonts w:cs="Arial"/>
                <w:color w:val="000000"/>
                <w:szCs w:val="20"/>
              </w:rPr>
              <w:t>-</w:t>
            </w:r>
            <w:r w:rsidR="00864EAF" w:rsidRPr="00864EAF">
              <w:rPr>
                <w:rFonts w:cs="Arial" w:hint="eastAsia"/>
                <w:color w:val="000000"/>
                <w:w w:val="22"/>
                <w:szCs w:val="20"/>
                <w:shd w:val="solid" w:color="000000" w:fill="000000"/>
                <w:fitText w:val="100" w:id="-761107192"/>
                <w14:textFill>
                  <w14:solidFill>
                    <w14:srgbClr w14:val="000000">
                      <w14:alpha w14:val="100000"/>
                    </w14:srgbClr>
                  </w14:solidFill>
                </w14:textFill>
              </w:rPr>
              <w:t xml:space="preserve">　</w:t>
            </w:r>
            <w:r w:rsidR="00864EAF" w:rsidRPr="00864EAF">
              <w:rPr>
                <w:rFonts w:cs="Arial"/>
                <w:color w:val="000000"/>
                <w:w w:val="22"/>
                <w:szCs w:val="20"/>
                <w:shd w:val="solid" w:color="000000" w:fill="000000"/>
                <w:fitText w:val="100" w:id="-761107192"/>
                <w14:textFill>
                  <w14:solidFill>
                    <w14:srgbClr w14:val="000000">
                      <w14:alpha w14:val="100000"/>
                    </w14:srgbClr>
                  </w14:solidFill>
                </w14:textFill>
              </w:rPr>
              <w:t>|</w:t>
            </w:r>
            <w:r w:rsidR="00864EAF" w:rsidRPr="00864EAF">
              <w:rPr>
                <w:rFonts w:cs="Arial" w:hint="eastAsia"/>
                <w:color w:val="000000"/>
                <w:spacing w:val="3"/>
                <w:w w:val="22"/>
                <w:szCs w:val="20"/>
                <w:shd w:val="solid" w:color="000000" w:fill="000000"/>
                <w:fitText w:val="100" w:id="-761107192"/>
                <w14:textFill>
                  <w14:solidFill>
                    <w14:srgbClr w14:val="000000">
                      <w14:alpha w14:val="100000"/>
                    </w14:srgbClr>
                  </w14:solidFill>
                </w14:textFill>
              </w:rPr>
              <w:t xml:space="preserve">　</w:t>
            </w:r>
            <w:r w:rsidRPr="001764F9">
              <w:rPr>
                <w:rFonts w:cs="Arial"/>
                <w:color w:val="000000"/>
                <w:szCs w:val="20"/>
              </w:rPr>
              <w:t xml:space="preserve"> </w:t>
            </w:r>
            <w:r w:rsidR="00D16020" w:rsidRPr="00D16020">
              <w:rPr>
                <w:rFonts w:cs="Arial"/>
                <w:color w:val="000000"/>
                <w:szCs w:val="20"/>
                <w:vertAlign w:val="superscript"/>
              </w:rPr>
              <w:t>2</w:t>
            </w:r>
          </w:p>
        </w:tc>
        <w:tc>
          <w:tcPr>
            <w:tcW w:w="1230" w:type="dxa"/>
            <w:shd w:val="clear" w:color="auto" w:fill="auto"/>
            <w:vAlign w:val="center"/>
          </w:tcPr>
          <w:p w14:paraId="570288EE" w14:textId="10FE8213" w:rsidR="008C4E50" w:rsidRPr="001764F9" w:rsidRDefault="008C4E50" w:rsidP="00C76447">
            <w:pPr>
              <w:pStyle w:val="Tabletext"/>
              <w:keepNext/>
              <w:keepLines/>
              <w:jc w:val="center"/>
              <w:rPr>
                <w:rFonts w:cs="Arial"/>
                <w:color w:val="000000"/>
                <w:szCs w:val="20"/>
              </w:rPr>
            </w:pPr>
            <w:r w:rsidRPr="001764F9">
              <w:rPr>
                <w:rFonts w:cs="Arial"/>
                <w:color w:val="000000"/>
                <w:szCs w:val="20"/>
              </w:rPr>
              <w:t>-</w:t>
            </w:r>
            <w:r w:rsidR="00864EAF" w:rsidRPr="002F75CE">
              <w:rPr>
                <w:rFonts w:cs="Arial" w:hint="eastAsia"/>
                <w:color w:val="000000"/>
                <w:w w:val="15"/>
                <w:szCs w:val="20"/>
                <w:shd w:val="solid" w:color="000000" w:fill="000000"/>
                <w:fitText w:val="40" w:id="-761107191"/>
                <w14:textFill>
                  <w14:solidFill>
                    <w14:srgbClr w14:val="000000">
                      <w14:alpha w14:val="100000"/>
                    </w14:srgbClr>
                  </w14:solidFill>
                </w14:textFill>
              </w:rPr>
              <w:t xml:space="preserve">　</w:t>
            </w:r>
            <w:r w:rsidR="00864EAF" w:rsidRPr="002F75CE">
              <w:rPr>
                <w:rFonts w:cs="Arial"/>
                <w:color w:val="000000"/>
                <w:w w:val="15"/>
                <w:szCs w:val="20"/>
                <w:shd w:val="solid" w:color="000000" w:fill="000000"/>
                <w:fitText w:val="40" w:id="-761107191"/>
                <w14:textFill>
                  <w14:solidFill>
                    <w14:srgbClr w14:val="000000">
                      <w14:alpha w14:val="100000"/>
                    </w14:srgbClr>
                  </w14:solidFill>
                </w14:textFill>
              </w:rPr>
              <w:t>|</w:t>
            </w:r>
            <w:r w:rsidR="00864EAF" w:rsidRPr="002F75CE">
              <w:rPr>
                <w:rFonts w:cs="Arial" w:hint="eastAsia"/>
                <w:color w:val="000000"/>
                <w:spacing w:val="-25"/>
                <w:w w:val="15"/>
                <w:szCs w:val="20"/>
                <w:shd w:val="solid" w:color="000000" w:fill="000000"/>
                <w:fitText w:val="40" w:id="-761107191"/>
                <w14:textFill>
                  <w14:solidFill>
                    <w14:srgbClr w14:val="000000">
                      <w14:alpha w14:val="100000"/>
                    </w14:srgbClr>
                  </w14:solidFill>
                </w14:textFill>
              </w:rPr>
              <w:t xml:space="preserve">　</w:t>
            </w:r>
            <w:r w:rsidRPr="001764F9">
              <w:rPr>
                <w:rFonts w:cs="Arial"/>
                <w:color w:val="000000"/>
                <w:szCs w:val="20"/>
              </w:rPr>
              <w:t xml:space="preserve"> </w:t>
            </w:r>
            <w:r w:rsidR="00D16020" w:rsidRPr="00D16020">
              <w:rPr>
                <w:rFonts w:cs="Arial"/>
                <w:color w:val="000000"/>
                <w:szCs w:val="20"/>
                <w:vertAlign w:val="superscript"/>
              </w:rPr>
              <w:t>2</w:t>
            </w:r>
          </w:p>
        </w:tc>
        <w:tc>
          <w:tcPr>
            <w:tcW w:w="1169" w:type="dxa"/>
            <w:shd w:val="clear" w:color="auto" w:fill="auto"/>
            <w:vAlign w:val="center"/>
          </w:tcPr>
          <w:p w14:paraId="174C0062" w14:textId="63DB0A54" w:rsidR="008C4E50" w:rsidRPr="001764F9" w:rsidRDefault="008C4E50" w:rsidP="00C76447">
            <w:pPr>
              <w:pStyle w:val="Tabletext"/>
              <w:keepNext/>
              <w:keepLines/>
              <w:jc w:val="center"/>
              <w:rPr>
                <w:rFonts w:cs="Arial"/>
                <w:color w:val="000000"/>
                <w:szCs w:val="20"/>
              </w:rPr>
            </w:pPr>
            <w:r w:rsidRPr="001764F9">
              <w:rPr>
                <w:rFonts w:cs="Arial"/>
                <w:color w:val="000000"/>
                <w:szCs w:val="20"/>
              </w:rPr>
              <w:t>-</w:t>
            </w:r>
            <w:r w:rsidR="00864EAF" w:rsidRPr="00864EAF">
              <w:rPr>
                <w:rFonts w:cs="Arial" w:hint="eastAsia"/>
                <w:color w:val="000000"/>
                <w:w w:val="18"/>
                <w:szCs w:val="20"/>
                <w:shd w:val="solid" w:color="000000" w:fill="000000"/>
                <w:fitText w:val="80" w:id="-761107190"/>
                <w14:textFill>
                  <w14:solidFill>
                    <w14:srgbClr w14:val="000000">
                      <w14:alpha w14:val="100000"/>
                    </w14:srgbClr>
                  </w14:solidFill>
                </w14:textFill>
              </w:rPr>
              <w:t xml:space="preserve">　</w:t>
            </w:r>
            <w:r w:rsidR="00864EAF" w:rsidRPr="00864EAF">
              <w:rPr>
                <w:rFonts w:cs="Arial"/>
                <w:color w:val="000000"/>
                <w:w w:val="18"/>
                <w:szCs w:val="20"/>
                <w:shd w:val="solid" w:color="000000" w:fill="000000"/>
                <w:fitText w:val="80" w:id="-761107190"/>
                <w14:textFill>
                  <w14:solidFill>
                    <w14:srgbClr w14:val="000000">
                      <w14:alpha w14:val="100000"/>
                    </w14:srgbClr>
                  </w14:solidFill>
                </w14:textFill>
              </w:rPr>
              <w:t>|</w:t>
            </w:r>
            <w:r w:rsidR="00864EAF" w:rsidRPr="00864EAF">
              <w:rPr>
                <w:rFonts w:cs="Arial" w:hint="eastAsia"/>
                <w:color w:val="000000"/>
                <w:w w:val="18"/>
                <w:szCs w:val="20"/>
                <w:shd w:val="solid" w:color="000000" w:fill="000000"/>
                <w:fitText w:val="80" w:id="-761107190"/>
                <w14:textFill>
                  <w14:solidFill>
                    <w14:srgbClr w14:val="000000">
                      <w14:alpha w14:val="100000"/>
                    </w14:srgbClr>
                  </w14:solidFill>
                </w14:textFill>
              </w:rPr>
              <w:t xml:space="preserve">　</w:t>
            </w:r>
            <w:r w:rsidRPr="001764F9">
              <w:rPr>
                <w:rFonts w:cs="Arial"/>
                <w:color w:val="000000"/>
                <w:szCs w:val="20"/>
              </w:rPr>
              <w:t xml:space="preserve"> </w:t>
            </w:r>
            <w:r w:rsidR="00D16020" w:rsidRPr="00D16020">
              <w:rPr>
                <w:rFonts w:cs="Arial"/>
                <w:color w:val="000000"/>
                <w:szCs w:val="20"/>
                <w:vertAlign w:val="superscript"/>
              </w:rPr>
              <w:t>2</w:t>
            </w:r>
          </w:p>
        </w:tc>
        <w:tc>
          <w:tcPr>
            <w:tcW w:w="1373" w:type="dxa"/>
            <w:vAlign w:val="center"/>
          </w:tcPr>
          <w:p w14:paraId="59B774FC" w14:textId="70589A6D" w:rsidR="008C4E50" w:rsidRPr="001764F9" w:rsidRDefault="008C4E50" w:rsidP="00C76447">
            <w:pPr>
              <w:pStyle w:val="Tabletext"/>
              <w:keepNext/>
              <w:keepLines/>
              <w:jc w:val="center"/>
              <w:rPr>
                <w:rFonts w:cs="Arial"/>
                <w:color w:val="000000"/>
                <w:szCs w:val="20"/>
              </w:rPr>
            </w:pPr>
            <w:r w:rsidRPr="001764F9">
              <w:rPr>
                <w:rFonts w:cs="Arial"/>
                <w:color w:val="000000"/>
                <w:szCs w:val="20"/>
              </w:rPr>
              <w:t>-</w:t>
            </w:r>
            <w:r w:rsidR="00864EAF" w:rsidRPr="00864EAF">
              <w:rPr>
                <w:rFonts w:cs="Arial"/>
                <w:color w:val="000000"/>
                <w:szCs w:val="20"/>
                <w:shd w:val="solid" w:color="000000" w:fill="000000"/>
                <w14:textFill>
                  <w14:solidFill>
                    <w14:srgbClr w14:val="000000">
                      <w14:alpha w14:val="100000"/>
                    </w14:srgbClr>
                  </w14:solidFill>
                </w14:textFill>
              </w:rPr>
              <w:t>|</w:t>
            </w:r>
            <w:r w:rsidRPr="001764F9">
              <w:rPr>
                <w:rFonts w:cs="Arial"/>
                <w:color w:val="000000"/>
                <w:szCs w:val="20"/>
              </w:rPr>
              <w:t xml:space="preserve"> </w:t>
            </w:r>
            <w:r w:rsidR="00D16020" w:rsidRPr="00D16020">
              <w:rPr>
                <w:rFonts w:cs="Arial"/>
                <w:color w:val="000000"/>
                <w:szCs w:val="20"/>
                <w:vertAlign w:val="superscript"/>
              </w:rPr>
              <w:t>2</w:t>
            </w:r>
          </w:p>
        </w:tc>
      </w:tr>
      <w:tr w:rsidR="001764F9" w:rsidRPr="001764F9" w14:paraId="4177402B" w14:textId="77777777" w:rsidTr="007468F4">
        <w:tc>
          <w:tcPr>
            <w:tcW w:w="1799" w:type="dxa"/>
            <w:shd w:val="clear" w:color="auto" w:fill="auto"/>
            <w:vAlign w:val="center"/>
          </w:tcPr>
          <w:p w14:paraId="08C5C303" w14:textId="77777777" w:rsidR="001764F9" w:rsidRPr="0006575C" w:rsidRDefault="001764F9" w:rsidP="00C76447">
            <w:pPr>
              <w:pStyle w:val="Tabletext"/>
              <w:keepNext/>
              <w:keepLines/>
              <w:rPr>
                <w:szCs w:val="20"/>
              </w:rPr>
            </w:pPr>
            <w:r w:rsidRPr="0006575C">
              <w:rPr>
                <w:szCs w:val="20"/>
              </w:rPr>
              <w:t>Cost to PBS/RPBS less copayments (published)</w:t>
            </w:r>
          </w:p>
        </w:tc>
        <w:tc>
          <w:tcPr>
            <w:tcW w:w="1169" w:type="dxa"/>
            <w:shd w:val="clear" w:color="auto" w:fill="auto"/>
            <w:vAlign w:val="center"/>
          </w:tcPr>
          <w:p w14:paraId="25D70F67" w14:textId="4749B4D6" w:rsidR="001764F9"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89"/>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89"/>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89"/>
                <w14:textFill>
                  <w14:solidFill>
                    <w14:srgbClr w14:val="000000">
                      <w14:alpha w14:val="100000"/>
                    </w14:srgbClr>
                  </w14:solidFill>
                </w14:textFill>
              </w:rPr>
              <w:t xml:space="preserve">　</w:t>
            </w:r>
            <w:r w:rsidR="00B5125F" w:rsidRPr="002E69F5">
              <w:rPr>
                <w:rFonts w:cs="Arial"/>
                <w:color w:val="000000"/>
                <w:szCs w:val="20"/>
                <w:vertAlign w:val="superscript"/>
              </w:rPr>
              <w:t>6</w:t>
            </w:r>
          </w:p>
        </w:tc>
        <w:tc>
          <w:tcPr>
            <w:tcW w:w="1169" w:type="dxa"/>
            <w:shd w:val="clear" w:color="auto" w:fill="auto"/>
            <w:vAlign w:val="center"/>
          </w:tcPr>
          <w:p w14:paraId="46769691" w14:textId="7E8EA9B6" w:rsidR="001764F9"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88"/>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88"/>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88"/>
                <w14:textFill>
                  <w14:solidFill>
                    <w14:srgbClr w14:val="000000">
                      <w14:alpha w14:val="100000"/>
                    </w14:srgbClr>
                  </w14:solidFill>
                </w14:textFill>
              </w:rPr>
              <w:t xml:space="preserve">　</w:t>
            </w:r>
            <w:r w:rsidR="00B5125F" w:rsidRPr="002E69F5">
              <w:rPr>
                <w:rFonts w:cs="Arial"/>
                <w:color w:val="000000"/>
                <w:szCs w:val="20"/>
                <w:vertAlign w:val="superscript"/>
              </w:rPr>
              <w:t>6</w:t>
            </w:r>
          </w:p>
        </w:tc>
        <w:tc>
          <w:tcPr>
            <w:tcW w:w="1108" w:type="dxa"/>
            <w:shd w:val="clear" w:color="auto" w:fill="auto"/>
            <w:vAlign w:val="center"/>
          </w:tcPr>
          <w:p w14:paraId="4E7B22B3" w14:textId="38278E37" w:rsidR="001764F9" w:rsidRPr="004C2DC7" w:rsidRDefault="00864EAF" w:rsidP="00C76447">
            <w:pPr>
              <w:pStyle w:val="Tabletext"/>
              <w:keepNext/>
              <w:keepLines/>
              <w:jc w:val="center"/>
              <w:rPr>
                <w:rFonts w:cs="Arial"/>
                <w:color w:val="000000"/>
                <w:szCs w:val="20"/>
                <w:highlight w:val="darkGray"/>
              </w:rPr>
            </w:pPr>
            <w:r w:rsidRPr="00864EAF">
              <w:rPr>
                <w:rFonts w:cs="Arial" w:hint="eastAsia"/>
                <w:color w:val="000000"/>
                <w:w w:val="15"/>
                <w:szCs w:val="20"/>
                <w:shd w:val="solid" w:color="000000" w:fill="000000"/>
                <w:fitText w:val="60" w:id="-761107187"/>
                <w14:textFill>
                  <w14:solidFill>
                    <w14:srgbClr w14:val="000000">
                      <w14:alpha w14:val="100000"/>
                    </w14:srgbClr>
                  </w14:solidFill>
                </w14:textFill>
              </w:rPr>
              <w:t xml:space="preserve">　</w:t>
            </w:r>
            <w:r w:rsidRPr="00864EAF">
              <w:rPr>
                <w:rFonts w:cs="Arial"/>
                <w:color w:val="000000"/>
                <w:w w:val="15"/>
                <w:szCs w:val="20"/>
                <w:shd w:val="solid" w:color="000000" w:fill="000000"/>
                <w:fitText w:val="60" w:id="-761107187"/>
                <w14:textFill>
                  <w14:solidFill>
                    <w14:srgbClr w14:val="000000">
                      <w14:alpha w14:val="100000"/>
                    </w14:srgbClr>
                  </w14:solidFill>
                </w14:textFill>
              </w:rPr>
              <w:t>|</w:t>
            </w:r>
            <w:r w:rsidRPr="00864EAF">
              <w:rPr>
                <w:rFonts w:cs="Arial" w:hint="eastAsia"/>
                <w:color w:val="000000"/>
                <w:spacing w:val="-5"/>
                <w:w w:val="15"/>
                <w:szCs w:val="20"/>
                <w:shd w:val="solid" w:color="000000" w:fill="000000"/>
                <w:fitText w:val="60" w:id="-761107187"/>
                <w14:textFill>
                  <w14:solidFill>
                    <w14:srgbClr w14:val="000000">
                      <w14:alpha w14:val="100000"/>
                    </w14:srgbClr>
                  </w14:solidFill>
                </w14:textFill>
              </w:rPr>
              <w:t xml:space="preserve">　</w:t>
            </w:r>
            <w:r w:rsidR="002B7DDB" w:rsidRPr="002E69F5">
              <w:rPr>
                <w:rFonts w:cs="Arial"/>
                <w:color w:val="000000"/>
                <w:szCs w:val="20"/>
                <w:vertAlign w:val="superscript"/>
              </w:rPr>
              <w:t>6</w:t>
            </w:r>
          </w:p>
        </w:tc>
        <w:tc>
          <w:tcPr>
            <w:tcW w:w="1230" w:type="dxa"/>
            <w:shd w:val="clear" w:color="auto" w:fill="auto"/>
            <w:vAlign w:val="center"/>
          </w:tcPr>
          <w:p w14:paraId="64EF07B0" w14:textId="42A1AD2C" w:rsidR="001764F9" w:rsidRPr="004C2DC7"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2B7DDB" w:rsidRPr="002E69F5">
              <w:rPr>
                <w:rFonts w:cs="Arial"/>
                <w:color w:val="000000"/>
                <w:szCs w:val="20"/>
                <w:vertAlign w:val="superscript"/>
              </w:rPr>
              <w:t>6</w:t>
            </w:r>
          </w:p>
        </w:tc>
        <w:tc>
          <w:tcPr>
            <w:tcW w:w="1169" w:type="dxa"/>
            <w:shd w:val="clear" w:color="auto" w:fill="auto"/>
            <w:vAlign w:val="center"/>
          </w:tcPr>
          <w:p w14:paraId="4106E2E6" w14:textId="2249C4B0" w:rsidR="001764F9"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86"/>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86"/>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86"/>
                <w14:textFill>
                  <w14:solidFill>
                    <w14:srgbClr w14:val="000000">
                      <w14:alpha w14:val="100000"/>
                    </w14:srgbClr>
                  </w14:solidFill>
                </w14:textFill>
              </w:rPr>
              <w:t xml:space="preserve">　</w:t>
            </w:r>
            <w:r w:rsidR="002B7DDB" w:rsidRPr="002E69F5">
              <w:rPr>
                <w:rFonts w:cs="Arial"/>
                <w:color w:val="000000"/>
                <w:szCs w:val="20"/>
                <w:vertAlign w:val="superscript"/>
              </w:rPr>
              <w:t>6</w:t>
            </w:r>
          </w:p>
        </w:tc>
        <w:tc>
          <w:tcPr>
            <w:tcW w:w="1373" w:type="dxa"/>
            <w:vAlign w:val="center"/>
          </w:tcPr>
          <w:p w14:paraId="403B63FA" w14:textId="2187372C" w:rsidR="001764F9" w:rsidRPr="004C2DC7"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2B7DDB" w:rsidRPr="002E69F5">
              <w:rPr>
                <w:rFonts w:cs="Arial"/>
                <w:color w:val="000000"/>
                <w:szCs w:val="20"/>
                <w:vertAlign w:val="superscript"/>
              </w:rPr>
              <w:t>6</w:t>
            </w:r>
          </w:p>
        </w:tc>
      </w:tr>
      <w:tr w:rsidR="008C4E50" w:rsidRPr="0032043A" w14:paraId="7CF9387F" w14:textId="77777777" w:rsidTr="00022017">
        <w:tc>
          <w:tcPr>
            <w:tcW w:w="9017" w:type="dxa"/>
            <w:gridSpan w:val="7"/>
            <w:shd w:val="clear" w:color="auto" w:fill="auto"/>
            <w:vAlign w:val="center"/>
          </w:tcPr>
          <w:p w14:paraId="16E57D00" w14:textId="171FBA41" w:rsidR="008C4E50" w:rsidRPr="0032043A" w:rsidRDefault="008C4E50" w:rsidP="00C76447">
            <w:pPr>
              <w:pStyle w:val="Tabletext"/>
              <w:keepNext/>
              <w:keepLines/>
              <w:rPr>
                <w:rFonts w:cs="Arial"/>
                <w:b/>
                <w:bCs/>
                <w:szCs w:val="20"/>
              </w:rPr>
            </w:pPr>
            <w:r w:rsidRPr="0032043A">
              <w:rPr>
                <w:rFonts w:cs="Arial"/>
                <w:b/>
                <w:bCs/>
                <w:szCs w:val="20"/>
              </w:rPr>
              <w:t>Net costs</w:t>
            </w:r>
            <w:r w:rsidR="001764F9">
              <w:rPr>
                <w:rFonts w:cs="Arial"/>
                <w:b/>
                <w:bCs/>
                <w:szCs w:val="20"/>
              </w:rPr>
              <w:t xml:space="preserve"> (published)</w:t>
            </w:r>
          </w:p>
        </w:tc>
      </w:tr>
      <w:tr w:rsidR="001764F9" w:rsidRPr="0032043A" w14:paraId="43449872" w14:textId="77777777" w:rsidTr="007468F4">
        <w:tc>
          <w:tcPr>
            <w:tcW w:w="1799" w:type="dxa"/>
            <w:shd w:val="clear" w:color="auto" w:fill="auto"/>
            <w:vAlign w:val="center"/>
          </w:tcPr>
          <w:p w14:paraId="7FF9559F" w14:textId="77777777" w:rsidR="001764F9" w:rsidRPr="0032043A" w:rsidRDefault="001764F9" w:rsidP="00C76447">
            <w:pPr>
              <w:pStyle w:val="Tabletext"/>
              <w:keepNext/>
              <w:keepLines/>
              <w:rPr>
                <w:b/>
                <w:bCs/>
                <w:szCs w:val="20"/>
              </w:rPr>
            </w:pPr>
            <w:r w:rsidRPr="0032043A">
              <w:rPr>
                <w:b/>
                <w:bCs/>
                <w:szCs w:val="20"/>
              </w:rPr>
              <w:t>Net cost to PBS/RPBS</w:t>
            </w:r>
          </w:p>
        </w:tc>
        <w:tc>
          <w:tcPr>
            <w:tcW w:w="1169" w:type="dxa"/>
            <w:shd w:val="clear" w:color="auto" w:fill="auto"/>
            <w:vAlign w:val="center"/>
          </w:tcPr>
          <w:p w14:paraId="1B56ADC6" w14:textId="43ECA618" w:rsidR="001764F9"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85"/>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85"/>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85"/>
                <w14:textFill>
                  <w14:solidFill>
                    <w14:srgbClr w14:val="000000">
                      <w14:alpha w14:val="100000"/>
                    </w14:srgbClr>
                  </w14:solidFill>
                </w14:textFill>
              </w:rPr>
              <w:t xml:space="preserve">　</w:t>
            </w:r>
            <w:r w:rsidR="000368E4" w:rsidRPr="000368E4">
              <w:rPr>
                <w:rFonts w:cs="Arial"/>
                <w:color w:val="000000"/>
                <w:szCs w:val="20"/>
                <w:vertAlign w:val="superscript"/>
              </w:rPr>
              <w:t>3</w:t>
            </w:r>
          </w:p>
        </w:tc>
        <w:tc>
          <w:tcPr>
            <w:tcW w:w="1169" w:type="dxa"/>
            <w:shd w:val="clear" w:color="auto" w:fill="auto"/>
            <w:vAlign w:val="center"/>
          </w:tcPr>
          <w:p w14:paraId="675545E4" w14:textId="4B357D58" w:rsidR="001764F9"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84"/>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84"/>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84"/>
                <w14:textFill>
                  <w14:solidFill>
                    <w14:srgbClr w14:val="000000">
                      <w14:alpha w14:val="100000"/>
                    </w14:srgbClr>
                  </w14:solidFill>
                </w14:textFill>
              </w:rPr>
              <w:t xml:space="preserve">　</w:t>
            </w:r>
            <w:r w:rsidR="002E69F5" w:rsidRPr="002E69F5">
              <w:rPr>
                <w:rFonts w:cs="Arial"/>
                <w:color w:val="000000"/>
                <w:szCs w:val="20"/>
                <w:vertAlign w:val="superscript"/>
              </w:rPr>
              <w:t>6</w:t>
            </w:r>
          </w:p>
        </w:tc>
        <w:tc>
          <w:tcPr>
            <w:tcW w:w="1108" w:type="dxa"/>
            <w:shd w:val="clear" w:color="auto" w:fill="auto"/>
            <w:vAlign w:val="center"/>
          </w:tcPr>
          <w:p w14:paraId="4D67282D" w14:textId="12C0EC41" w:rsidR="001764F9" w:rsidRPr="004C2DC7" w:rsidRDefault="00864EAF" w:rsidP="00C76447">
            <w:pPr>
              <w:pStyle w:val="Tabletext"/>
              <w:keepNext/>
              <w:keepLines/>
              <w:jc w:val="center"/>
              <w:rPr>
                <w:rFonts w:cs="Arial"/>
                <w:color w:val="000000"/>
                <w:szCs w:val="20"/>
                <w:highlight w:val="darkGray"/>
              </w:rPr>
            </w:pPr>
            <w:r w:rsidRPr="00864EAF">
              <w:rPr>
                <w:rFonts w:cs="Arial" w:hint="eastAsia"/>
                <w:color w:val="000000"/>
                <w:w w:val="15"/>
                <w:szCs w:val="20"/>
                <w:shd w:val="solid" w:color="000000" w:fill="000000"/>
                <w:fitText w:val="60" w:id="-761107200"/>
                <w14:textFill>
                  <w14:solidFill>
                    <w14:srgbClr w14:val="000000">
                      <w14:alpha w14:val="100000"/>
                    </w14:srgbClr>
                  </w14:solidFill>
                </w14:textFill>
              </w:rPr>
              <w:t xml:space="preserve">　</w:t>
            </w:r>
            <w:r w:rsidRPr="00864EAF">
              <w:rPr>
                <w:rFonts w:cs="Arial"/>
                <w:color w:val="000000"/>
                <w:w w:val="15"/>
                <w:szCs w:val="20"/>
                <w:shd w:val="solid" w:color="000000" w:fill="000000"/>
                <w:fitText w:val="60" w:id="-761107200"/>
                <w14:textFill>
                  <w14:solidFill>
                    <w14:srgbClr w14:val="000000">
                      <w14:alpha w14:val="100000"/>
                    </w14:srgbClr>
                  </w14:solidFill>
                </w14:textFill>
              </w:rPr>
              <w:t>|</w:t>
            </w:r>
            <w:r w:rsidRPr="00864EAF">
              <w:rPr>
                <w:rFonts w:cs="Arial" w:hint="eastAsia"/>
                <w:color w:val="000000"/>
                <w:spacing w:val="-5"/>
                <w:w w:val="15"/>
                <w:szCs w:val="20"/>
                <w:shd w:val="solid" w:color="000000" w:fill="000000"/>
                <w:fitText w:val="60" w:id="-761107200"/>
                <w14:textFill>
                  <w14:solidFill>
                    <w14:srgbClr w14:val="000000">
                      <w14:alpha w14:val="100000"/>
                    </w14:srgbClr>
                  </w14:solidFill>
                </w14:textFill>
              </w:rPr>
              <w:t xml:space="preserve">　</w:t>
            </w:r>
            <w:r w:rsidR="002E69F5" w:rsidRPr="002E69F5">
              <w:rPr>
                <w:rFonts w:cs="Arial"/>
                <w:color w:val="000000"/>
                <w:szCs w:val="20"/>
                <w:vertAlign w:val="superscript"/>
              </w:rPr>
              <w:t>6</w:t>
            </w:r>
          </w:p>
        </w:tc>
        <w:tc>
          <w:tcPr>
            <w:tcW w:w="1230" w:type="dxa"/>
            <w:shd w:val="clear" w:color="auto" w:fill="auto"/>
            <w:vAlign w:val="center"/>
          </w:tcPr>
          <w:p w14:paraId="097D12DA" w14:textId="314750D8" w:rsidR="001764F9" w:rsidRPr="004C2DC7"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2E69F5" w:rsidRPr="002E69F5">
              <w:rPr>
                <w:rFonts w:cs="Arial"/>
                <w:color w:val="000000"/>
                <w:szCs w:val="20"/>
                <w:vertAlign w:val="superscript"/>
              </w:rPr>
              <w:t>6</w:t>
            </w:r>
          </w:p>
        </w:tc>
        <w:tc>
          <w:tcPr>
            <w:tcW w:w="1169" w:type="dxa"/>
            <w:shd w:val="clear" w:color="auto" w:fill="auto"/>
            <w:vAlign w:val="center"/>
          </w:tcPr>
          <w:p w14:paraId="1E48FA22" w14:textId="27CFB6BC" w:rsidR="001764F9" w:rsidRPr="004C2DC7"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9"/>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9"/>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9"/>
                <w14:textFill>
                  <w14:solidFill>
                    <w14:srgbClr w14:val="000000">
                      <w14:alpha w14:val="100000"/>
                    </w14:srgbClr>
                  </w14:solidFill>
                </w14:textFill>
              </w:rPr>
              <w:t xml:space="preserve">　</w:t>
            </w:r>
            <w:r w:rsidR="002E69F5" w:rsidRPr="002E69F5">
              <w:rPr>
                <w:rFonts w:cs="Arial"/>
                <w:color w:val="000000"/>
                <w:szCs w:val="20"/>
                <w:vertAlign w:val="superscript"/>
              </w:rPr>
              <w:t>6</w:t>
            </w:r>
          </w:p>
        </w:tc>
        <w:tc>
          <w:tcPr>
            <w:tcW w:w="1373" w:type="dxa"/>
            <w:vAlign w:val="center"/>
          </w:tcPr>
          <w:p w14:paraId="70B0A205" w14:textId="5AE6314D" w:rsidR="001764F9" w:rsidRPr="004C2DC7"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2E69F5" w:rsidRPr="002E69F5">
              <w:rPr>
                <w:rFonts w:cs="Arial"/>
                <w:color w:val="000000"/>
                <w:szCs w:val="20"/>
                <w:vertAlign w:val="superscript"/>
              </w:rPr>
              <w:t>6</w:t>
            </w:r>
          </w:p>
        </w:tc>
      </w:tr>
      <w:tr w:rsidR="001764F9" w:rsidRPr="0032043A" w14:paraId="5B6159BC" w14:textId="77777777" w:rsidTr="007468F4">
        <w:tc>
          <w:tcPr>
            <w:tcW w:w="1799" w:type="dxa"/>
            <w:shd w:val="clear" w:color="auto" w:fill="auto"/>
            <w:vAlign w:val="center"/>
          </w:tcPr>
          <w:p w14:paraId="3999265B" w14:textId="77777777" w:rsidR="001764F9" w:rsidRPr="0032043A" w:rsidRDefault="001764F9" w:rsidP="00C76447">
            <w:pPr>
              <w:pStyle w:val="Tabletext"/>
              <w:keepNext/>
              <w:keepLines/>
              <w:rPr>
                <w:szCs w:val="20"/>
              </w:rPr>
            </w:pPr>
            <w:r w:rsidRPr="0032043A">
              <w:rPr>
                <w:szCs w:val="20"/>
              </w:rPr>
              <w:t>Net MBS impact</w:t>
            </w:r>
          </w:p>
        </w:tc>
        <w:tc>
          <w:tcPr>
            <w:tcW w:w="1169" w:type="dxa"/>
            <w:shd w:val="clear" w:color="auto" w:fill="auto"/>
            <w:vAlign w:val="center"/>
          </w:tcPr>
          <w:p w14:paraId="43613BD6" w14:textId="09402BE0" w:rsidR="001764F9" w:rsidRPr="00794D0F"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8"/>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8"/>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8"/>
                <w14:textFill>
                  <w14:solidFill>
                    <w14:srgbClr w14:val="000000">
                      <w14:alpha w14:val="100000"/>
                    </w14:srgbClr>
                  </w14:solidFill>
                </w14:textFill>
              </w:rPr>
              <w:t xml:space="preserve">　</w:t>
            </w:r>
            <w:r w:rsidR="007468F4" w:rsidRPr="000368E4">
              <w:rPr>
                <w:rFonts w:cs="Arial"/>
                <w:color w:val="000000"/>
                <w:szCs w:val="20"/>
                <w:vertAlign w:val="superscript"/>
              </w:rPr>
              <w:t>3</w:t>
            </w:r>
          </w:p>
        </w:tc>
        <w:tc>
          <w:tcPr>
            <w:tcW w:w="1169" w:type="dxa"/>
            <w:shd w:val="clear" w:color="auto" w:fill="auto"/>
            <w:vAlign w:val="center"/>
          </w:tcPr>
          <w:p w14:paraId="0441653A" w14:textId="3993F44B" w:rsidR="001764F9" w:rsidRPr="00794D0F"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7"/>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7"/>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7"/>
                <w14:textFill>
                  <w14:solidFill>
                    <w14:srgbClr w14:val="000000">
                      <w14:alpha w14:val="100000"/>
                    </w14:srgbClr>
                  </w14:solidFill>
                </w14:textFill>
              </w:rPr>
              <w:t xml:space="preserve">　</w:t>
            </w:r>
            <w:r w:rsidR="007468F4" w:rsidRPr="000368E4">
              <w:rPr>
                <w:rFonts w:cs="Arial"/>
                <w:color w:val="000000"/>
                <w:szCs w:val="20"/>
                <w:vertAlign w:val="superscript"/>
              </w:rPr>
              <w:t>3</w:t>
            </w:r>
          </w:p>
        </w:tc>
        <w:tc>
          <w:tcPr>
            <w:tcW w:w="1108" w:type="dxa"/>
            <w:shd w:val="clear" w:color="auto" w:fill="auto"/>
            <w:vAlign w:val="center"/>
          </w:tcPr>
          <w:p w14:paraId="5BD5056F" w14:textId="794469F7" w:rsidR="001764F9" w:rsidRPr="00794D0F" w:rsidRDefault="00864EAF" w:rsidP="00C76447">
            <w:pPr>
              <w:pStyle w:val="Tabletext"/>
              <w:keepNext/>
              <w:keepLines/>
              <w:jc w:val="center"/>
              <w:rPr>
                <w:rFonts w:cs="Arial"/>
                <w:color w:val="000000"/>
                <w:szCs w:val="20"/>
                <w:highlight w:val="darkGray"/>
              </w:rPr>
            </w:pPr>
            <w:r w:rsidRPr="00864EAF">
              <w:rPr>
                <w:rFonts w:cs="Arial" w:hint="eastAsia"/>
                <w:color w:val="000000"/>
                <w:w w:val="15"/>
                <w:szCs w:val="20"/>
                <w:shd w:val="solid" w:color="000000" w:fill="000000"/>
                <w:fitText w:val="60" w:id="-761107196"/>
                <w14:textFill>
                  <w14:solidFill>
                    <w14:srgbClr w14:val="000000">
                      <w14:alpha w14:val="100000"/>
                    </w14:srgbClr>
                  </w14:solidFill>
                </w14:textFill>
              </w:rPr>
              <w:t xml:space="preserve">　</w:t>
            </w:r>
            <w:r w:rsidRPr="00864EAF">
              <w:rPr>
                <w:rFonts w:cs="Arial"/>
                <w:color w:val="000000"/>
                <w:w w:val="15"/>
                <w:szCs w:val="20"/>
                <w:shd w:val="solid" w:color="000000" w:fill="000000"/>
                <w:fitText w:val="60" w:id="-761107196"/>
                <w14:textFill>
                  <w14:solidFill>
                    <w14:srgbClr w14:val="000000">
                      <w14:alpha w14:val="100000"/>
                    </w14:srgbClr>
                  </w14:solidFill>
                </w14:textFill>
              </w:rPr>
              <w:t>|</w:t>
            </w:r>
            <w:r w:rsidRPr="00864EAF">
              <w:rPr>
                <w:rFonts w:cs="Arial" w:hint="eastAsia"/>
                <w:color w:val="000000"/>
                <w:spacing w:val="-5"/>
                <w:w w:val="15"/>
                <w:szCs w:val="20"/>
                <w:shd w:val="solid" w:color="000000" w:fill="000000"/>
                <w:fitText w:val="60" w:id="-761107196"/>
                <w14:textFill>
                  <w14:solidFill>
                    <w14:srgbClr w14:val="000000">
                      <w14:alpha w14:val="100000"/>
                    </w14:srgbClr>
                  </w14:solidFill>
                </w14:textFill>
              </w:rPr>
              <w:t xml:space="preserve">　</w:t>
            </w:r>
            <w:r w:rsidR="007468F4" w:rsidRPr="000368E4">
              <w:rPr>
                <w:rFonts w:cs="Arial"/>
                <w:color w:val="000000"/>
                <w:szCs w:val="20"/>
                <w:vertAlign w:val="superscript"/>
              </w:rPr>
              <w:t>3</w:t>
            </w:r>
          </w:p>
        </w:tc>
        <w:tc>
          <w:tcPr>
            <w:tcW w:w="1230" w:type="dxa"/>
            <w:shd w:val="clear" w:color="auto" w:fill="auto"/>
            <w:vAlign w:val="center"/>
          </w:tcPr>
          <w:p w14:paraId="163E6957" w14:textId="1183F305" w:rsidR="001764F9" w:rsidRPr="00794D0F"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7468F4" w:rsidRPr="000368E4">
              <w:rPr>
                <w:rFonts w:cs="Arial"/>
                <w:color w:val="000000"/>
                <w:szCs w:val="20"/>
                <w:vertAlign w:val="superscript"/>
              </w:rPr>
              <w:t>3</w:t>
            </w:r>
          </w:p>
        </w:tc>
        <w:tc>
          <w:tcPr>
            <w:tcW w:w="1169" w:type="dxa"/>
            <w:shd w:val="clear" w:color="auto" w:fill="auto"/>
            <w:vAlign w:val="center"/>
          </w:tcPr>
          <w:p w14:paraId="735BE54D" w14:textId="623C777A" w:rsidR="001764F9" w:rsidRPr="00794D0F"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5"/>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5"/>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5"/>
                <w14:textFill>
                  <w14:solidFill>
                    <w14:srgbClr w14:val="000000">
                      <w14:alpha w14:val="100000"/>
                    </w14:srgbClr>
                  </w14:solidFill>
                </w14:textFill>
              </w:rPr>
              <w:t xml:space="preserve">　</w:t>
            </w:r>
            <w:r w:rsidR="007468F4" w:rsidRPr="000368E4">
              <w:rPr>
                <w:rFonts w:cs="Arial"/>
                <w:color w:val="000000"/>
                <w:szCs w:val="20"/>
                <w:vertAlign w:val="superscript"/>
              </w:rPr>
              <w:t>3</w:t>
            </w:r>
          </w:p>
        </w:tc>
        <w:tc>
          <w:tcPr>
            <w:tcW w:w="1373" w:type="dxa"/>
            <w:vAlign w:val="center"/>
          </w:tcPr>
          <w:p w14:paraId="2778ABBE" w14:textId="3D6FF556" w:rsidR="001764F9" w:rsidRPr="00794D0F"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7468F4" w:rsidRPr="000368E4">
              <w:rPr>
                <w:rFonts w:cs="Arial"/>
                <w:color w:val="000000"/>
                <w:szCs w:val="20"/>
                <w:vertAlign w:val="superscript"/>
              </w:rPr>
              <w:t>3</w:t>
            </w:r>
          </w:p>
        </w:tc>
      </w:tr>
      <w:tr w:rsidR="001764F9" w:rsidRPr="00310498" w14:paraId="5264AD62" w14:textId="77777777" w:rsidTr="007468F4">
        <w:tc>
          <w:tcPr>
            <w:tcW w:w="1799" w:type="dxa"/>
            <w:shd w:val="clear" w:color="auto" w:fill="auto"/>
            <w:vAlign w:val="center"/>
          </w:tcPr>
          <w:p w14:paraId="40BC669A" w14:textId="77777777" w:rsidR="001764F9" w:rsidRPr="0032043A" w:rsidRDefault="001764F9" w:rsidP="00C76447">
            <w:pPr>
              <w:pStyle w:val="Tabletext"/>
              <w:keepNext/>
              <w:keepLines/>
              <w:rPr>
                <w:b/>
                <w:bCs/>
                <w:szCs w:val="20"/>
              </w:rPr>
            </w:pPr>
            <w:r w:rsidRPr="0032043A">
              <w:rPr>
                <w:b/>
                <w:bCs/>
                <w:szCs w:val="20"/>
              </w:rPr>
              <w:t>Net cost to PBS/RPBS/MBS</w:t>
            </w:r>
          </w:p>
        </w:tc>
        <w:tc>
          <w:tcPr>
            <w:tcW w:w="1169" w:type="dxa"/>
            <w:shd w:val="clear" w:color="auto" w:fill="auto"/>
            <w:vAlign w:val="center"/>
          </w:tcPr>
          <w:p w14:paraId="16B8EB9A" w14:textId="79E0CA8F" w:rsidR="001764F9" w:rsidRPr="00794D0F"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4"/>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4"/>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4"/>
                <w14:textFill>
                  <w14:solidFill>
                    <w14:srgbClr w14:val="000000">
                      <w14:alpha w14:val="100000"/>
                    </w14:srgbClr>
                  </w14:solidFill>
                </w14:textFill>
              </w:rPr>
              <w:t xml:space="preserve">　</w:t>
            </w:r>
            <w:r w:rsidR="007468F4" w:rsidRPr="000368E4">
              <w:rPr>
                <w:rFonts w:cs="Arial"/>
                <w:color w:val="000000"/>
                <w:szCs w:val="20"/>
                <w:vertAlign w:val="superscript"/>
              </w:rPr>
              <w:t>3</w:t>
            </w:r>
          </w:p>
        </w:tc>
        <w:tc>
          <w:tcPr>
            <w:tcW w:w="1169" w:type="dxa"/>
            <w:shd w:val="clear" w:color="auto" w:fill="auto"/>
            <w:vAlign w:val="center"/>
          </w:tcPr>
          <w:p w14:paraId="4F333BA0" w14:textId="4CCF33AA" w:rsidR="001764F9" w:rsidRPr="00794D0F"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3"/>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3"/>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3"/>
                <w14:textFill>
                  <w14:solidFill>
                    <w14:srgbClr w14:val="000000">
                      <w14:alpha w14:val="100000"/>
                    </w14:srgbClr>
                  </w14:solidFill>
                </w14:textFill>
              </w:rPr>
              <w:t xml:space="preserve">　</w:t>
            </w:r>
            <w:r w:rsidR="007468F4" w:rsidRPr="000368E4">
              <w:rPr>
                <w:rFonts w:cs="Arial"/>
                <w:color w:val="000000"/>
                <w:szCs w:val="20"/>
                <w:vertAlign w:val="superscript"/>
              </w:rPr>
              <w:t>3</w:t>
            </w:r>
          </w:p>
        </w:tc>
        <w:tc>
          <w:tcPr>
            <w:tcW w:w="1108" w:type="dxa"/>
            <w:shd w:val="clear" w:color="auto" w:fill="auto"/>
            <w:vAlign w:val="center"/>
          </w:tcPr>
          <w:p w14:paraId="7B834A4E" w14:textId="736005EE" w:rsidR="001764F9" w:rsidRPr="00794D0F" w:rsidRDefault="00864EAF" w:rsidP="00C76447">
            <w:pPr>
              <w:pStyle w:val="Tabletext"/>
              <w:keepNext/>
              <w:keepLines/>
              <w:jc w:val="center"/>
              <w:rPr>
                <w:rFonts w:cs="Arial"/>
                <w:color w:val="000000"/>
                <w:szCs w:val="20"/>
                <w:highlight w:val="darkGray"/>
              </w:rPr>
            </w:pPr>
            <w:r w:rsidRPr="00864EAF">
              <w:rPr>
                <w:rFonts w:cs="Arial" w:hint="eastAsia"/>
                <w:color w:val="000000"/>
                <w:w w:val="15"/>
                <w:szCs w:val="20"/>
                <w:shd w:val="solid" w:color="000000" w:fill="000000"/>
                <w:fitText w:val="60" w:id="-761107192"/>
                <w14:textFill>
                  <w14:solidFill>
                    <w14:srgbClr w14:val="000000">
                      <w14:alpha w14:val="100000"/>
                    </w14:srgbClr>
                  </w14:solidFill>
                </w14:textFill>
              </w:rPr>
              <w:t xml:space="preserve">　</w:t>
            </w:r>
            <w:r w:rsidRPr="00864EAF">
              <w:rPr>
                <w:rFonts w:cs="Arial"/>
                <w:color w:val="000000"/>
                <w:w w:val="15"/>
                <w:szCs w:val="20"/>
                <w:shd w:val="solid" w:color="000000" w:fill="000000"/>
                <w:fitText w:val="60" w:id="-761107192"/>
                <w14:textFill>
                  <w14:solidFill>
                    <w14:srgbClr w14:val="000000">
                      <w14:alpha w14:val="100000"/>
                    </w14:srgbClr>
                  </w14:solidFill>
                </w14:textFill>
              </w:rPr>
              <w:t>|</w:t>
            </w:r>
            <w:r w:rsidRPr="00864EAF">
              <w:rPr>
                <w:rFonts w:cs="Arial" w:hint="eastAsia"/>
                <w:color w:val="000000"/>
                <w:spacing w:val="-5"/>
                <w:w w:val="15"/>
                <w:szCs w:val="20"/>
                <w:shd w:val="solid" w:color="000000" w:fill="000000"/>
                <w:fitText w:val="60" w:id="-761107192"/>
                <w14:textFill>
                  <w14:solidFill>
                    <w14:srgbClr w14:val="000000">
                      <w14:alpha w14:val="100000"/>
                    </w14:srgbClr>
                  </w14:solidFill>
                </w14:textFill>
              </w:rPr>
              <w:t xml:space="preserve">　</w:t>
            </w:r>
            <w:r w:rsidR="007468F4" w:rsidRPr="000368E4">
              <w:rPr>
                <w:rFonts w:cs="Arial"/>
                <w:color w:val="000000"/>
                <w:szCs w:val="20"/>
                <w:vertAlign w:val="superscript"/>
              </w:rPr>
              <w:t>3</w:t>
            </w:r>
          </w:p>
        </w:tc>
        <w:tc>
          <w:tcPr>
            <w:tcW w:w="1230" w:type="dxa"/>
            <w:shd w:val="clear" w:color="auto" w:fill="auto"/>
            <w:vAlign w:val="center"/>
          </w:tcPr>
          <w:p w14:paraId="76C682BA" w14:textId="385C1EC9" w:rsidR="001764F9" w:rsidRPr="00794D0F"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7468F4" w:rsidRPr="000368E4">
              <w:rPr>
                <w:rFonts w:cs="Arial"/>
                <w:color w:val="000000"/>
                <w:szCs w:val="20"/>
                <w:vertAlign w:val="superscript"/>
              </w:rPr>
              <w:t>3</w:t>
            </w:r>
          </w:p>
        </w:tc>
        <w:tc>
          <w:tcPr>
            <w:tcW w:w="1169" w:type="dxa"/>
            <w:shd w:val="clear" w:color="auto" w:fill="auto"/>
            <w:vAlign w:val="center"/>
          </w:tcPr>
          <w:p w14:paraId="38920518" w14:textId="2FEEAEFD" w:rsidR="001764F9" w:rsidRPr="00794D0F" w:rsidRDefault="00864EAF" w:rsidP="00C76447">
            <w:pPr>
              <w:pStyle w:val="Tabletext"/>
              <w:keepNext/>
              <w:keepLines/>
              <w:jc w:val="center"/>
              <w:rPr>
                <w:rFonts w:cs="Arial"/>
                <w:color w:val="000000"/>
                <w:szCs w:val="20"/>
                <w:highlight w:val="darkGray"/>
              </w:rPr>
            </w:pPr>
            <w:r w:rsidRPr="00112051">
              <w:rPr>
                <w:rFonts w:cs="Arial" w:hint="eastAsia"/>
                <w:color w:val="000000"/>
                <w:w w:val="15"/>
                <w:szCs w:val="20"/>
                <w:shd w:val="solid" w:color="000000" w:fill="000000"/>
                <w:fitText w:val="20" w:id="-761107191"/>
                <w14:textFill>
                  <w14:solidFill>
                    <w14:srgbClr w14:val="000000">
                      <w14:alpha w14:val="100000"/>
                    </w14:srgbClr>
                  </w14:solidFill>
                </w14:textFill>
              </w:rPr>
              <w:t xml:space="preserve">　</w:t>
            </w:r>
            <w:r w:rsidRPr="00112051">
              <w:rPr>
                <w:rFonts w:cs="Arial"/>
                <w:color w:val="000000"/>
                <w:w w:val="15"/>
                <w:szCs w:val="20"/>
                <w:shd w:val="solid" w:color="000000" w:fill="000000"/>
                <w:fitText w:val="20" w:id="-761107191"/>
                <w14:textFill>
                  <w14:solidFill>
                    <w14:srgbClr w14:val="000000">
                      <w14:alpha w14:val="100000"/>
                    </w14:srgbClr>
                  </w14:solidFill>
                </w14:textFill>
              </w:rPr>
              <w:t>|</w:t>
            </w:r>
            <w:r w:rsidRPr="00112051">
              <w:rPr>
                <w:rFonts w:cs="Arial" w:hint="eastAsia"/>
                <w:color w:val="000000"/>
                <w:spacing w:val="-45"/>
                <w:w w:val="15"/>
                <w:szCs w:val="20"/>
                <w:shd w:val="solid" w:color="000000" w:fill="000000"/>
                <w:fitText w:val="20" w:id="-761107191"/>
                <w14:textFill>
                  <w14:solidFill>
                    <w14:srgbClr w14:val="000000">
                      <w14:alpha w14:val="100000"/>
                    </w14:srgbClr>
                  </w14:solidFill>
                </w14:textFill>
              </w:rPr>
              <w:t xml:space="preserve">　</w:t>
            </w:r>
            <w:r w:rsidR="007468F4" w:rsidRPr="000368E4">
              <w:rPr>
                <w:rFonts w:cs="Arial"/>
                <w:color w:val="000000"/>
                <w:szCs w:val="20"/>
                <w:vertAlign w:val="superscript"/>
              </w:rPr>
              <w:t>3</w:t>
            </w:r>
          </w:p>
        </w:tc>
        <w:tc>
          <w:tcPr>
            <w:tcW w:w="1373" w:type="dxa"/>
            <w:vAlign w:val="center"/>
          </w:tcPr>
          <w:p w14:paraId="54DA365F" w14:textId="4DF116DF" w:rsidR="001764F9" w:rsidRPr="00794D0F" w:rsidRDefault="00864EAF" w:rsidP="00C76447">
            <w:pPr>
              <w:pStyle w:val="Tabletext"/>
              <w:keepNext/>
              <w:keepLines/>
              <w:jc w:val="center"/>
              <w:rPr>
                <w:rFonts w:cs="Arial"/>
                <w:color w:val="000000"/>
                <w:szCs w:val="20"/>
                <w:highlight w:val="darkGray"/>
              </w:rPr>
            </w:pPr>
            <w:r w:rsidRPr="00864EAF">
              <w:rPr>
                <w:rFonts w:cs="Arial"/>
                <w:color w:val="000000"/>
                <w:szCs w:val="20"/>
                <w:shd w:val="solid" w:color="000000" w:fill="000000"/>
                <w14:textFill>
                  <w14:solidFill>
                    <w14:srgbClr w14:val="000000">
                      <w14:alpha w14:val="100000"/>
                    </w14:srgbClr>
                  </w14:solidFill>
                </w14:textFill>
              </w:rPr>
              <w:t>|</w:t>
            </w:r>
            <w:r w:rsidR="007468F4" w:rsidRPr="000368E4">
              <w:rPr>
                <w:rFonts w:cs="Arial"/>
                <w:color w:val="000000"/>
                <w:szCs w:val="20"/>
                <w:vertAlign w:val="superscript"/>
              </w:rPr>
              <w:t>3</w:t>
            </w:r>
          </w:p>
        </w:tc>
      </w:tr>
    </w:tbl>
    <w:p w14:paraId="7B5C5E64" w14:textId="77777777" w:rsidR="008C4E50" w:rsidRPr="00310498" w:rsidRDefault="008C4E50" w:rsidP="00D17A65">
      <w:pPr>
        <w:pStyle w:val="TableFigureFooter"/>
      </w:pPr>
      <w:r w:rsidRPr="00310498">
        <w:t>Source: Attachment 4_revised UCM_dMMR and pMMR durvalumab and financial estimates_inc Pem_Len and updated DoT.xlsx provided with the PSCR</w:t>
      </w:r>
    </w:p>
    <w:p w14:paraId="2CC32D45" w14:textId="77777777" w:rsidR="004A30EC" w:rsidRDefault="008C4E50" w:rsidP="00D17A65">
      <w:pPr>
        <w:pStyle w:val="TableFigureFooter"/>
      </w:pPr>
      <w:r w:rsidRPr="00310498">
        <w:t>dMMR = deficient mismatch repair; MBS = Medicare Benefits Schedule; PBS = Pharmaceutical Benefits Scheme; RPBS= Repatriation Pharmaceutical Benefits Scheme.</w:t>
      </w:r>
      <w:r w:rsidR="004A30EC" w:rsidRPr="004A30EC">
        <w:t xml:space="preserve"> </w:t>
      </w:r>
    </w:p>
    <w:p w14:paraId="1B27AFA0" w14:textId="049394E1" w:rsidR="004A30EC" w:rsidRPr="002B7DDB" w:rsidRDefault="004A30EC" w:rsidP="00D17A65">
      <w:pPr>
        <w:pStyle w:val="TableFigureFooter"/>
        <w:rPr>
          <w:i/>
          <w:iCs/>
        </w:rPr>
      </w:pPr>
      <w:r w:rsidRPr="002B7DDB">
        <w:rPr>
          <w:i/>
          <w:iCs/>
        </w:rPr>
        <w:t xml:space="preserve">The redacted values correspond to the following ranges: </w:t>
      </w:r>
    </w:p>
    <w:p w14:paraId="67FE287B" w14:textId="77777777" w:rsidR="00D16020" w:rsidRPr="002B7DDB" w:rsidRDefault="004A30EC" w:rsidP="00D17A65">
      <w:pPr>
        <w:pStyle w:val="TableFigureFooter"/>
        <w:rPr>
          <w:i/>
          <w:iCs/>
        </w:rPr>
      </w:pPr>
      <w:r w:rsidRPr="002B7DDB">
        <w:rPr>
          <w:i/>
          <w:iCs/>
        </w:rPr>
        <w:t>1 &lt;5,000</w:t>
      </w:r>
    </w:p>
    <w:p w14:paraId="5C894E16" w14:textId="2570A86D" w:rsidR="004A30EC" w:rsidRPr="002B7DDB" w:rsidRDefault="00D16020" w:rsidP="00D17A65">
      <w:pPr>
        <w:pStyle w:val="TableFigureFooter"/>
        <w:rPr>
          <w:i/>
          <w:iCs/>
        </w:rPr>
      </w:pPr>
      <w:r w:rsidRPr="002B7DDB">
        <w:rPr>
          <w:i/>
          <w:iCs/>
        </w:rPr>
        <w:t xml:space="preserve"> 2 500 to &lt; 5,000</w:t>
      </w:r>
    </w:p>
    <w:p w14:paraId="7FBEC95F" w14:textId="77777777" w:rsidR="007468F4" w:rsidRPr="002B7DDB" w:rsidRDefault="004A30EC" w:rsidP="00D17A65">
      <w:pPr>
        <w:pStyle w:val="TableFigureFooter"/>
        <w:rPr>
          <w:i/>
          <w:iCs/>
        </w:rPr>
      </w:pPr>
      <w:r w:rsidRPr="002B7DDB">
        <w:rPr>
          <w:i/>
          <w:iCs/>
        </w:rPr>
        <w:t xml:space="preserve">3 </w:t>
      </w:r>
      <w:r w:rsidR="007468F4" w:rsidRPr="002B7DDB">
        <w:rPr>
          <w:i/>
          <w:iCs/>
        </w:rPr>
        <w:t xml:space="preserve">$0 to &lt; $10 million </w:t>
      </w:r>
    </w:p>
    <w:p w14:paraId="6589CC2A" w14:textId="58FC820D" w:rsidR="002824A4" w:rsidRPr="002B7DDB" w:rsidRDefault="002B6F9E" w:rsidP="00D17A65">
      <w:pPr>
        <w:pStyle w:val="TableFigureFooter"/>
        <w:rPr>
          <w:i/>
          <w:iCs/>
        </w:rPr>
      </w:pPr>
      <w:r w:rsidRPr="002B7DDB">
        <w:rPr>
          <w:i/>
          <w:iCs/>
        </w:rPr>
        <w:t>4</w:t>
      </w:r>
      <w:r w:rsidR="00D64CE1" w:rsidRPr="002B7DDB">
        <w:rPr>
          <w:i/>
          <w:iCs/>
        </w:rPr>
        <w:t xml:space="preserve"> $10 million to &lt; $20 million</w:t>
      </w:r>
    </w:p>
    <w:p w14:paraId="10B26C1C" w14:textId="7FFBBD20" w:rsidR="004A30EC" w:rsidRPr="002B7DDB" w:rsidRDefault="00F04EBA" w:rsidP="00D17A65">
      <w:pPr>
        <w:pStyle w:val="TableFigureFooter"/>
        <w:rPr>
          <w:i/>
          <w:iCs/>
        </w:rPr>
      </w:pPr>
      <w:r w:rsidRPr="002B7DDB">
        <w:rPr>
          <w:i/>
          <w:iCs/>
        </w:rPr>
        <w:t>5</w:t>
      </w:r>
      <w:r w:rsidR="002B6F9E" w:rsidRPr="002B7DDB">
        <w:rPr>
          <w:i/>
          <w:iCs/>
        </w:rPr>
        <w:t xml:space="preserve"> </w:t>
      </w:r>
      <w:r w:rsidR="004A30EC" w:rsidRPr="002B7DDB">
        <w:rPr>
          <w:i/>
          <w:iCs/>
        </w:rPr>
        <w:t>$20 million to &lt; $30 million</w:t>
      </w:r>
    </w:p>
    <w:p w14:paraId="27EA331C" w14:textId="35AA66C0" w:rsidR="004A30EC" w:rsidRDefault="00F04EBA" w:rsidP="00D17A65">
      <w:pPr>
        <w:pStyle w:val="TableFigureFooter"/>
      </w:pPr>
      <w:r w:rsidRPr="002B7DDB">
        <w:rPr>
          <w:i/>
          <w:iCs/>
        </w:rPr>
        <w:t xml:space="preserve">6 </w:t>
      </w:r>
      <w:r w:rsidR="004A30EC" w:rsidRPr="002B7DDB">
        <w:rPr>
          <w:i/>
          <w:iCs/>
        </w:rPr>
        <w:t xml:space="preserve"> </w:t>
      </w:r>
      <w:bookmarkStart w:id="95" w:name="_Hlk113629082"/>
      <w:r w:rsidRPr="002B7DDB">
        <w:rPr>
          <w:i/>
          <w:iCs/>
        </w:rPr>
        <w:t>net cost saving</w:t>
      </w:r>
      <w:bookmarkEnd w:id="95"/>
    </w:p>
    <w:p w14:paraId="603C1F97" w14:textId="4D05EB05" w:rsidR="00485DF5" w:rsidRDefault="00485DF5" w:rsidP="00485DF5">
      <w:pPr>
        <w:pStyle w:val="3-BodyText"/>
      </w:pPr>
      <w:r w:rsidRPr="00310498">
        <w:t xml:space="preserve">The </w:t>
      </w:r>
      <w:r w:rsidR="00CA7683" w:rsidRPr="00310498">
        <w:t xml:space="preserve">PSCR </w:t>
      </w:r>
      <w:r w:rsidRPr="00310498">
        <w:t>estimated</w:t>
      </w:r>
      <w:r w:rsidR="00CA7683" w:rsidRPr="00310498">
        <w:t xml:space="preserve"> that the</w:t>
      </w:r>
      <w:r w:rsidRPr="00310498">
        <w:t xml:space="preserve"> cost to the </w:t>
      </w:r>
      <w:r w:rsidR="00EC12E7" w:rsidRPr="00310498">
        <w:t xml:space="preserve">PBS/RPBS </w:t>
      </w:r>
      <w:r w:rsidRPr="00310498">
        <w:t xml:space="preserve">for the proposed listing of durvalumab at the proposed effective price was </w:t>
      </w:r>
      <w:r w:rsidR="006D3188" w:rsidRPr="006D3188">
        <w:t xml:space="preserve">$0 to &lt; $10 million </w:t>
      </w:r>
      <w:r w:rsidRPr="00310498">
        <w:t xml:space="preserve">in </w:t>
      </w:r>
      <w:r w:rsidR="00EC2E33" w:rsidRPr="00310498">
        <w:t xml:space="preserve">Year </w:t>
      </w:r>
      <w:r w:rsidRPr="00310498">
        <w:t xml:space="preserve">1, increasing to </w:t>
      </w:r>
      <w:r w:rsidR="006D3188" w:rsidRPr="006D3188">
        <w:t xml:space="preserve">$0 to &lt; $10 million </w:t>
      </w:r>
      <w:r w:rsidRPr="00310498">
        <w:t xml:space="preserve">in </w:t>
      </w:r>
      <w:r w:rsidR="00EC2E33" w:rsidRPr="00310498">
        <w:t xml:space="preserve">Year </w:t>
      </w:r>
      <w:r w:rsidRPr="00310498">
        <w:t xml:space="preserve">6, for a total cost over six years of </w:t>
      </w:r>
      <w:r w:rsidR="00F335EC" w:rsidRPr="00F335EC">
        <w:t>$30</w:t>
      </w:r>
      <w:r w:rsidR="00B5125F">
        <w:t> </w:t>
      </w:r>
      <w:r w:rsidR="00F335EC" w:rsidRPr="00F335EC">
        <w:t>million</w:t>
      </w:r>
      <w:r w:rsidR="00B5125F">
        <w:t> </w:t>
      </w:r>
      <w:r w:rsidR="00F335EC" w:rsidRPr="00F335EC">
        <w:t>to &lt; $40 million</w:t>
      </w:r>
      <w:r w:rsidRPr="00310498">
        <w:t xml:space="preserve">. </w:t>
      </w:r>
      <w:r w:rsidR="005C759A" w:rsidRPr="00310498">
        <w:t xml:space="preserve">Including cost offsets for reduced use of dostarlimab, the PSCR estimated a </w:t>
      </w:r>
      <w:r w:rsidR="00D5226B" w:rsidRPr="00310498">
        <w:t xml:space="preserve">net cost to the PBS/RPBS </w:t>
      </w:r>
      <w:r w:rsidR="00F80C3D">
        <w:t>of</w:t>
      </w:r>
      <w:r w:rsidR="00D5226B" w:rsidRPr="00310498">
        <w:t xml:space="preserve"> </w:t>
      </w:r>
      <w:r w:rsidR="006D3188" w:rsidRPr="006D3188">
        <w:t xml:space="preserve">$0 to &lt; $10 million </w:t>
      </w:r>
      <w:r w:rsidR="00D5226B" w:rsidRPr="00310498">
        <w:t>over the first 6 years of listing</w:t>
      </w:r>
      <w:r w:rsidR="00080FE9">
        <w:t xml:space="preserve"> (noting the PSCR did not appear to have corrected the dostarlimab treatment duration</w:t>
      </w:r>
      <w:r w:rsidR="006B2166">
        <w:t xml:space="preserve">, as outlined in </w:t>
      </w:r>
      <w:r w:rsidR="006B2166">
        <w:fldChar w:fldCharType="begin" w:fldLock="1"/>
      </w:r>
      <w:r w:rsidR="006B2166">
        <w:instrText xml:space="preserve"> REF _Ref174914062 \h </w:instrText>
      </w:r>
      <w:r w:rsidR="006B2166">
        <w:fldChar w:fldCharType="separate"/>
      </w:r>
      <w:r w:rsidR="006B2166" w:rsidRPr="00310498">
        <w:t xml:space="preserve">Table </w:t>
      </w:r>
      <w:r w:rsidR="006B2166">
        <w:rPr>
          <w:noProof/>
        </w:rPr>
        <w:t>28</w:t>
      </w:r>
      <w:r w:rsidR="006B2166">
        <w:fldChar w:fldCharType="end"/>
      </w:r>
      <w:r w:rsidR="00080FE9">
        <w:t>)</w:t>
      </w:r>
      <w:r w:rsidR="00D5226B" w:rsidRPr="00310498">
        <w:t>.</w:t>
      </w:r>
    </w:p>
    <w:p w14:paraId="10504FFC" w14:textId="09A87B17" w:rsidR="00F80C3D" w:rsidRDefault="00F80C3D" w:rsidP="00485DF5">
      <w:pPr>
        <w:pStyle w:val="3-BodyText"/>
      </w:pPr>
      <w:r w:rsidRPr="00F80C3D">
        <w:t xml:space="preserve">The </w:t>
      </w:r>
      <w:r>
        <w:t xml:space="preserve">pre-PBAC response stated that the </w:t>
      </w:r>
      <w:r w:rsidRPr="00F80C3D">
        <w:t>only difference in cost between durvalumab and dostarlimab in t</w:t>
      </w:r>
      <w:r>
        <w:t>he dMMR</w:t>
      </w:r>
      <w:r w:rsidRPr="00F80C3D">
        <w:t xml:space="preserve"> population </w:t>
      </w:r>
      <w:r>
        <w:t>would be</w:t>
      </w:r>
      <w:r w:rsidR="00942ABF">
        <w:t xml:space="preserve"> due to</w:t>
      </w:r>
      <w:r w:rsidRPr="00F80C3D">
        <w:t xml:space="preserve"> the </w:t>
      </w:r>
      <w:r w:rsidR="001C69CD">
        <w:t xml:space="preserve">differences in the </w:t>
      </w:r>
      <w:r w:rsidRPr="00F80C3D">
        <w:t>frequency of infusions</w:t>
      </w:r>
      <w:r w:rsidR="001C69CD">
        <w:t xml:space="preserve"> between the two therapies</w:t>
      </w:r>
      <w:r w:rsidRPr="00F80C3D">
        <w:t>.</w:t>
      </w:r>
    </w:p>
    <w:p w14:paraId="11D6D948" w14:textId="0D28132A" w:rsidR="001C69CD" w:rsidRDefault="001C69CD" w:rsidP="00485DF5">
      <w:pPr>
        <w:pStyle w:val="3-BodyText"/>
      </w:pPr>
      <w:bookmarkStart w:id="96" w:name="_Ref183609247"/>
      <w:r>
        <w:t xml:space="preserve">The PBAC considered the durvalumab dosing assumptions applied in the financial estimates should be consistent with the assumptions included in the cost-minimisation </w:t>
      </w:r>
      <w:r w:rsidR="006116B4">
        <w:t>approach</w:t>
      </w:r>
      <w:r>
        <w:t xml:space="preserve"> accepted by the PBAC. The PBAC considered that the d</w:t>
      </w:r>
      <w:r w:rsidRPr="00310498">
        <w:t xml:space="preserve">urvalumab market share </w:t>
      </w:r>
      <w:r>
        <w:t xml:space="preserve">in </w:t>
      </w:r>
      <w:r w:rsidRPr="00310498">
        <w:t>dMMR</w:t>
      </w:r>
      <w:r>
        <w:t xml:space="preserve"> of 50% each year was </w:t>
      </w:r>
      <w:r w:rsidR="003E46F3">
        <w:t xml:space="preserve">overestimated in the first </w:t>
      </w:r>
      <w:r w:rsidR="003E46F3">
        <w:lastRenderedPageBreak/>
        <w:t>three years</w:t>
      </w:r>
      <w:r>
        <w:t>.</w:t>
      </w:r>
      <w:r w:rsidR="003E46F3">
        <w:t xml:space="preserve"> The PBAC considered a market share of 30% in Year 1, 40% in Year 2 and 50% in Year 3 and beyond would be more appropriate.</w:t>
      </w:r>
      <w:bookmarkEnd w:id="96"/>
      <w:r>
        <w:t xml:space="preserve"> </w:t>
      </w:r>
    </w:p>
    <w:p w14:paraId="2E7E6899" w14:textId="1CD2E3AB" w:rsidR="008F3F2B" w:rsidRPr="00A0075B" w:rsidRDefault="008F3F2B" w:rsidP="008F3F2B">
      <w:pPr>
        <w:pStyle w:val="3-BodyText"/>
        <w:numPr>
          <w:ilvl w:val="0"/>
          <w:numId w:val="0"/>
        </w:numPr>
        <w:outlineLvl w:val="2"/>
        <w:rPr>
          <w:u w:val="single"/>
        </w:rPr>
      </w:pPr>
      <w:r w:rsidRPr="00A0075B">
        <w:rPr>
          <w:u w:val="single"/>
        </w:rPr>
        <w:t>pMMR population</w:t>
      </w:r>
    </w:p>
    <w:p w14:paraId="158566A1" w14:textId="2830565F" w:rsidR="008F3F2B" w:rsidRPr="008F3F2B" w:rsidRDefault="00C05369" w:rsidP="008F3F2B">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CC2299">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CC2299">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96275">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CC2299">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96275">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96275">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96275">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96275">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96275">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8F3F2B" w:rsidRPr="008F3F2B">
        <w:t>.</w:t>
      </w:r>
      <w:r w:rsidR="004A533C" w:rsidRPr="00310498">
        <w:t xml:space="preserve"> </w:t>
      </w:r>
      <w:bookmarkStart w:id="97" w:name="_Ref196734435"/>
      <w:r w:rsidR="004A533C">
        <w:rPr>
          <w:rStyle w:val="FootnoteReference"/>
        </w:rPr>
        <w:footnoteReference w:id="19"/>
      </w:r>
      <w:bookmarkEnd w:id="97"/>
    </w:p>
    <w:p w14:paraId="7538C155" w14:textId="6986E553" w:rsidR="008F3F2B" w:rsidRPr="0032043A" w:rsidRDefault="00070C9A" w:rsidP="008F3F2B">
      <w:pPr>
        <w:pStyle w:val="Caption"/>
      </w:pPr>
      <w:bookmarkStart w:id="98" w:name="_Ref183080404"/>
      <w:r w:rsidRPr="00282289">
        <w:rPr>
          <w:color w:val="000000"/>
          <w:spacing w:val="19"/>
          <w:w w:val="87"/>
          <w:shd w:val="solid" w:color="000000" w:fill="000000"/>
          <w:fitText w:val="335" w:id="-723258103"/>
          <w14:textFill>
            <w14:solidFill>
              <w14:srgbClr w14:val="000000">
                <w14:alpha w14:val="100000"/>
              </w14:srgbClr>
            </w14:solidFill>
          </w14:textFill>
        </w:rPr>
        <w:t>||  |</w:t>
      </w:r>
      <w:r w:rsidRPr="00282289">
        <w:rPr>
          <w:color w:val="000000"/>
          <w:spacing w:val="1"/>
          <w:w w:val="87"/>
          <w:shd w:val="solid" w:color="000000" w:fill="000000"/>
          <w:fitText w:val="335" w:id="-723258103"/>
          <w14:textFill>
            <w14:solidFill>
              <w14:srgbClr w14:val="000000">
                <w14:alpha w14:val="100000"/>
              </w14:srgbClr>
            </w14:solidFill>
          </w14:textFill>
        </w:rPr>
        <w:t>|</w:t>
      </w:r>
      <w:r w:rsidR="00A27FA9" w:rsidRPr="00A27FA9">
        <w:t xml:space="preserve"> </w:t>
      </w:r>
      <w:bookmarkEnd w:id="98"/>
      <w:r w:rsidRPr="00282289">
        <w:rPr>
          <w:color w:val="000000"/>
          <w:spacing w:val="18"/>
          <w:w w:val="95"/>
          <w:shd w:val="solid" w:color="000000" w:fill="000000"/>
          <w:fitText w:val="732" w:id="-723258101"/>
          <w14:textFill>
            <w14:solidFill>
              <w14:srgbClr w14:val="000000">
                <w14:alpha w14:val="100000"/>
              </w14:srgbClr>
            </w14:solidFill>
          </w14:textFill>
        </w:rPr>
        <w:t>|||||  ||||</w:t>
      </w:r>
      <w:r w:rsidRPr="00282289">
        <w:rPr>
          <w:color w:val="000000"/>
          <w:spacing w:val="11"/>
          <w:w w:val="95"/>
          <w:shd w:val="solid" w:color="000000" w:fill="000000"/>
          <w:fitText w:val="732" w:id="-723258101"/>
          <w14:textFill>
            <w14:solidFill>
              <w14:srgbClr w14:val="000000">
                <w14:alpha w14:val="100000"/>
              </w14:srgbClr>
            </w14:solidFill>
          </w14:textFill>
        </w:rPr>
        <w:t>|</w:t>
      </w:r>
      <w:r w:rsidR="00A27FA9" w:rsidRPr="00A27FA9">
        <w:t xml:space="preserve"> </w:t>
      </w:r>
      <w:r w:rsidRPr="00282289">
        <w:rPr>
          <w:color w:val="000000"/>
          <w:spacing w:val="18"/>
          <w:w w:val="89"/>
          <w:shd w:val="solid" w:color="000000" w:fill="000000"/>
          <w:fitText w:val="689" w:id="-723258099"/>
          <w14:textFill>
            <w14:solidFill>
              <w14:srgbClr w14:val="000000">
                <w14:alpha w14:val="100000"/>
              </w14:srgbClr>
            </w14:solidFill>
          </w14:textFill>
        </w:rPr>
        <w:t>|||||  ||||</w:t>
      </w:r>
      <w:r w:rsidRPr="00282289">
        <w:rPr>
          <w:color w:val="000000"/>
          <w:spacing w:val="1"/>
          <w:w w:val="89"/>
          <w:shd w:val="solid" w:color="000000" w:fill="000000"/>
          <w:fitText w:val="689" w:id="-723258099"/>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098"/>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098"/>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7"/>
          <w:szCs w:val="24"/>
          <w:shd w:val="solid" w:color="000000" w:fill="000000"/>
          <w:fitText w:val="335" w:id="-723258097"/>
          <w14:textFill>
            <w14:solidFill>
              <w14:srgbClr w14:val="000000">
                <w14:alpha w14:val="100000"/>
              </w14:srgbClr>
            </w14:solidFill>
          </w14:textFill>
        </w:rPr>
        <w:t>||  |</w:t>
      </w:r>
      <w:r w:rsidRPr="00282289">
        <w:rPr>
          <w:rStyle w:val="CommentReference"/>
          <w:b/>
          <w:color w:val="000000"/>
          <w:spacing w:val="1"/>
          <w:w w:val="87"/>
          <w:szCs w:val="24"/>
          <w:shd w:val="solid" w:color="000000" w:fill="000000"/>
          <w:fitText w:val="335" w:id="-723258097"/>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096"/>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096"/>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12"/>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12"/>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11"/>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11"/>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10"/>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10"/>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09"/>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09"/>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08"/>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08"/>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07"/>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07"/>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06"/>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06"/>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05"/>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05"/>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04"/>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04"/>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7"/>
          <w:szCs w:val="24"/>
          <w:shd w:val="solid" w:color="000000" w:fill="000000"/>
          <w:fitText w:val="335" w:id="-723258103"/>
          <w14:textFill>
            <w14:solidFill>
              <w14:srgbClr w14:val="000000">
                <w14:alpha w14:val="100000"/>
              </w14:srgbClr>
            </w14:solidFill>
          </w14:textFill>
        </w:rPr>
        <w:t>||  |</w:t>
      </w:r>
      <w:r w:rsidRPr="00282289">
        <w:rPr>
          <w:rStyle w:val="CommentReference"/>
          <w:b/>
          <w:color w:val="000000"/>
          <w:spacing w:val="1"/>
          <w:w w:val="87"/>
          <w:szCs w:val="24"/>
          <w:shd w:val="solid" w:color="000000" w:fill="000000"/>
          <w:fitText w:val="335" w:id="-723258103"/>
          <w14:textFill>
            <w14:solidFill>
              <w14:srgbClr w14:val="000000">
                <w14:alpha w14:val="100000"/>
              </w14:srgbClr>
            </w14:solidFill>
          </w14:textFill>
        </w:rPr>
        <w:t>|</w:t>
      </w:r>
      <w:r w:rsidR="00A27FA9" w:rsidRPr="00A27FA9">
        <w:rPr>
          <w:rStyle w:val="CommentReference"/>
          <w:b/>
          <w:szCs w:val="24"/>
        </w:rPr>
        <w:t xml:space="preserve"> </w:t>
      </w:r>
      <w:r w:rsidRPr="00282289">
        <w:rPr>
          <w:rStyle w:val="CommentReference"/>
          <w:b/>
          <w:color w:val="000000"/>
          <w:spacing w:val="19"/>
          <w:w w:val="86"/>
          <w:szCs w:val="24"/>
          <w:shd w:val="solid" w:color="000000" w:fill="000000"/>
          <w:fitText w:val="334" w:id="-723258102"/>
          <w14:textFill>
            <w14:solidFill>
              <w14:srgbClr w14:val="000000">
                <w14:alpha w14:val="100000"/>
              </w14:srgbClr>
            </w14:solidFill>
          </w14:textFill>
        </w:rPr>
        <w:t>||  |</w:t>
      </w:r>
      <w:r w:rsidRPr="00282289">
        <w:rPr>
          <w:rStyle w:val="CommentReference"/>
          <w:b/>
          <w:color w:val="000000"/>
          <w:spacing w:val="3"/>
          <w:w w:val="86"/>
          <w:szCs w:val="24"/>
          <w:shd w:val="solid" w:color="000000" w:fill="000000"/>
          <w:fitText w:val="334" w:id="-723258102"/>
          <w14:textFill>
            <w14:solidFill>
              <w14:srgbClr w14:val="000000">
                <w14:alpha w14:val="100000"/>
              </w14:srgbClr>
            </w14:solidFill>
          </w14:textFill>
        </w:rPr>
        <w:t>|</w:t>
      </w:r>
      <w:r w:rsidR="008F29D0">
        <w:rPr>
          <w:rStyle w:val="CommentReference"/>
          <w:b/>
          <w:szCs w:val="24"/>
        </w:rPr>
        <w:t xml:space="preserve"> </w:t>
      </w:r>
      <w:r w:rsidR="00312BBA" w:rsidRPr="00312BBA">
        <w:rPr>
          <w:rStyle w:val="CommentReference"/>
          <w:b/>
          <w:szCs w:val="24"/>
          <w:vertAlign w:val="superscript"/>
        </w:rPr>
        <w:fldChar w:fldCharType="begin" w:fldLock="1"/>
      </w:r>
      <w:r w:rsidR="00312BBA" w:rsidRPr="00312BBA">
        <w:rPr>
          <w:rStyle w:val="CommentReference"/>
          <w:b/>
          <w:szCs w:val="24"/>
          <w:vertAlign w:val="superscript"/>
        </w:rPr>
        <w:instrText xml:space="preserve"> NOTEREF _Ref196734435 \h  \* MERGEFORMAT </w:instrText>
      </w:r>
      <w:r w:rsidR="00312BBA" w:rsidRPr="00312BBA">
        <w:rPr>
          <w:rStyle w:val="CommentReference"/>
          <w:b/>
          <w:szCs w:val="24"/>
          <w:vertAlign w:val="superscript"/>
        </w:rPr>
      </w:r>
      <w:r w:rsidR="00312BBA" w:rsidRPr="00312BBA">
        <w:rPr>
          <w:rStyle w:val="CommentReference"/>
          <w:b/>
          <w:szCs w:val="24"/>
          <w:vertAlign w:val="superscript"/>
        </w:rPr>
        <w:fldChar w:fldCharType="separate"/>
      </w:r>
      <w:r w:rsidR="00312BBA" w:rsidRPr="00312BBA">
        <w:rPr>
          <w:rStyle w:val="CommentReference"/>
          <w:b/>
          <w:szCs w:val="24"/>
          <w:vertAlign w:val="superscript"/>
        </w:rPr>
        <w:t>18</w:t>
      </w:r>
      <w:r w:rsidR="00312BBA" w:rsidRPr="00312BBA">
        <w:rPr>
          <w:rStyle w:val="CommentReference"/>
          <w:b/>
          <w:szCs w:val="24"/>
          <w:vertAlign w:val="superscript"/>
        </w:rPr>
        <w:fldChar w:fldCharType="end"/>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99"/>
        <w:gridCol w:w="1169"/>
        <w:gridCol w:w="1169"/>
        <w:gridCol w:w="1169"/>
        <w:gridCol w:w="1169"/>
        <w:gridCol w:w="1169"/>
        <w:gridCol w:w="1373"/>
      </w:tblGrid>
      <w:tr w:rsidR="008F3F2B" w:rsidRPr="008F29D0" w14:paraId="7A7CF168" w14:textId="77777777" w:rsidTr="009E2A2A">
        <w:trPr>
          <w:tblHeader/>
        </w:trPr>
        <w:tc>
          <w:tcPr>
            <w:tcW w:w="1799" w:type="dxa"/>
            <w:shd w:val="clear" w:color="auto" w:fill="auto"/>
            <w:vAlign w:val="center"/>
          </w:tcPr>
          <w:p w14:paraId="1D5DD73D" w14:textId="71205BA7" w:rsidR="008F3F2B" w:rsidRPr="0032043A" w:rsidRDefault="008F29D0" w:rsidP="00022017">
            <w:pPr>
              <w:pStyle w:val="In-tableHeading"/>
              <w:jc w:val="center"/>
              <w:rPr>
                <w:szCs w:val="20"/>
                <w:lang w:val="en-AU"/>
              </w:rPr>
            </w:pPr>
            <w:r>
              <w:rPr>
                <w:szCs w:val="20"/>
                <w:lang w:val="en-AU"/>
              </w:rPr>
              <w:t xml:space="preserve"> </w:t>
            </w:r>
          </w:p>
        </w:tc>
        <w:tc>
          <w:tcPr>
            <w:tcW w:w="1169" w:type="dxa"/>
            <w:shd w:val="clear" w:color="auto" w:fill="auto"/>
            <w:vAlign w:val="center"/>
          </w:tcPr>
          <w:p w14:paraId="3416EE4B" w14:textId="4158D6BA" w:rsidR="008F3F2B" w:rsidRPr="008F29D0" w:rsidRDefault="00070C9A" w:rsidP="00022017">
            <w:pPr>
              <w:pStyle w:val="In-tableHeading"/>
              <w:jc w:val="center"/>
              <w:rPr>
                <w:szCs w:val="20"/>
                <w:highlight w:val="darkGray"/>
                <w:lang w:val="en-AU"/>
              </w:rPr>
            </w:pPr>
            <w:r w:rsidRPr="00282289">
              <w:rPr>
                <w:color w:val="000000"/>
                <w:spacing w:val="198"/>
                <w:szCs w:val="20"/>
                <w:shd w:val="solid" w:color="000000" w:fill="000000"/>
                <w:fitText w:val="290" w:id="-723258101"/>
                <w:lang w:val="en-AU"/>
                <w14:textFill>
                  <w14:solidFill>
                    <w14:srgbClr w14:val="000000">
                      <w14:alpha w14:val="100000"/>
                    </w14:srgbClr>
                  </w14:solidFill>
                </w14:textFill>
              </w:rPr>
              <w:t>|</w:t>
            </w:r>
            <w:r w:rsidRPr="00282289">
              <w:rPr>
                <w:color w:val="000000"/>
                <w:spacing w:val="1"/>
                <w:szCs w:val="20"/>
                <w:shd w:val="solid" w:color="000000" w:fill="000000"/>
                <w:fitText w:val="290" w:id="-723258101"/>
                <w:lang w:val="en-AU"/>
                <w14:textFill>
                  <w14:solidFill>
                    <w14:srgbClr w14:val="000000">
                      <w14:alpha w14:val="100000"/>
                    </w14:srgbClr>
                  </w14:solidFill>
                </w14:textFill>
              </w:rPr>
              <w:t>|</w:t>
            </w:r>
            <w:r w:rsidR="00A27FA9" w:rsidRPr="00A27FA9">
              <w:rPr>
                <w:szCs w:val="20"/>
                <w:lang w:val="en-AU"/>
              </w:rPr>
              <w:t xml:space="preserve"> </w:t>
            </w:r>
            <w:r w:rsidRPr="00282289">
              <w:rPr>
                <w:color w:val="000000"/>
                <w:spacing w:val="112"/>
                <w:szCs w:val="20"/>
                <w:shd w:val="solid" w:color="000000" w:fill="000000"/>
                <w:fitText w:val="204" w:id="-723258100"/>
                <w:lang w:val="en-AU"/>
                <w14:textFill>
                  <w14:solidFill>
                    <w14:srgbClr w14:val="000000">
                      <w14:alpha w14:val="100000"/>
                    </w14:srgbClr>
                  </w14:solidFill>
                </w14:textFill>
              </w:rPr>
              <w:t>|</w:t>
            </w:r>
            <w:r w:rsidRPr="00282289">
              <w:rPr>
                <w:color w:val="000000"/>
                <w:spacing w:val="1"/>
                <w:szCs w:val="20"/>
                <w:shd w:val="solid" w:color="000000" w:fill="000000"/>
                <w:fitText w:val="204" w:id="-723258100"/>
                <w:lang w:val="en-AU"/>
                <w14:textFill>
                  <w14:solidFill>
                    <w14:srgbClr w14:val="000000">
                      <w14:alpha w14:val="100000"/>
                    </w14:srgbClr>
                  </w14:solidFill>
                </w14:textFill>
              </w:rPr>
              <w:t>|</w:t>
            </w:r>
          </w:p>
        </w:tc>
        <w:tc>
          <w:tcPr>
            <w:tcW w:w="1169" w:type="dxa"/>
            <w:shd w:val="clear" w:color="auto" w:fill="auto"/>
            <w:vAlign w:val="center"/>
          </w:tcPr>
          <w:p w14:paraId="6EC07063" w14:textId="2864F9A1" w:rsidR="008F3F2B" w:rsidRPr="008F29D0" w:rsidRDefault="00070C9A" w:rsidP="00022017">
            <w:pPr>
              <w:pStyle w:val="In-tableHeading"/>
              <w:jc w:val="center"/>
              <w:rPr>
                <w:szCs w:val="20"/>
                <w:highlight w:val="darkGray"/>
                <w:lang w:val="en-AU"/>
              </w:rPr>
            </w:pPr>
            <w:r w:rsidRPr="00282289">
              <w:rPr>
                <w:color w:val="000000"/>
                <w:spacing w:val="198"/>
                <w:szCs w:val="20"/>
                <w:shd w:val="solid" w:color="000000" w:fill="000000"/>
                <w:fitText w:val="290" w:id="-723258099"/>
                <w:lang w:val="en-AU"/>
                <w14:textFill>
                  <w14:solidFill>
                    <w14:srgbClr w14:val="000000">
                      <w14:alpha w14:val="100000"/>
                    </w14:srgbClr>
                  </w14:solidFill>
                </w14:textFill>
              </w:rPr>
              <w:t>|</w:t>
            </w:r>
            <w:r w:rsidRPr="00282289">
              <w:rPr>
                <w:color w:val="000000"/>
                <w:spacing w:val="1"/>
                <w:szCs w:val="20"/>
                <w:shd w:val="solid" w:color="000000" w:fill="000000"/>
                <w:fitText w:val="290" w:id="-723258099"/>
                <w:lang w:val="en-AU"/>
                <w14:textFill>
                  <w14:solidFill>
                    <w14:srgbClr w14:val="000000">
                      <w14:alpha w14:val="100000"/>
                    </w14:srgbClr>
                  </w14:solidFill>
                </w14:textFill>
              </w:rPr>
              <w:t>|</w:t>
            </w:r>
            <w:r w:rsidR="00A27FA9" w:rsidRPr="00A27FA9">
              <w:rPr>
                <w:szCs w:val="20"/>
                <w:lang w:val="en-AU"/>
              </w:rPr>
              <w:t xml:space="preserve"> </w:t>
            </w:r>
            <w:r w:rsidRPr="00282289">
              <w:rPr>
                <w:color w:val="000000"/>
                <w:spacing w:val="112"/>
                <w:szCs w:val="20"/>
                <w:shd w:val="solid" w:color="000000" w:fill="000000"/>
                <w:fitText w:val="204" w:id="-723258098"/>
                <w:lang w:val="en-AU"/>
                <w14:textFill>
                  <w14:solidFill>
                    <w14:srgbClr w14:val="000000">
                      <w14:alpha w14:val="100000"/>
                    </w14:srgbClr>
                  </w14:solidFill>
                </w14:textFill>
              </w:rPr>
              <w:t>|</w:t>
            </w:r>
            <w:r w:rsidRPr="00282289">
              <w:rPr>
                <w:color w:val="000000"/>
                <w:spacing w:val="1"/>
                <w:szCs w:val="20"/>
                <w:shd w:val="solid" w:color="000000" w:fill="000000"/>
                <w:fitText w:val="204" w:id="-723258098"/>
                <w:lang w:val="en-AU"/>
                <w14:textFill>
                  <w14:solidFill>
                    <w14:srgbClr w14:val="000000">
                      <w14:alpha w14:val="100000"/>
                    </w14:srgbClr>
                  </w14:solidFill>
                </w14:textFill>
              </w:rPr>
              <w:t>|</w:t>
            </w:r>
          </w:p>
        </w:tc>
        <w:tc>
          <w:tcPr>
            <w:tcW w:w="1169" w:type="dxa"/>
            <w:shd w:val="clear" w:color="auto" w:fill="auto"/>
            <w:vAlign w:val="center"/>
          </w:tcPr>
          <w:p w14:paraId="67A46832" w14:textId="767CB50D" w:rsidR="008F3F2B" w:rsidRPr="008F29D0" w:rsidRDefault="00070C9A" w:rsidP="00022017">
            <w:pPr>
              <w:pStyle w:val="In-tableHeading"/>
              <w:jc w:val="center"/>
              <w:rPr>
                <w:szCs w:val="20"/>
                <w:highlight w:val="darkGray"/>
                <w:lang w:val="en-AU"/>
              </w:rPr>
            </w:pPr>
            <w:r w:rsidRPr="00282289">
              <w:rPr>
                <w:color w:val="000000"/>
                <w:spacing w:val="198"/>
                <w:szCs w:val="20"/>
                <w:shd w:val="solid" w:color="000000" w:fill="000000"/>
                <w:fitText w:val="290" w:id="-723258097"/>
                <w:lang w:val="en-AU"/>
                <w14:textFill>
                  <w14:solidFill>
                    <w14:srgbClr w14:val="000000">
                      <w14:alpha w14:val="100000"/>
                    </w14:srgbClr>
                  </w14:solidFill>
                </w14:textFill>
              </w:rPr>
              <w:t>|</w:t>
            </w:r>
            <w:r w:rsidRPr="00282289">
              <w:rPr>
                <w:color w:val="000000"/>
                <w:spacing w:val="1"/>
                <w:szCs w:val="20"/>
                <w:shd w:val="solid" w:color="000000" w:fill="000000"/>
                <w:fitText w:val="290" w:id="-723258097"/>
                <w:lang w:val="en-AU"/>
                <w14:textFill>
                  <w14:solidFill>
                    <w14:srgbClr w14:val="000000">
                      <w14:alpha w14:val="100000"/>
                    </w14:srgbClr>
                  </w14:solidFill>
                </w14:textFill>
              </w:rPr>
              <w:t>|</w:t>
            </w:r>
            <w:r w:rsidR="00A27FA9" w:rsidRPr="00A27FA9">
              <w:rPr>
                <w:szCs w:val="20"/>
                <w:lang w:val="en-AU"/>
              </w:rPr>
              <w:t xml:space="preserve"> </w:t>
            </w:r>
            <w:r w:rsidRPr="00282289">
              <w:rPr>
                <w:color w:val="000000"/>
                <w:spacing w:val="113"/>
                <w:szCs w:val="20"/>
                <w:shd w:val="solid" w:color="000000" w:fill="000000"/>
                <w:fitText w:val="205" w:id="-723258096"/>
                <w:lang w:val="en-AU"/>
                <w14:textFill>
                  <w14:solidFill>
                    <w14:srgbClr w14:val="000000">
                      <w14:alpha w14:val="100000"/>
                    </w14:srgbClr>
                  </w14:solidFill>
                </w14:textFill>
              </w:rPr>
              <w:t>|</w:t>
            </w:r>
            <w:r w:rsidRPr="00282289">
              <w:rPr>
                <w:color w:val="000000"/>
                <w:spacing w:val="1"/>
                <w:szCs w:val="20"/>
                <w:shd w:val="solid" w:color="000000" w:fill="000000"/>
                <w:fitText w:val="205" w:id="-723258096"/>
                <w:lang w:val="en-AU"/>
                <w14:textFill>
                  <w14:solidFill>
                    <w14:srgbClr w14:val="000000">
                      <w14:alpha w14:val="100000"/>
                    </w14:srgbClr>
                  </w14:solidFill>
                </w14:textFill>
              </w:rPr>
              <w:t>|</w:t>
            </w:r>
          </w:p>
        </w:tc>
        <w:tc>
          <w:tcPr>
            <w:tcW w:w="1169" w:type="dxa"/>
            <w:shd w:val="clear" w:color="auto" w:fill="auto"/>
            <w:vAlign w:val="center"/>
          </w:tcPr>
          <w:p w14:paraId="293E251A" w14:textId="4F3135F9" w:rsidR="008F3F2B" w:rsidRPr="008F29D0" w:rsidRDefault="00070C9A" w:rsidP="00022017">
            <w:pPr>
              <w:pStyle w:val="In-tableHeading"/>
              <w:jc w:val="center"/>
              <w:rPr>
                <w:szCs w:val="20"/>
                <w:highlight w:val="darkGray"/>
                <w:lang w:val="en-AU"/>
              </w:rPr>
            </w:pPr>
            <w:r w:rsidRPr="00282289">
              <w:rPr>
                <w:color w:val="000000"/>
                <w:spacing w:val="198"/>
                <w:szCs w:val="20"/>
                <w:shd w:val="solid" w:color="000000" w:fill="000000"/>
                <w:fitText w:val="290" w:id="-723258112"/>
                <w:lang w:val="en-AU"/>
                <w14:textFill>
                  <w14:solidFill>
                    <w14:srgbClr w14:val="000000">
                      <w14:alpha w14:val="100000"/>
                    </w14:srgbClr>
                  </w14:solidFill>
                </w14:textFill>
              </w:rPr>
              <w:t>|</w:t>
            </w:r>
            <w:r w:rsidRPr="00282289">
              <w:rPr>
                <w:color w:val="000000"/>
                <w:spacing w:val="1"/>
                <w:szCs w:val="20"/>
                <w:shd w:val="solid" w:color="000000" w:fill="000000"/>
                <w:fitText w:val="290" w:id="-723258112"/>
                <w:lang w:val="en-AU"/>
                <w14:textFill>
                  <w14:solidFill>
                    <w14:srgbClr w14:val="000000">
                      <w14:alpha w14:val="100000"/>
                    </w14:srgbClr>
                  </w14:solidFill>
                </w14:textFill>
              </w:rPr>
              <w:t>|</w:t>
            </w:r>
            <w:r w:rsidR="00A27FA9" w:rsidRPr="00A27FA9">
              <w:rPr>
                <w:szCs w:val="20"/>
                <w:lang w:val="en-AU"/>
              </w:rPr>
              <w:t xml:space="preserve"> </w:t>
            </w:r>
            <w:r w:rsidRPr="00282289">
              <w:rPr>
                <w:color w:val="000000"/>
                <w:spacing w:val="112"/>
                <w:szCs w:val="20"/>
                <w:shd w:val="solid" w:color="000000" w:fill="000000"/>
                <w:fitText w:val="204" w:id="-723258111"/>
                <w:lang w:val="en-AU"/>
                <w14:textFill>
                  <w14:solidFill>
                    <w14:srgbClr w14:val="000000">
                      <w14:alpha w14:val="100000"/>
                    </w14:srgbClr>
                  </w14:solidFill>
                </w14:textFill>
              </w:rPr>
              <w:t>|</w:t>
            </w:r>
            <w:r w:rsidRPr="00282289">
              <w:rPr>
                <w:color w:val="000000"/>
                <w:spacing w:val="1"/>
                <w:szCs w:val="20"/>
                <w:shd w:val="solid" w:color="000000" w:fill="000000"/>
                <w:fitText w:val="204" w:id="-723258111"/>
                <w:lang w:val="en-AU"/>
                <w14:textFill>
                  <w14:solidFill>
                    <w14:srgbClr w14:val="000000">
                      <w14:alpha w14:val="100000"/>
                    </w14:srgbClr>
                  </w14:solidFill>
                </w14:textFill>
              </w:rPr>
              <w:t>|</w:t>
            </w:r>
          </w:p>
        </w:tc>
        <w:tc>
          <w:tcPr>
            <w:tcW w:w="1169" w:type="dxa"/>
            <w:shd w:val="clear" w:color="auto" w:fill="auto"/>
            <w:vAlign w:val="center"/>
          </w:tcPr>
          <w:p w14:paraId="50220F3E" w14:textId="677D21AC" w:rsidR="008F3F2B" w:rsidRPr="008F29D0" w:rsidRDefault="00070C9A" w:rsidP="00022017">
            <w:pPr>
              <w:pStyle w:val="In-tableHeading"/>
              <w:jc w:val="center"/>
              <w:rPr>
                <w:szCs w:val="20"/>
                <w:highlight w:val="darkGray"/>
                <w:lang w:val="en-AU"/>
              </w:rPr>
            </w:pPr>
            <w:r w:rsidRPr="00282289">
              <w:rPr>
                <w:color w:val="000000"/>
                <w:spacing w:val="198"/>
                <w:szCs w:val="20"/>
                <w:shd w:val="solid" w:color="000000" w:fill="000000"/>
                <w:fitText w:val="290" w:id="-723258110"/>
                <w:lang w:val="en-AU"/>
                <w14:textFill>
                  <w14:solidFill>
                    <w14:srgbClr w14:val="000000">
                      <w14:alpha w14:val="100000"/>
                    </w14:srgbClr>
                  </w14:solidFill>
                </w14:textFill>
              </w:rPr>
              <w:t>|</w:t>
            </w:r>
            <w:r w:rsidRPr="00282289">
              <w:rPr>
                <w:color w:val="000000"/>
                <w:spacing w:val="1"/>
                <w:szCs w:val="20"/>
                <w:shd w:val="solid" w:color="000000" w:fill="000000"/>
                <w:fitText w:val="290" w:id="-723258110"/>
                <w:lang w:val="en-AU"/>
                <w14:textFill>
                  <w14:solidFill>
                    <w14:srgbClr w14:val="000000">
                      <w14:alpha w14:val="100000"/>
                    </w14:srgbClr>
                  </w14:solidFill>
                </w14:textFill>
              </w:rPr>
              <w:t>|</w:t>
            </w:r>
            <w:r w:rsidR="00A27FA9" w:rsidRPr="00A27FA9">
              <w:rPr>
                <w:szCs w:val="20"/>
                <w:lang w:val="en-AU"/>
              </w:rPr>
              <w:t xml:space="preserve"> </w:t>
            </w:r>
            <w:r w:rsidRPr="00282289">
              <w:rPr>
                <w:color w:val="000000"/>
                <w:spacing w:val="112"/>
                <w:szCs w:val="20"/>
                <w:shd w:val="solid" w:color="000000" w:fill="000000"/>
                <w:fitText w:val="204" w:id="-723258109"/>
                <w:lang w:val="en-AU"/>
                <w14:textFill>
                  <w14:solidFill>
                    <w14:srgbClr w14:val="000000">
                      <w14:alpha w14:val="100000"/>
                    </w14:srgbClr>
                  </w14:solidFill>
                </w14:textFill>
              </w:rPr>
              <w:t>|</w:t>
            </w:r>
            <w:r w:rsidRPr="00282289">
              <w:rPr>
                <w:color w:val="000000"/>
                <w:spacing w:val="1"/>
                <w:szCs w:val="20"/>
                <w:shd w:val="solid" w:color="000000" w:fill="000000"/>
                <w:fitText w:val="204" w:id="-723258109"/>
                <w:lang w:val="en-AU"/>
                <w14:textFill>
                  <w14:solidFill>
                    <w14:srgbClr w14:val="000000">
                      <w14:alpha w14:val="100000"/>
                    </w14:srgbClr>
                  </w14:solidFill>
                </w14:textFill>
              </w:rPr>
              <w:t>|</w:t>
            </w:r>
          </w:p>
        </w:tc>
        <w:tc>
          <w:tcPr>
            <w:tcW w:w="1373" w:type="dxa"/>
          </w:tcPr>
          <w:p w14:paraId="45AF8B39" w14:textId="02E66C7E" w:rsidR="008F3F2B" w:rsidRPr="008F29D0" w:rsidRDefault="00070C9A" w:rsidP="00022017">
            <w:pPr>
              <w:pStyle w:val="In-tableHeading"/>
              <w:jc w:val="center"/>
              <w:rPr>
                <w:szCs w:val="20"/>
                <w:highlight w:val="darkGray"/>
                <w:lang w:val="en-AU"/>
              </w:rPr>
            </w:pPr>
            <w:r w:rsidRPr="00282289">
              <w:rPr>
                <w:color w:val="000000"/>
                <w:spacing w:val="102"/>
                <w:szCs w:val="20"/>
                <w:shd w:val="solid" w:color="000000" w:fill="000000"/>
                <w:fitText w:val="194" w:id="-723258108"/>
                <w:lang w:val="en-AU"/>
                <w14:textFill>
                  <w14:solidFill>
                    <w14:srgbClr w14:val="000000">
                      <w14:alpha w14:val="100000"/>
                    </w14:srgbClr>
                  </w14:solidFill>
                </w14:textFill>
              </w:rPr>
              <w:t>|</w:t>
            </w:r>
            <w:r w:rsidRPr="00282289">
              <w:rPr>
                <w:color w:val="000000"/>
                <w:spacing w:val="1"/>
                <w:szCs w:val="20"/>
                <w:shd w:val="solid" w:color="000000" w:fill="000000"/>
                <w:fitText w:val="194" w:id="-723258108"/>
                <w:lang w:val="en-AU"/>
                <w14:textFill>
                  <w14:solidFill>
                    <w14:srgbClr w14:val="000000">
                      <w14:alpha w14:val="100000"/>
                    </w14:srgbClr>
                  </w14:solidFill>
                </w14:textFill>
              </w:rPr>
              <w:t>|</w:t>
            </w:r>
            <w:r w:rsidR="00A27FA9" w:rsidRPr="00A27FA9">
              <w:rPr>
                <w:szCs w:val="20"/>
                <w:lang w:val="en-AU"/>
              </w:rPr>
              <w:t xml:space="preserve"> </w:t>
            </w:r>
            <w:r w:rsidRPr="00F53E16">
              <w:rPr>
                <w:rFonts w:hint="eastAsia"/>
                <w:color w:val="000000"/>
                <w:w w:val="15"/>
                <w:szCs w:val="20"/>
                <w:shd w:val="solid" w:color="000000" w:fill="000000"/>
                <w:fitText w:val="54" w:id="-723258107"/>
                <w:lang w:val="en-AU"/>
                <w14:textFill>
                  <w14:solidFill>
                    <w14:srgbClr w14:val="000000">
                      <w14:alpha w14:val="100000"/>
                    </w14:srgbClr>
                  </w14:solidFill>
                </w14:textFill>
              </w:rPr>
              <w:t xml:space="preserve">　</w:t>
            </w:r>
            <w:r w:rsidRPr="00F53E16">
              <w:rPr>
                <w:color w:val="000000"/>
                <w:w w:val="15"/>
                <w:szCs w:val="20"/>
                <w:shd w:val="solid" w:color="000000" w:fill="000000"/>
                <w:fitText w:val="54" w:id="-723258107"/>
                <w:lang w:val="en-AU"/>
                <w14:textFill>
                  <w14:solidFill>
                    <w14:srgbClr w14:val="000000">
                      <w14:alpha w14:val="100000"/>
                    </w14:srgbClr>
                  </w14:solidFill>
                </w14:textFill>
              </w:rPr>
              <w:t>|</w:t>
            </w:r>
            <w:r w:rsidRPr="00F53E16">
              <w:rPr>
                <w:rFonts w:hint="eastAsia"/>
                <w:color w:val="000000"/>
                <w:spacing w:val="-12"/>
                <w:w w:val="15"/>
                <w:szCs w:val="20"/>
                <w:shd w:val="solid" w:color="000000" w:fill="000000"/>
                <w:fitText w:val="54" w:id="-723258107"/>
                <w:lang w:val="en-AU"/>
                <w14:textFill>
                  <w14:solidFill>
                    <w14:srgbClr w14:val="000000">
                      <w14:alpha w14:val="100000"/>
                    </w14:srgbClr>
                  </w14:solidFill>
                </w14:textFill>
              </w:rPr>
              <w:t xml:space="preserve">　</w:t>
            </w:r>
          </w:p>
        </w:tc>
      </w:tr>
      <w:tr w:rsidR="008F3F2B" w:rsidRPr="008F29D0" w14:paraId="683817A4" w14:textId="77777777" w:rsidTr="00022017">
        <w:tc>
          <w:tcPr>
            <w:tcW w:w="9017" w:type="dxa"/>
            <w:gridSpan w:val="7"/>
            <w:shd w:val="clear" w:color="auto" w:fill="auto"/>
            <w:vAlign w:val="center"/>
          </w:tcPr>
          <w:p w14:paraId="26460B9C" w14:textId="3D1A486D" w:rsidR="008F3F2B" w:rsidRPr="008F29D0" w:rsidRDefault="00070C9A" w:rsidP="00022017">
            <w:pPr>
              <w:pStyle w:val="Tabletext"/>
              <w:keepNext/>
              <w:rPr>
                <w:b/>
                <w:bCs/>
                <w:szCs w:val="20"/>
                <w:highlight w:val="darkGray"/>
              </w:rPr>
            </w:pPr>
            <w:r w:rsidRPr="00282289">
              <w:rPr>
                <w:b/>
                <w:bCs/>
                <w:color w:val="000000"/>
                <w:spacing w:val="57"/>
                <w:szCs w:val="20"/>
                <w:shd w:val="solid" w:color="000000" w:fill="000000"/>
                <w:fitText w:val="355" w:id="-723258106"/>
                <w14:textFill>
                  <w14:solidFill>
                    <w14:srgbClr w14:val="000000">
                      <w14:alpha w14:val="100000"/>
                    </w14:srgbClr>
                  </w14:solidFill>
                </w14:textFill>
              </w:rPr>
              <w:t>|||</w:t>
            </w:r>
            <w:r w:rsidRPr="00282289">
              <w:rPr>
                <w:b/>
                <w:bCs/>
                <w:color w:val="000000"/>
                <w:spacing w:val="1"/>
                <w:szCs w:val="20"/>
                <w:shd w:val="solid" w:color="000000" w:fill="000000"/>
                <w:fitText w:val="355" w:id="-723258106"/>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8105"/>
                <w14:textFill>
                  <w14:solidFill>
                    <w14:srgbClr w14:val="000000">
                      <w14:alpha w14:val="100000"/>
                    </w14:srgbClr>
                  </w14:solidFill>
                </w14:textFill>
              </w:rPr>
              <w:t>|||</w:t>
            </w:r>
            <w:r w:rsidRPr="00282289">
              <w:rPr>
                <w:b/>
                <w:bCs/>
                <w:color w:val="000000"/>
                <w:spacing w:val="1"/>
                <w:szCs w:val="20"/>
                <w:shd w:val="solid" w:color="000000" w:fill="000000"/>
                <w:fitText w:val="355" w:id="-723258105"/>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8104"/>
                <w14:textFill>
                  <w14:solidFill>
                    <w14:srgbClr w14:val="000000">
                      <w14:alpha w14:val="100000"/>
                    </w14:srgbClr>
                  </w14:solidFill>
                </w14:textFill>
              </w:rPr>
              <w:t>|||</w:t>
            </w:r>
            <w:r w:rsidRPr="00282289">
              <w:rPr>
                <w:b/>
                <w:bCs/>
                <w:color w:val="000000"/>
                <w:spacing w:val="1"/>
                <w:szCs w:val="20"/>
                <w:shd w:val="solid" w:color="000000" w:fill="000000"/>
                <w:fitText w:val="355" w:id="-723258104"/>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8103"/>
                <w14:textFill>
                  <w14:solidFill>
                    <w14:srgbClr w14:val="000000">
                      <w14:alpha w14:val="100000"/>
                    </w14:srgbClr>
                  </w14:solidFill>
                </w14:textFill>
              </w:rPr>
              <w:t>|||</w:t>
            </w:r>
            <w:r w:rsidRPr="00282289">
              <w:rPr>
                <w:b/>
                <w:bCs/>
                <w:color w:val="000000"/>
                <w:spacing w:val="1"/>
                <w:szCs w:val="20"/>
                <w:shd w:val="solid" w:color="000000" w:fill="000000"/>
                <w:fitText w:val="355" w:id="-723258103"/>
                <w14:textFill>
                  <w14:solidFill>
                    <w14:srgbClr w14:val="000000">
                      <w14:alpha w14:val="100000"/>
                    </w14:srgbClr>
                  </w14:solidFill>
                </w14:textFill>
              </w:rPr>
              <w:t>|</w:t>
            </w:r>
          </w:p>
        </w:tc>
      </w:tr>
      <w:tr w:rsidR="008F3F2B" w:rsidRPr="008F29D0" w14:paraId="2C73BE4B" w14:textId="77777777" w:rsidTr="009E2A2A">
        <w:tc>
          <w:tcPr>
            <w:tcW w:w="1799" w:type="dxa"/>
            <w:shd w:val="clear" w:color="auto" w:fill="auto"/>
            <w:vAlign w:val="center"/>
          </w:tcPr>
          <w:p w14:paraId="69842AD4" w14:textId="40538596" w:rsidR="008F3F2B" w:rsidRPr="008F29D0" w:rsidRDefault="00070C9A" w:rsidP="00022017">
            <w:pPr>
              <w:pStyle w:val="Tabletext"/>
              <w:keepNext/>
              <w:rPr>
                <w:szCs w:val="20"/>
                <w:highlight w:val="darkGray"/>
              </w:rPr>
            </w:pPr>
            <w:r w:rsidRPr="00282289">
              <w:rPr>
                <w:color w:val="000000"/>
                <w:spacing w:val="54"/>
                <w:szCs w:val="20"/>
                <w:shd w:val="solid" w:color="000000" w:fill="000000"/>
                <w:fitText w:val="333" w:id="-723258102"/>
                <w14:textFill>
                  <w14:solidFill>
                    <w14:srgbClr w14:val="000000">
                      <w14:alpha w14:val="100000"/>
                    </w14:srgbClr>
                  </w14:solidFill>
                </w14:textFill>
              </w:rPr>
              <w:t>|||</w:t>
            </w:r>
            <w:r w:rsidRPr="00282289">
              <w:rPr>
                <w:color w:val="000000"/>
                <w:spacing w:val="1"/>
                <w:szCs w:val="20"/>
                <w:shd w:val="solid" w:color="000000" w:fill="000000"/>
                <w:fitText w:val="333" w:id="-723258102"/>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8101"/>
                <w14:textFill>
                  <w14:solidFill>
                    <w14:srgbClr w14:val="000000">
                      <w14:alpha w14:val="100000"/>
                    </w14:srgbClr>
                  </w14:solidFill>
                </w14:textFill>
              </w:rPr>
              <w:t>|||</w:t>
            </w:r>
            <w:r w:rsidRPr="00282289">
              <w:rPr>
                <w:color w:val="000000"/>
                <w:spacing w:val="1"/>
                <w:szCs w:val="20"/>
                <w:shd w:val="solid" w:color="000000" w:fill="000000"/>
                <w:fitText w:val="333" w:id="-723258101"/>
                <w14:textFill>
                  <w14:solidFill>
                    <w14:srgbClr w14:val="000000">
                      <w14:alpha w14:val="100000"/>
                    </w14:srgbClr>
                  </w14:solidFill>
                </w14:textFill>
              </w:rPr>
              <w:t>|</w:t>
            </w:r>
            <w:r w:rsidR="00A27FA9" w:rsidRPr="00A27FA9">
              <w:rPr>
                <w:szCs w:val="20"/>
              </w:rPr>
              <w:t xml:space="preserve"> </w:t>
            </w:r>
            <w:r w:rsidRPr="00282289">
              <w:rPr>
                <w:color w:val="000000"/>
                <w:spacing w:val="50"/>
                <w:szCs w:val="20"/>
                <w:shd w:val="solid" w:color="000000" w:fill="000000"/>
                <w:fitText w:val="322" w:id="-723258100"/>
                <w14:textFill>
                  <w14:solidFill>
                    <w14:srgbClr w14:val="000000">
                      <w14:alpha w14:val="100000"/>
                    </w14:srgbClr>
                  </w14:solidFill>
                </w14:textFill>
              </w:rPr>
              <w:t>|||</w:t>
            </w:r>
            <w:r w:rsidRPr="00282289">
              <w:rPr>
                <w:color w:val="000000"/>
                <w:spacing w:val="2"/>
                <w:szCs w:val="20"/>
                <w:shd w:val="solid" w:color="000000" w:fill="000000"/>
                <w:fitText w:val="322" w:id="-723258100"/>
                <w14:textFill>
                  <w14:solidFill>
                    <w14:srgbClr w14:val="000000">
                      <w14:alpha w14:val="100000"/>
                    </w14:srgbClr>
                  </w14:solidFill>
                </w14:textFill>
              </w:rPr>
              <w:t>|</w:t>
            </w:r>
            <w:r w:rsidR="00A27FA9" w:rsidRPr="00A27FA9">
              <w:rPr>
                <w:szCs w:val="20"/>
              </w:rPr>
              <w:t xml:space="preserve"> </w:t>
            </w:r>
            <w:r w:rsidRPr="00282289">
              <w:rPr>
                <w:color w:val="000000"/>
                <w:spacing w:val="50"/>
                <w:szCs w:val="20"/>
                <w:shd w:val="solid" w:color="000000" w:fill="000000"/>
                <w:fitText w:val="322" w:id="-723258099"/>
                <w14:textFill>
                  <w14:solidFill>
                    <w14:srgbClr w14:val="000000">
                      <w14:alpha w14:val="100000"/>
                    </w14:srgbClr>
                  </w14:solidFill>
                </w14:textFill>
              </w:rPr>
              <w:t>|||</w:t>
            </w:r>
            <w:r w:rsidRPr="00282289">
              <w:rPr>
                <w:color w:val="000000"/>
                <w:spacing w:val="2"/>
                <w:szCs w:val="20"/>
                <w:shd w:val="solid" w:color="000000" w:fill="000000"/>
                <w:fitText w:val="322" w:id="-723258099"/>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8098"/>
                <w14:textFill>
                  <w14:solidFill>
                    <w14:srgbClr w14:val="000000">
                      <w14:alpha w14:val="100000"/>
                    </w14:srgbClr>
                  </w14:solidFill>
                </w14:textFill>
              </w:rPr>
              <w:t>|||</w:t>
            </w:r>
            <w:r w:rsidRPr="00282289">
              <w:rPr>
                <w:color w:val="000000"/>
                <w:spacing w:val="1"/>
                <w:szCs w:val="20"/>
                <w:shd w:val="solid" w:color="000000" w:fill="000000"/>
                <w:fitText w:val="333" w:id="-723258098"/>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8097"/>
                <w14:textFill>
                  <w14:solidFill>
                    <w14:srgbClr w14:val="000000">
                      <w14:alpha w14:val="100000"/>
                    </w14:srgbClr>
                  </w14:solidFill>
                </w14:textFill>
              </w:rPr>
              <w:t>|||</w:t>
            </w:r>
            <w:r w:rsidRPr="00282289">
              <w:rPr>
                <w:color w:val="000000"/>
                <w:spacing w:val="1"/>
                <w:szCs w:val="20"/>
                <w:shd w:val="solid" w:color="000000" w:fill="000000"/>
                <w:fitText w:val="333" w:id="-723258097"/>
                <w14:textFill>
                  <w14:solidFill>
                    <w14:srgbClr w14:val="000000">
                      <w14:alpha w14:val="100000"/>
                    </w14:srgbClr>
                  </w14:solidFill>
                </w14:textFill>
              </w:rPr>
              <w:t>|</w:t>
            </w:r>
          </w:p>
        </w:tc>
        <w:tc>
          <w:tcPr>
            <w:tcW w:w="1169" w:type="dxa"/>
            <w:shd w:val="clear" w:color="auto" w:fill="auto"/>
            <w:vAlign w:val="center"/>
          </w:tcPr>
          <w:p w14:paraId="1F468BBB" w14:textId="2AEA079A" w:rsidR="00A27FA9" w:rsidRPr="00A27FA9" w:rsidRDefault="00070C9A" w:rsidP="00022017">
            <w:pPr>
              <w:pStyle w:val="Tabletext"/>
              <w:keepNext/>
              <w:jc w:val="center"/>
              <w:rPr>
                <w:szCs w:val="20"/>
              </w:rPr>
            </w:pPr>
            <w:r w:rsidRPr="00070C9A">
              <w:rPr>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p w14:paraId="0E6BF3AA" w14:textId="6500D8FC" w:rsidR="005F73B2" w:rsidRPr="008F29D0" w:rsidRDefault="00070C9A" w:rsidP="00022017">
            <w:pPr>
              <w:pStyle w:val="Tabletext"/>
              <w:keepNext/>
              <w:jc w:val="center"/>
              <w:rPr>
                <w:szCs w:val="20"/>
                <w:highlight w:val="darkGray"/>
              </w:rPr>
            </w:pPr>
            <w:r w:rsidRPr="00282289">
              <w:rPr>
                <w:color w:val="000000"/>
                <w:spacing w:val="75"/>
                <w:szCs w:val="20"/>
                <w:shd w:val="solid" w:color="000000" w:fill="000000"/>
                <w:fitText w:val="161" w:id="-723258096"/>
                <w14:textFill>
                  <w14:solidFill>
                    <w14:srgbClr w14:val="000000">
                      <w14:alpha w14:val="100000"/>
                    </w14:srgbClr>
                  </w14:solidFill>
                </w14:textFill>
              </w:rPr>
              <w:t>|</w:t>
            </w:r>
            <w:r w:rsidRPr="00282289">
              <w:rPr>
                <w:color w:val="000000"/>
                <w:spacing w:val="1"/>
                <w:szCs w:val="20"/>
                <w:shd w:val="solid" w:color="000000" w:fill="000000"/>
                <w:fitText w:val="161" w:id="-723258096"/>
                <w14:textFill>
                  <w14:solidFill>
                    <w14:srgbClr w14:val="000000">
                      <w14:alpha w14:val="100000"/>
                    </w14:srgbClr>
                  </w14:solidFill>
                </w14:textFill>
              </w:rPr>
              <w:t>|</w:t>
            </w:r>
            <w:r w:rsidR="00A27FA9" w:rsidRPr="00A27FA9">
              <w:rPr>
                <w:szCs w:val="20"/>
              </w:rPr>
              <w:t xml:space="preserve"> </w:t>
            </w:r>
            <w:r w:rsidRPr="00070C9A">
              <w:rPr>
                <w:rFonts w:hint="eastAsia"/>
                <w:color w:val="000000"/>
                <w:w w:val="43"/>
                <w:szCs w:val="20"/>
                <w:shd w:val="solid" w:color="000000" w:fill="000000"/>
                <w:fitText w:val="150" w:id="-723258112"/>
                <w14:textFill>
                  <w14:solidFill>
                    <w14:srgbClr w14:val="000000">
                      <w14:alpha w14:val="100000"/>
                    </w14:srgbClr>
                  </w14:solidFill>
                </w14:textFill>
              </w:rPr>
              <w:t xml:space="preserve">　</w:t>
            </w:r>
            <w:r w:rsidRPr="00070C9A">
              <w:rPr>
                <w:color w:val="000000"/>
                <w:w w:val="43"/>
                <w:szCs w:val="20"/>
                <w:shd w:val="solid" w:color="000000" w:fill="000000"/>
                <w:fitText w:val="150" w:id="-723258112"/>
                <w:vertAlign w:val="superscript"/>
                <w14:textFill>
                  <w14:solidFill>
                    <w14:srgbClr w14:val="000000">
                      <w14:alpha w14:val="100000"/>
                    </w14:srgbClr>
                  </w14:solidFill>
                </w14:textFill>
              </w:rPr>
              <w:t>|</w:t>
            </w:r>
            <w:r w:rsidRPr="00070C9A">
              <w:rPr>
                <w:rFonts w:hint="eastAsia"/>
                <w:color w:val="000000"/>
                <w:w w:val="43"/>
                <w:szCs w:val="20"/>
                <w:shd w:val="solid" w:color="000000" w:fill="000000"/>
                <w:fitText w:val="150" w:id="-723258112"/>
                <w:vertAlign w:val="superscript"/>
                <w14:textFill>
                  <w14:solidFill>
                    <w14:srgbClr w14:val="000000">
                      <w14:alpha w14:val="100000"/>
                    </w14:srgbClr>
                  </w14:solidFill>
                </w14:textFill>
              </w:rPr>
              <w:t xml:space="preserve">　</w:t>
            </w:r>
            <w:r w:rsidR="00A27FA9" w:rsidRPr="00A27FA9">
              <w:rPr>
                <w:szCs w:val="20"/>
              </w:rPr>
              <w:t xml:space="preserve"> </w:t>
            </w:r>
            <w:r w:rsidRPr="00282289">
              <w:rPr>
                <w:color w:val="000000"/>
                <w:spacing w:val="107"/>
                <w:szCs w:val="20"/>
                <w:shd w:val="solid" w:color="000000" w:fill="000000"/>
                <w:fitText w:val="193" w:id="-723258111"/>
                <w14:textFill>
                  <w14:solidFill>
                    <w14:srgbClr w14:val="000000">
                      <w14:alpha w14:val="100000"/>
                    </w14:srgbClr>
                  </w14:solidFill>
                </w14:textFill>
              </w:rPr>
              <w:t>|</w:t>
            </w:r>
            <w:r w:rsidRPr="00282289">
              <w:rPr>
                <w:color w:val="000000"/>
                <w:spacing w:val="1"/>
                <w:szCs w:val="20"/>
                <w:shd w:val="solid" w:color="000000" w:fill="000000"/>
                <w:fitText w:val="193" w:id="-723258111"/>
                <w14:textFill>
                  <w14:solidFill>
                    <w14:srgbClr w14:val="000000">
                      <w14:alpha w14:val="100000"/>
                    </w14:srgbClr>
                  </w14:solidFill>
                </w14:textFill>
              </w:rPr>
              <w:t>|</w:t>
            </w:r>
          </w:p>
        </w:tc>
        <w:tc>
          <w:tcPr>
            <w:tcW w:w="1169" w:type="dxa"/>
            <w:shd w:val="clear" w:color="auto" w:fill="auto"/>
            <w:vAlign w:val="center"/>
          </w:tcPr>
          <w:p w14:paraId="5E6F82C5" w14:textId="6E3E8A51" w:rsidR="008F3F2B" w:rsidRPr="008F29D0" w:rsidRDefault="00070C9A" w:rsidP="00022017">
            <w:pPr>
              <w:pStyle w:val="Tabletext"/>
              <w:keepNext/>
              <w:jc w:val="center"/>
              <w:rPr>
                <w:szCs w:val="20"/>
                <w:highlight w:val="darkGray"/>
              </w:rPr>
            </w:pPr>
            <w:r w:rsidRPr="00070C9A">
              <w:rPr>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76F89A60" w14:textId="08CC88F4" w:rsidR="008F3F2B" w:rsidRPr="008F29D0" w:rsidRDefault="00070C9A" w:rsidP="00022017">
            <w:pPr>
              <w:pStyle w:val="Tabletext"/>
              <w:keepNext/>
              <w:jc w:val="center"/>
              <w:rPr>
                <w:szCs w:val="20"/>
                <w:highlight w:val="darkGray"/>
              </w:rPr>
            </w:pPr>
            <w:r w:rsidRPr="00070C9A">
              <w:rPr>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3A475AC6" w14:textId="43C9EC84" w:rsidR="008F3F2B" w:rsidRPr="008F29D0" w:rsidRDefault="00070C9A" w:rsidP="00022017">
            <w:pPr>
              <w:pStyle w:val="Tabletext"/>
              <w:keepNext/>
              <w:jc w:val="center"/>
              <w:rPr>
                <w:szCs w:val="20"/>
                <w:highlight w:val="darkGray"/>
              </w:rPr>
            </w:pPr>
            <w:r w:rsidRPr="00070C9A">
              <w:rPr>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5E72282F" w14:textId="1FC427F5" w:rsidR="008F3F2B" w:rsidRPr="008F29D0" w:rsidRDefault="00070C9A" w:rsidP="00022017">
            <w:pPr>
              <w:pStyle w:val="Tabletext"/>
              <w:keepNext/>
              <w:jc w:val="center"/>
              <w:rPr>
                <w:szCs w:val="20"/>
                <w:highlight w:val="darkGray"/>
              </w:rPr>
            </w:pPr>
            <w:r w:rsidRPr="00070C9A">
              <w:rPr>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373" w:type="dxa"/>
            <w:vAlign w:val="center"/>
          </w:tcPr>
          <w:p w14:paraId="5C7C6D23" w14:textId="6B355CA4" w:rsidR="008F3F2B" w:rsidRPr="008F29D0" w:rsidRDefault="00070C9A" w:rsidP="00022017">
            <w:pPr>
              <w:pStyle w:val="Tabletext"/>
              <w:keepNext/>
              <w:jc w:val="center"/>
              <w:rPr>
                <w:szCs w:val="20"/>
                <w:highlight w:val="darkGray"/>
              </w:rPr>
            </w:pPr>
            <w:r w:rsidRPr="00070C9A">
              <w:rPr>
                <w:color w:val="000000"/>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r>
      <w:tr w:rsidR="008F3F2B" w:rsidRPr="008F29D0" w14:paraId="2B19B00C" w14:textId="77777777" w:rsidTr="00022017">
        <w:tc>
          <w:tcPr>
            <w:tcW w:w="9017" w:type="dxa"/>
            <w:gridSpan w:val="7"/>
            <w:shd w:val="clear" w:color="auto" w:fill="auto"/>
            <w:vAlign w:val="center"/>
          </w:tcPr>
          <w:p w14:paraId="48ACDFFC" w14:textId="2E9B8F3E" w:rsidR="008F3F2B" w:rsidRPr="008F29D0" w:rsidRDefault="00070C9A" w:rsidP="00022017">
            <w:pPr>
              <w:pStyle w:val="Tabletext"/>
              <w:keepNext/>
              <w:rPr>
                <w:b/>
                <w:bCs/>
                <w:szCs w:val="20"/>
                <w:highlight w:val="darkGray"/>
              </w:rPr>
            </w:pPr>
            <w:r w:rsidRPr="00282289">
              <w:rPr>
                <w:b/>
                <w:bCs/>
                <w:color w:val="000000"/>
                <w:spacing w:val="57"/>
                <w:szCs w:val="20"/>
                <w:shd w:val="solid" w:color="000000" w:fill="000000"/>
                <w:fitText w:val="355" w:id="-723258110"/>
                <w14:textFill>
                  <w14:solidFill>
                    <w14:srgbClr w14:val="000000">
                      <w14:alpha w14:val="100000"/>
                    </w14:srgbClr>
                  </w14:solidFill>
                </w14:textFill>
              </w:rPr>
              <w:t>|||</w:t>
            </w:r>
            <w:r w:rsidRPr="00282289">
              <w:rPr>
                <w:b/>
                <w:bCs/>
                <w:color w:val="000000"/>
                <w:spacing w:val="1"/>
                <w:szCs w:val="20"/>
                <w:shd w:val="solid" w:color="000000" w:fill="000000"/>
                <w:fitText w:val="355" w:id="-723258110"/>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8109"/>
                <w14:textFill>
                  <w14:solidFill>
                    <w14:srgbClr w14:val="000000">
                      <w14:alpha w14:val="100000"/>
                    </w14:srgbClr>
                  </w14:solidFill>
                </w14:textFill>
              </w:rPr>
              <w:t>|||</w:t>
            </w:r>
            <w:r w:rsidRPr="00282289">
              <w:rPr>
                <w:b/>
                <w:bCs/>
                <w:color w:val="000000"/>
                <w:spacing w:val="1"/>
                <w:szCs w:val="20"/>
                <w:shd w:val="solid" w:color="000000" w:fill="000000"/>
                <w:fitText w:val="355" w:id="-723258109"/>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8108"/>
                <w14:textFill>
                  <w14:solidFill>
                    <w14:srgbClr w14:val="000000">
                      <w14:alpha w14:val="100000"/>
                    </w14:srgbClr>
                  </w14:solidFill>
                </w14:textFill>
              </w:rPr>
              <w:t>|||</w:t>
            </w:r>
            <w:r w:rsidRPr="00282289">
              <w:rPr>
                <w:b/>
                <w:bCs/>
                <w:color w:val="000000"/>
                <w:spacing w:val="1"/>
                <w:szCs w:val="20"/>
                <w:shd w:val="solid" w:color="000000" w:fill="000000"/>
                <w:fitText w:val="355" w:id="-723258108"/>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8107"/>
                <w14:textFill>
                  <w14:solidFill>
                    <w14:srgbClr w14:val="000000">
                      <w14:alpha w14:val="100000"/>
                    </w14:srgbClr>
                  </w14:solidFill>
                </w14:textFill>
              </w:rPr>
              <w:t>|||</w:t>
            </w:r>
            <w:r w:rsidRPr="00282289">
              <w:rPr>
                <w:b/>
                <w:bCs/>
                <w:color w:val="000000"/>
                <w:spacing w:val="1"/>
                <w:szCs w:val="20"/>
                <w:shd w:val="solid" w:color="000000" w:fill="000000"/>
                <w:fitText w:val="355" w:id="-723258107"/>
                <w14:textFill>
                  <w14:solidFill>
                    <w14:srgbClr w14:val="000000">
                      <w14:alpha w14:val="100000"/>
                    </w14:srgbClr>
                  </w14:solidFill>
                </w14:textFill>
              </w:rPr>
              <w:t>|</w:t>
            </w:r>
            <w:r w:rsidR="00A27FA9" w:rsidRPr="00A27FA9">
              <w:rPr>
                <w:b/>
                <w:bCs/>
                <w:szCs w:val="20"/>
              </w:rPr>
              <w:t xml:space="preserve"> </w:t>
            </w:r>
            <w:r w:rsidRPr="00282289">
              <w:rPr>
                <w:b/>
                <w:bCs/>
                <w:color w:val="000000"/>
                <w:spacing w:val="60"/>
                <w:szCs w:val="20"/>
                <w:shd w:val="solid" w:color="000000" w:fill="000000"/>
                <w:fitText w:val="365" w:id="-723258106"/>
                <w14:textFill>
                  <w14:solidFill>
                    <w14:srgbClr w14:val="000000">
                      <w14:alpha w14:val="100000"/>
                    </w14:srgbClr>
                  </w14:solidFill>
                </w14:textFill>
              </w:rPr>
              <w:t>|||</w:t>
            </w:r>
            <w:r w:rsidRPr="00282289">
              <w:rPr>
                <w:b/>
                <w:bCs/>
                <w:color w:val="000000"/>
                <w:spacing w:val="2"/>
                <w:szCs w:val="20"/>
                <w:shd w:val="solid" w:color="000000" w:fill="000000"/>
                <w:fitText w:val="365" w:id="-723258106"/>
                <w14:textFill>
                  <w14:solidFill>
                    <w14:srgbClr w14:val="000000">
                      <w14:alpha w14:val="100000"/>
                    </w14:srgbClr>
                  </w14:solidFill>
                </w14:textFill>
              </w:rPr>
              <w:t>|</w:t>
            </w:r>
            <w:r w:rsidR="00A27FA9" w:rsidRPr="00A27FA9">
              <w:rPr>
                <w:b/>
                <w:bCs/>
                <w:szCs w:val="20"/>
              </w:rPr>
              <w:t xml:space="preserve"> </w:t>
            </w:r>
            <w:r w:rsidRPr="00282289">
              <w:rPr>
                <w:b/>
                <w:bCs/>
                <w:color w:val="000000"/>
                <w:spacing w:val="56"/>
                <w:szCs w:val="20"/>
                <w:shd w:val="solid" w:color="000000" w:fill="000000"/>
                <w:fitText w:val="354" w:id="-723258105"/>
                <w14:textFill>
                  <w14:solidFill>
                    <w14:srgbClr w14:val="000000">
                      <w14:alpha w14:val="100000"/>
                    </w14:srgbClr>
                  </w14:solidFill>
                </w14:textFill>
              </w:rPr>
              <w:t>|||</w:t>
            </w:r>
            <w:r w:rsidRPr="00282289">
              <w:rPr>
                <w:b/>
                <w:bCs/>
                <w:color w:val="000000"/>
                <w:spacing w:val="3"/>
                <w:szCs w:val="20"/>
                <w:shd w:val="solid" w:color="000000" w:fill="000000"/>
                <w:fitText w:val="354" w:id="-723258105"/>
                <w14:textFill>
                  <w14:solidFill>
                    <w14:srgbClr w14:val="000000">
                      <w14:alpha w14:val="100000"/>
                    </w14:srgbClr>
                  </w14:solidFill>
                </w14:textFill>
              </w:rPr>
              <w:t>|</w:t>
            </w:r>
          </w:p>
        </w:tc>
      </w:tr>
      <w:tr w:rsidR="008F3F2B" w:rsidRPr="008F29D0" w14:paraId="17BA2381" w14:textId="77777777" w:rsidTr="009E2A2A">
        <w:tc>
          <w:tcPr>
            <w:tcW w:w="1799" w:type="dxa"/>
            <w:shd w:val="clear" w:color="auto" w:fill="auto"/>
            <w:vAlign w:val="center"/>
          </w:tcPr>
          <w:p w14:paraId="54112E4B" w14:textId="2F26768D" w:rsidR="008F3F2B" w:rsidRPr="008F29D0" w:rsidRDefault="00070C9A" w:rsidP="00022017">
            <w:pPr>
              <w:pStyle w:val="Tabletext"/>
              <w:keepNext/>
              <w:rPr>
                <w:szCs w:val="20"/>
                <w:highlight w:val="darkGray"/>
              </w:rPr>
            </w:pPr>
            <w:r w:rsidRPr="00282289">
              <w:rPr>
                <w:color w:val="000000"/>
                <w:spacing w:val="54"/>
                <w:szCs w:val="20"/>
                <w:shd w:val="solid" w:color="000000" w:fill="000000"/>
                <w:fitText w:val="333" w:id="-723258104"/>
                <w14:textFill>
                  <w14:solidFill>
                    <w14:srgbClr w14:val="000000">
                      <w14:alpha w14:val="100000"/>
                    </w14:srgbClr>
                  </w14:solidFill>
                </w14:textFill>
              </w:rPr>
              <w:t>|||</w:t>
            </w:r>
            <w:r w:rsidRPr="00282289">
              <w:rPr>
                <w:color w:val="000000"/>
                <w:spacing w:val="1"/>
                <w:szCs w:val="20"/>
                <w:shd w:val="solid" w:color="000000" w:fill="000000"/>
                <w:fitText w:val="333" w:id="-723258104"/>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8103"/>
                <w14:textFill>
                  <w14:solidFill>
                    <w14:srgbClr w14:val="000000">
                      <w14:alpha w14:val="100000"/>
                    </w14:srgbClr>
                  </w14:solidFill>
                </w14:textFill>
              </w:rPr>
              <w:t>|||</w:t>
            </w:r>
            <w:r w:rsidRPr="00282289">
              <w:rPr>
                <w:color w:val="000000"/>
                <w:spacing w:val="1"/>
                <w:szCs w:val="20"/>
                <w:shd w:val="solid" w:color="000000" w:fill="000000"/>
                <w:fitText w:val="333" w:id="-723258103"/>
                <w14:textFill>
                  <w14:solidFill>
                    <w14:srgbClr w14:val="000000">
                      <w14:alpha w14:val="100000"/>
                    </w14:srgbClr>
                  </w14:solidFill>
                </w14:textFill>
              </w:rPr>
              <w:t>|</w:t>
            </w:r>
            <w:r w:rsidR="00A27FA9" w:rsidRPr="00A27FA9">
              <w:rPr>
                <w:szCs w:val="20"/>
              </w:rPr>
              <w:t xml:space="preserve"> </w:t>
            </w:r>
            <w:r w:rsidRPr="00282289">
              <w:rPr>
                <w:color w:val="000000"/>
                <w:spacing w:val="50"/>
                <w:szCs w:val="20"/>
                <w:shd w:val="solid" w:color="000000" w:fill="000000"/>
                <w:fitText w:val="322" w:id="-723258102"/>
                <w14:textFill>
                  <w14:solidFill>
                    <w14:srgbClr w14:val="000000">
                      <w14:alpha w14:val="100000"/>
                    </w14:srgbClr>
                  </w14:solidFill>
                </w14:textFill>
              </w:rPr>
              <w:t>|||</w:t>
            </w:r>
            <w:r w:rsidRPr="00282289">
              <w:rPr>
                <w:color w:val="000000"/>
                <w:spacing w:val="2"/>
                <w:szCs w:val="20"/>
                <w:shd w:val="solid" w:color="000000" w:fill="000000"/>
                <w:fitText w:val="322" w:id="-723258102"/>
                <w14:textFill>
                  <w14:solidFill>
                    <w14:srgbClr w14:val="000000">
                      <w14:alpha w14:val="100000"/>
                    </w14:srgbClr>
                  </w14:solidFill>
                </w14:textFill>
              </w:rPr>
              <w:t>|</w:t>
            </w:r>
            <w:r w:rsidR="00A27FA9" w:rsidRPr="00A27FA9">
              <w:rPr>
                <w:szCs w:val="20"/>
              </w:rPr>
              <w:t xml:space="preserve"> </w:t>
            </w:r>
          </w:p>
        </w:tc>
        <w:tc>
          <w:tcPr>
            <w:tcW w:w="1169" w:type="dxa"/>
            <w:shd w:val="clear" w:color="auto" w:fill="auto"/>
            <w:vAlign w:val="center"/>
          </w:tcPr>
          <w:p w14:paraId="3229C751" w14:textId="743B61F7"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07D040A0" w14:textId="60CA089B"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5B4BF791" w14:textId="3795D99C"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0C654D6C" w14:textId="12B2D40D"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2557D03F" w14:textId="3DB0370B"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373" w:type="dxa"/>
            <w:vAlign w:val="center"/>
          </w:tcPr>
          <w:p w14:paraId="34DCDA94" w14:textId="134EC041" w:rsidR="008F3F2B" w:rsidRPr="008F29D0" w:rsidRDefault="00070C9A" w:rsidP="00022017">
            <w:pPr>
              <w:pStyle w:val="Tabletext"/>
              <w:keepNext/>
              <w:jc w:val="center"/>
              <w:rPr>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r>
      <w:tr w:rsidR="008F3F2B" w:rsidRPr="008F29D0" w14:paraId="3399F88C" w14:textId="77777777" w:rsidTr="009E2A2A">
        <w:tc>
          <w:tcPr>
            <w:tcW w:w="1799" w:type="dxa"/>
            <w:shd w:val="clear" w:color="auto" w:fill="auto"/>
            <w:vAlign w:val="center"/>
          </w:tcPr>
          <w:p w14:paraId="5AF0C721" w14:textId="306A0A4D" w:rsidR="008F3F2B" w:rsidRPr="008F29D0" w:rsidRDefault="00070C9A" w:rsidP="00022017">
            <w:pPr>
              <w:pStyle w:val="Tabletext"/>
              <w:keepNext/>
              <w:rPr>
                <w:szCs w:val="20"/>
                <w:highlight w:val="darkGray"/>
              </w:rPr>
            </w:pPr>
            <w:r w:rsidRPr="00282289">
              <w:rPr>
                <w:color w:val="000000"/>
                <w:spacing w:val="54"/>
                <w:szCs w:val="20"/>
                <w:shd w:val="solid" w:color="000000" w:fill="000000"/>
                <w:fitText w:val="333" w:id="-723257856"/>
                <w14:textFill>
                  <w14:solidFill>
                    <w14:srgbClr w14:val="000000">
                      <w14:alpha w14:val="100000"/>
                    </w14:srgbClr>
                  </w14:solidFill>
                </w14:textFill>
              </w:rPr>
              <w:t>|||</w:t>
            </w:r>
            <w:r w:rsidRPr="00282289">
              <w:rPr>
                <w:color w:val="000000"/>
                <w:spacing w:val="1"/>
                <w:szCs w:val="20"/>
                <w:shd w:val="solid" w:color="000000" w:fill="000000"/>
                <w:fitText w:val="333" w:id="-723257856"/>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7855"/>
                <w14:textFill>
                  <w14:solidFill>
                    <w14:srgbClr w14:val="000000">
                      <w14:alpha w14:val="100000"/>
                    </w14:srgbClr>
                  </w14:solidFill>
                </w14:textFill>
              </w:rPr>
              <w:t>|||</w:t>
            </w:r>
            <w:r w:rsidRPr="00282289">
              <w:rPr>
                <w:color w:val="000000"/>
                <w:spacing w:val="1"/>
                <w:szCs w:val="20"/>
                <w:shd w:val="solid" w:color="000000" w:fill="000000"/>
                <w:fitText w:val="333" w:id="-723257855"/>
                <w14:textFill>
                  <w14:solidFill>
                    <w14:srgbClr w14:val="000000">
                      <w14:alpha w14:val="100000"/>
                    </w14:srgbClr>
                  </w14:solidFill>
                </w14:textFill>
              </w:rPr>
              <w:t>|</w:t>
            </w:r>
            <w:r w:rsidR="00A27FA9" w:rsidRPr="00A27FA9">
              <w:rPr>
                <w:szCs w:val="20"/>
              </w:rPr>
              <w:t xml:space="preserve"> </w:t>
            </w:r>
            <w:r w:rsidRPr="00282289">
              <w:rPr>
                <w:color w:val="000000"/>
                <w:spacing w:val="50"/>
                <w:szCs w:val="20"/>
                <w:shd w:val="solid" w:color="000000" w:fill="000000"/>
                <w:fitText w:val="322" w:id="-723257854"/>
                <w14:textFill>
                  <w14:solidFill>
                    <w14:srgbClr w14:val="000000">
                      <w14:alpha w14:val="100000"/>
                    </w14:srgbClr>
                  </w14:solidFill>
                </w14:textFill>
              </w:rPr>
              <w:t>|||</w:t>
            </w:r>
            <w:r w:rsidRPr="00282289">
              <w:rPr>
                <w:color w:val="000000"/>
                <w:spacing w:val="2"/>
                <w:szCs w:val="20"/>
                <w:shd w:val="solid" w:color="000000" w:fill="000000"/>
                <w:fitText w:val="322" w:id="-723257854"/>
                <w14:textFill>
                  <w14:solidFill>
                    <w14:srgbClr w14:val="000000">
                      <w14:alpha w14:val="100000"/>
                    </w14:srgbClr>
                  </w14:solidFill>
                </w14:textFill>
              </w:rPr>
              <w:t>|</w:t>
            </w:r>
            <w:r w:rsidR="00A27FA9" w:rsidRPr="00A27FA9">
              <w:rPr>
                <w:szCs w:val="20"/>
              </w:rPr>
              <w:t xml:space="preserve"> </w:t>
            </w:r>
          </w:p>
        </w:tc>
        <w:tc>
          <w:tcPr>
            <w:tcW w:w="1169" w:type="dxa"/>
            <w:shd w:val="clear" w:color="auto" w:fill="auto"/>
            <w:vAlign w:val="center"/>
          </w:tcPr>
          <w:p w14:paraId="621430D3" w14:textId="59E03C5A" w:rsidR="008F3F2B" w:rsidRPr="008F29D0" w:rsidRDefault="00070C9A" w:rsidP="00022017">
            <w:pPr>
              <w:pStyle w:val="Tabletext"/>
              <w:keepNext/>
              <w:jc w:val="center"/>
              <w:rPr>
                <w:szCs w:val="20"/>
                <w:highlight w:val="darkGray"/>
              </w:rPr>
            </w:pPr>
            <w:r w:rsidRPr="00070C9A">
              <w:rPr>
                <w:rFonts w:cs="Arial"/>
                <w:color w:val="000000"/>
                <w:w w:val="54"/>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3BA207D0" w14:textId="4FA6669A"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52128563" w14:textId="2C722D49"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2B94041A" w14:textId="39DFB2D2"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686E2AD1" w14:textId="24B195FF"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373" w:type="dxa"/>
            <w:vAlign w:val="center"/>
          </w:tcPr>
          <w:p w14:paraId="656D77CE" w14:textId="22BD051E" w:rsidR="008F3F2B" w:rsidRPr="008F29D0" w:rsidRDefault="00070C9A" w:rsidP="00022017">
            <w:pPr>
              <w:pStyle w:val="Tabletext"/>
              <w:keepNext/>
              <w:jc w:val="center"/>
              <w:rPr>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r>
      <w:tr w:rsidR="008F3F2B" w:rsidRPr="008F29D0" w14:paraId="21325516" w14:textId="77777777" w:rsidTr="009E2A2A">
        <w:tc>
          <w:tcPr>
            <w:tcW w:w="1799" w:type="dxa"/>
            <w:shd w:val="clear" w:color="auto" w:fill="auto"/>
            <w:vAlign w:val="center"/>
          </w:tcPr>
          <w:p w14:paraId="34E0DD1D" w14:textId="0436D04F" w:rsidR="008F3F2B" w:rsidRPr="008F29D0" w:rsidRDefault="00070C9A" w:rsidP="00022017">
            <w:pPr>
              <w:pStyle w:val="Tabletext"/>
              <w:keepNext/>
              <w:rPr>
                <w:szCs w:val="20"/>
                <w:highlight w:val="darkGray"/>
              </w:rPr>
            </w:pPr>
            <w:r w:rsidRPr="00282289">
              <w:rPr>
                <w:color w:val="000000"/>
                <w:spacing w:val="54"/>
                <w:szCs w:val="20"/>
                <w:shd w:val="solid" w:color="000000" w:fill="000000"/>
                <w:fitText w:val="333" w:id="-723257853"/>
                <w14:textFill>
                  <w14:solidFill>
                    <w14:srgbClr w14:val="000000">
                      <w14:alpha w14:val="100000"/>
                    </w14:srgbClr>
                  </w14:solidFill>
                </w14:textFill>
              </w:rPr>
              <w:t>|||</w:t>
            </w:r>
            <w:r w:rsidRPr="00282289">
              <w:rPr>
                <w:color w:val="000000"/>
                <w:spacing w:val="1"/>
                <w:szCs w:val="20"/>
                <w:shd w:val="solid" w:color="000000" w:fill="000000"/>
                <w:fitText w:val="333" w:id="-723257853"/>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7852"/>
                <w14:textFill>
                  <w14:solidFill>
                    <w14:srgbClr w14:val="000000">
                      <w14:alpha w14:val="100000"/>
                    </w14:srgbClr>
                  </w14:solidFill>
                </w14:textFill>
              </w:rPr>
              <w:t>|||</w:t>
            </w:r>
            <w:r w:rsidRPr="00282289">
              <w:rPr>
                <w:color w:val="000000"/>
                <w:spacing w:val="1"/>
                <w:szCs w:val="20"/>
                <w:shd w:val="solid" w:color="000000" w:fill="000000"/>
                <w:fitText w:val="333" w:id="-723257852"/>
                <w14:textFill>
                  <w14:solidFill>
                    <w14:srgbClr w14:val="000000">
                      <w14:alpha w14:val="100000"/>
                    </w14:srgbClr>
                  </w14:solidFill>
                </w14:textFill>
              </w:rPr>
              <w:t>|</w:t>
            </w:r>
            <w:r w:rsidR="00A27FA9" w:rsidRPr="00A27FA9">
              <w:rPr>
                <w:szCs w:val="20"/>
              </w:rPr>
              <w:t xml:space="preserve"> </w:t>
            </w:r>
          </w:p>
        </w:tc>
        <w:tc>
          <w:tcPr>
            <w:tcW w:w="1169" w:type="dxa"/>
            <w:shd w:val="clear" w:color="auto" w:fill="auto"/>
            <w:vAlign w:val="center"/>
          </w:tcPr>
          <w:p w14:paraId="318F7B9A" w14:textId="0612D0F5"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68858328" w14:textId="2E40DBF7"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650588EB" w14:textId="3109154C"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20629516" w14:textId="01EB13DA"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00FE2E2F" w14:textId="0E155C20"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373" w:type="dxa"/>
            <w:vAlign w:val="center"/>
          </w:tcPr>
          <w:p w14:paraId="323E759A" w14:textId="5DD2625D" w:rsidR="008F3F2B" w:rsidRPr="008F29D0" w:rsidRDefault="00070C9A" w:rsidP="00022017">
            <w:pPr>
              <w:pStyle w:val="Tabletext"/>
              <w:keepNext/>
              <w:jc w:val="center"/>
              <w:rPr>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r>
      <w:tr w:rsidR="008F3F2B" w:rsidRPr="008F29D0" w14:paraId="5E7F76CC" w14:textId="77777777" w:rsidTr="009E2A2A">
        <w:tc>
          <w:tcPr>
            <w:tcW w:w="1799" w:type="dxa"/>
            <w:shd w:val="clear" w:color="auto" w:fill="auto"/>
            <w:vAlign w:val="center"/>
          </w:tcPr>
          <w:p w14:paraId="22F6FE8E" w14:textId="193D94D8" w:rsidR="008F3F2B" w:rsidRPr="008F29D0" w:rsidRDefault="00070C9A" w:rsidP="00022017">
            <w:pPr>
              <w:pStyle w:val="Tabletext"/>
              <w:keepNext/>
              <w:rPr>
                <w:szCs w:val="20"/>
                <w:highlight w:val="darkGray"/>
              </w:rPr>
            </w:pPr>
            <w:r w:rsidRPr="00282289">
              <w:rPr>
                <w:color w:val="000000"/>
                <w:spacing w:val="54"/>
                <w:szCs w:val="20"/>
                <w:shd w:val="solid" w:color="000000" w:fill="000000"/>
                <w:fitText w:val="333" w:id="-723257851"/>
                <w14:textFill>
                  <w14:solidFill>
                    <w14:srgbClr w14:val="000000">
                      <w14:alpha w14:val="100000"/>
                    </w14:srgbClr>
                  </w14:solidFill>
                </w14:textFill>
              </w:rPr>
              <w:t>|||</w:t>
            </w:r>
            <w:r w:rsidRPr="00282289">
              <w:rPr>
                <w:color w:val="000000"/>
                <w:spacing w:val="1"/>
                <w:szCs w:val="20"/>
                <w:shd w:val="solid" w:color="000000" w:fill="000000"/>
                <w:fitText w:val="333" w:id="-723257851"/>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7850"/>
                <w14:textFill>
                  <w14:solidFill>
                    <w14:srgbClr w14:val="000000">
                      <w14:alpha w14:val="100000"/>
                    </w14:srgbClr>
                  </w14:solidFill>
                </w14:textFill>
              </w:rPr>
              <w:t>|||</w:t>
            </w:r>
            <w:r w:rsidRPr="00282289">
              <w:rPr>
                <w:color w:val="000000"/>
                <w:spacing w:val="1"/>
                <w:szCs w:val="20"/>
                <w:shd w:val="solid" w:color="000000" w:fill="000000"/>
                <w:fitText w:val="333" w:id="-723257850"/>
                <w14:textFill>
                  <w14:solidFill>
                    <w14:srgbClr w14:val="000000">
                      <w14:alpha w14:val="100000"/>
                    </w14:srgbClr>
                  </w14:solidFill>
                </w14:textFill>
              </w:rPr>
              <w:t>|</w:t>
            </w:r>
          </w:p>
        </w:tc>
        <w:tc>
          <w:tcPr>
            <w:tcW w:w="1169" w:type="dxa"/>
            <w:shd w:val="clear" w:color="auto" w:fill="auto"/>
            <w:vAlign w:val="center"/>
          </w:tcPr>
          <w:p w14:paraId="78904957" w14:textId="58800EF5"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525A7631" w14:textId="1EDE620D" w:rsidR="008F3F2B" w:rsidRPr="008F29D0" w:rsidRDefault="00070C9A" w:rsidP="00022017">
            <w:pPr>
              <w:pStyle w:val="Tabletext"/>
              <w:keepNext/>
              <w:jc w:val="center"/>
              <w:rPr>
                <w:szCs w:val="20"/>
                <w:highlight w:val="darkGray"/>
              </w:rPr>
            </w:pPr>
            <w:r w:rsidRPr="00070C9A">
              <w:rPr>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73752777" w14:textId="15F57A0D"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7077EF1F" w14:textId="554E4D2B"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441D71DF" w14:textId="494CF2DB"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373" w:type="dxa"/>
            <w:vAlign w:val="center"/>
          </w:tcPr>
          <w:p w14:paraId="38A64A5C" w14:textId="2DDCE138" w:rsidR="008F3F2B" w:rsidRPr="008F29D0" w:rsidRDefault="00070C9A" w:rsidP="00022017">
            <w:pPr>
              <w:pStyle w:val="Tabletext"/>
              <w:keepNext/>
              <w:jc w:val="center"/>
              <w:rPr>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r>
      <w:tr w:rsidR="008F3F2B" w:rsidRPr="008F29D0" w14:paraId="07EFE80C" w14:textId="77777777" w:rsidTr="009E2A2A">
        <w:tc>
          <w:tcPr>
            <w:tcW w:w="1799" w:type="dxa"/>
            <w:shd w:val="clear" w:color="auto" w:fill="auto"/>
            <w:vAlign w:val="center"/>
          </w:tcPr>
          <w:p w14:paraId="5AFD65F8" w14:textId="49B2B1BD" w:rsidR="008F3F2B" w:rsidRPr="008F29D0" w:rsidRDefault="00070C9A" w:rsidP="00022017">
            <w:pPr>
              <w:pStyle w:val="Tabletext"/>
              <w:keepNext/>
              <w:rPr>
                <w:szCs w:val="20"/>
                <w:highlight w:val="darkGray"/>
              </w:rPr>
            </w:pPr>
            <w:r w:rsidRPr="00282289">
              <w:rPr>
                <w:color w:val="000000"/>
                <w:spacing w:val="54"/>
                <w:szCs w:val="20"/>
                <w:shd w:val="solid" w:color="000000" w:fill="000000"/>
                <w:fitText w:val="333" w:id="-723257849"/>
                <w14:textFill>
                  <w14:solidFill>
                    <w14:srgbClr w14:val="000000">
                      <w14:alpha w14:val="100000"/>
                    </w14:srgbClr>
                  </w14:solidFill>
                </w14:textFill>
              </w:rPr>
              <w:t>|||</w:t>
            </w:r>
            <w:r w:rsidRPr="00282289">
              <w:rPr>
                <w:color w:val="000000"/>
                <w:spacing w:val="1"/>
                <w:szCs w:val="20"/>
                <w:shd w:val="solid" w:color="000000" w:fill="000000"/>
                <w:fitText w:val="333" w:id="-723257849"/>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7848"/>
                <w14:textFill>
                  <w14:solidFill>
                    <w14:srgbClr w14:val="000000">
                      <w14:alpha w14:val="100000"/>
                    </w14:srgbClr>
                  </w14:solidFill>
                </w14:textFill>
              </w:rPr>
              <w:t>|||</w:t>
            </w:r>
            <w:r w:rsidRPr="00282289">
              <w:rPr>
                <w:color w:val="000000"/>
                <w:spacing w:val="1"/>
                <w:szCs w:val="20"/>
                <w:shd w:val="solid" w:color="000000" w:fill="000000"/>
                <w:fitText w:val="333" w:id="-723257848"/>
                <w14:textFill>
                  <w14:solidFill>
                    <w14:srgbClr w14:val="000000">
                      <w14:alpha w14:val="100000"/>
                    </w14:srgbClr>
                  </w14:solidFill>
                </w14:textFill>
              </w:rPr>
              <w:t>|</w:t>
            </w:r>
          </w:p>
        </w:tc>
        <w:tc>
          <w:tcPr>
            <w:tcW w:w="1169" w:type="dxa"/>
            <w:shd w:val="clear" w:color="auto" w:fill="auto"/>
            <w:vAlign w:val="center"/>
          </w:tcPr>
          <w:p w14:paraId="463DD095" w14:textId="473FF30A"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4C77B6C6" w14:textId="60B44413"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27ABB12F" w14:textId="20986930"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00B91718" w14:textId="33B130C1"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57B79DFA" w14:textId="59B1EFC3" w:rsidR="008F3F2B" w:rsidRPr="008F29D0" w:rsidRDefault="00070C9A" w:rsidP="00022017">
            <w:pPr>
              <w:pStyle w:val="Tabletext"/>
              <w:keepNext/>
              <w:jc w:val="center"/>
              <w:rPr>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c>
          <w:tcPr>
            <w:tcW w:w="1373" w:type="dxa"/>
            <w:vAlign w:val="center"/>
          </w:tcPr>
          <w:p w14:paraId="3A346ABF" w14:textId="459318F2" w:rsidR="008F3F2B" w:rsidRPr="008F29D0" w:rsidRDefault="00070C9A" w:rsidP="00022017">
            <w:pPr>
              <w:pStyle w:val="Tabletext"/>
              <w:keepNext/>
              <w:jc w:val="center"/>
              <w:rPr>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szCs w:val="20"/>
                <w:vertAlign w:val="superscript"/>
              </w:rPr>
              <w:t xml:space="preserve"> </w:t>
            </w:r>
          </w:p>
        </w:tc>
      </w:tr>
      <w:tr w:rsidR="009E2A2A" w:rsidRPr="008F29D0" w14:paraId="59C7A1C0" w14:textId="77777777" w:rsidTr="009E2A2A">
        <w:tc>
          <w:tcPr>
            <w:tcW w:w="1799" w:type="dxa"/>
            <w:shd w:val="clear" w:color="auto" w:fill="auto"/>
            <w:vAlign w:val="center"/>
          </w:tcPr>
          <w:p w14:paraId="19A5D2DA" w14:textId="07E61BAB" w:rsidR="009E2A2A" w:rsidRPr="008F29D0" w:rsidRDefault="00070C9A" w:rsidP="009E2A2A">
            <w:pPr>
              <w:pStyle w:val="Tabletext"/>
              <w:keepNext/>
              <w:rPr>
                <w:b/>
                <w:bCs/>
                <w:szCs w:val="20"/>
                <w:highlight w:val="darkGray"/>
              </w:rPr>
            </w:pPr>
            <w:r w:rsidRPr="00282289">
              <w:rPr>
                <w:b/>
                <w:bCs/>
                <w:color w:val="000000"/>
                <w:spacing w:val="57"/>
                <w:szCs w:val="20"/>
                <w:shd w:val="solid" w:color="000000" w:fill="000000"/>
                <w:fitText w:val="355" w:id="-723257847"/>
                <w14:textFill>
                  <w14:solidFill>
                    <w14:srgbClr w14:val="000000">
                      <w14:alpha w14:val="100000"/>
                    </w14:srgbClr>
                  </w14:solidFill>
                </w14:textFill>
              </w:rPr>
              <w:t>|||</w:t>
            </w:r>
            <w:r w:rsidRPr="00282289">
              <w:rPr>
                <w:b/>
                <w:bCs/>
                <w:color w:val="000000"/>
                <w:spacing w:val="1"/>
                <w:szCs w:val="20"/>
                <w:shd w:val="solid" w:color="000000" w:fill="000000"/>
                <w:fitText w:val="355" w:id="-723257847"/>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46"/>
                <w14:textFill>
                  <w14:solidFill>
                    <w14:srgbClr w14:val="000000">
                      <w14:alpha w14:val="100000"/>
                    </w14:srgbClr>
                  </w14:solidFill>
                </w14:textFill>
              </w:rPr>
              <w:t>|||</w:t>
            </w:r>
            <w:r w:rsidRPr="00282289">
              <w:rPr>
                <w:b/>
                <w:bCs/>
                <w:color w:val="000000"/>
                <w:spacing w:val="1"/>
                <w:szCs w:val="20"/>
                <w:shd w:val="solid" w:color="000000" w:fill="000000"/>
                <w:fitText w:val="355" w:id="-723257846"/>
                <w14:textFill>
                  <w14:solidFill>
                    <w14:srgbClr w14:val="000000">
                      <w14:alpha w14:val="100000"/>
                    </w14:srgbClr>
                  </w14:solidFill>
                </w14:textFill>
              </w:rPr>
              <w:t>|</w:t>
            </w:r>
          </w:p>
        </w:tc>
        <w:tc>
          <w:tcPr>
            <w:tcW w:w="1169" w:type="dxa"/>
            <w:shd w:val="clear" w:color="auto" w:fill="auto"/>
          </w:tcPr>
          <w:p w14:paraId="0996BB68" w14:textId="10B6735E" w:rsidR="009E2A2A" w:rsidRPr="008F29D0" w:rsidRDefault="00070C9A" w:rsidP="009E2A2A">
            <w:pPr>
              <w:pStyle w:val="Tabletext"/>
              <w:keepN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169" w:type="dxa"/>
            <w:shd w:val="clear" w:color="auto" w:fill="auto"/>
          </w:tcPr>
          <w:p w14:paraId="76A03FD2" w14:textId="01B3CFEC" w:rsidR="009E2A2A" w:rsidRPr="008F29D0" w:rsidRDefault="00070C9A" w:rsidP="009E2A2A">
            <w:pPr>
              <w:pStyle w:val="Tabletext"/>
              <w:keepN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169" w:type="dxa"/>
            <w:shd w:val="clear" w:color="auto" w:fill="auto"/>
          </w:tcPr>
          <w:p w14:paraId="7CBD6095" w14:textId="64CE023F" w:rsidR="009E2A2A" w:rsidRPr="008F29D0" w:rsidRDefault="00070C9A" w:rsidP="009E2A2A">
            <w:pPr>
              <w:pStyle w:val="Tabletext"/>
              <w:keepN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169" w:type="dxa"/>
            <w:shd w:val="clear" w:color="auto" w:fill="auto"/>
          </w:tcPr>
          <w:p w14:paraId="082F39BB" w14:textId="030AF0D2" w:rsidR="009E2A2A" w:rsidRPr="008F29D0" w:rsidRDefault="00070C9A" w:rsidP="009E2A2A">
            <w:pPr>
              <w:pStyle w:val="Tabletext"/>
              <w:keepN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169" w:type="dxa"/>
            <w:shd w:val="clear" w:color="auto" w:fill="auto"/>
          </w:tcPr>
          <w:p w14:paraId="16C66951" w14:textId="54AE79A8" w:rsidR="009E2A2A" w:rsidRPr="008F29D0" w:rsidRDefault="00070C9A" w:rsidP="009E2A2A">
            <w:pPr>
              <w:pStyle w:val="Tabletext"/>
              <w:keepN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373" w:type="dxa"/>
          </w:tcPr>
          <w:p w14:paraId="54C30C9C" w14:textId="696A2E6A" w:rsidR="009E2A2A" w:rsidRPr="008F29D0" w:rsidRDefault="00070C9A" w:rsidP="009E2A2A">
            <w:pPr>
              <w:pStyle w:val="Tabletext"/>
              <w:keepNext/>
              <w:jc w:val="center"/>
              <w:rPr>
                <w:b/>
                <w:bCs/>
                <w:szCs w:val="20"/>
                <w:highlight w:val="darkGray"/>
              </w:rPr>
            </w:pPr>
            <w:r w:rsidRPr="00070C9A">
              <w:rPr>
                <w:color w:val="000000"/>
                <w:shd w:val="solid" w:color="000000" w:fill="000000"/>
                <w14:textFill>
                  <w14:solidFill>
                    <w14:srgbClr w14:val="000000">
                      <w14:alpha w14:val="100000"/>
                    </w14:srgbClr>
                  </w14:solidFill>
                </w14:textFill>
              </w:rPr>
              <w:t>|</w:t>
            </w:r>
            <w:r w:rsidR="00A27FA9" w:rsidRPr="00A27FA9">
              <w:rPr>
                <w:vertAlign w:val="superscript"/>
              </w:rPr>
              <w:t xml:space="preserve"> </w:t>
            </w:r>
          </w:p>
        </w:tc>
      </w:tr>
      <w:tr w:rsidR="008F3F2B" w:rsidRPr="008F29D0" w14:paraId="25A77C55" w14:textId="77777777" w:rsidTr="00022017">
        <w:tc>
          <w:tcPr>
            <w:tcW w:w="9017" w:type="dxa"/>
            <w:gridSpan w:val="7"/>
            <w:shd w:val="clear" w:color="auto" w:fill="auto"/>
            <w:vAlign w:val="center"/>
          </w:tcPr>
          <w:p w14:paraId="5A951DDD" w14:textId="76CCDF14" w:rsidR="008F3F2B" w:rsidRPr="008F29D0" w:rsidRDefault="00070C9A" w:rsidP="00022017">
            <w:pPr>
              <w:pStyle w:val="Tabletext"/>
              <w:keepNext/>
              <w:rPr>
                <w:b/>
                <w:bCs/>
                <w:szCs w:val="20"/>
                <w:highlight w:val="darkGray"/>
              </w:rPr>
            </w:pPr>
            <w:r w:rsidRPr="00282289">
              <w:rPr>
                <w:b/>
                <w:bCs/>
                <w:color w:val="000000"/>
                <w:spacing w:val="57"/>
                <w:szCs w:val="20"/>
                <w:shd w:val="solid" w:color="000000" w:fill="000000"/>
                <w:fitText w:val="355" w:id="-723257845"/>
                <w14:textFill>
                  <w14:solidFill>
                    <w14:srgbClr w14:val="000000">
                      <w14:alpha w14:val="100000"/>
                    </w14:srgbClr>
                  </w14:solidFill>
                </w14:textFill>
              </w:rPr>
              <w:t>|||</w:t>
            </w:r>
            <w:r w:rsidRPr="00282289">
              <w:rPr>
                <w:b/>
                <w:bCs/>
                <w:color w:val="000000"/>
                <w:spacing w:val="1"/>
                <w:szCs w:val="20"/>
                <w:shd w:val="solid" w:color="000000" w:fill="000000"/>
                <w:fitText w:val="355" w:id="-723257845"/>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44"/>
                <w14:textFill>
                  <w14:solidFill>
                    <w14:srgbClr w14:val="000000">
                      <w14:alpha w14:val="100000"/>
                    </w14:srgbClr>
                  </w14:solidFill>
                </w14:textFill>
              </w:rPr>
              <w:t>|||</w:t>
            </w:r>
            <w:r w:rsidRPr="00282289">
              <w:rPr>
                <w:b/>
                <w:bCs/>
                <w:color w:val="000000"/>
                <w:spacing w:val="1"/>
                <w:szCs w:val="20"/>
                <w:shd w:val="solid" w:color="000000" w:fill="000000"/>
                <w:fitText w:val="355" w:id="-723257844"/>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43"/>
                <w14:textFill>
                  <w14:solidFill>
                    <w14:srgbClr w14:val="000000">
                      <w14:alpha w14:val="100000"/>
                    </w14:srgbClr>
                  </w14:solidFill>
                </w14:textFill>
              </w:rPr>
              <w:t>|||</w:t>
            </w:r>
            <w:r w:rsidRPr="00282289">
              <w:rPr>
                <w:b/>
                <w:bCs/>
                <w:color w:val="000000"/>
                <w:spacing w:val="1"/>
                <w:szCs w:val="20"/>
                <w:shd w:val="solid" w:color="000000" w:fill="000000"/>
                <w:fitText w:val="355" w:id="-723257843"/>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42"/>
                <w14:textFill>
                  <w14:solidFill>
                    <w14:srgbClr w14:val="000000">
                      <w14:alpha w14:val="100000"/>
                    </w14:srgbClr>
                  </w14:solidFill>
                </w14:textFill>
              </w:rPr>
              <w:t>|||</w:t>
            </w:r>
            <w:r w:rsidRPr="00282289">
              <w:rPr>
                <w:b/>
                <w:bCs/>
                <w:color w:val="000000"/>
                <w:spacing w:val="1"/>
                <w:szCs w:val="20"/>
                <w:shd w:val="solid" w:color="000000" w:fill="000000"/>
                <w:fitText w:val="355" w:id="-723257842"/>
                <w14:textFill>
                  <w14:solidFill>
                    <w14:srgbClr w14:val="000000">
                      <w14:alpha w14:val="100000"/>
                    </w14:srgbClr>
                  </w14:solidFill>
                </w14:textFill>
              </w:rPr>
              <w:t>|</w:t>
            </w:r>
            <w:r w:rsidR="00A27FA9" w:rsidRPr="00A27FA9">
              <w:rPr>
                <w:b/>
                <w:bCs/>
                <w:szCs w:val="20"/>
              </w:rPr>
              <w:t xml:space="preserve"> </w:t>
            </w:r>
            <w:r w:rsidRPr="00282289">
              <w:rPr>
                <w:b/>
                <w:bCs/>
                <w:color w:val="000000"/>
                <w:spacing w:val="60"/>
                <w:szCs w:val="20"/>
                <w:shd w:val="solid" w:color="000000" w:fill="000000"/>
                <w:fitText w:val="365" w:id="-723257841"/>
                <w14:textFill>
                  <w14:solidFill>
                    <w14:srgbClr w14:val="000000">
                      <w14:alpha w14:val="100000"/>
                    </w14:srgbClr>
                  </w14:solidFill>
                </w14:textFill>
              </w:rPr>
              <w:t>|||</w:t>
            </w:r>
            <w:r w:rsidRPr="00282289">
              <w:rPr>
                <w:b/>
                <w:bCs/>
                <w:color w:val="000000"/>
                <w:spacing w:val="2"/>
                <w:szCs w:val="20"/>
                <w:shd w:val="solid" w:color="000000" w:fill="000000"/>
                <w:fitText w:val="365" w:id="-723257841"/>
                <w14:textFill>
                  <w14:solidFill>
                    <w14:srgbClr w14:val="000000">
                      <w14:alpha w14:val="100000"/>
                    </w14:srgbClr>
                  </w14:solidFill>
                </w14:textFill>
              </w:rPr>
              <w:t>|</w:t>
            </w:r>
            <w:r w:rsidR="00A27FA9" w:rsidRPr="00A27FA9">
              <w:rPr>
                <w:b/>
                <w:bCs/>
                <w:szCs w:val="20"/>
              </w:rPr>
              <w:t xml:space="preserve"> </w:t>
            </w:r>
            <w:r w:rsidRPr="00282289">
              <w:rPr>
                <w:b/>
                <w:bCs/>
                <w:color w:val="000000"/>
                <w:spacing w:val="56"/>
                <w:szCs w:val="20"/>
                <w:shd w:val="solid" w:color="000000" w:fill="000000"/>
                <w:fitText w:val="354" w:id="-723257840"/>
                <w14:textFill>
                  <w14:solidFill>
                    <w14:srgbClr w14:val="000000">
                      <w14:alpha w14:val="100000"/>
                    </w14:srgbClr>
                  </w14:solidFill>
                </w14:textFill>
              </w:rPr>
              <w:t>|||</w:t>
            </w:r>
            <w:r w:rsidRPr="00282289">
              <w:rPr>
                <w:b/>
                <w:bCs/>
                <w:color w:val="000000"/>
                <w:spacing w:val="3"/>
                <w:szCs w:val="20"/>
                <w:shd w:val="solid" w:color="000000" w:fill="000000"/>
                <w:fitText w:val="354" w:id="-723257840"/>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56"/>
                <w14:textFill>
                  <w14:solidFill>
                    <w14:srgbClr w14:val="000000">
                      <w14:alpha w14:val="100000"/>
                    </w14:srgbClr>
                  </w14:solidFill>
                </w14:textFill>
              </w:rPr>
              <w:t>|||</w:t>
            </w:r>
            <w:r w:rsidRPr="00282289">
              <w:rPr>
                <w:b/>
                <w:bCs/>
                <w:color w:val="000000"/>
                <w:spacing w:val="1"/>
                <w:szCs w:val="20"/>
                <w:shd w:val="solid" w:color="000000" w:fill="000000"/>
                <w:fitText w:val="355" w:id="-723257856"/>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55"/>
                <w14:textFill>
                  <w14:solidFill>
                    <w14:srgbClr w14:val="000000">
                      <w14:alpha w14:val="100000"/>
                    </w14:srgbClr>
                  </w14:solidFill>
                </w14:textFill>
              </w:rPr>
              <w:t>|||</w:t>
            </w:r>
            <w:r w:rsidRPr="00282289">
              <w:rPr>
                <w:b/>
                <w:bCs/>
                <w:color w:val="000000"/>
                <w:spacing w:val="1"/>
                <w:szCs w:val="20"/>
                <w:shd w:val="solid" w:color="000000" w:fill="000000"/>
                <w:fitText w:val="355" w:id="-723257855"/>
                <w14:textFill>
                  <w14:solidFill>
                    <w14:srgbClr w14:val="000000">
                      <w14:alpha w14:val="100000"/>
                    </w14:srgbClr>
                  </w14:solidFill>
                </w14:textFill>
              </w:rPr>
              <w:t>|</w:t>
            </w:r>
          </w:p>
        </w:tc>
      </w:tr>
      <w:tr w:rsidR="003567C0" w:rsidRPr="008F29D0" w14:paraId="6668110A" w14:textId="77777777" w:rsidTr="003567C0">
        <w:tc>
          <w:tcPr>
            <w:tcW w:w="1799" w:type="dxa"/>
            <w:shd w:val="clear" w:color="auto" w:fill="auto"/>
            <w:vAlign w:val="center"/>
          </w:tcPr>
          <w:p w14:paraId="130042E1" w14:textId="465430EB" w:rsidR="003567C0" w:rsidRPr="008F29D0" w:rsidRDefault="00070C9A" w:rsidP="003567C0">
            <w:pPr>
              <w:pStyle w:val="Tabletext"/>
              <w:keepNext/>
              <w:rPr>
                <w:szCs w:val="20"/>
                <w:highlight w:val="darkGray"/>
              </w:rPr>
            </w:pPr>
            <w:r w:rsidRPr="00282289">
              <w:rPr>
                <w:color w:val="000000"/>
                <w:spacing w:val="54"/>
                <w:szCs w:val="20"/>
                <w:shd w:val="solid" w:color="000000" w:fill="000000"/>
                <w:fitText w:val="333" w:id="-723257854"/>
                <w14:textFill>
                  <w14:solidFill>
                    <w14:srgbClr w14:val="000000">
                      <w14:alpha w14:val="100000"/>
                    </w14:srgbClr>
                  </w14:solidFill>
                </w14:textFill>
              </w:rPr>
              <w:t>|||</w:t>
            </w:r>
            <w:r w:rsidRPr="00282289">
              <w:rPr>
                <w:color w:val="000000"/>
                <w:spacing w:val="1"/>
                <w:szCs w:val="20"/>
                <w:shd w:val="solid" w:color="000000" w:fill="000000"/>
                <w:fitText w:val="333" w:id="-723257854"/>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7853"/>
                <w14:textFill>
                  <w14:solidFill>
                    <w14:srgbClr w14:val="000000">
                      <w14:alpha w14:val="100000"/>
                    </w14:srgbClr>
                  </w14:solidFill>
                </w14:textFill>
              </w:rPr>
              <w:t>|||</w:t>
            </w:r>
            <w:r w:rsidRPr="00282289">
              <w:rPr>
                <w:color w:val="000000"/>
                <w:spacing w:val="1"/>
                <w:szCs w:val="20"/>
                <w:shd w:val="solid" w:color="000000" w:fill="000000"/>
                <w:fitText w:val="333" w:id="-723257853"/>
                <w14:textFill>
                  <w14:solidFill>
                    <w14:srgbClr w14:val="000000">
                      <w14:alpha w14:val="100000"/>
                    </w14:srgbClr>
                  </w14:solidFill>
                </w14:textFill>
              </w:rPr>
              <w:t>|</w:t>
            </w:r>
            <w:r w:rsidR="00A27FA9" w:rsidRPr="00A27FA9">
              <w:rPr>
                <w:szCs w:val="20"/>
              </w:rPr>
              <w:t xml:space="preserve"> </w:t>
            </w:r>
            <w:r w:rsidRPr="00282289">
              <w:rPr>
                <w:color w:val="000000"/>
                <w:spacing w:val="50"/>
                <w:szCs w:val="20"/>
                <w:shd w:val="solid" w:color="000000" w:fill="000000"/>
                <w:fitText w:val="322" w:id="-723257852"/>
                <w14:textFill>
                  <w14:solidFill>
                    <w14:srgbClr w14:val="000000">
                      <w14:alpha w14:val="100000"/>
                    </w14:srgbClr>
                  </w14:solidFill>
                </w14:textFill>
              </w:rPr>
              <w:t>|||</w:t>
            </w:r>
            <w:r w:rsidRPr="00282289">
              <w:rPr>
                <w:color w:val="000000"/>
                <w:spacing w:val="2"/>
                <w:szCs w:val="20"/>
                <w:shd w:val="solid" w:color="000000" w:fill="000000"/>
                <w:fitText w:val="322" w:id="-723257852"/>
                <w14:textFill>
                  <w14:solidFill>
                    <w14:srgbClr w14:val="000000">
                      <w14:alpha w14:val="100000"/>
                    </w14:srgbClr>
                  </w14:solidFill>
                </w14:textFill>
              </w:rPr>
              <w:t>|</w:t>
            </w:r>
            <w:r w:rsidR="00A27FA9" w:rsidRPr="00A27FA9">
              <w:rPr>
                <w:szCs w:val="20"/>
              </w:rPr>
              <w:t xml:space="preserve"> </w:t>
            </w:r>
            <w:r w:rsidRPr="00282289">
              <w:rPr>
                <w:color w:val="000000"/>
                <w:spacing w:val="50"/>
                <w:szCs w:val="20"/>
                <w:shd w:val="solid" w:color="000000" w:fill="000000"/>
                <w:fitText w:val="322" w:id="-723257851"/>
                <w14:textFill>
                  <w14:solidFill>
                    <w14:srgbClr w14:val="000000">
                      <w14:alpha w14:val="100000"/>
                    </w14:srgbClr>
                  </w14:solidFill>
                </w14:textFill>
              </w:rPr>
              <w:t>|||</w:t>
            </w:r>
            <w:r w:rsidRPr="00282289">
              <w:rPr>
                <w:color w:val="000000"/>
                <w:spacing w:val="2"/>
                <w:szCs w:val="20"/>
                <w:shd w:val="solid" w:color="000000" w:fill="000000"/>
                <w:fitText w:val="322" w:id="-723257851"/>
                <w14:textFill>
                  <w14:solidFill>
                    <w14:srgbClr w14:val="000000">
                      <w14:alpha w14:val="100000"/>
                    </w14:srgbClr>
                  </w14:solidFill>
                </w14:textFill>
              </w:rPr>
              <w:t>|</w:t>
            </w:r>
          </w:p>
        </w:tc>
        <w:tc>
          <w:tcPr>
            <w:tcW w:w="1169" w:type="dxa"/>
            <w:shd w:val="clear" w:color="auto" w:fill="auto"/>
            <w:vAlign w:val="center"/>
          </w:tcPr>
          <w:p w14:paraId="0C126092" w14:textId="33826AF8" w:rsidR="003567C0" w:rsidRPr="008F29D0" w:rsidRDefault="00070C9A" w:rsidP="003567C0">
            <w:pPr>
              <w:pStyle w:val="Tabletext"/>
              <w:keepNext/>
              <w:jc w:val="center"/>
              <w:rPr>
                <w:rFonts w:cs="Arial"/>
                <w:color w:val="000000"/>
                <w:szCs w:val="20"/>
                <w:highlight w:val="darkGray"/>
              </w:rPr>
            </w:pPr>
            <w:r w:rsidRPr="00070C9A">
              <w:rPr>
                <w:rFonts w:cs="Arial"/>
                <w:color w:val="000000"/>
                <w:w w:val="54"/>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380F88AC" w14:textId="203B4F65" w:rsidR="003567C0" w:rsidRPr="008F29D0" w:rsidRDefault="00070C9A" w:rsidP="003567C0">
            <w:pPr>
              <w:pStyle w:val="Tabletext"/>
              <w:keepNext/>
              <w:jc w:val="center"/>
              <w:rPr>
                <w:rFonts w:cs="Arial"/>
                <w:color w:val="000000"/>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46FAFAD6" w14:textId="02E333BD" w:rsidR="003567C0" w:rsidRPr="008F29D0" w:rsidRDefault="00070C9A" w:rsidP="003567C0">
            <w:pPr>
              <w:pStyle w:val="Tabletext"/>
              <w:keepNext/>
              <w:jc w:val="center"/>
              <w:rPr>
                <w:rFonts w:cs="Arial"/>
                <w:color w:val="000000"/>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2575C11B" w14:textId="1ADB4CB1" w:rsidR="003567C0" w:rsidRPr="008F29D0" w:rsidRDefault="00070C9A" w:rsidP="003567C0">
            <w:pPr>
              <w:pStyle w:val="Tabletext"/>
              <w:keepNext/>
              <w:jc w:val="center"/>
              <w:rPr>
                <w:rFonts w:cs="Arial"/>
                <w:color w:val="000000"/>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shd w:val="clear" w:color="auto" w:fill="auto"/>
            <w:vAlign w:val="center"/>
          </w:tcPr>
          <w:p w14:paraId="317DE8B9" w14:textId="5195CA9B" w:rsidR="003567C0" w:rsidRPr="008F29D0" w:rsidRDefault="00070C9A" w:rsidP="003567C0">
            <w:pPr>
              <w:pStyle w:val="Tabletext"/>
              <w:keepNext/>
              <w:jc w:val="center"/>
              <w:rPr>
                <w:rFonts w:cs="Arial"/>
                <w:color w:val="000000"/>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373" w:type="dxa"/>
            <w:vAlign w:val="center"/>
          </w:tcPr>
          <w:p w14:paraId="4655D8B9" w14:textId="7257B016" w:rsidR="003567C0" w:rsidRPr="008F29D0" w:rsidRDefault="00070C9A" w:rsidP="003567C0">
            <w:pPr>
              <w:pStyle w:val="Tabletext"/>
              <w:keepNext/>
              <w:jc w:val="center"/>
              <w:rPr>
                <w:rFonts w:cs="Arial"/>
                <w:color w:val="000000"/>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r>
      <w:tr w:rsidR="008F3F2B" w:rsidRPr="008F29D0" w14:paraId="02F80741" w14:textId="77777777" w:rsidTr="00022017">
        <w:tc>
          <w:tcPr>
            <w:tcW w:w="9017" w:type="dxa"/>
            <w:gridSpan w:val="7"/>
            <w:shd w:val="clear" w:color="auto" w:fill="auto"/>
            <w:vAlign w:val="center"/>
          </w:tcPr>
          <w:p w14:paraId="18AEBF92" w14:textId="0345CE6F" w:rsidR="008F3F2B" w:rsidRPr="008F29D0" w:rsidRDefault="00070C9A" w:rsidP="00022017">
            <w:pPr>
              <w:pStyle w:val="Tabletext"/>
              <w:keepNext/>
              <w:rPr>
                <w:b/>
                <w:bCs/>
                <w:szCs w:val="20"/>
                <w:highlight w:val="darkGray"/>
              </w:rPr>
            </w:pPr>
            <w:r w:rsidRPr="00282289">
              <w:rPr>
                <w:b/>
                <w:bCs/>
                <w:color w:val="000000"/>
                <w:spacing w:val="57"/>
                <w:szCs w:val="20"/>
                <w:shd w:val="solid" w:color="000000" w:fill="000000"/>
                <w:fitText w:val="355" w:id="-723257850"/>
                <w14:textFill>
                  <w14:solidFill>
                    <w14:srgbClr w14:val="000000">
                      <w14:alpha w14:val="100000"/>
                    </w14:srgbClr>
                  </w14:solidFill>
                </w14:textFill>
              </w:rPr>
              <w:t>|||</w:t>
            </w:r>
            <w:r w:rsidRPr="00282289">
              <w:rPr>
                <w:b/>
                <w:bCs/>
                <w:color w:val="000000"/>
                <w:spacing w:val="1"/>
                <w:szCs w:val="20"/>
                <w:shd w:val="solid" w:color="000000" w:fill="000000"/>
                <w:fitText w:val="355" w:id="-723257850"/>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49"/>
                <w14:textFill>
                  <w14:solidFill>
                    <w14:srgbClr w14:val="000000">
                      <w14:alpha w14:val="100000"/>
                    </w14:srgbClr>
                  </w14:solidFill>
                </w14:textFill>
              </w:rPr>
              <w:t>|||</w:t>
            </w:r>
            <w:r w:rsidRPr="00282289">
              <w:rPr>
                <w:b/>
                <w:bCs/>
                <w:color w:val="000000"/>
                <w:spacing w:val="1"/>
                <w:szCs w:val="20"/>
                <w:shd w:val="solid" w:color="000000" w:fill="000000"/>
                <w:fitText w:val="355" w:id="-723257849"/>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48"/>
                <w14:textFill>
                  <w14:solidFill>
                    <w14:srgbClr w14:val="000000">
                      <w14:alpha w14:val="100000"/>
                    </w14:srgbClr>
                  </w14:solidFill>
                </w14:textFill>
              </w:rPr>
              <w:t>|||</w:t>
            </w:r>
            <w:r w:rsidRPr="00282289">
              <w:rPr>
                <w:b/>
                <w:bCs/>
                <w:color w:val="000000"/>
                <w:spacing w:val="1"/>
                <w:szCs w:val="20"/>
                <w:shd w:val="solid" w:color="000000" w:fill="000000"/>
                <w:fitText w:val="355" w:id="-723257848"/>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47"/>
                <w14:textFill>
                  <w14:solidFill>
                    <w14:srgbClr w14:val="000000">
                      <w14:alpha w14:val="100000"/>
                    </w14:srgbClr>
                  </w14:solidFill>
                </w14:textFill>
              </w:rPr>
              <w:t>|||</w:t>
            </w:r>
            <w:r w:rsidRPr="00282289">
              <w:rPr>
                <w:b/>
                <w:bCs/>
                <w:color w:val="000000"/>
                <w:spacing w:val="1"/>
                <w:szCs w:val="20"/>
                <w:shd w:val="solid" w:color="000000" w:fill="000000"/>
                <w:fitText w:val="355" w:id="-723257847"/>
                <w14:textFill>
                  <w14:solidFill>
                    <w14:srgbClr w14:val="000000">
                      <w14:alpha w14:val="100000"/>
                    </w14:srgbClr>
                  </w14:solidFill>
                </w14:textFill>
              </w:rPr>
              <w:t>|</w:t>
            </w:r>
            <w:r w:rsidR="00A27FA9" w:rsidRPr="00A27FA9">
              <w:rPr>
                <w:b/>
                <w:bCs/>
                <w:szCs w:val="20"/>
              </w:rPr>
              <w:t xml:space="preserve"> </w:t>
            </w:r>
            <w:r w:rsidRPr="00282289">
              <w:rPr>
                <w:b/>
                <w:bCs/>
                <w:color w:val="000000"/>
                <w:spacing w:val="60"/>
                <w:szCs w:val="20"/>
                <w:shd w:val="solid" w:color="000000" w:fill="000000"/>
                <w:fitText w:val="365" w:id="-723257846"/>
                <w14:textFill>
                  <w14:solidFill>
                    <w14:srgbClr w14:val="000000">
                      <w14:alpha w14:val="100000"/>
                    </w14:srgbClr>
                  </w14:solidFill>
                </w14:textFill>
              </w:rPr>
              <w:t>|||</w:t>
            </w:r>
            <w:r w:rsidRPr="00282289">
              <w:rPr>
                <w:b/>
                <w:bCs/>
                <w:color w:val="000000"/>
                <w:spacing w:val="2"/>
                <w:szCs w:val="20"/>
                <w:shd w:val="solid" w:color="000000" w:fill="000000"/>
                <w:fitText w:val="365" w:id="-723257846"/>
                <w14:textFill>
                  <w14:solidFill>
                    <w14:srgbClr w14:val="000000">
                      <w14:alpha w14:val="100000"/>
                    </w14:srgbClr>
                  </w14:solidFill>
                </w14:textFill>
              </w:rPr>
              <w:t>|</w:t>
            </w:r>
            <w:r w:rsidR="00A27FA9" w:rsidRPr="00A27FA9">
              <w:rPr>
                <w:b/>
                <w:bCs/>
                <w:szCs w:val="20"/>
              </w:rPr>
              <w:t xml:space="preserve"> </w:t>
            </w:r>
            <w:r w:rsidRPr="00282289">
              <w:rPr>
                <w:b/>
                <w:bCs/>
                <w:color w:val="000000"/>
                <w:spacing w:val="56"/>
                <w:szCs w:val="20"/>
                <w:shd w:val="solid" w:color="000000" w:fill="000000"/>
                <w:fitText w:val="354" w:id="-723257845"/>
                <w14:textFill>
                  <w14:solidFill>
                    <w14:srgbClr w14:val="000000">
                      <w14:alpha w14:val="100000"/>
                    </w14:srgbClr>
                  </w14:solidFill>
                </w14:textFill>
              </w:rPr>
              <w:t>|||</w:t>
            </w:r>
            <w:r w:rsidRPr="00282289">
              <w:rPr>
                <w:b/>
                <w:bCs/>
                <w:color w:val="000000"/>
                <w:spacing w:val="3"/>
                <w:szCs w:val="20"/>
                <w:shd w:val="solid" w:color="000000" w:fill="000000"/>
                <w:fitText w:val="354" w:id="-723257845"/>
                <w14:textFill>
                  <w14:solidFill>
                    <w14:srgbClr w14:val="000000">
                      <w14:alpha w14:val="100000"/>
                    </w14:srgbClr>
                  </w14:solidFill>
                </w14:textFill>
              </w:rPr>
              <w:t>|</w:t>
            </w:r>
          </w:p>
        </w:tc>
      </w:tr>
      <w:tr w:rsidR="008F3F2B" w:rsidRPr="008F29D0" w14:paraId="40D605B4" w14:textId="77777777" w:rsidTr="009E2A2A">
        <w:tc>
          <w:tcPr>
            <w:tcW w:w="1799" w:type="dxa"/>
            <w:shd w:val="clear" w:color="auto" w:fill="auto"/>
            <w:vAlign w:val="center"/>
          </w:tcPr>
          <w:p w14:paraId="6FA27A24" w14:textId="1C3840A5" w:rsidR="008F3F2B" w:rsidRPr="008F29D0" w:rsidRDefault="00070C9A" w:rsidP="00022017">
            <w:pPr>
              <w:pStyle w:val="Tabletext"/>
              <w:rPr>
                <w:szCs w:val="20"/>
                <w:highlight w:val="darkGray"/>
              </w:rPr>
            </w:pPr>
            <w:r w:rsidRPr="00282289">
              <w:rPr>
                <w:color w:val="000000"/>
                <w:spacing w:val="54"/>
                <w:szCs w:val="20"/>
                <w:shd w:val="solid" w:color="000000" w:fill="000000"/>
                <w:fitText w:val="333" w:id="-723257844"/>
                <w14:textFill>
                  <w14:solidFill>
                    <w14:srgbClr w14:val="000000">
                      <w14:alpha w14:val="100000"/>
                    </w14:srgbClr>
                  </w14:solidFill>
                </w14:textFill>
              </w:rPr>
              <w:t>|||</w:t>
            </w:r>
            <w:r w:rsidRPr="00282289">
              <w:rPr>
                <w:color w:val="000000"/>
                <w:spacing w:val="1"/>
                <w:szCs w:val="20"/>
                <w:shd w:val="solid" w:color="000000" w:fill="000000"/>
                <w:fitText w:val="333" w:id="-723257844"/>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7843"/>
                <w14:textFill>
                  <w14:solidFill>
                    <w14:srgbClr w14:val="000000">
                      <w14:alpha w14:val="100000"/>
                    </w14:srgbClr>
                  </w14:solidFill>
                </w14:textFill>
              </w:rPr>
              <w:t>|||</w:t>
            </w:r>
            <w:r w:rsidRPr="00282289">
              <w:rPr>
                <w:color w:val="000000"/>
                <w:spacing w:val="1"/>
                <w:szCs w:val="20"/>
                <w:shd w:val="solid" w:color="000000" w:fill="000000"/>
                <w:fitText w:val="333" w:id="-723257843"/>
                <w14:textFill>
                  <w14:solidFill>
                    <w14:srgbClr w14:val="000000">
                      <w14:alpha w14:val="100000"/>
                    </w14:srgbClr>
                  </w14:solidFill>
                </w14:textFill>
              </w:rPr>
              <w:t>|</w:t>
            </w:r>
          </w:p>
        </w:tc>
        <w:tc>
          <w:tcPr>
            <w:tcW w:w="1169" w:type="dxa"/>
            <w:shd w:val="clear" w:color="auto" w:fill="auto"/>
            <w:vAlign w:val="center"/>
          </w:tcPr>
          <w:p w14:paraId="4734A227" w14:textId="54EAD39E" w:rsidR="008F3F2B" w:rsidRPr="008F29D0" w:rsidRDefault="00070C9A" w:rsidP="00022017">
            <w:pPr>
              <w:pStyle w:val="Tabletext"/>
              <w:jc w:val="center"/>
              <w:rPr>
                <w:rFonts w:cs="Arial"/>
                <w:szCs w:val="20"/>
                <w:highlight w:val="darkGray"/>
              </w:rPr>
            </w:pPr>
            <w:r w:rsidRPr="00282289">
              <w:rPr>
                <w:rFonts w:cs="Arial"/>
                <w:color w:val="000000"/>
                <w:spacing w:val="75"/>
                <w:szCs w:val="20"/>
                <w:shd w:val="solid" w:color="000000" w:fill="000000"/>
                <w:fitText w:val="161" w:id="-723257842"/>
                <w14:textFill>
                  <w14:solidFill>
                    <w14:srgbClr w14:val="000000">
                      <w14:alpha w14:val="100000"/>
                    </w14:srgbClr>
                  </w14:solidFill>
                </w14:textFill>
              </w:rPr>
              <w:t>|</w:t>
            </w:r>
            <w:r w:rsidRPr="00282289">
              <w:rPr>
                <w:rFonts w:cs="Arial"/>
                <w:color w:val="000000"/>
                <w:spacing w:val="1"/>
                <w:szCs w:val="20"/>
                <w:shd w:val="solid" w:color="000000" w:fill="000000"/>
                <w:fitText w:val="161" w:id="-723257842"/>
                <w14:textFill>
                  <w14:solidFill>
                    <w14:srgbClr w14:val="000000">
                      <w14:alpha w14:val="100000"/>
                    </w14:srgbClr>
                  </w14:solidFill>
                </w14:textFill>
              </w:rPr>
              <w:t>|</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493D7B5F" w14:textId="350A451F" w:rsidR="008F3F2B" w:rsidRPr="008F29D0" w:rsidRDefault="00070C9A" w:rsidP="00022017">
            <w:pPr>
              <w:pStyle w:val="Tabletext"/>
              <w:jc w:val="center"/>
              <w:rPr>
                <w:rFonts w:cs="Arial"/>
                <w:szCs w:val="20"/>
                <w:highlight w:val="darkGray"/>
              </w:rPr>
            </w:pPr>
            <w:r w:rsidRPr="00282289">
              <w:rPr>
                <w:rFonts w:cs="Arial"/>
                <w:color w:val="000000"/>
                <w:spacing w:val="75"/>
                <w:szCs w:val="20"/>
                <w:shd w:val="solid" w:color="000000" w:fill="000000"/>
                <w:fitText w:val="161" w:id="-723257841"/>
                <w14:textFill>
                  <w14:solidFill>
                    <w14:srgbClr w14:val="000000">
                      <w14:alpha w14:val="100000"/>
                    </w14:srgbClr>
                  </w14:solidFill>
                </w14:textFill>
              </w:rPr>
              <w:t>|</w:t>
            </w:r>
            <w:r w:rsidRPr="00282289">
              <w:rPr>
                <w:rFonts w:cs="Arial"/>
                <w:color w:val="000000"/>
                <w:spacing w:val="1"/>
                <w:szCs w:val="20"/>
                <w:shd w:val="solid" w:color="000000" w:fill="000000"/>
                <w:fitText w:val="161" w:id="-723257841"/>
                <w14:textFill>
                  <w14:solidFill>
                    <w14:srgbClr w14:val="000000">
                      <w14:alpha w14:val="100000"/>
                    </w14:srgbClr>
                  </w14:solidFill>
                </w14:textFill>
              </w:rPr>
              <w:t>|</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56B2D71C" w14:textId="3EBCDA1F" w:rsidR="008F3F2B" w:rsidRPr="008F29D0" w:rsidRDefault="00070C9A" w:rsidP="00022017">
            <w:pPr>
              <w:pStyle w:val="Tabletext"/>
              <w:jc w:val="center"/>
              <w:rPr>
                <w:rFonts w:cs="Arial"/>
                <w:szCs w:val="20"/>
                <w:highlight w:val="darkGray"/>
              </w:rPr>
            </w:pPr>
            <w:r w:rsidRPr="00282289">
              <w:rPr>
                <w:rFonts w:cs="Arial"/>
                <w:color w:val="000000"/>
                <w:spacing w:val="75"/>
                <w:szCs w:val="20"/>
                <w:shd w:val="solid" w:color="000000" w:fill="000000"/>
                <w:fitText w:val="161" w:id="-723257840"/>
                <w14:textFill>
                  <w14:solidFill>
                    <w14:srgbClr w14:val="000000">
                      <w14:alpha w14:val="100000"/>
                    </w14:srgbClr>
                  </w14:solidFill>
                </w14:textFill>
              </w:rPr>
              <w:t>|</w:t>
            </w:r>
            <w:r w:rsidRPr="00282289">
              <w:rPr>
                <w:rFonts w:cs="Arial"/>
                <w:color w:val="000000"/>
                <w:spacing w:val="1"/>
                <w:szCs w:val="20"/>
                <w:shd w:val="solid" w:color="000000" w:fill="000000"/>
                <w:fitText w:val="161" w:id="-723257840"/>
                <w14:textFill>
                  <w14:solidFill>
                    <w14:srgbClr w14:val="000000">
                      <w14:alpha w14:val="100000"/>
                    </w14:srgbClr>
                  </w14:solidFill>
                </w14:textFill>
              </w:rPr>
              <w:t>|</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25F320B8" w14:textId="40CFA2DC" w:rsidR="008F3F2B" w:rsidRPr="008F29D0" w:rsidRDefault="00070C9A" w:rsidP="00022017">
            <w:pPr>
              <w:pStyle w:val="Tabletext"/>
              <w:jc w:val="center"/>
              <w:rPr>
                <w:rFonts w:cs="Arial"/>
                <w:szCs w:val="20"/>
                <w:highlight w:val="darkGray"/>
              </w:rPr>
            </w:pPr>
            <w:r w:rsidRPr="00282289">
              <w:rPr>
                <w:rFonts w:cs="Arial"/>
                <w:color w:val="000000"/>
                <w:spacing w:val="75"/>
                <w:szCs w:val="20"/>
                <w:shd w:val="solid" w:color="000000" w:fill="000000"/>
                <w:fitText w:val="161" w:id="-723257856"/>
                <w14:textFill>
                  <w14:solidFill>
                    <w14:srgbClr w14:val="000000">
                      <w14:alpha w14:val="100000"/>
                    </w14:srgbClr>
                  </w14:solidFill>
                </w14:textFill>
              </w:rPr>
              <w:t>|</w:t>
            </w:r>
            <w:r w:rsidRPr="00282289">
              <w:rPr>
                <w:rFonts w:cs="Arial"/>
                <w:color w:val="000000"/>
                <w:spacing w:val="1"/>
                <w:szCs w:val="20"/>
                <w:shd w:val="solid" w:color="000000" w:fill="000000"/>
                <w:fitText w:val="161" w:id="-723257856"/>
                <w14:textFill>
                  <w14:solidFill>
                    <w14:srgbClr w14:val="000000">
                      <w14:alpha w14:val="100000"/>
                    </w14:srgbClr>
                  </w14:solidFill>
                </w14:textFill>
              </w:rPr>
              <w:t>|</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7B3AFA9F" w14:textId="627AEF4A" w:rsidR="008F3F2B" w:rsidRPr="008F29D0" w:rsidRDefault="00070C9A" w:rsidP="00022017">
            <w:pPr>
              <w:pStyle w:val="Tabletext"/>
              <w:jc w:val="center"/>
              <w:rPr>
                <w:rFonts w:cs="Arial"/>
                <w:szCs w:val="20"/>
                <w:highlight w:val="darkGray"/>
              </w:rPr>
            </w:pPr>
            <w:r w:rsidRPr="00282289">
              <w:rPr>
                <w:rFonts w:cs="Arial"/>
                <w:color w:val="000000"/>
                <w:spacing w:val="75"/>
                <w:szCs w:val="20"/>
                <w:shd w:val="solid" w:color="000000" w:fill="000000"/>
                <w:fitText w:val="161" w:id="-723257855"/>
                <w14:textFill>
                  <w14:solidFill>
                    <w14:srgbClr w14:val="000000">
                      <w14:alpha w14:val="100000"/>
                    </w14:srgbClr>
                  </w14:solidFill>
                </w14:textFill>
              </w:rPr>
              <w:t>|</w:t>
            </w:r>
            <w:r w:rsidRPr="00282289">
              <w:rPr>
                <w:rFonts w:cs="Arial"/>
                <w:color w:val="000000"/>
                <w:spacing w:val="1"/>
                <w:szCs w:val="20"/>
                <w:shd w:val="solid" w:color="000000" w:fill="000000"/>
                <w:fitText w:val="161" w:id="-723257855"/>
                <w14:textFill>
                  <w14:solidFill>
                    <w14:srgbClr w14:val="000000">
                      <w14:alpha w14:val="100000"/>
                    </w14:srgbClr>
                  </w14:solidFill>
                </w14:textFill>
              </w:rPr>
              <w:t>|</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c>
          <w:tcPr>
            <w:tcW w:w="1373" w:type="dxa"/>
            <w:vAlign w:val="center"/>
          </w:tcPr>
          <w:p w14:paraId="20ADA66A" w14:textId="0CEDBA1F" w:rsidR="008F3F2B" w:rsidRPr="008F29D0" w:rsidRDefault="00070C9A" w:rsidP="00022017">
            <w:pPr>
              <w:pStyle w:val="Tabletext"/>
              <w:jc w:val="center"/>
              <w:rPr>
                <w:rFonts w:cs="Arial"/>
                <w:szCs w:val="20"/>
                <w:highlight w:val="darkGray"/>
              </w:rPr>
            </w:pPr>
            <w:r w:rsidRPr="00282289">
              <w:rPr>
                <w:rFonts w:cs="Arial" w:hint="eastAsia"/>
                <w:color w:val="000000"/>
                <w:w w:val="15"/>
                <w:szCs w:val="20"/>
                <w:shd w:val="solid" w:color="000000" w:fill="000000"/>
                <w:fitText w:val="43" w:id="-723257854"/>
                <w14:textFill>
                  <w14:solidFill>
                    <w14:srgbClr w14:val="000000">
                      <w14:alpha w14:val="100000"/>
                    </w14:srgbClr>
                  </w14:solidFill>
                </w14:textFill>
              </w:rPr>
              <w:t xml:space="preserve">　</w:t>
            </w:r>
            <w:r w:rsidRPr="00282289">
              <w:rPr>
                <w:rFonts w:cs="Arial"/>
                <w:color w:val="000000"/>
                <w:w w:val="15"/>
                <w:szCs w:val="20"/>
                <w:shd w:val="solid" w:color="000000" w:fill="000000"/>
                <w:fitText w:val="43" w:id="-723257854"/>
                <w14:textFill>
                  <w14:solidFill>
                    <w14:srgbClr w14:val="000000">
                      <w14:alpha w14:val="100000"/>
                    </w14:srgbClr>
                  </w14:solidFill>
                </w14:textFill>
              </w:rPr>
              <w:t>|</w:t>
            </w:r>
            <w:r w:rsidRPr="00282289">
              <w:rPr>
                <w:rFonts w:cs="Arial" w:hint="eastAsia"/>
                <w:color w:val="000000"/>
                <w:spacing w:val="-22"/>
                <w:w w:val="15"/>
                <w:szCs w:val="20"/>
                <w:shd w:val="solid" w:color="000000" w:fill="000000"/>
                <w:fitText w:val="43" w:id="-723257854"/>
                <w14:textFill>
                  <w14:solidFill>
                    <w14:srgbClr w14:val="000000">
                      <w14:alpha w14:val="100000"/>
                    </w14:srgbClr>
                  </w14:solidFill>
                </w14:textFill>
              </w:rPr>
              <w:t xml:space="preserve">　</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r>
      <w:tr w:rsidR="008F3F2B" w:rsidRPr="008F29D0" w14:paraId="0F39F9D7" w14:textId="77777777" w:rsidTr="009E2A2A">
        <w:tc>
          <w:tcPr>
            <w:tcW w:w="1799" w:type="dxa"/>
            <w:shd w:val="clear" w:color="auto" w:fill="auto"/>
            <w:vAlign w:val="center"/>
          </w:tcPr>
          <w:p w14:paraId="6DA59205" w14:textId="17B87082" w:rsidR="008F3F2B" w:rsidRPr="008F29D0" w:rsidRDefault="00070C9A" w:rsidP="00022017">
            <w:pPr>
              <w:pStyle w:val="Tabletext"/>
              <w:rPr>
                <w:szCs w:val="20"/>
                <w:highlight w:val="darkGray"/>
              </w:rPr>
            </w:pPr>
            <w:r w:rsidRPr="00282289">
              <w:rPr>
                <w:color w:val="000000"/>
                <w:spacing w:val="54"/>
                <w:szCs w:val="20"/>
                <w:shd w:val="solid" w:color="000000" w:fill="000000"/>
                <w:fitText w:val="333" w:id="-723257853"/>
                <w14:textFill>
                  <w14:solidFill>
                    <w14:srgbClr w14:val="000000">
                      <w14:alpha w14:val="100000"/>
                    </w14:srgbClr>
                  </w14:solidFill>
                </w14:textFill>
              </w:rPr>
              <w:t>|||</w:t>
            </w:r>
            <w:r w:rsidRPr="00282289">
              <w:rPr>
                <w:color w:val="000000"/>
                <w:spacing w:val="1"/>
                <w:szCs w:val="20"/>
                <w:shd w:val="solid" w:color="000000" w:fill="000000"/>
                <w:fitText w:val="333" w:id="-723257853"/>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7852"/>
                <w14:textFill>
                  <w14:solidFill>
                    <w14:srgbClr w14:val="000000">
                      <w14:alpha w14:val="100000"/>
                    </w14:srgbClr>
                  </w14:solidFill>
                </w14:textFill>
              </w:rPr>
              <w:t>|||</w:t>
            </w:r>
            <w:r w:rsidRPr="00282289">
              <w:rPr>
                <w:color w:val="000000"/>
                <w:spacing w:val="1"/>
                <w:szCs w:val="20"/>
                <w:shd w:val="solid" w:color="000000" w:fill="000000"/>
                <w:fitText w:val="333" w:id="-723257852"/>
                <w14:textFill>
                  <w14:solidFill>
                    <w14:srgbClr w14:val="000000">
                      <w14:alpha w14:val="100000"/>
                    </w14:srgbClr>
                  </w14:solidFill>
                </w14:textFill>
              </w:rPr>
              <w:t>|</w:t>
            </w:r>
          </w:p>
        </w:tc>
        <w:tc>
          <w:tcPr>
            <w:tcW w:w="1169" w:type="dxa"/>
            <w:shd w:val="clear" w:color="auto" w:fill="auto"/>
            <w:vAlign w:val="center"/>
          </w:tcPr>
          <w:p w14:paraId="03DFBC89" w14:textId="4A6548DE" w:rsidR="008F3F2B" w:rsidRPr="008F29D0" w:rsidRDefault="00070C9A" w:rsidP="00022017">
            <w:pPr>
              <w:pStyle w:val="Tabletext"/>
              <w:jc w:val="center"/>
              <w:rPr>
                <w:rFonts w:cs="Arial"/>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rFonts w:cs="Arial"/>
                <w:szCs w:val="20"/>
              </w:rPr>
              <w:t xml:space="preserve">  </w:t>
            </w:r>
          </w:p>
        </w:tc>
        <w:tc>
          <w:tcPr>
            <w:tcW w:w="1169" w:type="dxa"/>
            <w:shd w:val="clear" w:color="auto" w:fill="auto"/>
            <w:vAlign w:val="center"/>
          </w:tcPr>
          <w:p w14:paraId="39508AD8" w14:textId="6FB780AC" w:rsidR="008F3F2B" w:rsidRPr="008F29D0" w:rsidRDefault="00070C9A" w:rsidP="00022017">
            <w:pPr>
              <w:pStyle w:val="Tabletext"/>
              <w:jc w:val="center"/>
              <w:rPr>
                <w:rFonts w:cs="Arial"/>
                <w:szCs w:val="20"/>
                <w:highlight w:val="darkGray"/>
              </w:rPr>
            </w:pPr>
            <w:r w:rsidRPr="00282289">
              <w:rPr>
                <w:rFonts w:cs="Arial"/>
                <w:color w:val="000000"/>
                <w:spacing w:val="75"/>
                <w:szCs w:val="20"/>
                <w:shd w:val="solid" w:color="000000" w:fill="000000"/>
                <w:fitText w:val="161" w:id="-723257851"/>
                <w14:textFill>
                  <w14:solidFill>
                    <w14:srgbClr w14:val="000000">
                      <w14:alpha w14:val="100000"/>
                    </w14:srgbClr>
                  </w14:solidFill>
                </w14:textFill>
              </w:rPr>
              <w:t>|</w:t>
            </w:r>
            <w:r w:rsidRPr="00282289">
              <w:rPr>
                <w:rFonts w:cs="Arial"/>
                <w:color w:val="000000"/>
                <w:spacing w:val="1"/>
                <w:szCs w:val="20"/>
                <w:shd w:val="solid" w:color="000000" w:fill="000000"/>
                <w:fitText w:val="161" w:id="-723257851"/>
                <w14:textFill>
                  <w14:solidFill>
                    <w14:srgbClr w14:val="000000">
                      <w14:alpha w14:val="100000"/>
                    </w14:srgbClr>
                  </w14:solidFill>
                </w14:textFill>
              </w:rPr>
              <w:t>|</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61EB4759" w14:textId="670D3550" w:rsidR="008F3F2B" w:rsidRPr="008F29D0" w:rsidRDefault="00070C9A" w:rsidP="00022017">
            <w:pPr>
              <w:pStyle w:val="Tabletext"/>
              <w:jc w:val="center"/>
              <w:rPr>
                <w:rFonts w:cs="Arial"/>
                <w:szCs w:val="20"/>
                <w:highlight w:val="darkGray"/>
              </w:rPr>
            </w:pPr>
            <w:r w:rsidRPr="00282289">
              <w:rPr>
                <w:rFonts w:cs="Arial"/>
                <w:color w:val="000000"/>
                <w:spacing w:val="75"/>
                <w:szCs w:val="20"/>
                <w:shd w:val="solid" w:color="000000" w:fill="000000"/>
                <w:fitText w:val="161" w:id="-723257850"/>
                <w14:textFill>
                  <w14:solidFill>
                    <w14:srgbClr w14:val="000000">
                      <w14:alpha w14:val="100000"/>
                    </w14:srgbClr>
                  </w14:solidFill>
                </w14:textFill>
              </w:rPr>
              <w:t>|</w:t>
            </w:r>
            <w:r w:rsidRPr="00282289">
              <w:rPr>
                <w:rFonts w:cs="Arial"/>
                <w:color w:val="000000"/>
                <w:spacing w:val="1"/>
                <w:szCs w:val="20"/>
                <w:shd w:val="solid" w:color="000000" w:fill="000000"/>
                <w:fitText w:val="161" w:id="-723257850"/>
                <w14:textFill>
                  <w14:solidFill>
                    <w14:srgbClr w14:val="000000">
                      <w14:alpha w14:val="100000"/>
                    </w14:srgbClr>
                  </w14:solidFill>
                </w14:textFill>
              </w:rPr>
              <w:t>|</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c>
          <w:tcPr>
            <w:tcW w:w="1169" w:type="dxa"/>
            <w:shd w:val="clear" w:color="auto" w:fill="auto"/>
            <w:vAlign w:val="center"/>
          </w:tcPr>
          <w:p w14:paraId="1A1D1B18" w14:textId="7541882E" w:rsidR="008F3F2B" w:rsidRPr="008F29D0" w:rsidRDefault="00070C9A" w:rsidP="00022017">
            <w:pPr>
              <w:pStyle w:val="Tabletext"/>
              <w:jc w:val="center"/>
              <w:rPr>
                <w:rFonts w:cs="Arial"/>
                <w:szCs w:val="20"/>
                <w:highlight w:val="darkGray"/>
              </w:rPr>
            </w:pPr>
            <w:r w:rsidRPr="00282289">
              <w:rPr>
                <w:rFonts w:cs="Arial"/>
                <w:color w:val="000000"/>
                <w:spacing w:val="75"/>
                <w:szCs w:val="20"/>
                <w:shd w:val="solid" w:color="000000" w:fill="000000"/>
                <w:fitText w:val="161" w:id="-723257849"/>
                <w14:textFill>
                  <w14:solidFill>
                    <w14:srgbClr w14:val="000000">
                      <w14:alpha w14:val="100000"/>
                    </w14:srgbClr>
                  </w14:solidFill>
                </w14:textFill>
              </w:rPr>
              <w:t>|</w:t>
            </w:r>
            <w:r w:rsidRPr="00282289">
              <w:rPr>
                <w:rFonts w:cs="Arial"/>
                <w:color w:val="000000"/>
                <w:spacing w:val="1"/>
                <w:szCs w:val="20"/>
                <w:shd w:val="solid" w:color="000000" w:fill="000000"/>
                <w:fitText w:val="161" w:id="-723257849"/>
                <w14:textFill>
                  <w14:solidFill>
                    <w14:srgbClr w14:val="000000">
                      <w14:alpha w14:val="100000"/>
                    </w14:srgbClr>
                  </w14:solidFill>
                </w14:textFill>
              </w:rPr>
              <w:t>|</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p>
        </w:tc>
        <w:tc>
          <w:tcPr>
            <w:tcW w:w="1169" w:type="dxa"/>
            <w:shd w:val="clear" w:color="auto" w:fill="auto"/>
            <w:vAlign w:val="center"/>
          </w:tcPr>
          <w:p w14:paraId="69A52190" w14:textId="6DD8C4A5" w:rsidR="008F3F2B" w:rsidRPr="008F29D0" w:rsidRDefault="00070C9A" w:rsidP="00022017">
            <w:pPr>
              <w:pStyle w:val="Tabletext"/>
              <w:jc w:val="center"/>
              <w:rPr>
                <w:rFonts w:cs="Arial"/>
                <w:szCs w:val="20"/>
                <w:highlight w:val="darkGray"/>
              </w:rPr>
            </w:pPr>
            <w:r w:rsidRPr="00282289">
              <w:rPr>
                <w:rFonts w:cs="Arial"/>
                <w:color w:val="000000"/>
                <w:spacing w:val="75"/>
                <w:szCs w:val="20"/>
                <w:shd w:val="solid" w:color="000000" w:fill="000000"/>
                <w:fitText w:val="161" w:id="-723257848"/>
                <w14:textFill>
                  <w14:solidFill>
                    <w14:srgbClr w14:val="000000">
                      <w14:alpha w14:val="100000"/>
                    </w14:srgbClr>
                  </w14:solidFill>
                </w14:textFill>
              </w:rPr>
              <w:t>|</w:t>
            </w:r>
            <w:r w:rsidRPr="00282289">
              <w:rPr>
                <w:rFonts w:cs="Arial"/>
                <w:color w:val="000000"/>
                <w:spacing w:val="1"/>
                <w:szCs w:val="20"/>
                <w:shd w:val="solid" w:color="000000" w:fill="000000"/>
                <w:fitText w:val="161" w:id="-723257848"/>
                <w14:textFill>
                  <w14:solidFill>
                    <w14:srgbClr w14:val="000000">
                      <w14:alpha w14:val="100000"/>
                    </w14:srgbClr>
                  </w14:solidFill>
                </w14:textFill>
              </w:rPr>
              <w:t>|</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c>
          <w:tcPr>
            <w:tcW w:w="1373" w:type="dxa"/>
            <w:vAlign w:val="center"/>
          </w:tcPr>
          <w:p w14:paraId="7F0573D7" w14:textId="3AF4C6BB" w:rsidR="008F3F2B" w:rsidRPr="008F29D0" w:rsidRDefault="00070C9A" w:rsidP="00022017">
            <w:pPr>
              <w:pStyle w:val="Tabletext"/>
              <w:jc w:val="center"/>
              <w:rPr>
                <w:rFonts w:cs="Arial"/>
                <w:szCs w:val="20"/>
                <w:highlight w:val="darkGray"/>
              </w:rPr>
            </w:pPr>
            <w:r w:rsidRPr="00282289">
              <w:rPr>
                <w:rFonts w:cs="Arial" w:hint="eastAsia"/>
                <w:color w:val="000000"/>
                <w:w w:val="15"/>
                <w:szCs w:val="20"/>
                <w:shd w:val="solid" w:color="000000" w:fill="000000"/>
                <w:fitText w:val="43" w:id="-723257847"/>
                <w14:textFill>
                  <w14:solidFill>
                    <w14:srgbClr w14:val="000000">
                      <w14:alpha w14:val="100000"/>
                    </w14:srgbClr>
                  </w14:solidFill>
                </w14:textFill>
              </w:rPr>
              <w:t xml:space="preserve">　</w:t>
            </w:r>
            <w:r w:rsidRPr="00282289">
              <w:rPr>
                <w:rFonts w:cs="Arial"/>
                <w:color w:val="000000"/>
                <w:w w:val="15"/>
                <w:szCs w:val="20"/>
                <w:shd w:val="solid" w:color="000000" w:fill="000000"/>
                <w:fitText w:val="43" w:id="-723257847"/>
                <w14:textFill>
                  <w14:solidFill>
                    <w14:srgbClr w14:val="000000">
                      <w14:alpha w14:val="100000"/>
                    </w14:srgbClr>
                  </w14:solidFill>
                </w14:textFill>
              </w:rPr>
              <w:t>|</w:t>
            </w:r>
            <w:r w:rsidRPr="00282289">
              <w:rPr>
                <w:rFonts w:cs="Arial" w:hint="eastAsia"/>
                <w:color w:val="000000"/>
                <w:spacing w:val="-22"/>
                <w:w w:val="15"/>
                <w:szCs w:val="20"/>
                <w:shd w:val="solid" w:color="000000" w:fill="000000"/>
                <w:fitText w:val="43" w:id="-723257847"/>
                <w14:textFill>
                  <w14:solidFill>
                    <w14:srgbClr w14:val="000000">
                      <w14:alpha w14:val="100000"/>
                    </w14:srgbClr>
                  </w14:solidFill>
                </w14:textFill>
              </w:rPr>
              <w:t xml:space="preserve">　</w:t>
            </w:r>
            <w:r w:rsidR="00A27FA9" w:rsidRPr="00A27FA9">
              <w:rPr>
                <w:rFonts w:cs="Arial"/>
                <w:szCs w:val="20"/>
              </w:rPr>
              <w:t xml:space="preserve"> </w:t>
            </w:r>
            <w:r w:rsidRPr="00070C9A">
              <w:rPr>
                <w:color w:val="000000"/>
                <w:szCs w:val="20"/>
                <w:shd w:val="solid" w:color="000000" w:fill="000000"/>
                <w:vertAlign w:val="superscript"/>
                <w14:textFill>
                  <w14:solidFill>
                    <w14:srgbClr w14:val="000000">
                      <w14:alpha w14:val="100000"/>
                    </w14:srgbClr>
                  </w14:solidFill>
                </w14:textFill>
              </w:rPr>
              <w:t>|</w:t>
            </w:r>
            <w:r w:rsidR="00A27FA9" w:rsidRPr="00A27FA9">
              <w:rPr>
                <w:szCs w:val="20"/>
                <w:vertAlign w:val="superscript"/>
              </w:rPr>
              <w:t xml:space="preserve"> </w:t>
            </w:r>
          </w:p>
        </w:tc>
      </w:tr>
      <w:tr w:rsidR="009E2A2A" w:rsidRPr="008F29D0" w14:paraId="69C10BE5" w14:textId="77777777" w:rsidTr="009E2A2A">
        <w:tc>
          <w:tcPr>
            <w:tcW w:w="1799" w:type="dxa"/>
            <w:shd w:val="clear" w:color="auto" w:fill="auto"/>
            <w:vAlign w:val="center"/>
          </w:tcPr>
          <w:p w14:paraId="3E3274F6" w14:textId="3E840AB7" w:rsidR="009E2A2A" w:rsidRPr="008F29D0" w:rsidRDefault="00070C9A" w:rsidP="009E2A2A">
            <w:pPr>
              <w:pStyle w:val="Tabletext"/>
              <w:rPr>
                <w:b/>
                <w:bCs/>
                <w:szCs w:val="20"/>
                <w:highlight w:val="darkGray"/>
              </w:rPr>
            </w:pPr>
            <w:r w:rsidRPr="00282289">
              <w:rPr>
                <w:b/>
                <w:bCs/>
                <w:color w:val="000000"/>
                <w:spacing w:val="57"/>
                <w:szCs w:val="20"/>
                <w:shd w:val="solid" w:color="000000" w:fill="000000"/>
                <w:fitText w:val="355" w:id="-723257846"/>
                <w14:textFill>
                  <w14:solidFill>
                    <w14:srgbClr w14:val="000000">
                      <w14:alpha w14:val="100000"/>
                    </w14:srgbClr>
                  </w14:solidFill>
                </w14:textFill>
              </w:rPr>
              <w:t>|||</w:t>
            </w:r>
            <w:r w:rsidRPr="00282289">
              <w:rPr>
                <w:b/>
                <w:bCs/>
                <w:color w:val="000000"/>
                <w:spacing w:val="1"/>
                <w:szCs w:val="20"/>
                <w:shd w:val="solid" w:color="000000" w:fill="000000"/>
                <w:fitText w:val="355" w:id="-723257846"/>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45"/>
                <w14:textFill>
                  <w14:solidFill>
                    <w14:srgbClr w14:val="000000">
                      <w14:alpha w14:val="100000"/>
                    </w14:srgbClr>
                  </w14:solidFill>
                </w14:textFill>
              </w:rPr>
              <w:t>|||</w:t>
            </w:r>
            <w:r w:rsidRPr="00282289">
              <w:rPr>
                <w:b/>
                <w:bCs/>
                <w:color w:val="000000"/>
                <w:spacing w:val="1"/>
                <w:szCs w:val="20"/>
                <w:shd w:val="solid" w:color="000000" w:fill="000000"/>
                <w:fitText w:val="355" w:id="-723257845"/>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844"/>
                <w14:textFill>
                  <w14:solidFill>
                    <w14:srgbClr w14:val="000000">
                      <w14:alpha w14:val="100000"/>
                    </w14:srgbClr>
                  </w14:solidFill>
                </w14:textFill>
              </w:rPr>
              <w:t>|||</w:t>
            </w:r>
            <w:r w:rsidRPr="00282289">
              <w:rPr>
                <w:b/>
                <w:bCs/>
                <w:color w:val="000000"/>
                <w:spacing w:val="1"/>
                <w:szCs w:val="20"/>
                <w:shd w:val="solid" w:color="000000" w:fill="000000"/>
                <w:fitText w:val="355" w:id="-723257844"/>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600"/>
                <w14:textFill>
                  <w14:solidFill>
                    <w14:srgbClr w14:val="000000">
                      <w14:alpha w14:val="100000"/>
                    </w14:srgbClr>
                  </w14:solidFill>
                </w14:textFill>
              </w:rPr>
              <w:t>|||</w:t>
            </w:r>
            <w:r w:rsidRPr="00282289">
              <w:rPr>
                <w:b/>
                <w:bCs/>
                <w:color w:val="000000"/>
                <w:spacing w:val="1"/>
                <w:szCs w:val="20"/>
                <w:shd w:val="solid" w:color="000000" w:fill="000000"/>
                <w:fitText w:val="355" w:id="-723257600"/>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599"/>
                <w14:textFill>
                  <w14:solidFill>
                    <w14:srgbClr w14:val="000000">
                      <w14:alpha w14:val="100000"/>
                    </w14:srgbClr>
                  </w14:solidFill>
                </w14:textFill>
              </w:rPr>
              <w:t>|||</w:t>
            </w:r>
            <w:r w:rsidRPr="00282289">
              <w:rPr>
                <w:b/>
                <w:bCs/>
                <w:color w:val="000000"/>
                <w:spacing w:val="1"/>
                <w:szCs w:val="20"/>
                <w:shd w:val="solid" w:color="000000" w:fill="000000"/>
                <w:fitText w:val="355" w:id="-723257599"/>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598"/>
                <w14:textFill>
                  <w14:solidFill>
                    <w14:srgbClr w14:val="000000">
                      <w14:alpha w14:val="100000"/>
                    </w14:srgbClr>
                  </w14:solidFill>
                </w14:textFill>
              </w:rPr>
              <w:t>|||</w:t>
            </w:r>
            <w:r w:rsidRPr="00282289">
              <w:rPr>
                <w:b/>
                <w:bCs/>
                <w:color w:val="000000"/>
                <w:spacing w:val="1"/>
                <w:szCs w:val="20"/>
                <w:shd w:val="solid" w:color="000000" w:fill="000000"/>
                <w:fitText w:val="355" w:id="-723257598"/>
                <w14:textFill>
                  <w14:solidFill>
                    <w14:srgbClr w14:val="000000">
                      <w14:alpha w14:val="100000"/>
                    </w14:srgbClr>
                  </w14:solidFill>
                </w14:textFill>
              </w:rPr>
              <w:t>|</w:t>
            </w:r>
          </w:p>
        </w:tc>
        <w:tc>
          <w:tcPr>
            <w:tcW w:w="1169" w:type="dxa"/>
            <w:shd w:val="clear" w:color="auto" w:fill="auto"/>
            <w:vAlign w:val="center"/>
          </w:tcPr>
          <w:p w14:paraId="30BDE2A0" w14:textId="1E6413E9" w:rsidR="009E2A2A" w:rsidRPr="008F29D0" w:rsidRDefault="00070C9A" w:rsidP="009E2A2A">
            <w:pPr>
              <w:pStyle w:val="Tablet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169" w:type="dxa"/>
            <w:shd w:val="clear" w:color="auto" w:fill="auto"/>
            <w:vAlign w:val="center"/>
          </w:tcPr>
          <w:p w14:paraId="7FABE51E" w14:textId="74C13596" w:rsidR="009E2A2A" w:rsidRPr="008F29D0" w:rsidRDefault="00070C9A" w:rsidP="009E2A2A">
            <w:pPr>
              <w:pStyle w:val="Tablet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169" w:type="dxa"/>
            <w:shd w:val="clear" w:color="auto" w:fill="auto"/>
            <w:vAlign w:val="center"/>
          </w:tcPr>
          <w:p w14:paraId="0081BDAB" w14:textId="030DC25B" w:rsidR="009E2A2A" w:rsidRPr="008F29D0" w:rsidRDefault="00070C9A" w:rsidP="009E2A2A">
            <w:pPr>
              <w:pStyle w:val="Tablet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169" w:type="dxa"/>
            <w:shd w:val="clear" w:color="auto" w:fill="auto"/>
            <w:vAlign w:val="center"/>
          </w:tcPr>
          <w:p w14:paraId="0C55EFB6" w14:textId="4A9E6EB3" w:rsidR="009E2A2A" w:rsidRPr="008F29D0" w:rsidRDefault="00070C9A" w:rsidP="009E2A2A">
            <w:pPr>
              <w:pStyle w:val="Tablet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169" w:type="dxa"/>
            <w:shd w:val="clear" w:color="auto" w:fill="auto"/>
            <w:vAlign w:val="center"/>
          </w:tcPr>
          <w:p w14:paraId="57D9E17F" w14:textId="462BA480" w:rsidR="009E2A2A" w:rsidRPr="008F29D0" w:rsidRDefault="00070C9A" w:rsidP="009E2A2A">
            <w:pPr>
              <w:pStyle w:val="Tabletext"/>
              <w:jc w:val="center"/>
              <w:rPr>
                <w:b/>
                <w:bCs/>
                <w:szCs w:val="20"/>
                <w:highlight w:val="darkGray"/>
              </w:rPr>
            </w:pPr>
            <w:r w:rsidRPr="00070C9A">
              <w:rPr>
                <w:color w:val="000000"/>
                <w:w w:val="15"/>
                <w:shd w:val="solid" w:color="000000" w:fill="000000"/>
                <w14:textFill>
                  <w14:solidFill>
                    <w14:srgbClr w14:val="000000">
                      <w14:alpha w14:val="100000"/>
                    </w14:srgbClr>
                  </w14:solidFill>
                </w14:textFill>
              </w:rPr>
              <w:t>|</w:t>
            </w:r>
            <w:r w:rsidR="00A27FA9" w:rsidRPr="00A27FA9">
              <w:rPr>
                <w:vertAlign w:val="superscript"/>
              </w:rPr>
              <w:t xml:space="preserve"> </w:t>
            </w:r>
          </w:p>
        </w:tc>
        <w:tc>
          <w:tcPr>
            <w:tcW w:w="1373" w:type="dxa"/>
            <w:vAlign w:val="center"/>
          </w:tcPr>
          <w:p w14:paraId="5CACBC4F" w14:textId="54A935ED" w:rsidR="009E2A2A" w:rsidRPr="008F29D0" w:rsidRDefault="00070C9A" w:rsidP="009E2A2A">
            <w:pPr>
              <w:pStyle w:val="Tabletext"/>
              <w:jc w:val="center"/>
              <w:rPr>
                <w:b/>
                <w:bCs/>
                <w:szCs w:val="20"/>
                <w:highlight w:val="darkGray"/>
              </w:rPr>
            </w:pPr>
            <w:r w:rsidRPr="00070C9A">
              <w:rPr>
                <w:color w:val="000000"/>
                <w:shd w:val="solid" w:color="000000" w:fill="000000"/>
                <w14:textFill>
                  <w14:solidFill>
                    <w14:srgbClr w14:val="000000">
                      <w14:alpha w14:val="100000"/>
                    </w14:srgbClr>
                  </w14:solidFill>
                </w14:textFill>
              </w:rPr>
              <w:t>|</w:t>
            </w:r>
            <w:r w:rsidR="00A27FA9" w:rsidRPr="00A27FA9">
              <w:rPr>
                <w:vertAlign w:val="superscript"/>
              </w:rPr>
              <w:t xml:space="preserve"> </w:t>
            </w:r>
          </w:p>
        </w:tc>
      </w:tr>
      <w:tr w:rsidR="008F3F2B" w:rsidRPr="008F29D0" w14:paraId="442582D0" w14:textId="77777777" w:rsidTr="00022017">
        <w:tc>
          <w:tcPr>
            <w:tcW w:w="9017" w:type="dxa"/>
            <w:gridSpan w:val="7"/>
            <w:shd w:val="clear" w:color="auto" w:fill="auto"/>
            <w:vAlign w:val="center"/>
          </w:tcPr>
          <w:p w14:paraId="2DF2514B" w14:textId="67C2A058" w:rsidR="008F3F2B" w:rsidRPr="008F29D0" w:rsidRDefault="00070C9A" w:rsidP="00022017">
            <w:pPr>
              <w:pStyle w:val="Tabletext"/>
              <w:rPr>
                <w:rFonts w:cs="Arial"/>
                <w:b/>
                <w:bCs/>
                <w:szCs w:val="20"/>
                <w:highlight w:val="darkGray"/>
              </w:rPr>
            </w:pPr>
            <w:r w:rsidRPr="00282289">
              <w:rPr>
                <w:rFonts w:cs="Arial"/>
                <w:b/>
                <w:bCs/>
                <w:color w:val="000000"/>
                <w:spacing w:val="57"/>
                <w:szCs w:val="20"/>
                <w:shd w:val="solid" w:color="000000" w:fill="000000"/>
                <w:fitText w:val="355" w:id="-723257597"/>
                <w14:textFill>
                  <w14:solidFill>
                    <w14:srgbClr w14:val="000000">
                      <w14:alpha w14:val="100000"/>
                    </w14:srgbClr>
                  </w14:solidFill>
                </w14:textFill>
              </w:rPr>
              <w:t>|||</w:t>
            </w:r>
            <w:r w:rsidRPr="00282289">
              <w:rPr>
                <w:rFonts w:cs="Arial"/>
                <w:b/>
                <w:bCs/>
                <w:color w:val="000000"/>
                <w:spacing w:val="1"/>
                <w:szCs w:val="20"/>
                <w:shd w:val="solid" w:color="000000" w:fill="000000"/>
                <w:fitText w:val="355" w:id="-723257597"/>
                <w14:textFill>
                  <w14:solidFill>
                    <w14:srgbClr w14:val="000000">
                      <w14:alpha w14:val="100000"/>
                    </w14:srgbClr>
                  </w14:solidFill>
                </w14:textFill>
              </w:rPr>
              <w:t>|</w:t>
            </w:r>
            <w:r w:rsidR="00A27FA9" w:rsidRPr="00A27FA9">
              <w:rPr>
                <w:rFonts w:cs="Arial"/>
                <w:b/>
                <w:bCs/>
                <w:szCs w:val="20"/>
              </w:rPr>
              <w:t xml:space="preserve"> </w:t>
            </w:r>
            <w:r w:rsidRPr="00282289">
              <w:rPr>
                <w:rFonts w:cs="Arial"/>
                <w:b/>
                <w:bCs/>
                <w:color w:val="000000"/>
                <w:spacing w:val="57"/>
                <w:szCs w:val="20"/>
                <w:shd w:val="solid" w:color="000000" w:fill="000000"/>
                <w:fitText w:val="355" w:id="-723257596"/>
                <w14:textFill>
                  <w14:solidFill>
                    <w14:srgbClr w14:val="000000">
                      <w14:alpha w14:val="100000"/>
                    </w14:srgbClr>
                  </w14:solidFill>
                </w14:textFill>
              </w:rPr>
              <w:t>|||</w:t>
            </w:r>
            <w:r w:rsidRPr="00282289">
              <w:rPr>
                <w:rFonts w:cs="Arial"/>
                <w:b/>
                <w:bCs/>
                <w:color w:val="000000"/>
                <w:spacing w:val="1"/>
                <w:szCs w:val="20"/>
                <w:shd w:val="solid" w:color="000000" w:fill="000000"/>
                <w:fitText w:val="355" w:id="-723257596"/>
                <w14:textFill>
                  <w14:solidFill>
                    <w14:srgbClr w14:val="000000">
                      <w14:alpha w14:val="100000"/>
                    </w14:srgbClr>
                  </w14:solidFill>
                </w14:textFill>
              </w:rPr>
              <w:t>|</w:t>
            </w:r>
          </w:p>
        </w:tc>
      </w:tr>
      <w:tr w:rsidR="003567C0" w:rsidRPr="008F29D0" w14:paraId="689023B2" w14:textId="77777777" w:rsidTr="001C69CD">
        <w:tc>
          <w:tcPr>
            <w:tcW w:w="1799" w:type="dxa"/>
            <w:shd w:val="clear" w:color="auto" w:fill="auto"/>
            <w:vAlign w:val="center"/>
          </w:tcPr>
          <w:p w14:paraId="6E1833DC" w14:textId="3C9EDD95" w:rsidR="003567C0" w:rsidRPr="008F29D0" w:rsidRDefault="00070C9A" w:rsidP="003567C0">
            <w:pPr>
              <w:pStyle w:val="Tabletext"/>
              <w:rPr>
                <w:b/>
                <w:bCs/>
                <w:szCs w:val="20"/>
                <w:highlight w:val="darkGray"/>
              </w:rPr>
            </w:pPr>
            <w:r w:rsidRPr="00282289">
              <w:rPr>
                <w:b/>
                <w:bCs/>
                <w:color w:val="000000"/>
                <w:spacing w:val="57"/>
                <w:szCs w:val="20"/>
                <w:shd w:val="solid" w:color="000000" w:fill="000000"/>
                <w:fitText w:val="355" w:id="-723257595"/>
                <w14:textFill>
                  <w14:solidFill>
                    <w14:srgbClr w14:val="000000">
                      <w14:alpha w14:val="100000"/>
                    </w14:srgbClr>
                  </w14:solidFill>
                </w14:textFill>
              </w:rPr>
              <w:t>|||</w:t>
            </w:r>
            <w:r w:rsidRPr="00282289">
              <w:rPr>
                <w:b/>
                <w:bCs/>
                <w:color w:val="000000"/>
                <w:spacing w:val="1"/>
                <w:szCs w:val="20"/>
                <w:shd w:val="solid" w:color="000000" w:fill="000000"/>
                <w:fitText w:val="355" w:id="-723257595"/>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594"/>
                <w14:textFill>
                  <w14:solidFill>
                    <w14:srgbClr w14:val="000000">
                      <w14:alpha w14:val="100000"/>
                    </w14:srgbClr>
                  </w14:solidFill>
                </w14:textFill>
              </w:rPr>
              <w:t>|||</w:t>
            </w:r>
            <w:r w:rsidRPr="00282289">
              <w:rPr>
                <w:b/>
                <w:bCs/>
                <w:color w:val="000000"/>
                <w:spacing w:val="1"/>
                <w:szCs w:val="20"/>
                <w:shd w:val="solid" w:color="000000" w:fill="000000"/>
                <w:fitText w:val="355" w:id="-723257594"/>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593"/>
                <w14:textFill>
                  <w14:solidFill>
                    <w14:srgbClr w14:val="000000">
                      <w14:alpha w14:val="100000"/>
                    </w14:srgbClr>
                  </w14:solidFill>
                </w14:textFill>
              </w:rPr>
              <w:t>|||</w:t>
            </w:r>
            <w:r w:rsidRPr="00282289">
              <w:rPr>
                <w:b/>
                <w:bCs/>
                <w:color w:val="000000"/>
                <w:spacing w:val="1"/>
                <w:szCs w:val="20"/>
                <w:shd w:val="solid" w:color="000000" w:fill="000000"/>
                <w:fitText w:val="355" w:id="-723257593"/>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592"/>
                <w14:textFill>
                  <w14:solidFill>
                    <w14:srgbClr w14:val="000000">
                      <w14:alpha w14:val="100000"/>
                    </w14:srgbClr>
                  </w14:solidFill>
                </w14:textFill>
              </w:rPr>
              <w:t>|||</w:t>
            </w:r>
            <w:r w:rsidRPr="00282289">
              <w:rPr>
                <w:b/>
                <w:bCs/>
                <w:color w:val="000000"/>
                <w:spacing w:val="1"/>
                <w:szCs w:val="20"/>
                <w:shd w:val="solid" w:color="000000" w:fill="000000"/>
                <w:fitText w:val="355" w:id="-723257592"/>
                <w14:textFill>
                  <w14:solidFill>
                    <w14:srgbClr w14:val="000000">
                      <w14:alpha w14:val="100000"/>
                    </w14:srgbClr>
                  </w14:solidFill>
                </w14:textFill>
              </w:rPr>
              <w:t>|</w:t>
            </w:r>
          </w:p>
        </w:tc>
        <w:tc>
          <w:tcPr>
            <w:tcW w:w="1169" w:type="dxa"/>
            <w:tcBorders>
              <w:top w:val="single" w:sz="4" w:space="0" w:color="auto"/>
              <w:left w:val="nil"/>
              <w:bottom w:val="single" w:sz="4" w:space="0" w:color="auto"/>
              <w:right w:val="single" w:sz="4" w:space="0" w:color="auto"/>
            </w:tcBorders>
            <w:shd w:val="clear" w:color="auto" w:fill="auto"/>
            <w:vAlign w:val="center"/>
          </w:tcPr>
          <w:p w14:paraId="318A7802" w14:textId="5EF49693"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82AAC96" w14:textId="0FBBBCA5"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82BB164" w14:textId="6DFD9126"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F40F3F7" w14:textId="2D64F921"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9DC0BC5" w14:textId="36860FC1"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9BC5185" w14:textId="43BF3382" w:rsidR="003567C0" w:rsidRPr="008F29D0" w:rsidRDefault="00070C9A" w:rsidP="003567C0">
            <w:pPr>
              <w:pStyle w:val="Tabletext"/>
              <w:jc w:val="center"/>
              <w:rPr>
                <w:rFonts w:cs="Arial"/>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r>
      <w:tr w:rsidR="003567C0" w:rsidRPr="008F29D0" w14:paraId="672156C8" w14:textId="77777777" w:rsidTr="001C69CD">
        <w:tc>
          <w:tcPr>
            <w:tcW w:w="1799" w:type="dxa"/>
            <w:shd w:val="clear" w:color="auto" w:fill="auto"/>
            <w:vAlign w:val="center"/>
          </w:tcPr>
          <w:p w14:paraId="7CB64F55" w14:textId="12D9D63E" w:rsidR="003567C0" w:rsidRPr="008F29D0" w:rsidRDefault="00070C9A" w:rsidP="003567C0">
            <w:pPr>
              <w:pStyle w:val="Tabletext"/>
              <w:rPr>
                <w:szCs w:val="20"/>
                <w:highlight w:val="darkGray"/>
              </w:rPr>
            </w:pPr>
            <w:r w:rsidRPr="00282289">
              <w:rPr>
                <w:color w:val="000000"/>
                <w:spacing w:val="54"/>
                <w:szCs w:val="20"/>
                <w:shd w:val="solid" w:color="000000" w:fill="000000"/>
                <w:fitText w:val="333" w:id="-723257591"/>
                <w14:textFill>
                  <w14:solidFill>
                    <w14:srgbClr w14:val="000000">
                      <w14:alpha w14:val="100000"/>
                    </w14:srgbClr>
                  </w14:solidFill>
                </w14:textFill>
              </w:rPr>
              <w:t>|||</w:t>
            </w:r>
            <w:r w:rsidRPr="00282289">
              <w:rPr>
                <w:color w:val="000000"/>
                <w:spacing w:val="1"/>
                <w:szCs w:val="20"/>
                <w:shd w:val="solid" w:color="000000" w:fill="000000"/>
                <w:fitText w:val="333" w:id="-723257591"/>
                <w14:textFill>
                  <w14:solidFill>
                    <w14:srgbClr w14:val="000000">
                      <w14:alpha w14:val="100000"/>
                    </w14:srgbClr>
                  </w14:solidFill>
                </w14:textFill>
              </w:rPr>
              <w:t>|</w:t>
            </w:r>
            <w:r w:rsidR="00A27FA9" w:rsidRPr="00A27FA9">
              <w:rPr>
                <w:szCs w:val="20"/>
              </w:rPr>
              <w:t xml:space="preserve"> </w:t>
            </w:r>
            <w:r w:rsidRPr="00282289">
              <w:rPr>
                <w:color w:val="000000"/>
                <w:spacing w:val="54"/>
                <w:szCs w:val="20"/>
                <w:shd w:val="solid" w:color="000000" w:fill="000000"/>
                <w:fitText w:val="333" w:id="-723257590"/>
                <w14:textFill>
                  <w14:solidFill>
                    <w14:srgbClr w14:val="000000">
                      <w14:alpha w14:val="100000"/>
                    </w14:srgbClr>
                  </w14:solidFill>
                </w14:textFill>
              </w:rPr>
              <w:t>|||</w:t>
            </w:r>
            <w:r w:rsidRPr="00282289">
              <w:rPr>
                <w:color w:val="000000"/>
                <w:spacing w:val="1"/>
                <w:szCs w:val="20"/>
                <w:shd w:val="solid" w:color="000000" w:fill="000000"/>
                <w:fitText w:val="333" w:id="-723257590"/>
                <w14:textFill>
                  <w14:solidFill>
                    <w14:srgbClr w14:val="000000">
                      <w14:alpha w14:val="100000"/>
                    </w14:srgbClr>
                  </w14:solidFill>
                </w14:textFill>
              </w:rPr>
              <w:t>|</w:t>
            </w:r>
            <w:r w:rsidR="00A27FA9" w:rsidRPr="00A27FA9">
              <w:rPr>
                <w:szCs w:val="20"/>
              </w:rPr>
              <w:t xml:space="preserve"> </w:t>
            </w:r>
            <w:r w:rsidRPr="00282289">
              <w:rPr>
                <w:color w:val="000000"/>
                <w:spacing w:val="50"/>
                <w:szCs w:val="20"/>
                <w:shd w:val="solid" w:color="000000" w:fill="000000"/>
                <w:fitText w:val="322" w:id="-723257589"/>
                <w14:textFill>
                  <w14:solidFill>
                    <w14:srgbClr w14:val="000000">
                      <w14:alpha w14:val="100000"/>
                    </w14:srgbClr>
                  </w14:solidFill>
                </w14:textFill>
              </w:rPr>
              <w:t>|||</w:t>
            </w:r>
            <w:r w:rsidRPr="00282289">
              <w:rPr>
                <w:color w:val="000000"/>
                <w:spacing w:val="2"/>
                <w:szCs w:val="20"/>
                <w:shd w:val="solid" w:color="000000" w:fill="000000"/>
                <w:fitText w:val="322" w:id="-723257589"/>
                <w14:textFill>
                  <w14:solidFill>
                    <w14:srgbClr w14:val="000000">
                      <w14:alpha w14:val="100000"/>
                    </w14:srgbClr>
                  </w14:solidFill>
                </w14:textFill>
              </w:rPr>
              <w:t>|</w:t>
            </w:r>
          </w:p>
        </w:tc>
        <w:tc>
          <w:tcPr>
            <w:tcW w:w="1169" w:type="dxa"/>
            <w:tcBorders>
              <w:top w:val="single" w:sz="4" w:space="0" w:color="auto"/>
              <w:left w:val="nil"/>
              <w:bottom w:val="single" w:sz="4" w:space="0" w:color="auto"/>
              <w:right w:val="single" w:sz="4" w:space="0" w:color="auto"/>
            </w:tcBorders>
            <w:shd w:val="clear" w:color="auto" w:fill="auto"/>
            <w:vAlign w:val="center"/>
          </w:tcPr>
          <w:p w14:paraId="790E70C1" w14:textId="3F4C15AB"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A088623" w14:textId="4827E7AD"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40EC773" w14:textId="4C09B254"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60685B4" w14:textId="2A828F93"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73443F33" w14:textId="0D3D5452"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szCs w:val="20"/>
                <w:vertAlign w:val="superscript"/>
              </w:rPr>
              <w:t xml:space="preserve">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C398EA0" w14:textId="00EA047C" w:rsidR="003567C0" w:rsidRPr="008F29D0" w:rsidRDefault="00070C9A" w:rsidP="003567C0">
            <w:pPr>
              <w:pStyle w:val="Tabletext"/>
              <w:jc w:val="center"/>
              <w:rPr>
                <w:rFonts w:cs="Arial"/>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rFonts w:cs="Arial"/>
                <w:szCs w:val="20"/>
                <w:vertAlign w:val="superscript"/>
              </w:rPr>
              <w:t xml:space="preserve"> </w:t>
            </w:r>
          </w:p>
        </w:tc>
      </w:tr>
      <w:tr w:rsidR="003567C0" w:rsidRPr="008F29D0" w14:paraId="5E700485" w14:textId="77777777" w:rsidTr="001C69CD">
        <w:tc>
          <w:tcPr>
            <w:tcW w:w="1799" w:type="dxa"/>
            <w:shd w:val="clear" w:color="auto" w:fill="auto"/>
            <w:vAlign w:val="center"/>
          </w:tcPr>
          <w:p w14:paraId="050B1B83" w14:textId="3E25CFDB" w:rsidR="003567C0" w:rsidRPr="008F29D0" w:rsidRDefault="00070C9A" w:rsidP="003567C0">
            <w:pPr>
              <w:pStyle w:val="Tabletext"/>
              <w:rPr>
                <w:b/>
                <w:bCs/>
                <w:szCs w:val="20"/>
                <w:highlight w:val="darkGray"/>
              </w:rPr>
            </w:pPr>
            <w:r w:rsidRPr="00282289">
              <w:rPr>
                <w:b/>
                <w:bCs/>
                <w:color w:val="000000"/>
                <w:spacing w:val="57"/>
                <w:szCs w:val="20"/>
                <w:shd w:val="solid" w:color="000000" w:fill="000000"/>
                <w:fitText w:val="355" w:id="-723257588"/>
                <w14:textFill>
                  <w14:solidFill>
                    <w14:srgbClr w14:val="000000">
                      <w14:alpha w14:val="100000"/>
                    </w14:srgbClr>
                  </w14:solidFill>
                </w14:textFill>
              </w:rPr>
              <w:t>|||</w:t>
            </w:r>
            <w:r w:rsidRPr="00282289">
              <w:rPr>
                <w:b/>
                <w:bCs/>
                <w:color w:val="000000"/>
                <w:spacing w:val="1"/>
                <w:szCs w:val="20"/>
                <w:shd w:val="solid" w:color="000000" w:fill="000000"/>
                <w:fitText w:val="355" w:id="-723257588"/>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587"/>
                <w14:textFill>
                  <w14:solidFill>
                    <w14:srgbClr w14:val="000000">
                      <w14:alpha w14:val="100000"/>
                    </w14:srgbClr>
                  </w14:solidFill>
                </w14:textFill>
              </w:rPr>
              <w:t>|||</w:t>
            </w:r>
            <w:r w:rsidRPr="00282289">
              <w:rPr>
                <w:b/>
                <w:bCs/>
                <w:color w:val="000000"/>
                <w:spacing w:val="1"/>
                <w:szCs w:val="20"/>
                <w:shd w:val="solid" w:color="000000" w:fill="000000"/>
                <w:fitText w:val="355" w:id="-723257587"/>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586"/>
                <w14:textFill>
                  <w14:solidFill>
                    <w14:srgbClr w14:val="000000">
                      <w14:alpha w14:val="100000"/>
                    </w14:srgbClr>
                  </w14:solidFill>
                </w14:textFill>
              </w:rPr>
              <w:t>|||</w:t>
            </w:r>
            <w:r w:rsidRPr="00282289">
              <w:rPr>
                <w:b/>
                <w:bCs/>
                <w:color w:val="000000"/>
                <w:spacing w:val="1"/>
                <w:szCs w:val="20"/>
                <w:shd w:val="solid" w:color="000000" w:fill="000000"/>
                <w:fitText w:val="355" w:id="-723257586"/>
                <w14:textFill>
                  <w14:solidFill>
                    <w14:srgbClr w14:val="000000">
                      <w14:alpha w14:val="100000"/>
                    </w14:srgbClr>
                  </w14:solidFill>
                </w14:textFill>
              </w:rPr>
              <w:t>|</w:t>
            </w:r>
            <w:r w:rsidR="00A27FA9" w:rsidRPr="00A27FA9">
              <w:rPr>
                <w:b/>
                <w:bCs/>
                <w:szCs w:val="20"/>
              </w:rPr>
              <w:t xml:space="preserve"> </w:t>
            </w:r>
            <w:r w:rsidRPr="00282289">
              <w:rPr>
                <w:b/>
                <w:bCs/>
                <w:color w:val="000000"/>
                <w:spacing w:val="57"/>
                <w:szCs w:val="20"/>
                <w:shd w:val="solid" w:color="000000" w:fill="000000"/>
                <w:fitText w:val="355" w:id="-723257585"/>
                <w14:textFill>
                  <w14:solidFill>
                    <w14:srgbClr w14:val="000000">
                      <w14:alpha w14:val="100000"/>
                    </w14:srgbClr>
                  </w14:solidFill>
                </w14:textFill>
              </w:rPr>
              <w:t>|||</w:t>
            </w:r>
            <w:r w:rsidRPr="00282289">
              <w:rPr>
                <w:b/>
                <w:bCs/>
                <w:color w:val="000000"/>
                <w:spacing w:val="1"/>
                <w:szCs w:val="20"/>
                <w:shd w:val="solid" w:color="000000" w:fill="000000"/>
                <w:fitText w:val="355" w:id="-723257585"/>
                <w14:textFill>
                  <w14:solidFill>
                    <w14:srgbClr w14:val="000000">
                      <w14:alpha w14:val="100000"/>
                    </w14:srgbClr>
                  </w14:solidFill>
                </w14:textFill>
              </w:rPr>
              <w:t>|</w:t>
            </w:r>
          </w:p>
        </w:tc>
        <w:tc>
          <w:tcPr>
            <w:tcW w:w="1169" w:type="dxa"/>
            <w:tcBorders>
              <w:top w:val="single" w:sz="4" w:space="0" w:color="auto"/>
              <w:left w:val="nil"/>
              <w:bottom w:val="single" w:sz="4" w:space="0" w:color="auto"/>
              <w:right w:val="single" w:sz="4" w:space="0" w:color="auto"/>
            </w:tcBorders>
            <w:shd w:val="clear" w:color="auto" w:fill="auto"/>
            <w:vAlign w:val="center"/>
          </w:tcPr>
          <w:p w14:paraId="162B36CD" w14:textId="493FFC43"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2E21185" w14:textId="1D82A8AF"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05C6D3E4" w14:textId="0498E9C9"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7BB8AA0" w14:textId="6449B089"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30C1E9D4" w14:textId="751B319F" w:rsidR="003567C0" w:rsidRPr="008F29D0" w:rsidRDefault="00070C9A" w:rsidP="003567C0">
            <w:pPr>
              <w:pStyle w:val="Tabletext"/>
              <w:jc w:val="center"/>
              <w:rPr>
                <w:rFonts w:cs="Arial"/>
                <w:szCs w:val="20"/>
                <w:highlight w:val="darkGray"/>
              </w:rPr>
            </w:pPr>
            <w:r w:rsidRPr="00070C9A">
              <w:rPr>
                <w:rFonts w:cs="Arial"/>
                <w:color w:val="000000"/>
                <w:w w:val="15"/>
                <w:szCs w:val="20"/>
                <w:shd w:val="solid" w:color="000000" w:fill="000000"/>
                <w14:textFill>
                  <w14:solidFill>
                    <w14:srgbClr w14:val="000000">
                      <w14:alpha w14:val="100000"/>
                    </w14:srgbClr>
                  </w14:solidFill>
                </w14:textFill>
              </w:rPr>
              <w:t>|</w:t>
            </w:r>
            <w:r w:rsidR="00A27FA9" w:rsidRPr="00A27FA9">
              <w:rPr>
                <w:rFonts w:cs="Arial"/>
                <w:color w:val="000000"/>
                <w:szCs w:val="20"/>
                <w:vertAlign w:val="superscript"/>
              </w:rPr>
              <w:t xml:space="preserve">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A342B5B" w14:textId="74F701DB" w:rsidR="003567C0" w:rsidRPr="008F29D0" w:rsidRDefault="00070C9A" w:rsidP="003567C0">
            <w:pPr>
              <w:pStyle w:val="Tabletext"/>
              <w:jc w:val="center"/>
              <w:rPr>
                <w:rFonts w:cs="Arial"/>
                <w:szCs w:val="20"/>
                <w:highlight w:val="darkGray"/>
              </w:rPr>
            </w:pPr>
            <w:r w:rsidRPr="00070C9A">
              <w:rPr>
                <w:rFonts w:cs="Arial"/>
                <w:color w:val="000000"/>
                <w:szCs w:val="20"/>
                <w:shd w:val="solid" w:color="000000" w:fill="000000"/>
                <w14:textFill>
                  <w14:solidFill>
                    <w14:srgbClr w14:val="000000">
                      <w14:alpha w14:val="100000"/>
                    </w14:srgbClr>
                  </w14:solidFill>
                </w14:textFill>
              </w:rPr>
              <w:t>|</w:t>
            </w:r>
            <w:r w:rsidR="00A27FA9" w:rsidRPr="00A27FA9">
              <w:rPr>
                <w:rFonts w:cs="Arial"/>
                <w:szCs w:val="20"/>
                <w:vertAlign w:val="superscript"/>
              </w:rPr>
              <w:t xml:space="preserve"> </w:t>
            </w:r>
          </w:p>
        </w:tc>
      </w:tr>
    </w:tbl>
    <w:p w14:paraId="65869F9A" w14:textId="41D27D49" w:rsidR="00A27FA9" w:rsidRPr="00A27FA9" w:rsidRDefault="00070C9A" w:rsidP="00D17A65">
      <w:pPr>
        <w:pStyle w:val="TableFigureFooter"/>
      </w:pPr>
      <w:r w:rsidRPr="002F75CE">
        <w:rPr>
          <w:color w:val="000000"/>
          <w:spacing w:val="9"/>
          <w:shd w:val="solid" w:color="000000" w:fill="000000"/>
          <w:fitText w:val="281" w:id="-723257584"/>
          <w14:textFill>
            <w14:solidFill>
              <w14:srgbClr w14:val="000000">
                <w14:alpha w14:val="100000"/>
              </w14:srgbClr>
            </w14:solidFill>
          </w14:textFill>
        </w:rPr>
        <w:t>||  |</w:t>
      </w:r>
      <w:r w:rsidRPr="002F75CE">
        <w:rPr>
          <w:color w:val="000000"/>
          <w:spacing w:val="1"/>
          <w:shd w:val="solid" w:color="000000" w:fill="000000"/>
          <w:fitText w:val="281" w:id="-723257584"/>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600"/>
          <w14:textFill>
            <w14:solidFill>
              <w14:srgbClr w14:val="000000">
                <w14:alpha w14:val="100000"/>
              </w14:srgbClr>
            </w14:solidFill>
          </w14:textFill>
        </w:rPr>
        <w:t>||  |</w:t>
      </w:r>
      <w:r w:rsidRPr="002F75CE">
        <w:rPr>
          <w:color w:val="000000"/>
          <w:spacing w:val="1"/>
          <w:shd w:val="solid" w:color="000000" w:fill="000000"/>
          <w:fitText w:val="281" w:id="-723257600"/>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9"/>
          <w14:textFill>
            <w14:solidFill>
              <w14:srgbClr w14:val="000000">
                <w14:alpha w14:val="100000"/>
              </w14:srgbClr>
            </w14:solidFill>
          </w14:textFill>
        </w:rPr>
        <w:t>||  |</w:t>
      </w:r>
      <w:r w:rsidRPr="002F75CE">
        <w:rPr>
          <w:color w:val="000000"/>
          <w:spacing w:val="1"/>
          <w:shd w:val="solid" w:color="000000" w:fill="000000"/>
          <w:fitText w:val="281" w:id="-723257599"/>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8"/>
          <w14:textFill>
            <w14:solidFill>
              <w14:srgbClr w14:val="000000">
                <w14:alpha w14:val="100000"/>
              </w14:srgbClr>
            </w14:solidFill>
          </w14:textFill>
        </w:rPr>
        <w:t>||  |</w:t>
      </w:r>
      <w:r w:rsidRPr="002F75CE">
        <w:rPr>
          <w:color w:val="000000"/>
          <w:spacing w:val="1"/>
          <w:shd w:val="solid" w:color="000000" w:fill="000000"/>
          <w:fitText w:val="281" w:id="-723257598"/>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7"/>
          <w14:textFill>
            <w14:solidFill>
              <w14:srgbClr w14:val="000000">
                <w14:alpha w14:val="100000"/>
              </w14:srgbClr>
            </w14:solidFill>
          </w14:textFill>
        </w:rPr>
        <w:t>||  |</w:t>
      </w:r>
      <w:r w:rsidRPr="002F75CE">
        <w:rPr>
          <w:color w:val="000000"/>
          <w:spacing w:val="1"/>
          <w:shd w:val="solid" w:color="000000" w:fill="000000"/>
          <w:fitText w:val="281" w:id="-723257597"/>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6"/>
          <w14:textFill>
            <w14:solidFill>
              <w14:srgbClr w14:val="000000">
                <w14:alpha w14:val="100000"/>
              </w14:srgbClr>
            </w14:solidFill>
          </w14:textFill>
        </w:rPr>
        <w:t>||  |</w:t>
      </w:r>
      <w:r w:rsidRPr="002F75CE">
        <w:rPr>
          <w:color w:val="000000"/>
          <w:spacing w:val="1"/>
          <w:shd w:val="solid" w:color="000000" w:fill="000000"/>
          <w:fitText w:val="281" w:id="-723257596"/>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5"/>
          <w14:textFill>
            <w14:solidFill>
              <w14:srgbClr w14:val="000000">
                <w14:alpha w14:val="100000"/>
              </w14:srgbClr>
            </w14:solidFill>
          </w14:textFill>
        </w:rPr>
        <w:t>||  |</w:t>
      </w:r>
      <w:r w:rsidRPr="002F75CE">
        <w:rPr>
          <w:color w:val="000000"/>
          <w:spacing w:val="1"/>
          <w:shd w:val="solid" w:color="000000" w:fill="000000"/>
          <w:fitText w:val="281" w:id="-723257595"/>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4"/>
          <w14:textFill>
            <w14:solidFill>
              <w14:srgbClr w14:val="000000">
                <w14:alpha w14:val="100000"/>
              </w14:srgbClr>
            </w14:solidFill>
          </w14:textFill>
        </w:rPr>
        <w:t>||  |</w:t>
      </w:r>
      <w:r w:rsidRPr="002F75CE">
        <w:rPr>
          <w:color w:val="000000"/>
          <w:spacing w:val="1"/>
          <w:shd w:val="solid" w:color="000000" w:fill="000000"/>
          <w:fitText w:val="281" w:id="-723257594"/>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3"/>
          <w14:textFill>
            <w14:solidFill>
              <w14:srgbClr w14:val="000000">
                <w14:alpha w14:val="100000"/>
              </w14:srgbClr>
            </w14:solidFill>
          </w14:textFill>
        </w:rPr>
        <w:t>||  |</w:t>
      </w:r>
      <w:r w:rsidRPr="002F75CE">
        <w:rPr>
          <w:color w:val="000000"/>
          <w:spacing w:val="1"/>
          <w:shd w:val="solid" w:color="000000" w:fill="000000"/>
          <w:fitText w:val="281" w:id="-723257593"/>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2"/>
          <w14:textFill>
            <w14:solidFill>
              <w14:srgbClr w14:val="000000">
                <w14:alpha w14:val="100000"/>
              </w14:srgbClr>
            </w14:solidFill>
          </w14:textFill>
        </w:rPr>
        <w:t>||  |</w:t>
      </w:r>
      <w:r w:rsidRPr="002F75CE">
        <w:rPr>
          <w:color w:val="000000"/>
          <w:spacing w:val="1"/>
          <w:shd w:val="solid" w:color="000000" w:fill="000000"/>
          <w:fitText w:val="281" w:id="-723257592"/>
          <w14:textFill>
            <w14:solidFill>
              <w14:srgbClr w14:val="000000">
                <w14:alpha w14:val="100000"/>
              </w14:srgbClr>
            </w14:solidFill>
          </w14:textFill>
        </w:rPr>
        <w:t>|</w:t>
      </w:r>
      <w:r w:rsidR="00A27FA9" w:rsidRPr="00A27FA9">
        <w:t xml:space="preserve"> </w:t>
      </w:r>
      <w:r w:rsidRPr="002F75CE">
        <w:rPr>
          <w:color w:val="000000"/>
          <w:spacing w:val="40"/>
          <w:shd w:val="solid" w:color="000000" w:fill="000000"/>
          <w:fitText w:val="280" w:id="-723257591"/>
          <w14:textFill>
            <w14:solidFill>
              <w14:srgbClr w14:val="000000">
                <w14:alpha w14:val="100000"/>
              </w14:srgbClr>
            </w14:solidFill>
          </w14:textFill>
        </w:rPr>
        <w:t xml:space="preserve">|  </w:t>
      </w:r>
      <w:r w:rsidRPr="002F75CE">
        <w:rPr>
          <w:color w:val="000000"/>
          <w:spacing w:val="2"/>
          <w:shd w:val="solid" w:color="000000" w:fill="000000"/>
          <w:fitText w:val="280" w:id="-723257591"/>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0"/>
          <w14:textFill>
            <w14:solidFill>
              <w14:srgbClr w14:val="000000">
                <w14:alpha w14:val="100000"/>
              </w14:srgbClr>
            </w14:solidFill>
          </w14:textFill>
        </w:rPr>
        <w:t>||  |</w:t>
      </w:r>
      <w:r w:rsidRPr="002F75CE">
        <w:rPr>
          <w:color w:val="000000"/>
          <w:spacing w:val="1"/>
          <w:shd w:val="solid" w:color="000000" w:fill="000000"/>
          <w:fitText w:val="281" w:id="-723257590"/>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9"/>
          <w14:textFill>
            <w14:solidFill>
              <w14:srgbClr w14:val="000000">
                <w14:alpha w14:val="100000"/>
              </w14:srgbClr>
            </w14:solidFill>
          </w14:textFill>
        </w:rPr>
        <w:t>||  |</w:t>
      </w:r>
      <w:r w:rsidRPr="002F75CE">
        <w:rPr>
          <w:color w:val="000000"/>
          <w:spacing w:val="1"/>
          <w:shd w:val="solid" w:color="000000" w:fill="000000"/>
          <w:fitText w:val="281" w:id="-723257589"/>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8"/>
          <w14:textFill>
            <w14:solidFill>
              <w14:srgbClr w14:val="000000">
                <w14:alpha w14:val="100000"/>
              </w14:srgbClr>
            </w14:solidFill>
          </w14:textFill>
        </w:rPr>
        <w:t>||  |</w:t>
      </w:r>
      <w:r w:rsidRPr="002F75CE">
        <w:rPr>
          <w:color w:val="000000"/>
          <w:spacing w:val="1"/>
          <w:shd w:val="solid" w:color="000000" w:fill="000000"/>
          <w:fitText w:val="281" w:id="-723257588"/>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7"/>
          <w14:textFill>
            <w14:solidFill>
              <w14:srgbClr w14:val="000000">
                <w14:alpha w14:val="100000"/>
              </w14:srgbClr>
            </w14:solidFill>
          </w14:textFill>
        </w:rPr>
        <w:t>||  |</w:t>
      </w:r>
      <w:r w:rsidRPr="002F75CE">
        <w:rPr>
          <w:color w:val="000000"/>
          <w:spacing w:val="1"/>
          <w:shd w:val="solid" w:color="000000" w:fill="000000"/>
          <w:fitText w:val="281" w:id="-723257587"/>
          <w14:textFill>
            <w14:solidFill>
              <w14:srgbClr w14:val="000000">
                <w14:alpha w14:val="100000"/>
              </w14:srgbClr>
            </w14:solidFill>
          </w14:textFill>
        </w:rPr>
        <w:t>|</w:t>
      </w:r>
      <w:r w:rsidR="00A27FA9" w:rsidRPr="00A27FA9">
        <w:t xml:space="preserve"> </w:t>
      </w:r>
      <w:r w:rsidRPr="002F75CE">
        <w:rPr>
          <w:color w:val="000000"/>
          <w:spacing w:val="40"/>
          <w:shd w:val="solid" w:color="000000" w:fill="000000"/>
          <w:fitText w:val="280" w:id="-723257586"/>
          <w14:textFill>
            <w14:solidFill>
              <w14:srgbClr w14:val="000000">
                <w14:alpha w14:val="100000"/>
              </w14:srgbClr>
            </w14:solidFill>
          </w14:textFill>
        </w:rPr>
        <w:t xml:space="preserve">|  </w:t>
      </w:r>
      <w:r w:rsidRPr="002F75CE">
        <w:rPr>
          <w:color w:val="000000"/>
          <w:spacing w:val="2"/>
          <w:shd w:val="solid" w:color="000000" w:fill="000000"/>
          <w:fitText w:val="280" w:id="-723257586"/>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5"/>
          <w14:textFill>
            <w14:solidFill>
              <w14:srgbClr w14:val="000000">
                <w14:alpha w14:val="100000"/>
              </w14:srgbClr>
            </w14:solidFill>
          </w14:textFill>
        </w:rPr>
        <w:t>||  |</w:t>
      </w:r>
      <w:r w:rsidRPr="002F75CE">
        <w:rPr>
          <w:color w:val="000000"/>
          <w:spacing w:val="1"/>
          <w:shd w:val="solid" w:color="000000" w:fill="000000"/>
          <w:fitText w:val="281" w:id="-723257585"/>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4"/>
          <w14:textFill>
            <w14:solidFill>
              <w14:srgbClr w14:val="000000">
                <w14:alpha w14:val="100000"/>
              </w14:srgbClr>
            </w14:solidFill>
          </w14:textFill>
        </w:rPr>
        <w:t>||  |</w:t>
      </w:r>
      <w:r w:rsidRPr="002F75CE">
        <w:rPr>
          <w:color w:val="000000"/>
          <w:spacing w:val="1"/>
          <w:shd w:val="solid" w:color="000000" w:fill="000000"/>
          <w:fitText w:val="281" w:id="-723257584"/>
          <w14:textFill>
            <w14:solidFill>
              <w14:srgbClr w14:val="000000">
                <w14:alpha w14:val="100000"/>
              </w14:srgbClr>
            </w14:solidFill>
          </w14:textFill>
        </w:rPr>
        <w:t>|</w:t>
      </w:r>
    </w:p>
    <w:p w14:paraId="63300FAC" w14:textId="5BB195FF" w:rsidR="00A27FA9" w:rsidRPr="00A27FA9" w:rsidRDefault="00070C9A" w:rsidP="00D17A65">
      <w:pPr>
        <w:pStyle w:val="TableFigureFooter"/>
      </w:pPr>
      <w:r w:rsidRPr="002F75CE">
        <w:rPr>
          <w:color w:val="000000"/>
          <w:spacing w:val="9"/>
          <w:shd w:val="solid" w:color="000000" w:fill="000000"/>
          <w:fitText w:val="281" w:id="-723257600"/>
          <w14:textFill>
            <w14:solidFill>
              <w14:srgbClr w14:val="000000">
                <w14:alpha w14:val="100000"/>
              </w14:srgbClr>
            </w14:solidFill>
          </w14:textFill>
        </w:rPr>
        <w:t>||  |</w:t>
      </w:r>
      <w:r w:rsidRPr="002F75CE">
        <w:rPr>
          <w:color w:val="000000"/>
          <w:spacing w:val="1"/>
          <w:shd w:val="solid" w:color="000000" w:fill="000000"/>
          <w:fitText w:val="281" w:id="-723257600"/>
          <w14:textFill>
            <w14:solidFill>
              <w14:srgbClr w14:val="000000">
                <w14:alpha w14:val="100000"/>
              </w14:srgbClr>
            </w14:solidFill>
          </w14:textFill>
        </w:rPr>
        <w:t>|</w:t>
      </w:r>
      <w:r w:rsidR="00A27FA9" w:rsidRPr="00A27FA9">
        <w:t xml:space="preserve"> </w:t>
      </w:r>
      <w:r w:rsidRPr="002F75CE">
        <w:rPr>
          <w:color w:val="000000"/>
          <w:spacing w:val="37"/>
          <w:shd w:val="solid" w:color="000000" w:fill="000000"/>
          <w:fitText w:val="270" w:id="-723257599"/>
          <w14:textFill>
            <w14:solidFill>
              <w14:srgbClr w14:val="000000">
                <w14:alpha w14:val="100000"/>
              </w14:srgbClr>
            </w14:solidFill>
          </w14:textFill>
        </w:rPr>
        <w:t xml:space="preserve">|  </w:t>
      </w:r>
      <w:r w:rsidRPr="002F75CE">
        <w:rPr>
          <w:color w:val="000000"/>
          <w:spacing w:val="1"/>
          <w:shd w:val="solid" w:color="000000" w:fill="000000"/>
          <w:fitText w:val="270" w:id="-723257599"/>
          <w14:textFill>
            <w14:solidFill>
              <w14:srgbClr w14:val="000000">
                <w14:alpha w14:val="100000"/>
              </w14:srgbClr>
            </w14:solidFill>
          </w14:textFill>
        </w:rPr>
        <w:t>|</w:t>
      </w:r>
      <w:r w:rsidR="00A27FA9" w:rsidRPr="00A27FA9">
        <w:t xml:space="preserve"> </w:t>
      </w:r>
      <w:r w:rsidRPr="002F75CE">
        <w:rPr>
          <w:color w:val="000000"/>
          <w:spacing w:val="37"/>
          <w:shd w:val="solid" w:color="000000" w:fill="000000"/>
          <w:fitText w:val="270" w:id="-723257598"/>
          <w14:textFill>
            <w14:solidFill>
              <w14:srgbClr w14:val="000000">
                <w14:alpha w14:val="100000"/>
              </w14:srgbClr>
            </w14:solidFill>
          </w14:textFill>
        </w:rPr>
        <w:t xml:space="preserve">|  </w:t>
      </w:r>
      <w:r w:rsidRPr="002F75CE">
        <w:rPr>
          <w:color w:val="000000"/>
          <w:spacing w:val="1"/>
          <w:shd w:val="solid" w:color="000000" w:fill="000000"/>
          <w:fitText w:val="270" w:id="-723257598"/>
          <w14:textFill>
            <w14:solidFill>
              <w14:srgbClr w14:val="000000">
                <w14:alpha w14:val="100000"/>
              </w14:srgbClr>
            </w14:solidFill>
          </w14:textFill>
        </w:rPr>
        <w:t>|</w:t>
      </w:r>
      <w:r w:rsidR="00A27FA9" w:rsidRPr="00A27FA9">
        <w:t xml:space="preserve"> </w:t>
      </w:r>
      <w:r w:rsidRPr="002F75CE">
        <w:rPr>
          <w:color w:val="000000"/>
          <w:spacing w:val="37"/>
          <w:shd w:val="solid" w:color="000000" w:fill="000000"/>
          <w:fitText w:val="270" w:id="-723257597"/>
          <w14:textFill>
            <w14:solidFill>
              <w14:srgbClr w14:val="000000">
                <w14:alpha w14:val="100000"/>
              </w14:srgbClr>
            </w14:solidFill>
          </w14:textFill>
        </w:rPr>
        <w:t xml:space="preserve">|  </w:t>
      </w:r>
      <w:r w:rsidRPr="002F75CE">
        <w:rPr>
          <w:color w:val="000000"/>
          <w:spacing w:val="1"/>
          <w:shd w:val="solid" w:color="000000" w:fill="000000"/>
          <w:fitText w:val="270" w:id="-723257597"/>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6"/>
          <w14:textFill>
            <w14:solidFill>
              <w14:srgbClr w14:val="000000">
                <w14:alpha w14:val="100000"/>
              </w14:srgbClr>
            </w14:solidFill>
          </w14:textFill>
        </w:rPr>
        <w:t>||  |</w:t>
      </w:r>
      <w:r w:rsidRPr="002F75CE">
        <w:rPr>
          <w:color w:val="000000"/>
          <w:spacing w:val="1"/>
          <w:shd w:val="solid" w:color="000000" w:fill="000000"/>
          <w:fitText w:val="281" w:id="-723257596"/>
          <w14:textFill>
            <w14:solidFill>
              <w14:srgbClr w14:val="000000">
                <w14:alpha w14:val="100000"/>
              </w14:srgbClr>
            </w14:solidFill>
          </w14:textFill>
        </w:rPr>
        <w:t>|</w:t>
      </w:r>
      <w:r w:rsidR="00A27FA9" w:rsidRPr="00A27FA9">
        <w:t xml:space="preserve"> </w:t>
      </w:r>
      <w:r w:rsidRPr="002F75CE">
        <w:rPr>
          <w:color w:val="000000"/>
          <w:spacing w:val="37"/>
          <w:shd w:val="solid" w:color="000000" w:fill="000000"/>
          <w:fitText w:val="270" w:id="-723257595"/>
          <w14:textFill>
            <w14:solidFill>
              <w14:srgbClr w14:val="000000">
                <w14:alpha w14:val="100000"/>
              </w14:srgbClr>
            </w14:solidFill>
          </w14:textFill>
        </w:rPr>
        <w:t xml:space="preserve">|  </w:t>
      </w:r>
      <w:r w:rsidRPr="002F75CE">
        <w:rPr>
          <w:color w:val="000000"/>
          <w:spacing w:val="1"/>
          <w:shd w:val="solid" w:color="000000" w:fill="000000"/>
          <w:fitText w:val="270" w:id="-723257595"/>
          <w14:textFill>
            <w14:solidFill>
              <w14:srgbClr w14:val="000000">
                <w14:alpha w14:val="100000"/>
              </w14:srgbClr>
            </w14:solidFill>
          </w14:textFill>
        </w:rPr>
        <w:t>|</w:t>
      </w:r>
      <w:r w:rsidR="00A27FA9" w:rsidRPr="00A27FA9">
        <w:t xml:space="preserve"> </w:t>
      </w:r>
      <w:r w:rsidRPr="002F75CE">
        <w:rPr>
          <w:color w:val="000000"/>
          <w:spacing w:val="37"/>
          <w:shd w:val="solid" w:color="000000" w:fill="000000"/>
          <w:fitText w:val="270" w:id="-723257594"/>
          <w14:textFill>
            <w14:solidFill>
              <w14:srgbClr w14:val="000000">
                <w14:alpha w14:val="100000"/>
              </w14:srgbClr>
            </w14:solidFill>
          </w14:textFill>
        </w:rPr>
        <w:t xml:space="preserve">|  </w:t>
      </w:r>
      <w:r w:rsidRPr="002F75CE">
        <w:rPr>
          <w:color w:val="000000"/>
          <w:spacing w:val="1"/>
          <w:shd w:val="solid" w:color="000000" w:fill="000000"/>
          <w:fitText w:val="270" w:id="-723257594"/>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3"/>
          <w14:textFill>
            <w14:solidFill>
              <w14:srgbClr w14:val="000000">
                <w14:alpha w14:val="100000"/>
              </w14:srgbClr>
            </w14:solidFill>
          </w14:textFill>
        </w:rPr>
        <w:t>||  |</w:t>
      </w:r>
      <w:r w:rsidRPr="002F75CE">
        <w:rPr>
          <w:color w:val="000000"/>
          <w:spacing w:val="1"/>
          <w:shd w:val="solid" w:color="000000" w:fill="000000"/>
          <w:fitText w:val="281" w:id="-723257593"/>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2"/>
          <w14:textFill>
            <w14:solidFill>
              <w14:srgbClr w14:val="000000">
                <w14:alpha w14:val="100000"/>
              </w14:srgbClr>
            </w14:solidFill>
          </w14:textFill>
        </w:rPr>
        <w:t>||  |</w:t>
      </w:r>
      <w:r w:rsidRPr="002F75CE">
        <w:rPr>
          <w:color w:val="000000"/>
          <w:spacing w:val="1"/>
          <w:shd w:val="solid" w:color="000000" w:fill="000000"/>
          <w:fitText w:val="281" w:id="-723257592"/>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1"/>
          <w14:textFill>
            <w14:solidFill>
              <w14:srgbClr w14:val="000000">
                <w14:alpha w14:val="100000"/>
              </w14:srgbClr>
            </w14:solidFill>
          </w14:textFill>
        </w:rPr>
        <w:t>||  |</w:t>
      </w:r>
      <w:r w:rsidRPr="002F75CE">
        <w:rPr>
          <w:color w:val="000000"/>
          <w:spacing w:val="1"/>
          <w:shd w:val="solid" w:color="000000" w:fill="000000"/>
          <w:fitText w:val="281" w:id="-723257591"/>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0"/>
          <w14:textFill>
            <w14:solidFill>
              <w14:srgbClr w14:val="000000">
                <w14:alpha w14:val="100000"/>
              </w14:srgbClr>
            </w14:solidFill>
          </w14:textFill>
        </w:rPr>
        <w:t>||  |</w:t>
      </w:r>
      <w:r w:rsidRPr="002F75CE">
        <w:rPr>
          <w:color w:val="000000"/>
          <w:spacing w:val="1"/>
          <w:shd w:val="solid" w:color="000000" w:fill="000000"/>
          <w:fitText w:val="281" w:id="-723257590"/>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9"/>
          <w14:textFill>
            <w14:solidFill>
              <w14:srgbClr w14:val="000000">
                <w14:alpha w14:val="100000"/>
              </w14:srgbClr>
            </w14:solidFill>
          </w14:textFill>
        </w:rPr>
        <w:t>||  |</w:t>
      </w:r>
      <w:r w:rsidRPr="002F75CE">
        <w:rPr>
          <w:color w:val="000000"/>
          <w:spacing w:val="1"/>
          <w:shd w:val="solid" w:color="000000" w:fill="000000"/>
          <w:fitText w:val="281" w:id="-723257589"/>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8"/>
          <w14:textFill>
            <w14:solidFill>
              <w14:srgbClr w14:val="000000">
                <w14:alpha w14:val="100000"/>
              </w14:srgbClr>
            </w14:solidFill>
          </w14:textFill>
        </w:rPr>
        <w:t>||  |</w:t>
      </w:r>
      <w:r w:rsidRPr="002F75CE">
        <w:rPr>
          <w:color w:val="000000"/>
          <w:spacing w:val="1"/>
          <w:shd w:val="solid" w:color="000000" w:fill="000000"/>
          <w:fitText w:val="281" w:id="-723257588"/>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7"/>
          <w14:textFill>
            <w14:solidFill>
              <w14:srgbClr w14:val="000000">
                <w14:alpha w14:val="100000"/>
              </w14:srgbClr>
            </w14:solidFill>
          </w14:textFill>
        </w:rPr>
        <w:t>||  |</w:t>
      </w:r>
      <w:r w:rsidRPr="002F75CE">
        <w:rPr>
          <w:color w:val="000000"/>
          <w:spacing w:val="1"/>
          <w:shd w:val="solid" w:color="000000" w:fill="000000"/>
          <w:fitText w:val="281" w:id="-723257587"/>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6"/>
          <w14:textFill>
            <w14:solidFill>
              <w14:srgbClr w14:val="000000">
                <w14:alpha w14:val="100000"/>
              </w14:srgbClr>
            </w14:solidFill>
          </w14:textFill>
        </w:rPr>
        <w:t>||  |</w:t>
      </w:r>
      <w:r w:rsidRPr="002F75CE">
        <w:rPr>
          <w:color w:val="000000"/>
          <w:spacing w:val="1"/>
          <w:shd w:val="solid" w:color="000000" w:fill="000000"/>
          <w:fitText w:val="281" w:id="-723257586"/>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5"/>
          <w14:textFill>
            <w14:solidFill>
              <w14:srgbClr w14:val="000000">
                <w14:alpha w14:val="100000"/>
              </w14:srgbClr>
            </w14:solidFill>
          </w14:textFill>
        </w:rPr>
        <w:t>||  |</w:t>
      </w:r>
      <w:r w:rsidRPr="002F75CE">
        <w:rPr>
          <w:color w:val="000000"/>
          <w:spacing w:val="1"/>
          <w:shd w:val="solid" w:color="000000" w:fill="000000"/>
          <w:fitText w:val="281" w:id="-723257585"/>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84"/>
          <w14:textFill>
            <w14:solidFill>
              <w14:srgbClr w14:val="000000">
                <w14:alpha w14:val="100000"/>
              </w14:srgbClr>
            </w14:solidFill>
          </w14:textFill>
        </w:rPr>
        <w:t>||  |</w:t>
      </w:r>
      <w:r w:rsidRPr="002F75CE">
        <w:rPr>
          <w:color w:val="000000"/>
          <w:spacing w:val="1"/>
          <w:shd w:val="solid" w:color="000000" w:fill="000000"/>
          <w:fitText w:val="281" w:id="-723257584"/>
          <w14:textFill>
            <w14:solidFill>
              <w14:srgbClr w14:val="000000">
                <w14:alpha w14:val="100000"/>
              </w14:srgbClr>
            </w14:solidFill>
          </w14:textFill>
        </w:rPr>
        <w:t>|</w:t>
      </w:r>
      <w:r w:rsidR="00A27FA9" w:rsidRPr="00A27FA9">
        <w:t xml:space="preserve"> </w:t>
      </w:r>
      <w:r w:rsidRPr="002F75CE">
        <w:rPr>
          <w:color w:val="000000"/>
          <w:spacing w:val="40"/>
          <w:shd w:val="solid" w:color="000000" w:fill="000000"/>
          <w:fitText w:val="280" w:id="-723257600"/>
          <w14:textFill>
            <w14:solidFill>
              <w14:srgbClr w14:val="000000">
                <w14:alpha w14:val="100000"/>
              </w14:srgbClr>
            </w14:solidFill>
          </w14:textFill>
        </w:rPr>
        <w:t xml:space="preserve">|  </w:t>
      </w:r>
      <w:r w:rsidRPr="002F75CE">
        <w:rPr>
          <w:color w:val="000000"/>
          <w:spacing w:val="2"/>
          <w:shd w:val="solid" w:color="000000" w:fill="000000"/>
          <w:fitText w:val="280" w:id="-723257600"/>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9"/>
          <w14:textFill>
            <w14:solidFill>
              <w14:srgbClr w14:val="000000">
                <w14:alpha w14:val="100000"/>
              </w14:srgbClr>
            </w14:solidFill>
          </w14:textFill>
        </w:rPr>
        <w:t>||  |</w:t>
      </w:r>
      <w:r w:rsidRPr="002F75CE">
        <w:rPr>
          <w:color w:val="000000"/>
          <w:spacing w:val="1"/>
          <w:shd w:val="solid" w:color="000000" w:fill="000000"/>
          <w:fitText w:val="281" w:id="-723257599"/>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8"/>
          <w14:textFill>
            <w14:solidFill>
              <w14:srgbClr w14:val="000000">
                <w14:alpha w14:val="100000"/>
              </w14:srgbClr>
            </w14:solidFill>
          </w14:textFill>
        </w:rPr>
        <w:t>||  |</w:t>
      </w:r>
      <w:r w:rsidRPr="002F75CE">
        <w:rPr>
          <w:color w:val="000000"/>
          <w:spacing w:val="1"/>
          <w:shd w:val="solid" w:color="000000" w:fill="000000"/>
          <w:fitText w:val="281" w:id="-723257598"/>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7"/>
          <w14:textFill>
            <w14:solidFill>
              <w14:srgbClr w14:val="000000">
                <w14:alpha w14:val="100000"/>
              </w14:srgbClr>
            </w14:solidFill>
          </w14:textFill>
        </w:rPr>
        <w:t>||  |</w:t>
      </w:r>
      <w:r w:rsidRPr="002F75CE">
        <w:rPr>
          <w:color w:val="000000"/>
          <w:spacing w:val="1"/>
          <w:shd w:val="solid" w:color="000000" w:fill="000000"/>
          <w:fitText w:val="281" w:id="-723257597"/>
          <w14:textFill>
            <w14:solidFill>
              <w14:srgbClr w14:val="000000">
                <w14:alpha w14:val="100000"/>
              </w14:srgbClr>
            </w14:solidFill>
          </w14:textFill>
        </w:rPr>
        <w:t>|</w:t>
      </w:r>
      <w:r w:rsidR="00A27FA9" w:rsidRPr="00A27FA9">
        <w:t xml:space="preserve"> </w:t>
      </w:r>
      <w:r w:rsidRPr="002F75CE">
        <w:rPr>
          <w:color w:val="000000"/>
          <w:spacing w:val="9"/>
          <w:shd w:val="solid" w:color="000000" w:fill="000000"/>
          <w:fitText w:val="281" w:id="-723257596"/>
          <w14:textFill>
            <w14:solidFill>
              <w14:srgbClr w14:val="000000">
                <w14:alpha w14:val="100000"/>
              </w14:srgbClr>
            </w14:solidFill>
          </w14:textFill>
        </w:rPr>
        <w:t>||  |</w:t>
      </w:r>
      <w:r w:rsidRPr="002F75CE">
        <w:rPr>
          <w:color w:val="000000"/>
          <w:spacing w:val="1"/>
          <w:shd w:val="solid" w:color="000000" w:fill="000000"/>
          <w:fitText w:val="281" w:id="-723257596"/>
          <w14:textFill>
            <w14:solidFill>
              <w14:srgbClr w14:val="000000">
                <w14:alpha w14:val="100000"/>
              </w14:srgbClr>
            </w14:solidFill>
          </w14:textFill>
        </w:rPr>
        <w:t>|</w:t>
      </w:r>
      <w:r w:rsidR="00A27FA9" w:rsidRPr="00A27FA9">
        <w:t xml:space="preserve"> </w:t>
      </w:r>
      <w:r w:rsidRPr="002F75CE">
        <w:rPr>
          <w:color w:val="000000"/>
          <w:spacing w:val="40"/>
          <w:shd w:val="solid" w:color="000000" w:fill="000000"/>
          <w:fitText w:val="280" w:id="-723257595"/>
          <w14:textFill>
            <w14:solidFill>
              <w14:srgbClr w14:val="000000">
                <w14:alpha w14:val="100000"/>
              </w14:srgbClr>
            </w14:solidFill>
          </w14:textFill>
        </w:rPr>
        <w:t xml:space="preserve">|  </w:t>
      </w:r>
      <w:r w:rsidRPr="002F75CE">
        <w:rPr>
          <w:color w:val="000000"/>
          <w:spacing w:val="2"/>
          <w:shd w:val="solid" w:color="000000" w:fill="000000"/>
          <w:fitText w:val="280" w:id="-723257595"/>
          <w14:textFill>
            <w14:solidFill>
              <w14:srgbClr w14:val="000000">
                <w14:alpha w14:val="100000"/>
              </w14:srgbClr>
            </w14:solidFill>
          </w14:textFill>
        </w:rPr>
        <w:t>|</w:t>
      </w:r>
      <w:r w:rsidR="00A27FA9" w:rsidRPr="00A27FA9">
        <w:t xml:space="preserve"> </w:t>
      </w:r>
    </w:p>
    <w:p w14:paraId="5E14BD2E" w14:textId="2F047DF9" w:rsidR="00A27FA9" w:rsidRPr="00A27FA9" w:rsidRDefault="00070C9A" w:rsidP="00D17A65">
      <w:pPr>
        <w:pStyle w:val="TableFigureFooter"/>
        <w:rPr>
          <w:i/>
          <w:iCs/>
        </w:rPr>
      </w:pPr>
      <w:r w:rsidRPr="002F75CE">
        <w:rPr>
          <w:i/>
          <w:iCs/>
          <w:color w:val="000000"/>
          <w:spacing w:val="9"/>
          <w:shd w:val="solid" w:color="000000" w:fill="000000"/>
          <w:fitText w:val="281" w:id="-723257594"/>
          <w14:textFill>
            <w14:solidFill>
              <w14:srgbClr w14:val="000000">
                <w14:alpha w14:val="100000"/>
              </w14:srgbClr>
            </w14:solidFill>
          </w14:textFill>
        </w:rPr>
        <w:t>||  |</w:t>
      </w:r>
      <w:r w:rsidRPr="002F75CE">
        <w:rPr>
          <w:i/>
          <w:iCs/>
          <w:color w:val="000000"/>
          <w:spacing w:val="1"/>
          <w:shd w:val="solid" w:color="000000" w:fill="000000"/>
          <w:fitText w:val="281" w:id="-723257594"/>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3"/>
          <w14:textFill>
            <w14:solidFill>
              <w14:srgbClr w14:val="000000">
                <w14:alpha w14:val="100000"/>
              </w14:srgbClr>
            </w14:solidFill>
          </w14:textFill>
        </w:rPr>
        <w:t>||  |</w:t>
      </w:r>
      <w:r w:rsidRPr="002F75CE">
        <w:rPr>
          <w:i/>
          <w:iCs/>
          <w:color w:val="000000"/>
          <w:spacing w:val="1"/>
          <w:shd w:val="solid" w:color="000000" w:fill="000000"/>
          <w:fitText w:val="281" w:id="-723257593"/>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2"/>
          <w14:textFill>
            <w14:solidFill>
              <w14:srgbClr w14:val="000000">
                <w14:alpha w14:val="100000"/>
              </w14:srgbClr>
            </w14:solidFill>
          </w14:textFill>
        </w:rPr>
        <w:t>||  |</w:t>
      </w:r>
      <w:r w:rsidRPr="002F75CE">
        <w:rPr>
          <w:i/>
          <w:iCs/>
          <w:color w:val="000000"/>
          <w:spacing w:val="1"/>
          <w:shd w:val="solid" w:color="000000" w:fill="000000"/>
          <w:fitText w:val="281" w:id="-723257592"/>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1"/>
          <w14:textFill>
            <w14:solidFill>
              <w14:srgbClr w14:val="000000">
                <w14:alpha w14:val="100000"/>
              </w14:srgbClr>
            </w14:solidFill>
          </w14:textFill>
        </w:rPr>
        <w:t>||  |</w:t>
      </w:r>
      <w:r w:rsidRPr="002F75CE">
        <w:rPr>
          <w:i/>
          <w:iCs/>
          <w:color w:val="000000"/>
          <w:spacing w:val="1"/>
          <w:shd w:val="solid" w:color="000000" w:fill="000000"/>
          <w:fitText w:val="281" w:id="-723257591"/>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0"/>
          <w14:textFill>
            <w14:solidFill>
              <w14:srgbClr w14:val="000000">
                <w14:alpha w14:val="100000"/>
              </w14:srgbClr>
            </w14:solidFill>
          </w14:textFill>
        </w:rPr>
        <w:t>||  |</w:t>
      </w:r>
      <w:r w:rsidRPr="002F75CE">
        <w:rPr>
          <w:i/>
          <w:iCs/>
          <w:color w:val="000000"/>
          <w:spacing w:val="1"/>
          <w:shd w:val="solid" w:color="000000" w:fill="000000"/>
          <w:fitText w:val="281" w:id="-723257590"/>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89"/>
          <w14:textFill>
            <w14:solidFill>
              <w14:srgbClr w14:val="000000">
                <w14:alpha w14:val="100000"/>
              </w14:srgbClr>
            </w14:solidFill>
          </w14:textFill>
        </w:rPr>
        <w:t>||  |</w:t>
      </w:r>
      <w:r w:rsidRPr="002F75CE">
        <w:rPr>
          <w:i/>
          <w:iCs/>
          <w:color w:val="000000"/>
          <w:spacing w:val="1"/>
          <w:shd w:val="solid" w:color="000000" w:fill="000000"/>
          <w:fitText w:val="281" w:id="-723257589"/>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88"/>
          <w14:textFill>
            <w14:solidFill>
              <w14:srgbClr w14:val="000000">
                <w14:alpha w14:val="100000"/>
              </w14:srgbClr>
            </w14:solidFill>
          </w14:textFill>
        </w:rPr>
        <w:t>||  |</w:t>
      </w:r>
      <w:r w:rsidRPr="002F75CE">
        <w:rPr>
          <w:i/>
          <w:iCs/>
          <w:color w:val="000000"/>
          <w:spacing w:val="1"/>
          <w:shd w:val="solid" w:color="000000" w:fill="000000"/>
          <w:fitText w:val="281" w:id="-723257588"/>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87"/>
          <w14:textFill>
            <w14:solidFill>
              <w14:srgbClr w14:val="000000">
                <w14:alpha w14:val="100000"/>
              </w14:srgbClr>
            </w14:solidFill>
          </w14:textFill>
        </w:rPr>
        <w:t>||  |</w:t>
      </w:r>
      <w:r w:rsidRPr="002F75CE">
        <w:rPr>
          <w:i/>
          <w:iCs/>
          <w:color w:val="000000"/>
          <w:spacing w:val="1"/>
          <w:shd w:val="solid" w:color="000000" w:fill="000000"/>
          <w:fitText w:val="281" w:id="-723257587"/>
          <w14:textFill>
            <w14:solidFill>
              <w14:srgbClr w14:val="000000">
                <w14:alpha w14:val="100000"/>
              </w14:srgbClr>
            </w14:solidFill>
          </w14:textFill>
        </w:rPr>
        <w:t>|</w:t>
      </w:r>
      <w:r w:rsidR="00A27FA9" w:rsidRPr="00A27FA9">
        <w:rPr>
          <w:i/>
          <w:iCs/>
        </w:rPr>
        <w:t xml:space="preserve"> </w:t>
      </w:r>
    </w:p>
    <w:p w14:paraId="5354D2AE" w14:textId="08F46DCA" w:rsidR="00A27FA9" w:rsidRPr="00A27FA9" w:rsidRDefault="00070C9A" w:rsidP="00D17A65">
      <w:pPr>
        <w:pStyle w:val="TableFigureFooter"/>
        <w:rPr>
          <w:i/>
          <w:iCs/>
        </w:rPr>
      </w:pPr>
      <w:r w:rsidRPr="002F75CE">
        <w:rPr>
          <w:i/>
          <w:iCs/>
          <w:color w:val="000000"/>
          <w:spacing w:val="9"/>
          <w:shd w:val="solid" w:color="000000" w:fill="000000"/>
          <w:fitText w:val="281" w:id="-723257586"/>
          <w14:textFill>
            <w14:solidFill>
              <w14:srgbClr w14:val="000000">
                <w14:alpha w14:val="100000"/>
              </w14:srgbClr>
            </w14:solidFill>
          </w14:textFill>
        </w:rPr>
        <w:t>||  |</w:t>
      </w:r>
      <w:r w:rsidRPr="002F75CE">
        <w:rPr>
          <w:i/>
          <w:iCs/>
          <w:color w:val="000000"/>
          <w:spacing w:val="1"/>
          <w:shd w:val="solid" w:color="000000" w:fill="000000"/>
          <w:fitText w:val="281" w:id="-723257586"/>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85"/>
          <w14:textFill>
            <w14:solidFill>
              <w14:srgbClr w14:val="000000">
                <w14:alpha w14:val="100000"/>
              </w14:srgbClr>
            </w14:solidFill>
          </w14:textFill>
        </w:rPr>
        <w:t>||  |</w:t>
      </w:r>
      <w:r w:rsidRPr="002F75CE">
        <w:rPr>
          <w:i/>
          <w:iCs/>
          <w:color w:val="000000"/>
          <w:spacing w:val="1"/>
          <w:shd w:val="solid" w:color="000000" w:fill="000000"/>
          <w:fitText w:val="281" w:id="-723257585"/>
          <w14:textFill>
            <w14:solidFill>
              <w14:srgbClr w14:val="000000">
                <w14:alpha w14:val="100000"/>
              </w14:srgbClr>
            </w14:solidFill>
          </w14:textFill>
        </w:rPr>
        <w:t>|</w:t>
      </w:r>
    </w:p>
    <w:p w14:paraId="62304182" w14:textId="1C0745EB" w:rsidR="00A27FA9" w:rsidRPr="00A27FA9" w:rsidRDefault="00070C9A" w:rsidP="00D17A65">
      <w:pPr>
        <w:pStyle w:val="TableFigureFooter"/>
        <w:rPr>
          <w:i/>
          <w:iCs/>
        </w:rPr>
      </w:pPr>
      <w:r w:rsidRPr="002F75CE">
        <w:rPr>
          <w:i/>
          <w:iCs/>
          <w:color w:val="000000"/>
          <w:spacing w:val="9"/>
          <w:shd w:val="solid" w:color="000000" w:fill="000000"/>
          <w:fitText w:val="281" w:id="-723257584"/>
          <w14:textFill>
            <w14:solidFill>
              <w14:srgbClr w14:val="000000">
                <w14:alpha w14:val="100000"/>
              </w14:srgbClr>
            </w14:solidFill>
          </w14:textFill>
        </w:rPr>
        <w:t>||  |</w:t>
      </w:r>
      <w:r w:rsidRPr="002F75CE">
        <w:rPr>
          <w:i/>
          <w:iCs/>
          <w:color w:val="000000"/>
          <w:spacing w:val="1"/>
          <w:shd w:val="solid" w:color="000000" w:fill="000000"/>
          <w:fitText w:val="281" w:id="-723257584"/>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600"/>
          <w14:textFill>
            <w14:solidFill>
              <w14:srgbClr w14:val="000000">
                <w14:alpha w14:val="100000"/>
              </w14:srgbClr>
            </w14:solidFill>
          </w14:textFill>
        </w:rPr>
        <w:t>||  |</w:t>
      </w:r>
      <w:r w:rsidRPr="002F75CE">
        <w:rPr>
          <w:i/>
          <w:iCs/>
          <w:color w:val="000000"/>
          <w:spacing w:val="1"/>
          <w:shd w:val="solid" w:color="000000" w:fill="000000"/>
          <w:fitText w:val="281" w:id="-723257600"/>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9"/>
          <w14:textFill>
            <w14:solidFill>
              <w14:srgbClr w14:val="000000">
                <w14:alpha w14:val="100000"/>
              </w14:srgbClr>
            </w14:solidFill>
          </w14:textFill>
        </w:rPr>
        <w:t>||  |</w:t>
      </w:r>
      <w:r w:rsidRPr="002F75CE">
        <w:rPr>
          <w:i/>
          <w:iCs/>
          <w:color w:val="000000"/>
          <w:spacing w:val="1"/>
          <w:shd w:val="solid" w:color="000000" w:fill="000000"/>
          <w:fitText w:val="281" w:id="-723257599"/>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8"/>
          <w14:textFill>
            <w14:solidFill>
              <w14:srgbClr w14:val="000000">
                <w14:alpha w14:val="100000"/>
              </w14:srgbClr>
            </w14:solidFill>
          </w14:textFill>
        </w:rPr>
        <w:t>||  |</w:t>
      </w:r>
      <w:r w:rsidRPr="002F75CE">
        <w:rPr>
          <w:i/>
          <w:iCs/>
          <w:color w:val="000000"/>
          <w:spacing w:val="1"/>
          <w:shd w:val="solid" w:color="000000" w:fill="000000"/>
          <w:fitText w:val="281" w:id="-723257598"/>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7"/>
          <w14:textFill>
            <w14:solidFill>
              <w14:srgbClr w14:val="000000">
                <w14:alpha w14:val="100000"/>
              </w14:srgbClr>
            </w14:solidFill>
          </w14:textFill>
        </w:rPr>
        <w:t>||  |</w:t>
      </w:r>
      <w:r w:rsidRPr="002F75CE">
        <w:rPr>
          <w:i/>
          <w:iCs/>
          <w:color w:val="000000"/>
          <w:spacing w:val="1"/>
          <w:shd w:val="solid" w:color="000000" w:fill="000000"/>
          <w:fitText w:val="281" w:id="-723257597"/>
          <w14:textFill>
            <w14:solidFill>
              <w14:srgbClr w14:val="000000">
                <w14:alpha w14:val="100000"/>
              </w14:srgbClr>
            </w14:solidFill>
          </w14:textFill>
        </w:rPr>
        <w:t>|</w:t>
      </w:r>
      <w:r w:rsidR="00A27FA9" w:rsidRPr="00A27FA9">
        <w:rPr>
          <w:i/>
          <w:iCs/>
        </w:rPr>
        <w:t xml:space="preserve"> </w:t>
      </w:r>
    </w:p>
    <w:p w14:paraId="4B1F75B6" w14:textId="465C75A8" w:rsidR="00A27FA9" w:rsidRPr="00A27FA9" w:rsidRDefault="00070C9A" w:rsidP="00D17A65">
      <w:pPr>
        <w:pStyle w:val="TableFigureFooter"/>
        <w:rPr>
          <w:i/>
          <w:iCs/>
        </w:rPr>
      </w:pPr>
      <w:r w:rsidRPr="002F75CE">
        <w:rPr>
          <w:i/>
          <w:iCs/>
          <w:color w:val="000000"/>
          <w:spacing w:val="9"/>
          <w:shd w:val="solid" w:color="000000" w:fill="000000"/>
          <w:fitText w:val="281" w:id="-723257596"/>
          <w14:textFill>
            <w14:solidFill>
              <w14:srgbClr w14:val="000000">
                <w14:alpha w14:val="100000"/>
              </w14:srgbClr>
            </w14:solidFill>
          </w14:textFill>
        </w:rPr>
        <w:t>||  |</w:t>
      </w:r>
      <w:r w:rsidRPr="002F75CE">
        <w:rPr>
          <w:i/>
          <w:iCs/>
          <w:color w:val="000000"/>
          <w:spacing w:val="1"/>
          <w:shd w:val="solid" w:color="000000" w:fill="000000"/>
          <w:fitText w:val="281" w:id="-723257596"/>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5"/>
          <w14:textFill>
            <w14:solidFill>
              <w14:srgbClr w14:val="000000">
                <w14:alpha w14:val="100000"/>
              </w14:srgbClr>
            </w14:solidFill>
          </w14:textFill>
        </w:rPr>
        <w:t>||  |</w:t>
      </w:r>
      <w:r w:rsidRPr="002F75CE">
        <w:rPr>
          <w:i/>
          <w:iCs/>
          <w:color w:val="000000"/>
          <w:spacing w:val="1"/>
          <w:shd w:val="solid" w:color="000000" w:fill="000000"/>
          <w:fitText w:val="281" w:id="-723257595"/>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4"/>
          <w14:textFill>
            <w14:solidFill>
              <w14:srgbClr w14:val="000000">
                <w14:alpha w14:val="100000"/>
              </w14:srgbClr>
            </w14:solidFill>
          </w14:textFill>
        </w:rPr>
        <w:t>||  |</w:t>
      </w:r>
      <w:r w:rsidRPr="002F75CE">
        <w:rPr>
          <w:i/>
          <w:iCs/>
          <w:color w:val="000000"/>
          <w:spacing w:val="1"/>
          <w:shd w:val="solid" w:color="000000" w:fill="000000"/>
          <w:fitText w:val="281" w:id="-723257594"/>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3"/>
          <w14:textFill>
            <w14:solidFill>
              <w14:srgbClr w14:val="000000">
                <w14:alpha w14:val="100000"/>
              </w14:srgbClr>
            </w14:solidFill>
          </w14:textFill>
        </w:rPr>
        <w:t>||  |</w:t>
      </w:r>
      <w:r w:rsidRPr="002F75CE">
        <w:rPr>
          <w:i/>
          <w:iCs/>
          <w:color w:val="000000"/>
          <w:spacing w:val="1"/>
          <w:shd w:val="solid" w:color="000000" w:fill="000000"/>
          <w:fitText w:val="281" w:id="-723257593"/>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2"/>
          <w14:textFill>
            <w14:solidFill>
              <w14:srgbClr w14:val="000000">
                <w14:alpha w14:val="100000"/>
              </w14:srgbClr>
            </w14:solidFill>
          </w14:textFill>
        </w:rPr>
        <w:t>||  |</w:t>
      </w:r>
      <w:r w:rsidRPr="002F75CE">
        <w:rPr>
          <w:i/>
          <w:iCs/>
          <w:color w:val="000000"/>
          <w:spacing w:val="1"/>
          <w:shd w:val="solid" w:color="000000" w:fill="000000"/>
          <w:fitText w:val="281" w:id="-723257592"/>
          <w14:textFill>
            <w14:solidFill>
              <w14:srgbClr w14:val="000000">
                <w14:alpha w14:val="100000"/>
              </w14:srgbClr>
            </w14:solidFill>
          </w14:textFill>
        </w:rPr>
        <w:t>|</w:t>
      </w:r>
      <w:r w:rsidR="00A27FA9" w:rsidRPr="00A27FA9">
        <w:rPr>
          <w:i/>
          <w:iCs/>
        </w:rPr>
        <w:t xml:space="preserve"> </w:t>
      </w:r>
    </w:p>
    <w:p w14:paraId="63DC13C2" w14:textId="566CDC25" w:rsidR="00A27FA9" w:rsidRPr="00A27FA9" w:rsidRDefault="00070C9A" w:rsidP="00D17A65">
      <w:pPr>
        <w:pStyle w:val="TableFigureFooter"/>
        <w:rPr>
          <w:i/>
          <w:iCs/>
        </w:rPr>
      </w:pPr>
      <w:r w:rsidRPr="002F75CE">
        <w:rPr>
          <w:i/>
          <w:iCs/>
          <w:color w:val="000000"/>
          <w:spacing w:val="9"/>
          <w:shd w:val="solid" w:color="000000" w:fill="000000"/>
          <w:fitText w:val="281" w:id="-723257591"/>
          <w14:textFill>
            <w14:solidFill>
              <w14:srgbClr w14:val="000000">
                <w14:alpha w14:val="100000"/>
              </w14:srgbClr>
            </w14:solidFill>
          </w14:textFill>
        </w:rPr>
        <w:t>||  |</w:t>
      </w:r>
      <w:r w:rsidRPr="002F75CE">
        <w:rPr>
          <w:i/>
          <w:iCs/>
          <w:color w:val="000000"/>
          <w:spacing w:val="1"/>
          <w:shd w:val="solid" w:color="000000" w:fill="000000"/>
          <w:fitText w:val="281" w:id="-723257591"/>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90"/>
          <w14:textFill>
            <w14:solidFill>
              <w14:srgbClr w14:val="000000">
                <w14:alpha w14:val="100000"/>
              </w14:srgbClr>
            </w14:solidFill>
          </w14:textFill>
        </w:rPr>
        <w:t>||  |</w:t>
      </w:r>
      <w:r w:rsidRPr="002F75CE">
        <w:rPr>
          <w:i/>
          <w:iCs/>
          <w:color w:val="000000"/>
          <w:spacing w:val="1"/>
          <w:shd w:val="solid" w:color="000000" w:fill="000000"/>
          <w:fitText w:val="281" w:id="-723257590"/>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589"/>
          <w14:textFill>
            <w14:solidFill>
              <w14:srgbClr w14:val="000000">
                <w14:alpha w14:val="100000"/>
              </w14:srgbClr>
            </w14:solidFill>
          </w14:textFill>
        </w:rPr>
        <w:t>||  |</w:t>
      </w:r>
      <w:r w:rsidRPr="002F75CE">
        <w:rPr>
          <w:i/>
          <w:iCs/>
          <w:color w:val="000000"/>
          <w:spacing w:val="1"/>
          <w:shd w:val="solid" w:color="000000" w:fill="000000"/>
          <w:fitText w:val="281" w:id="-723257589"/>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4"/>
          <w14:textFill>
            <w14:solidFill>
              <w14:srgbClr w14:val="000000">
                <w14:alpha w14:val="100000"/>
              </w14:srgbClr>
            </w14:solidFill>
          </w14:textFill>
        </w:rPr>
        <w:t>||  |</w:t>
      </w:r>
      <w:r w:rsidRPr="002F75CE">
        <w:rPr>
          <w:i/>
          <w:iCs/>
          <w:color w:val="000000"/>
          <w:spacing w:val="1"/>
          <w:shd w:val="solid" w:color="000000" w:fill="000000"/>
          <w:fitText w:val="281" w:id="-723257344"/>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3"/>
          <w14:textFill>
            <w14:solidFill>
              <w14:srgbClr w14:val="000000">
                <w14:alpha w14:val="100000"/>
              </w14:srgbClr>
            </w14:solidFill>
          </w14:textFill>
        </w:rPr>
        <w:t>||  |</w:t>
      </w:r>
      <w:r w:rsidRPr="002F75CE">
        <w:rPr>
          <w:i/>
          <w:iCs/>
          <w:color w:val="000000"/>
          <w:spacing w:val="1"/>
          <w:shd w:val="solid" w:color="000000" w:fill="000000"/>
          <w:fitText w:val="281" w:id="-723257343"/>
          <w14:textFill>
            <w14:solidFill>
              <w14:srgbClr w14:val="000000">
                <w14:alpha w14:val="100000"/>
              </w14:srgbClr>
            </w14:solidFill>
          </w14:textFill>
        </w:rPr>
        <w:t>|</w:t>
      </w:r>
    </w:p>
    <w:p w14:paraId="395C2D20" w14:textId="12CE28FE" w:rsidR="00A27FA9" w:rsidRPr="00A27FA9" w:rsidRDefault="00070C9A" w:rsidP="00D17A65">
      <w:pPr>
        <w:pStyle w:val="TableFigureFooter"/>
        <w:rPr>
          <w:i/>
          <w:iCs/>
        </w:rPr>
      </w:pPr>
      <w:r w:rsidRPr="002F75CE">
        <w:rPr>
          <w:i/>
          <w:iCs/>
          <w:color w:val="000000"/>
          <w:spacing w:val="9"/>
          <w:shd w:val="solid" w:color="000000" w:fill="000000"/>
          <w:fitText w:val="281" w:id="-723257342"/>
          <w14:textFill>
            <w14:solidFill>
              <w14:srgbClr w14:val="000000">
                <w14:alpha w14:val="100000"/>
              </w14:srgbClr>
            </w14:solidFill>
          </w14:textFill>
        </w:rPr>
        <w:t>||  |</w:t>
      </w:r>
      <w:r w:rsidRPr="002F75CE">
        <w:rPr>
          <w:i/>
          <w:iCs/>
          <w:color w:val="000000"/>
          <w:spacing w:val="1"/>
          <w:shd w:val="solid" w:color="000000" w:fill="000000"/>
          <w:fitText w:val="281" w:id="-723257342"/>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1"/>
          <w14:textFill>
            <w14:solidFill>
              <w14:srgbClr w14:val="000000">
                <w14:alpha w14:val="100000"/>
              </w14:srgbClr>
            </w14:solidFill>
          </w14:textFill>
        </w:rPr>
        <w:t>||  |</w:t>
      </w:r>
      <w:r w:rsidRPr="002F75CE">
        <w:rPr>
          <w:i/>
          <w:iCs/>
          <w:color w:val="000000"/>
          <w:spacing w:val="1"/>
          <w:shd w:val="solid" w:color="000000" w:fill="000000"/>
          <w:fitText w:val="281" w:id="-723257341"/>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0"/>
          <w14:textFill>
            <w14:solidFill>
              <w14:srgbClr w14:val="000000">
                <w14:alpha w14:val="100000"/>
              </w14:srgbClr>
            </w14:solidFill>
          </w14:textFill>
        </w:rPr>
        <w:t>||  |</w:t>
      </w:r>
      <w:r w:rsidRPr="002F75CE">
        <w:rPr>
          <w:i/>
          <w:iCs/>
          <w:color w:val="000000"/>
          <w:spacing w:val="1"/>
          <w:shd w:val="solid" w:color="000000" w:fill="000000"/>
          <w:fitText w:val="281" w:id="-723257340"/>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9"/>
          <w14:textFill>
            <w14:solidFill>
              <w14:srgbClr w14:val="000000">
                <w14:alpha w14:val="100000"/>
              </w14:srgbClr>
            </w14:solidFill>
          </w14:textFill>
        </w:rPr>
        <w:t>||  |</w:t>
      </w:r>
      <w:r w:rsidRPr="002F75CE">
        <w:rPr>
          <w:i/>
          <w:iCs/>
          <w:color w:val="000000"/>
          <w:spacing w:val="1"/>
          <w:shd w:val="solid" w:color="000000" w:fill="000000"/>
          <w:fitText w:val="281" w:id="-723257339"/>
          <w14:textFill>
            <w14:solidFill>
              <w14:srgbClr w14:val="000000">
                <w14:alpha w14:val="100000"/>
              </w14:srgbClr>
            </w14:solidFill>
          </w14:textFill>
        </w:rPr>
        <w:t>|</w:t>
      </w:r>
      <w:r w:rsidR="00A27FA9" w:rsidRPr="00A27FA9">
        <w:rPr>
          <w:i/>
          <w:iCs/>
        </w:rPr>
        <w:t xml:space="preserve"> </w:t>
      </w:r>
      <w:r w:rsidRPr="00312BBA">
        <w:rPr>
          <w:i/>
          <w:iCs/>
          <w:color w:val="000000"/>
          <w:spacing w:val="9"/>
          <w:shd w:val="solid" w:color="000000" w:fill="000000"/>
          <w:fitText w:val="281" w:id="-723257338"/>
          <w14:textFill>
            <w14:solidFill>
              <w14:srgbClr w14:val="000000">
                <w14:alpha w14:val="100000"/>
              </w14:srgbClr>
            </w14:solidFill>
          </w14:textFill>
        </w:rPr>
        <w:t>||  |</w:t>
      </w:r>
      <w:r w:rsidRPr="00312BBA">
        <w:rPr>
          <w:i/>
          <w:iCs/>
          <w:color w:val="000000"/>
          <w:spacing w:val="1"/>
          <w:shd w:val="solid" w:color="000000" w:fill="000000"/>
          <w:fitText w:val="281" w:id="-723257338"/>
          <w14:textFill>
            <w14:solidFill>
              <w14:srgbClr w14:val="000000">
                <w14:alpha w14:val="100000"/>
              </w14:srgbClr>
            </w14:solidFill>
          </w14:textFill>
        </w:rPr>
        <w:t>|</w:t>
      </w:r>
    </w:p>
    <w:p w14:paraId="4EC59797" w14:textId="40574EC6" w:rsidR="00A27FA9" w:rsidRPr="00A27FA9" w:rsidRDefault="00070C9A" w:rsidP="00D17A65">
      <w:pPr>
        <w:pStyle w:val="TableFigureFooter"/>
        <w:rPr>
          <w:i/>
          <w:iCs/>
        </w:rPr>
      </w:pPr>
      <w:r w:rsidRPr="002F75CE">
        <w:rPr>
          <w:i/>
          <w:iCs/>
          <w:color w:val="000000"/>
          <w:spacing w:val="9"/>
          <w:shd w:val="solid" w:color="000000" w:fill="000000"/>
          <w:fitText w:val="281" w:id="-723257337"/>
          <w14:textFill>
            <w14:solidFill>
              <w14:srgbClr w14:val="000000">
                <w14:alpha w14:val="100000"/>
              </w14:srgbClr>
            </w14:solidFill>
          </w14:textFill>
        </w:rPr>
        <w:t>||  |</w:t>
      </w:r>
      <w:r w:rsidRPr="002F75CE">
        <w:rPr>
          <w:i/>
          <w:iCs/>
          <w:color w:val="000000"/>
          <w:spacing w:val="1"/>
          <w:shd w:val="solid" w:color="000000" w:fill="000000"/>
          <w:fitText w:val="281" w:id="-723257337"/>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6"/>
          <w14:textFill>
            <w14:solidFill>
              <w14:srgbClr w14:val="000000">
                <w14:alpha w14:val="100000"/>
              </w14:srgbClr>
            </w14:solidFill>
          </w14:textFill>
        </w:rPr>
        <w:t>||  |</w:t>
      </w:r>
      <w:r w:rsidRPr="002F75CE">
        <w:rPr>
          <w:i/>
          <w:iCs/>
          <w:color w:val="000000"/>
          <w:spacing w:val="1"/>
          <w:shd w:val="solid" w:color="000000" w:fill="000000"/>
          <w:fitText w:val="281" w:id="-723257336"/>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5"/>
          <w14:textFill>
            <w14:solidFill>
              <w14:srgbClr w14:val="000000">
                <w14:alpha w14:val="100000"/>
              </w14:srgbClr>
            </w14:solidFill>
          </w14:textFill>
        </w:rPr>
        <w:t>||  |</w:t>
      </w:r>
      <w:r w:rsidRPr="002F75CE">
        <w:rPr>
          <w:i/>
          <w:iCs/>
          <w:color w:val="000000"/>
          <w:spacing w:val="1"/>
          <w:shd w:val="solid" w:color="000000" w:fill="000000"/>
          <w:fitText w:val="281" w:id="-723257335"/>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4"/>
          <w14:textFill>
            <w14:solidFill>
              <w14:srgbClr w14:val="000000">
                <w14:alpha w14:val="100000"/>
              </w14:srgbClr>
            </w14:solidFill>
          </w14:textFill>
        </w:rPr>
        <w:t>||  |</w:t>
      </w:r>
      <w:r w:rsidRPr="002F75CE">
        <w:rPr>
          <w:i/>
          <w:iCs/>
          <w:color w:val="000000"/>
          <w:spacing w:val="1"/>
          <w:shd w:val="solid" w:color="000000" w:fill="000000"/>
          <w:fitText w:val="281" w:id="-723257334"/>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3"/>
          <w14:textFill>
            <w14:solidFill>
              <w14:srgbClr w14:val="000000">
                <w14:alpha w14:val="100000"/>
              </w14:srgbClr>
            </w14:solidFill>
          </w14:textFill>
        </w:rPr>
        <w:t>||  |</w:t>
      </w:r>
      <w:r w:rsidRPr="002F75CE">
        <w:rPr>
          <w:i/>
          <w:iCs/>
          <w:color w:val="000000"/>
          <w:spacing w:val="1"/>
          <w:shd w:val="solid" w:color="000000" w:fill="000000"/>
          <w:fitText w:val="281" w:id="-723257333"/>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2"/>
          <w14:textFill>
            <w14:solidFill>
              <w14:srgbClr w14:val="000000">
                <w14:alpha w14:val="100000"/>
              </w14:srgbClr>
            </w14:solidFill>
          </w14:textFill>
        </w:rPr>
        <w:t>||  |</w:t>
      </w:r>
      <w:r w:rsidRPr="002F75CE">
        <w:rPr>
          <w:i/>
          <w:iCs/>
          <w:color w:val="000000"/>
          <w:spacing w:val="1"/>
          <w:shd w:val="solid" w:color="000000" w:fill="000000"/>
          <w:fitText w:val="281" w:id="-723257332"/>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1"/>
          <w14:textFill>
            <w14:solidFill>
              <w14:srgbClr w14:val="000000">
                <w14:alpha w14:val="100000"/>
              </w14:srgbClr>
            </w14:solidFill>
          </w14:textFill>
        </w:rPr>
        <w:t>||  |</w:t>
      </w:r>
      <w:r w:rsidRPr="002F75CE">
        <w:rPr>
          <w:i/>
          <w:iCs/>
          <w:color w:val="000000"/>
          <w:spacing w:val="1"/>
          <w:shd w:val="solid" w:color="000000" w:fill="000000"/>
          <w:fitText w:val="281" w:id="-723257331"/>
          <w14:textFill>
            <w14:solidFill>
              <w14:srgbClr w14:val="000000">
                <w14:alpha w14:val="100000"/>
              </w14:srgbClr>
            </w14:solidFill>
          </w14:textFill>
        </w:rPr>
        <w:t>|</w:t>
      </w:r>
      <w:r w:rsidR="00A27FA9" w:rsidRPr="00A27FA9">
        <w:rPr>
          <w:i/>
          <w:iCs/>
        </w:rPr>
        <w:t xml:space="preserve"> </w:t>
      </w:r>
    </w:p>
    <w:p w14:paraId="2005E8B7" w14:textId="5CAD2C4E" w:rsidR="003718D7" w:rsidRPr="00641280" w:rsidRDefault="00070C9A" w:rsidP="00D17A65">
      <w:pPr>
        <w:pStyle w:val="TableFigureFooter"/>
        <w:rPr>
          <w:i/>
          <w:iCs/>
        </w:rPr>
      </w:pPr>
      <w:r w:rsidRPr="002F75CE">
        <w:rPr>
          <w:i/>
          <w:iCs/>
          <w:color w:val="000000"/>
          <w:spacing w:val="9"/>
          <w:shd w:val="solid" w:color="000000" w:fill="000000"/>
          <w:fitText w:val="281" w:id="-723257330"/>
          <w14:textFill>
            <w14:solidFill>
              <w14:srgbClr w14:val="000000">
                <w14:alpha w14:val="100000"/>
              </w14:srgbClr>
            </w14:solidFill>
          </w14:textFill>
        </w:rPr>
        <w:t>||  |</w:t>
      </w:r>
      <w:r w:rsidRPr="002F75CE">
        <w:rPr>
          <w:i/>
          <w:iCs/>
          <w:color w:val="000000"/>
          <w:spacing w:val="1"/>
          <w:shd w:val="solid" w:color="000000" w:fill="000000"/>
          <w:fitText w:val="281" w:id="-723257330"/>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29"/>
          <w14:textFill>
            <w14:solidFill>
              <w14:srgbClr w14:val="000000">
                <w14:alpha w14:val="100000"/>
              </w14:srgbClr>
            </w14:solidFill>
          </w14:textFill>
        </w:rPr>
        <w:t>||  |</w:t>
      </w:r>
      <w:r w:rsidRPr="002F75CE">
        <w:rPr>
          <w:i/>
          <w:iCs/>
          <w:color w:val="000000"/>
          <w:spacing w:val="1"/>
          <w:shd w:val="solid" w:color="000000" w:fill="000000"/>
          <w:fitText w:val="281" w:id="-723257329"/>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28"/>
          <w14:textFill>
            <w14:solidFill>
              <w14:srgbClr w14:val="000000">
                <w14:alpha w14:val="100000"/>
              </w14:srgbClr>
            </w14:solidFill>
          </w14:textFill>
        </w:rPr>
        <w:t>||  |</w:t>
      </w:r>
      <w:r w:rsidRPr="002F75CE">
        <w:rPr>
          <w:i/>
          <w:iCs/>
          <w:color w:val="000000"/>
          <w:spacing w:val="1"/>
          <w:shd w:val="solid" w:color="000000" w:fill="000000"/>
          <w:fitText w:val="281" w:id="-723257328"/>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4"/>
          <w14:textFill>
            <w14:solidFill>
              <w14:srgbClr w14:val="000000">
                <w14:alpha w14:val="100000"/>
              </w14:srgbClr>
            </w14:solidFill>
          </w14:textFill>
        </w:rPr>
        <w:t>||  |</w:t>
      </w:r>
      <w:r w:rsidRPr="002F75CE">
        <w:rPr>
          <w:i/>
          <w:iCs/>
          <w:color w:val="000000"/>
          <w:spacing w:val="1"/>
          <w:shd w:val="solid" w:color="000000" w:fill="000000"/>
          <w:fitText w:val="281" w:id="-723257344"/>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3"/>
          <w14:textFill>
            <w14:solidFill>
              <w14:srgbClr w14:val="000000">
                <w14:alpha w14:val="100000"/>
              </w14:srgbClr>
            </w14:solidFill>
          </w14:textFill>
        </w:rPr>
        <w:t>||  |</w:t>
      </w:r>
      <w:r w:rsidRPr="002F75CE">
        <w:rPr>
          <w:i/>
          <w:iCs/>
          <w:color w:val="000000"/>
          <w:spacing w:val="1"/>
          <w:shd w:val="solid" w:color="000000" w:fill="000000"/>
          <w:fitText w:val="281" w:id="-723257343"/>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2"/>
          <w14:textFill>
            <w14:solidFill>
              <w14:srgbClr w14:val="000000">
                <w14:alpha w14:val="100000"/>
              </w14:srgbClr>
            </w14:solidFill>
          </w14:textFill>
        </w:rPr>
        <w:t>||  |</w:t>
      </w:r>
      <w:r w:rsidRPr="002F75CE">
        <w:rPr>
          <w:i/>
          <w:iCs/>
          <w:color w:val="000000"/>
          <w:spacing w:val="1"/>
          <w:shd w:val="solid" w:color="000000" w:fill="000000"/>
          <w:fitText w:val="281" w:id="-723257342"/>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1"/>
          <w14:textFill>
            <w14:solidFill>
              <w14:srgbClr w14:val="000000">
                <w14:alpha w14:val="100000"/>
              </w14:srgbClr>
            </w14:solidFill>
          </w14:textFill>
        </w:rPr>
        <w:t>||  |</w:t>
      </w:r>
      <w:r w:rsidRPr="002F75CE">
        <w:rPr>
          <w:i/>
          <w:iCs/>
          <w:color w:val="000000"/>
          <w:spacing w:val="1"/>
          <w:shd w:val="solid" w:color="000000" w:fill="000000"/>
          <w:fitText w:val="281" w:id="-723257341"/>
          <w14:textFill>
            <w14:solidFill>
              <w14:srgbClr w14:val="000000">
                <w14:alpha w14:val="100000"/>
              </w14:srgbClr>
            </w14:solidFill>
          </w14:textFill>
        </w:rPr>
        <w:t>|</w:t>
      </w:r>
    </w:p>
    <w:p w14:paraId="0CC7BA97" w14:textId="29CB03F5" w:rsidR="00A27FA9" w:rsidRPr="00A27FA9" w:rsidRDefault="00070C9A" w:rsidP="00D17A65">
      <w:pPr>
        <w:pStyle w:val="TableFigureFooter"/>
        <w:rPr>
          <w:i/>
          <w:iCs/>
        </w:rPr>
      </w:pPr>
      <w:r w:rsidRPr="002F75CE">
        <w:rPr>
          <w:i/>
          <w:iCs/>
          <w:color w:val="000000"/>
          <w:spacing w:val="9"/>
          <w:shd w:val="solid" w:color="000000" w:fill="000000"/>
          <w:fitText w:val="281" w:id="-723257340"/>
          <w14:textFill>
            <w14:solidFill>
              <w14:srgbClr w14:val="000000">
                <w14:alpha w14:val="100000"/>
              </w14:srgbClr>
            </w14:solidFill>
          </w14:textFill>
        </w:rPr>
        <w:t>||  |</w:t>
      </w:r>
      <w:r w:rsidRPr="002F75CE">
        <w:rPr>
          <w:i/>
          <w:iCs/>
          <w:color w:val="000000"/>
          <w:spacing w:val="1"/>
          <w:shd w:val="solid" w:color="000000" w:fill="000000"/>
          <w:fitText w:val="281" w:id="-723257340"/>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9"/>
          <w14:textFill>
            <w14:solidFill>
              <w14:srgbClr w14:val="000000">
                <w14:alpha w14:val="100000"/>
              </w14:srgbClr>
            </w14:solidFill>
          </w14:textFill>
        </w:rPr>
        <w:t>||  |</w:t>
      </w:r>
      <w:r w:rsidRPr="002F75CE">
        <w:rPr>
          <w:i/>
          <w:iCs/>
          <w:color w:val="000000"/>
          <w:spacing w:val="1"/>
          <w:shd w:val="solid" w:color="000000" w:fill="000000"/>
          <w:fitText w:val="281" w:id="-723257339"/>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8"/>
          <w14:textFill>
            <w14:solidFill>
              <w14:srgbClr w14:val="000000">
                <w14:alpha w14:val="100000"/>
              </w14:srgbClr>
            </w14:solidFill>
          </w14:textFill>
        </w:rPr>
        <w:t>||  |</w:t>
      </w:r>
      <w:r w:rsidRPr="002F75CE">
        <w:rPr>
          <w:i/>
          <w:iCs/>
          <w:color w:val="000000"/>
          <w:spacing w:val="1"/>
          <w:shd w:val="solid" w:color="000000" w:fill="000000"/>
          <w:fitText w:val="281" w:id="-723257338"/>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7"/>
          <w14:textFill>
            <w14:solidFill>
              <w14:srgbClr w14:val="000000">
                <w14:alpha w14:val="100000"/>
              </w14:srgbClr>
            </w14:solidFill>
          </w14:textFill>
        </w:rPr>
        <w:t>||  |</w:t>
      </w:r>
      <w:r w:rsidRPr="002F75CE">
        <w:rPr>
          <w:i/>
          <w:iCs/>
          <w:color w:val="000000"/>
          <w:spacing w:val="1"/>
          <w:shd w:val="solid" w:color="000000" w:fill="000000"/>
          <w:fitText w:val="281" w:id="-723257337"/>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6"/>
          <w14:textFill>
            <w14:solidFill>
              <w14:srgbClr w14:val="000000">
                <w14:alpha w14:val="100000"/>
              </w14:srgbClr>
            </w14:solidFill>
          </w14:textFill>
        </w:rPr>
        <w:t>||  |</w:t>
      </w:r>
      <w:r w:rsidRPr="002F75CE">
        <w:rPr>
          <w:i/>
          <w:iCs/>
          <w:color w:val="000000"/>
          <w:spacing w:val="1"/>
          <w:shd w:val="solid" w:color="000000" w:fill="000000"/>
          <w:fitText w:val="281" w:id="-723257336"/>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5"/>
          <w14:textFill>
            <w14:solidFill>
              <w14:srgbClr w14:val="000000">
                <w14:alpha w14:val="100000"/>
              </w14:srgbClr>
            </w14:solidFill>
          </w14:textFill>
        </w:rPr>
        <w:t>||  |</w:t>
      </w:r>
      <w:r w:rsidRPr="002F75CE">
        <w:rPr>
          <w:i/>
          <w:iCs/>
          <w:color w:val="000000"/>
          <w:spacing w:val="1"/>
          <w:shd w:val="solid" w:color="000000" w:fill="000000"/>
          <w:fitText w:val="281" w:id="-723257335"/>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4"/>
          <w14:textFill>
            <w14:solidFill>
              <w14:srgbClr w14:val="000000">
                <w14:alpha w14:val="100000"/>
              </w14:srgbClr>
            </w14:solidFill>
          </w14:textFill>
        </w:rPr>
        <w:t>||  |</w:t>
      </w:r>
      <w:r w:rsidRPr="002F75CE">
        <w:rPr>
          <w:i/>
          <w:iCs/>
          <w:color w:val="000000"/>
          <w:spacing w:val="1"/>
          <w:shd w:val="solid" w:color="000000" w:fill="000000"/>
          <w:fitText w:val="281" w:id="-723257334"/>
          <w14:textFill>
            <w14:solidFill>
              <w14:srgbClr w14:val="000000">
                <w14:alpha w14:val="100000"/>
              </w14:srgbClr>
            </w14:solidFill>
          </w14:textFill>
        </w:rPr>
        <w:t>|</w:t>
      </w:r>
      <w:r w:rsidR="00A27FA9" w:rsidRPr="00A27FA9">
        <w:rPr>
          <w:i/>
          <w:iCs/>
        </w:rPr>
        <w:t xml:space="preserve"> </w:t>
      </w:r>
    </w:p>
    <w:p w14:paraId="60F9711F" w14:textId="7CFA173B" w:rsidR="00A27FA9" w:rsidRPr="00A27FA9" w:rsidRDefault="00070C9A" w:rsidP="00D17A65">
      <w:pPr>
        <w:pStyle w:val="TableFigureFooter"/>
        <w:rPr>
          <w:i/>
          <w:iCs/>
        </w:rPr>
      </w:pPr>
      <w:r w:rsidRPr="002F75CE">
        <w:rPr>
          <w:i/>
          <w:iCs/>
          <w:color w:val="000000"/>
          <w:spacing w:val="9"/>
          <w:shd w:val="solid" w:color="000000" w:fill="000000"/>
          <w:fitText w:val="281" w:id="-723257333"/>
          <w14:textFill>
            <w14:solidFill>
              <w14:srgbClr w14:val="000000">
                <w14:alpha w14:val="100000"/>
              </w14:srgbClr>
            </w14:solidFill>
          </w14:textFill>
        </w:rPr>
        <w:t>||  |</w:t>
      </w:r>
      <w:r w:rsidRPr="002F75CE">
        <w:rPr>
          <w:i/>
          <w:iCs/>
          <w:color w:val="000000"/>
          <w:spacing w:val="1"/>
          <w:shd w:val="solid" w:color="000000" w:fill="000000"/>
          <w:fitText w:val="281" w:id="-723257333"/>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2"/>
          <w14:textFill>
            <w14:solidFill>
              <w14:srgbClr w14:val="000000">
                <w14:alpha w14:val="100000"/>
              </w14:srgbClr>
            </w14:solidFill>
          </w14:textFill>
        </w:rPr>
        <w:t>||  |</w:t>
      </w:r>
      <w:r w:rsidRPr="002F75CE">
        <w:rPr>
          <w:i/>
          <w:iCs/>
          <w:color w:val="000000"/>
          <w:spacing w:val="1"/>
          <w:shd w:val="solid" w:color="000000" w:fill="000000"/>
          <w:fitText w:val="281" w:id="-723257332"/>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1"/>
          <w14:textFill>
            <w14:solidFill>
              <w14:srgbClr w14:val="000000">
                <w14:alpha w14:val="100000"/>
              </w14:srgbClr>
            </w14:solidFill>
          </w14:textFill>
        </w:rPr>
        <w:t>||  |</w:t>
      </w:r>
      <w:r w:rsidRPr="002F75CE">
        <w:rPr>
          <w:i/>
          <w:iCs/>
          <w:color w:val="000000"/>
          <w:spacing w:val="1"/>
          <w:shd w:val="solid" w:color="000000" w:fill="000000"/>
          <w:fitText w:val="281" w:id="-723257331"/>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0"/>
          <w14:textFill>
            <w14:solidFill>
              <w14:srgbClr w14:val="000000">
                <w14:alpha w14:val="100000"/>
              </w14:srgbClr>
            </w14:solidFill>
          </w14:textFill>
        </w:rPr>
        <w:t>||  |</w:t>
      </w:r>
      <w:r w:rsidRPr="002F75CE">
        <w:rPr>
          <w:i/>
          <w:iCs/>
          <w:color w:val="000000"/>
          <w:spacing w:val="1"/>
          <w:shd w:val="solid" w:color="000000" w:fill="000000"/>
          <w:fitText w:val="281" w:id="-723257330"/>
          <w14:textFill>
            <w14:solidFill>
              <w14:srgbClr w14:val="000000">
                <w14:alpha w14:val="100000"/>
              </w14:srgbClr>
            </w14:solidFill>
          </w14:textFill>
        </w:rPr>
        <w:t>|</w:t>
      </w:r>
      <w:r w:rsidR="00A27FA9" w:rsidRPr="00A27FA9">
        <w:rPr>
          <w:i/>
          <w:iCs/>
        </w:rPr>
        <w:t xml:space="preserve"> </w:t>
      </w:r>
    </w:p>
    <w:p w14:paraId="71B31384" w14:textId="2DF654C4" w:rsidR="00A27FA9" w:rsidRPr="00A27FA9" w:rsidRDefault="00070C9A" w:rsidP="00D17A65">
      <w:pPr>
        <w:pStyle w:val="TableFigureFooter"/>
        <w:rPr>
          <w:i/>
          <w:iCs/>
        </w:rPr>
      </w:pPr>
      <w:r w:rsidRPr="002F75CE">
        <w:rPr>
          <w:i/>
          <w:iCs/>
          <w:color w:val="000000"/>
          <w:spacing w:val="9"/>
          <w:shd w:val="solid" w:color="000000" w:fill="000000"/>
          <w:fitText w:val="281" w:id="-723257329"/>
          <w14:textFill>
            <w14:solidFill>
              <w14:srgbClr w14:val="000000">
                <w14:alpha w14:val="100000"/>
              </w14:srgbClr>
            </w14:solidFill>
          </w14:textFill>
        </w:rPr>
        <w:t>||  |</w:t>
      </w:r>
      <w:r w:rsidRPr="002F75CE">
        <w:rPr>
          <w:i/>
          <w:iCs/>
          <w:color w:val="000000"/>
          <w:spacing w:val="1"/>
          <w:shd w:val="solid" w:color="000000" w:fill="000000"/>
          <w:fitText w:val="281" w:id="-723257329"/>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28"/>
          <w14:textFill>
            <w14:solidFill>
              <w14:srgbClr w14:val="000000">
                <w14:alpha w14:val="100000"/>
              </w14:srgbClr>
            </w14:solidFill>
          </w14:textFill>
        </w:rPr>
        <w:t>||  |</w:t>
      </w:r>
      <w:r w:rsidRPr="002F75CE">
        <w:rPr>
          <w:i/>
          <w:iCs/>
          <w:color w:val="000000"/>
          <w:spacing w:val="1"/>
          <w:shd w:val="solid" w:color="000000" w:fill="000000"/>
          <w:fitText w:val="281" w:id="-723257328"/>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4"/>
          <w14:textFill>
            <w14:solidFill>
              <w14:srgbClr w14:val="000000">
                <w14:alpha w14:val="100000"/>
              </w14:srgbClr>
            </w14:solidFill>
          </w14:textFill>
        </w:rPr>
        <w:t>||  |</w:t>
      </w:r>
      <w:r w:rsidRPr="002F75CE">
        <w:rPr>
          <w:i/>
          <w:iCs/>
          <w:color w:val="000000"/>
          <w:spacing w:val="1"/>
          <w:shd w:val="solid" w:color="000000" w:fill="000000"/>
          <w:fitText w:val="281" w:id="-723257344"/>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3"/>
          <w14:textFill>
            <w14:solidFill>
              <w14:srgbClr w14:val="000000">
                <w14:alpha w14:val="100000"/>
              </w14:srgbClr>
            </w14:solidFill>
          </w14:textFill>
        </w:rPr>
        <w:t>||  |</w:t>
      </w:r>
      <w:r w:rsidRPr="002F75CE">
        <w:rPr>
          <w:i/>
          <w:iCs/>
          <w:color w:val="000000"/>
          <w:spacing w:val="1"/>
          <w:shd w:val="solid" w:color="000000" w:fill="000000"/>
          <w:fitText w:val="281" w:id="-723257343"/>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2"/>
          <w14:textFill>
            <w14:solidFill>
              <w14:srgbClr w14:val="000000">
                <w14:alpha w14:val="100000"/>
              </w14:srgbClr>
            </w14:solidFill>
          </w14:textFill>
        </w:rPr>
        <w:t>||  |</w:t>
      </w:r>
      <w:r w:rsidRPr="002F75CE">
        <w:rPr>
          <w:i/>
          <w:iCs/>
          <w:color w:val="000000"/>
          <w:spacing w:val="1"/>
          <w:shd w:val="solid" w:color="000000" w:fill="000000"/>
          <w:fitText w:val="281" w:id="-723257342"/>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1"/>
          <w14:textFill>
            <w14:solidFill>
              <w14:srgbClr w14:val="000000">
                <w14:alpha w14:val="100000"/>
              </w14:srgbClr>
            </w14:solidFill>
          </w14:textFill>
        </w:rPr>
        <w:t>||  |</w:t>
      </w:r>
      <w:r w:rsidRPr="002F75CE">
        <w:rPr>
          <w:i/>
          <w:iCs/>
          <w:color w:val="000000"/>
          <w:spacing w:val="1"/>
          <w:shd w:val="solid" w:color="000000" w:fill="000000"/>
          <w:fitText w:val="281" w:id="-723257341"/>
          <w14:textFill>
            <w14:solidFill>
              <w14:srgbClr w14:val="000000">
                <w14:alpha w14:val="100000"/>
              </w14:srgbClr>
            </w14:solidFill>
          </w14:textFill>
        </w:rPr>
        <w:t>|</w:t>
      </w:r>
    </w:p>
    <w:p w14:paraId="4757360C" w14:textId="46003B8F" w:rsidR="00A27FA9" w:rsidRPr="00A27FA9" w:rsidRDefault="00070C9A" w:rsidP="00D17A65">
      <w:pPr>
        <w:pStyle w:val="TableFigureFooter"/>
        <w:rPr>
          <w:i/>
          <w:iCs/>
        </w:rPr>
      </w:pPr>
      <w:r w:rsidRPr="002F75CE">
        <w:rPr>
          <w:i/>
          <w:iCs/>
          <w:color w:val="000000"/>
          <w:spacing w:val="9"/>
          <w:shd w:val="solid" w:color="000000" w:fill="000000"/>
          <w:fitText w:val="281" w:id="-723257340"/>
          <w14:textFill>
            <w14:solidFill>
              <w14:srgbClr w14:val="000000">
                <w14:alpha w14:val="100000"/>
              </w14:srgbClr>
            </w14:solidFill>
          </w14:textFill>
        </w:rPr>
        <w:t>||  |</w:t>
      </w:r>
      <w:r w:rsidRPr="002F75CE">
        <w:rPr>
          <w:i/>
          <w:iCs/>
          <w:color w:val="000000"/>
          <w:spacing w:val="1"/>
          <w:shd w:val="solid" w:color="000000" w:fill="000000"/>
          <w:fitText w:val="281" w:id="-723257340"/>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9"/>
          <w14:textFill>
            <w14:solidFill>
              <w14:srgbClr w14:val="000000">
                <w14:alpha w14:val="100000"/>
              </w14:srgbClr>
            </w14:solidFill>
          </w14:textFill>
        </w:rPr>
        <w:t>||  |</w:t>
      </w:r>
      <w:r w:rsidRPr="002F75CE">
        <w:rPr>
          <w:i/>
          <w:iCs/>
          <w:color w:val="000000"/>
          <w:spacing w:val="1"/>
          <w:shd w:val="solid" w:color="000000" w:fill="000000"/>
          <w:fitText w:val="281" w:id="-723257339"/>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8"/>
          <w14:textFill>
            <w14:solidFill>
              <w14:srgbClr w14:val="000000">
                <w14:alpha w14:val="100000"/>
              </w14:srgbClr>
            </w14:solidFill>
          </w14:textFill>
        </w:rPr>
        <w:t>||  |</w:t>
      </w:r>
      <w:r w:rsidRPr="002F75CE">
        <w:rPr>
          <w:i/>
          <w:iCs/>
          <w:color w:val="000000"/>
          <w:spacing w:val="1"/>
          <w:shd w:val="solid" w:color="000000" w:fill="000000"/>
          <w:fitText w:val="281" w:id="-723257338"/>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7"/>
          <w14:textFill>
            <w14:solidFill>
              <w14:srgbClr w14:val="000000">
                <w14:alpha w14:val="100000"/>
              </w14:srgbClr>
            </w14:solidFill>
          </w14:textFill>
        </w:rPr>
        <w:t>||  |</w:t>
      </w:r>
      <w:r w:rsidRPr="002F75CE">
        <w:rPr>
          <w:i/>
          <w:iCs/>
          <w:color w:val="000000"/>
          <w:spacing w:val="1"/>
          <w:shd w:val="solid" w:color="000000" w:fill="000000"/>
          <w:fitText w:val="281" w:id="-723257337"/>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6"/>
          <w14:textFill>
            <w14:solidFill>
              <w14:srgbClr w14:val="000000">
                <w14:alpha w14:val="100000"/>
              </w14:srgbClr>
            </w14:solidFill>
          </w14:textFill>
        </w:rPr>
        <w:t>||  |</w:t>
      </w:r>
      <w:r w:rsidRPr="002F75CE">
        <w:rPr>
          <w:i/>
          <w:iCs/>
          <w:color w:val="000000"/>
          <w:spacing w:val="1"/>
          <w:shd w:val="solid" w:color="000000" w:fill="000000"/>
          <w:fitText w:val="281" w:id="-723257336"/>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5"/>
          <w14:textFill>
            <w14:solidFill>
              <w14:srgbClr w14:val="000000">
                <w14:alpha w14:val="100000"/>
              </w14:srgbClr>
            </w14:solidFill>
          </w14:textFill>
        </w:rPr>
        <w:t>||  |</w:t>
      </w:r>
      <w:r w:rsidRPr="002F75CE">
        <w:rPr>
          <w:i/>
          <w:iCs/>
          <w:color w:val="000000"/>
          <w:spacing w:val="1"/>
          <w:shd w:val="solid" w:color="000000" w:fill="000000"/>
          <w:fitText w:val="281" w:id="-723257335"/>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4"/>
          <w14:textFill>
            <w14:solidFill>
              <w14:srgbClr w14:val="000000">
                <w14:alpha w14:val="100000"/>
              </w14:srgbClr>
            </w14:solidFill>
          </w14:textFill>
        </w:rPr>
        <w:t>||  |</w:t>
      </w:r>
      <w:r w:rsidRPr="002F75CE">
        <w:rPr>
          <w:i/>
          <w:iCs/>
          <w:color w:val="000000"/>
          <w:spacing w:val="1"/>
          <w:shd w:val="solid" w:color="000000" w:fill="000000"/>
          <w:fitText w:val="281" w:id="-723257334"/>
          <w14:textFill>
            <w14:solidFill>
              <w14:srgbClr w14:val="000000">
                <w14:alpha w14:val="100000"/>
              </w14:srgbClr>
            </w14:solidFill>
          </w14:textFill>
        </w:rPr>
        <w:t>|</w:t>
      </w:r>
    </w:p>
    <w:p w14:paraId="5D210576" w14:textId="051F83A4" w:rsidR="00006067" w:rsidRPr="00641280" w:rsidRDefault="00070C9A" w:rsidP="00D17A65">
      <w:pPr>
        <w:pStyle w:val="TableFigureFooter"/>
        <w:rPr>
          <w:i/>
          <w:iCs/>
        </w:rPr>
      </w:pPr>
      <w:r w:rsidRPr="002F75CE">
        <w:rPr>
          <w:i/>
          <w:iCs/>
          <w:color w:val="000000"/>
          <w:spacing w:val="9"/>
          <w:shd w:val="solid" w:color="000000" w:fill="000000"/>
          <w:fitText w:val="281" w:id="-723257333"/>
          <w14:textFill>
            <w14:solidFill>
              <w14:srgbClr w14:val="000000">
                <w14:alpha w14:val="100000"/>
              </w14:srgbClr>
            </w14:solidFill>
          </w14:textFill>
        </w:rPr>
        <w:t>||  |</w:t>
      </w:r>
      <w:r w:rsidRPr="002F75CE">
        <w:rPr>
          <w:i/>
          <w:iCs/>
          <w:color w:val="000000"/>
          <w:spacing w:val="1"/>
          <w:shd w:val="solid" w:color="000000" w:fill="000000"/>
          <w:fitText w:val="281" w:id="-723257333"/>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2"/>
          <w14:textFill>
            <w14:solidFill>
              <w14:srgbClr w14:val="000000">
                <w14:alpha w14:val="100000"/>
              </w14:srgbClr>
            </w14:solidFill>
          </w14:textFill>
        </w:rPr>
        <w:t>||  |</w:t>
      </w:r>
      <w:r w:rsidRPr="002F75CE">
        <w:rPr>
          <w:i/>
          <w:iCs/>
          <w:color w:val="000000"/>
          <w:spacing w:val="1"/>
          <w:shd w:val="solid" w:color="000000" w:fill="000000"/>
          <w:fitText w:val="281" w:id="-723257332"/>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1"/>
          <w14:textFill>
            <w14:solidFill>
              <w14:srgbClr w14:val="000000">
                <w14:alpha w14:val="100000"/>
              </w14:srgbClr>
            </w14:solidFill>
          </w14:textFill>
        </w:rPr>
        <w:t>||  |</w:t>
      </w:r>
      <w:r w:rsidRPr="002F75CE">
        <w:rPr>
          <w:i/>
          <w:iCs/>
          <w:color w:val="000000"/>
          <w:spacing w:val="1"/>
          <w:shd w:val="solid" w:color="000000" w:fill="000000"/>
          <w:fitText w:val="281" w:id="-723257331"/>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30"/>
          <w14:textFill>
            <w14:solidFill>
              <w14:srgbClr w14:val="000000">
                <w14:alpha w14:val="100000"/>
              </w14:srgbClr>
            </w14:solidFill>
          </w14:textFill>
        </w:rPr>
        <w:t>||  |</w:t>
      </w:r>
      <w:r w:rsidRPr="002F75CE">
        <w:rPr>
          <w:i/>
          <w:iCs/>
          <w:color w:val="000000"/>
          <w:spacing w:val="1"/>
          <w:shd w:val="solid" w:color="000000" w:fill="000000"/>
          <w:fitText w:val="281" w:id="-723257330"/>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29"/>
          <w14:textFill>
            <w14:solidFill>
              <w14:srgbClr w14:val="000000">
                <w14:alpha w14:val="100000"/>
              </w14:srgbClr>
            </w14:solidFill>
          </w14:textFill>
        </w:rPr>
        <w:t>||  |</w:t>
      </w:r>
      <w:r w:rsidRPr="002F75CE">
        <w:rPr>
          <w:i/>
          <w:iCs/>
          <w:color w:val="000000"/>
          <w:spacing w:val="1"/>
          <w:shd w:val="solid" w:color="000000" w:fill="000000"/>
          <w:fitText w:val="281" w:id="-723257329"/>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28"/>
          <w14:textFill>
            <w14:solidFill>
              <w14:srgbClr w14:val="000000">
                <w14:alpha w14:val="100000"/>
              </w14:srgbClr>
            </w14:solidFill>
          </w14:textFill>
        </w:rPr>
        <w:t>||  |</w:t>
      </w:r>
      <w:r w:rsidRPr="002F75CE">
        <w:rPr>
          <w:i/>
          <w:iCs/>
          <w:color w:val="000000"/>
          <w:spacing w:val="1"/>
          <w:shd w:val="solid" w:color="000000" w:fill="000000"/>
          <w:fitText w:val="281" w:id="-723257328"/>
          <w14:textFill>
            <w14:solidFill>
              <w14:srgbClr w14:val="000000">
                <w14:alpha w14:val="100000"/>
              </w14:srgbClr>
            </w14:solidFill>
          </w14:textFill>
        </w:rPr>
        <w:t>|</w:t>
      </w:r>
      <w:r w:rsidR="00A27FA9" w:rsidRPr="00A27FA9">
        <w:rPr>
          <w:i/>
          <w:iCs/>
        </w:rPr>
        <w:t xml:space="preserve"> </w:t>
      </w:r>
      <w:r w:rsidRPr="002F75CE">
        <w:rPr>
          <w:i/>
          <w:iCs/>
          <w:color w:val="000000"/>
          <w:spacing w:val="9"/>
          <w:shd w:val="solid" w:color="000000" w:fill="000000"/>
          <w:fitText w:val="281" w:id="-723257344"/>
          <w14:textFill>
            <w14:solidFill>
              <w14:srgbClr w14:val="000000">
                <w14:alpha w14:val="100000"/>
              </w14:srgbClr>
            </w14:solidFill>
          </w14:textFill>
        </w:rPr>
        <w:t>||  |</w:t>
      </w:r>
      <w:r w:rsidRPr="002F75CE">
        <w:rPr>
          <w:i/>
          <w:iCs/>
          <w:color w:val="000000"/>
          <w:spacing w:val="1"/>
          <w:shd w:val="solid" w:color="000000" w:fill="000000"/>
          <w:fitText w:val="281" w:id="-723257344"/>
          <w14:textFill>
            <w14:solidFill>
              <w14:srgbClr w14:val="000000">
                <w14:alpha w14:val="100000"/>
              </w14:srgbClr>
            </w14:solidFill>
          </w14:textFill>
        </w:rPr>
        <w:t>|</w:t>
      </w:r>
    </w:p>
    <w:p w14:paraId="46133D9B" w14:textId="5BA10F88" w:rsidR="0053566D" w:rsidRDefault="00CC2299" w:rsidP="0053566D">
      <w:pPr>
        <w:pStyle w:val="3-BodyText"/>
      </w:pP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750305">
        <w:rPr>
          <w:color w:val="000000" w:themeColor="text1"/>
        </w:rP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t xml:space="preserve"> </w:t>
      </w:r>
      <w:r w:rsidRPr="7EE24840">
        <w:rPr>
          <w:color w:val="000000" w:themeColor="text1"/>
        </w:rPr>
        <w:t>|</w:t>
      </w:r>
      <w:r w:rsidR="0053566D">
        <w:t xml:space="preserve">. </w:t>
      </w:r>
      <w:r w:rsidR="00796275" w:rsidRPr="00312BBA">
        <w:rPr>
          <w:rStyle w:val="CommentReference"/>
          <w:b w:val="0"/>
          <w:szCs w:val="24"/>
          <w:vertAlign w:val="superscript"/>
        </w:rPr>
        <w:fldChar w:fldCharType="begin" w:fldLock="1"/>
      </w:r>
      <w:r w:rsidR="00796275" w:rsidRPr="00312BBA">
        <w:rPr>
          <w:rStyle w:val="CommentReference"/>
          <w:b w:val="0"/>
          <w:szCs w:val="24"/>
          <w:vertAlign w:val="superscript"/>
        </w:rPr>
        <w:instrText xml:space="preserve"> NOTEREF _Ref196734435 \h  \* MERGEFORMAT </w:instrText>
      </w:r>
      <w:r w:rsidR="00796275" w:rsidRPr="00312BBA">
        <w:rPr>
          <w:rStyle w:val="CommentReference"/>
          <w:b w:val="0"/>
          <w:szCs w:val="24"/>
          <w:vertAlign w:val="superscript"/>
        </w:rPr>
      </w:r>
      <w:r w:rsidR="00796275" w:rsidRPr="00312BBA">
        <w:rPr>
          <w:rStyle w:val="CommentReference"/>
          <w:b w:val="0"/>
          <w:szCs w:val="24"/>
          <w:vertAlign w:val="superscript"/>
        </w:rPr>
        <w:fldChar w:fldCharType="separate"/>
      </w:r>
      <w:r w:rsidR="00796275" w:rsidRPr="00312BBA">
        <w:rPr>
          <w:rStyle w:val="CommentReference"/>
          <w:b w:val="0"/>
          <w:szCs w:val="24"/>
          <w:vertAlign w:val="superscript"/>
        </w:rPr>
        <w:t>18</w:t>
      </w:r>
      <w:r w:rsidR="00796275" w:rsidRPr="00312BBA">
        <w:rPr>
          <w:rStyle w:val="CommentReference"/>
          <w:b w:val="0"/>
          <w:szCs w:val="24"/>
          <w:vertAlign w:val="superscript"/>
        </w:rPr>
        <w:fldChar w:fldCharType="end"/>
      </w:r>
    </w:p>
    <w:p w14:paraId="4E55264D" w14:textId="77777777" w:rsidR="00485DF5" w:rsidRPr="00A0075B" w:rsidRDefault="00485DF5" w:rsidP="00485DF5">
      <w:pPr>
        <w:pStyle w:val="4-SubsectionHeading"/>
        <w:rPr>
          <w:iCs/>
        </w:rPr>
      </w:pPr>
      <w:bookmarkStart w:id="99" w:name="_Toc174923392"/>
      <w:bookmarkStart w:id="100" w:name="_Toc176785115"/>
      <w:r w:rsidRPr="00A0075B">
        <w:rPr>
          <w:iCs/>
        </w:rPr>
        <w:lastRenderedPageBreak/>
        <w:t>Quality Use of Medicines</w:t>
      </w:r>
      <w:bookmarkEnd w:id="99"/>
      <w:bookmarkEnd w:id="100"/>
    </w:p>
    <w:p w14:paraId="33AB36E8" w14:textId="147538A2" w:rsidR="00485DF5" w:rsidRPr="00310498" w:rsidRDefault="00485DF5" w:rsidP="00485DF5">
      <w:pPr>
        <w:pStyle w:val="3-BodyText"/>
      </w:pPr>
      <w:r w:rsidRPr="00310498">
        <w:t xml:space="preserve">The submission stated that </w:t>
      </w:r>
      <w:r w:rsidR="002A7EAA" w:rsidRPr="00310498">
        <w:t xml:space="preserve">the </w:t>
      </w:r>
      <w:r w:rsidRPr="00310498">
        <w:t>sponsor is planning education activities through their medical science liaisons to ensure appropriate and best practice with respect to prescribing. Additionally, the sponsor will work collaboratively with healthcare professionals to ensure that durvalumab and olaparib are used appropriately and in line with the available clinical evidence and TGA restriction.</w:t>
      </w:r>
    </w:p>
    <w:p w14:paraId="4A664171" w14:textId="77777777" w:rsidR="00485DF5" w:rsidRPr="00A0075B" w:rsidRDefault="00485DF5" w:rsidP="00485DF5">
      <w:pPr>
        <w:pStyle w:val="4-SubsectionHeading"/>
        <w:rPr>
          <w:iCs/>
        </w:rPr>
      </w:pPr>
      <w:bookmarkStart w:id="101" w:name="_Toc174923393"/>
      <w:bookmarkStart w:id="102" w:name="_Toc176785116"/>
      <w:r w:rsidRPr="00A0075B">
        <w:rPr>
          <w:iCs/>
        </w:rPr>
        <w:t>Financial Management – Risk Sharing Arrangements</w:t>
      </w:r>
      <w:bookmarkEnd w:id="101"/>
      <w:bookmarkEnd w:id="102"/>
    </w:p>
    <w:p w14:paraId="4FE959C0" w14:textId="36C62C10" w:rsidR="00485DF5" w:rsidRPr="00310498" w:rsidRDefault="00485DF5" w:rsidP="00485DF5">
      <w:pPr>
        <w:pStyle w:val="3-BodyText"/>
      </w:pPr>
      <w:r w:rsidRPr="00310498">
        <w:rPr>
          <w:lang w:eastAsia="zh-CN"/>
        </w:rPr>
        <w:t xml:space="preserve">The submission stated that the sponsor is aware there is an existing RSA which includes the </w:t>
      </w:r>
      <w:r w:rsidR="00395FE5" w:rsidRPr="00310498">
        <w:rPr>
          <w:lang w:eastAsia="zh-CN"/>
        </w:rPr>
        <w:t>1L</w:t>
      </w:r>
      <w:r w:rsidRPr="00310498">
        <w:rPr>
          <w:lang w:eastAsia="zh-CN"/>
        </w:rPr>
        <w:t xml:space="preserve"> dMMR population for whom dostarlimab is currently PBS listed and also the </w:t>
      </w:r>
      <w:r w:rsidR="00E45771" w:rsidRPr="00310498">
        <w:rPr>
          <w:lang w:eastAsia="zh-CN"/>
        </w:rPr>
        <w:t>2L</w:t>
      </w:r>
      <w:r w:rsidRPr="00310498">
        <w:rPr>
          <w:lang w:eastAsia="zh-CN"/>
        </w:rPr>
        <w:t xml:space="preserve"> population who are eligible to receive pembrolizumab </w:t>
      </w:r>
      <w:r w:rsidR="000B5F33" w:rsidRPr="00310498">
        <w:rPr>
          <w:lang w:eastAsia="zh-CN"/>
        </w:rPr>
        <w:t>plus</w:t>
      </w:r>
      <w:r w:rsidRPr="00310498">
        <w:rPr>
          <w:lang w:eastAsia="zh-CN"/>
        </w:rPr>
        <w:t xml:space="preserve"> lenvatinib. With respect to the pMMR population, there is currently no RSA in place </w:t>
      </w:r>
      <w:r w:rsidR="007D7E3E">
        <w:rPr>
          <w:lang w:eastAsia="zh-CN"/>
        </w:rPr>
        <w:t>that</w:t>
      </w:r>
      <w:r w:rsidR="007D7E3E" w:rsidRPr="00310498">
        <w:rPr>
          <w:lang w:eastAsia="zh-CN"/>
        </w:rPr>
        <w:t xml:space="preserve"> </w:t>
      </w:r>
      <w:r w:rsidRPr="00310498">
        <w:rPr>
          <w:lang w:eastAsia="zh-CN"/>
        </w:rPr>
        <w:t xml:space="preserve">includes utilisation in the </w:t>
      </w:r>
      <w:r w:rsidR="00395FE5" w:rsidRPr="00310498">
        <w:rPr>
          <w:lang w:eastAsia="zh-CN"/>
        </w:rPr>
        <w:t>1L</w:t>
      </w:r>
      <w:r w:rsidRPr="00310498">
        <w:rPr>
          <w:lang w:eastAsia="zh-CN"/>
        </w:rPr>
        <w:t xml:space="preserve"> treatment setting. </w:t>
      </w:r>
    </w:p>
    <w:p w14:paraId="777B1906" w14:textId="63CDDD68" w:rsidR="00F0370B" w:rsidRPr="00310498" w:rsidRDefault="00A81F95" w:rsidP="00827CAD">
      <w:pPr>
        <w:pStyle w:val="3-BodyText"/>
      </w:pPr>
      <w:r w:rsidRPr="00310498">
        <w:t>For context, p</w:t>
      </w:r>
      <w:r w:rsidR="00D555DC" w:rsidRPr="00310498">
        <w:t xml:space="preserve">aragraph 7.11 of the dostarlimab Public Summary Document, November 2023 PBAC meeting states: </w:t>
      </w:r>
      <w:r w:rsidR="007334AF" w:rsidRPr="00310498">
        <w:t>“The PBAC considered that shared financial caps with 2L PEM+LEN would be appropriate, given the substantial overlap in patient populations and because the cost-effectiveness for dostarlimab relies on cost offsets for 2L PEM+LEN. The PBAC considered that the caps should be increased to account for additional patients treated 1L dostarlimab, with offsets for 2L PEM+LEN.”</w:t>
      </w:r>
    </w:p>
    <w:p w14:paraId="025E4B75" w14:textId="176EC368" w:rsidR="00796275" w:rsidRDefault="00A92C87" w:rsidP="00D161C4">
      <w:pPr>
        <w:pStyle w:val="3-BodyText"/>
        <w:numPr>
          <w:ilvl w:val="0"/>
          <w:numId w:val="0"/>
        </w:numPr>
        <w:ind w:left="720"/>
        <w:rPr>
          <w:i/>
          <w:iCs/>
        </w:rPr>
      </w:pPr>
      <w:bookmarkStart w:id="103" w:name="_Toc176785120"/>
      <w:r w:rsidRPr="00A92C87">
        <w:rPr>
          <w:i/>
          <w:iCs/>
        </w:rPr>
        <w:t xml:space="preserve">For </w:t>
      </w:r>
      <w:r w:rsidRPr="0032043A">
        <w:rPr>
          <w:i/>
          <w:iCs/>
        </w:rPr>
        <w:t>more detail on PBAC’s view, see section 7 PBAC outcome.</w:t>
      </w:r>
    </w:p>
    <w:p w14:paraId="0F4B2235" w14:textId="77777777" w:rsidR="00796275" w:rsidRDefault="00796275">
      <w:pPr>
        <w:jc w:val="left"/>
        <w:rPr>
          <w:rFonts w:asciiTheme="minorHAnsi" w:eastAsiaTheme="minorHAnsi" w:hAnsiTheme="minorHAnsi" w:cstheme="minorBidi"/>
          <w:i/>
          <w:iCs/>
          <w:szCs w:val="22"/>
        </w:rPr>
      </w:pPr>
      <w:r>
        <w:rPr>
          <w:i/>
          <w:iCs/>
        </w:rPr>
        <w:br w:type="page"/>
      </w:r>
    </w:p>
    <w:p w14:paraId="12E7343A" w14:textId="35FB3838" w:rsidR="00381A77" w:rsidRPr="0032043A" w:rsidRDefault="00331AA2" w:rsidP="00381A77">
      <w:pPr>
        <w:pStyle w:val="2-SectionHeading"/>
        <w:numPr>
          <w:ilvl w:val="0"/>
          <w:numId w:val="1"/>
        </w:numPr>
      </w:pPr>
      <w:bookmarkStart w:id="104" w:name="_Hlk76381249"/>
      <w:bookmarkStart w:id="105" w:name="_Hlk76377955"/>
      <w:r w:rsidRPr="0032043A">
        <w:lastRenderedPageBreak/>
        <w:t>PBAC Outcome</w:t>
      </w:r>
    </w:p>
    <w:p w14:paraId="4775FE4D" w14:textId="3BC66BA2" w:rsidR="00623ED9" w:rsidRPr="0032043A" w:rsidRDefault="00623ED9" w:rsidP="00D161C4">
      <w:pPr>
        <w:spacing w:after="120"/>
      </w:pPr>
      <w:r w:rsidRPr="0032043A">
        <w:rPr>
          <w:u w:val="single"/>
        </w:rPr>
        <w:t xml:space="preserve">Deficient mismatch repair </w:t>
      </w:r>
      <w:r w:rsidR="006609FB">
        <w:rPr>
          <w:u w:val="single"/>
        </w:rPr>
        <w:t xml:space="preserve">(dMMR) </w:t>
      </w:r>
      <w:r w:rsidRPr="0032043A">
        <w:rPr>
          <w:u w:val="single"/>
        </w:rPr>
        <w:t>endometrial cancer</w:t>
      </w:r>
    </w:p>
    <w:p w14:paraId="2B8DFC10" w14:textId="283093CB" w:rsidR="00623ED9" w:rsidRPr="00C355BB" w:rsidRDefault="00623ED9" w:rsidP="00623ED9">
      <w:pPr>
        <w:widowControl w:val="0"/>
        <w:numPr>
          <w:ilvl w:val="1"/>
          <w:numId w:val="1"/>
        </w:numPr>
        <w:spacing w:after="120"/>
        <w:rPr>
          <w:rFonts w:asciiTheme="minorHAnsi" w:hAnsiTheme="minorHAnsi"/>
        </w:rPr>
      </w:pPr>
      <w:bookmarkStart w:id="106" w:name="_Hlk111543188"/>
      <w:r w:rsidRPr="0032043A">
        <w:rPr>
          <w:rFonts w:asciiTheme="minorHAnsi" w:hAnsiTheme="minorHAnsi"/>
        </w:rPr>
        <w:t xml:space="preserve">The PBAC recommended </w:t>
      </w:r>
      <w:r w:rsidR="001D3A3D">
        <w:rPr>
          <w:rFonts w:asciiTheme="minorHAnsi" w:hAnsiTheme="minorHAnsi"/>
        </w:rPr>
        <w:t xml:space="preserve">the listing of </w:t>
      </w:r>
      <w:r w:rsidRPr="0032043A">
        <w:rPr>
          <w:rFonts w:asciiTheme="minorHAnsi" w:hAnsiTheme="minorHAnsi"/>
        </w:rPr>
        <w:t>durvalumab, in combination with platinum-based chemotherapy (</w:t>
      </w:r>
      <w:r w:rsidR="006A7B23">
        <w:rPr>
          <w:rFonts w:asciiTheme="minorHAnsi" w:hAnsiTheme="minorHAnsi"/>
        </w:rPr>
        <w:t xml:space="preserve">paclitaxel + carboplatin, </w:t>
      </w:r>
      <w:r w:rsidRPr="0032043A">
        <w:rPr>
          <w:rFonts w:asciiTheme="minorHAnsi" w:hAnsiTheme="minorHAnsi"/>
        </w:rPr>
        <w:t xml:space="preserve">PC), for the treatment of deficient mismatch repair (dMMR) endometrial cancer (EC), on the basis that it should be available only under special arrangements under Section 100 (Efficient Funding of Chemotherapy). The PBAC accepted that durvalumab was non-inferior in terms of efficacy and safety compared </w:t>
      </w:r>
      <w:r w:rsidR="006116B4">
        <w:rPr>
          <w:rFonts w:asciiTheme="minorHAnsi" w:hAnsiTheme="minorHAnsi"/>
        </w:rPr>
        <w:t>with</w:t>
      </w:r>
      <w:r w:rsidRPr="00C355BB">
        <w:rPr>
          <w:rFonts w:asciiTheme="minorHAnsi" w:hAnsiTheme="minorHAnsi"/>
        </w:rPr>
        <w:t xml:space="preserve"> dostarlimab + PC. The PBAC considered that the cost minimisation approach </w:t>
      </w:r>
      <w:r w:rsidR="00C355BB" w:rsidRPr="00C355BB">
        <w:rPr>
          <w:rFonts w:asciiTheme="minorHAnsi" w:hAnsiTheme="minorHAnsi"/>
        </w:rPr>
        <w:t xml:space="preserve">(CMA) </w:t>
      </w:r>
      <w:r w:rsidRPr="00C355BB">
        <w:rPr>
          <w:rFonts w:asciiTheme="minorHAnsi" w:hAnsiTheme="minorHAnsi"/>
        </w:rPr>
        <w:t>and financial impact estimates presented were generally reasonable</w:t>
      </w:r>
      <w:r w:rsidR="00C355BB">
        <w:rPr>
          <w:rFonts w:asciiTheme="minorHAnsi" w:hAnsiTheme="minorHAnsi"/>
        </w:rPr>
        <w:t xml:space="preserve"> and advised that durvalumab should join the existing risk sharing arrangement (RSA) for </w:t>
      </w:r>
      <w:r w:rsidR="006609FB">
        <w:rPr>
          <w:rFonts w:asciiTheme="minorHAnsi" w:hAnsiTheme="minorHAnsi"/>
        </w:rPr>
        <w:t>this condition</w:t>
      </w:r>
      <w:r w:rsidRPr="00C355BB">
        <w:rPr>
          <w:rFonts w:asciiTheme="minorHAnsi" w:hAnsiTheme="minorHAnsi"/>
        </w:rPr>
        <w:t>.</w:t>
      </w:r>
    </w:p>
    <w:p w14:paraId="3FACD8B9" w14:textId="66BB0F2B" w:rsidR="00623ED9" w:rsidRDefault="00623ED9" w:rsidP="00623ED9">
      <w:pPr>
        <w:widowControl w:val="0"/>
        <w:numPr>
          <w:ilvl w:val="1"/>
          <w:numId w:val="1"/>
        </w:numPr>
        <w:spacing w:after="120"/>
        <w:rPr>
          <w:rFonts w:asciiTheme="minorHAnsi" w:hAnsiTheme="minorHAnsi"/>
        </w:rPr>
      </w:pPr>
      <w:r w:rsidRPr="00C355BB">
        <w:rPr>
          <w:rFonts w:asciiTheme="minorHAnsi" w:hAnsiTheme="minorHAnsi"/>
        </w:rPr>
        <w:t xml:space="preserve">The PBAC noted the comments from Rare Cancers Australia </w:t>
      </w:r>
      <w:r w:rsidR="006609FB">
        <w:rPr>
          <w:rFonts w:asciiTheme="minorHAnsi" w:hAnsiTheme="minorHAnsi"/>
        </w:rPr>
        <w:t>and</w:t>
      </w:r>
      <w:r w:rsidRPr="00C355BB">
        <w:rPr>
          <w:rFonts w:asciiTheme="minorHAnsi" w:hAnsiTheme="minorHAnsi"/>
        </w:rPr>
        <w:t xml:space="preserve"> Medical Oncology Group of Australia (MOGA) express</w:t>
      </w:r>
      <w:r w:rsidR="006609FB">
        <w:rPr>
          <w:rFonts w:asciiTheme="minorHAnsi" w:hAnsiTheme="minorHAnsi"/>
        </w:rPr>
        <w:t xml:space="preserve">ing their </w:t>
      </w:r>
      <w:r w:rsidRPr="00C355BB">
        <w:rPr>
          <w:rFonts w:asciiTheme="minorHAnsi" w:hAnsiTheme="minorHAnsi"/>
        </w:rPr>
        <w:t>support for the submission.</w:t>
      </w:r>
    </w:p>
    <w:p w14:paraId="032E7999" w14:textId="1C3FDDA0" w:rsidR="00C355BB" w:rsidRPr="00C355BB" w:rsidRDefault="00C355BB" w:rsidP="00623ED9">
      <w:pPr>
        <w:widowControl w:val="0"/>
        <w:numPr>
          <w:ilvl w:val="1"/>
          <w:numId w:val="1"/>
        </w:numPr>
        <w:spacing w:after="120"/>
        <w:rPr>
          <w:rFonts w:asciiTheme="minorHAnsi" w:hAnsiTheme="minorHAnsi"/>
        </w:rPr>
      </w:pPr>
      <w:r>
        <w:rPr>
          <w:rFonts w:asciiTheme="minorHAnsi" w:hAnsiTheme="minorHAnsi"/>
        </w:rPr>
        <w:t xml:space="preserve">The PBAC noted that the TGA Delegate </w:t>
      </w:r>
      <w:r w:rsidR="00E72AB6" w:rsidRPr="00E72AB6">
        <w:rPr>
          <w:rFonts w:asciiTheme="minorHAnsi" w:hAnsiTheme="minorHAnsi"/>
        </w:rPr>
        <w:t xml:space="preserve">in their preliminary view, was inclined to approve the registration of </w:t>
      </w:r>
      <w:r>
        <w:rPr>
          <w:rFonts w:asciiTheme="minorHAnsi" w:hAnsiTheme="minorHAnsi"/>
        </w:rPr>
        <w:t xml:space="preserve">durvalumab for use </w:t>
      </w:r>
      <w:r w:rsidR="006609FB">
        <w:rPr>
          <w:rFonts w:asciiTheme="minorHAnsi" w:hAnsiTheme="minorHAnsi"/>
        </w:rPr>
        <w:t xml:space="preserve">in combination with PC </w:t>
      </w:r>
      <w:r>
        <w:rPr>
          <w:rFonts w:asciiTheme="minorHAnsi" w:hAnsiTheme="minorHAnsi"/>
        </w:rPr>
        <w:t xml:space="preserve">as a first-line treatment for adult patients with advanced or recurrent </w:t>
      </w:r>
      <w:r w:rsidR="006609FB">
        <w:rPr>
          <w:rFonts w:asciiTheme="minorHAnsi" w:hAnsiTheme="minorHAnsi"/>
        </w:rPr>
        <w:t xml:space="preserve">dMMR </w:t>
      </w:r>
      <w:r>
        <w:rPr>
          <w:rFonts w:asciiTheme="minorHAnsi" w:hAnsiTheme="minorHAnsi"/>
        </w:rPr>
        <w:t>endometrial cancer.</w:t>
      </w:r>
    </w:p>
    <w:p w14:paraId="58C40DCD" w14:textId="05B95D47" w:rsidR="00623ED9" w:rsidRPr="00C355BB" w:rsidRDefault="00623ED9" w:rsidP="00623ED9">
      <w:pPr>
        <w:widowControl w:val="0"/>
        <w:numPr>
          <w:ilvl w:val="1"/>
          <w:numId w:val="1"/>
        </w:numPr>
        <w:spacing w:after="120"/>
        <w:rPr>
          <w:rFonts w:asciiTheme="minorHAnsi" w:hAnsiTheme="minorHAnsi"/>
        </w:rPr>
      </w:pPr>
      <w:r w:rsidRPr="00C355BB">
        <w:rPr>
          <w:rFonts w:asciiTheme="minorHAnsi" w:hAnsiTheme="minorHAnsi"/>
        </w:rPr>
        <w:t xml:space="preserve">The PBAC considered that the </w:t>
      </w:r>
      <w:r w:rsidR="006609FB">
        <w:rPr>
          <w:rFonts w:asciiTheme="minorHAnsi" w:hAnsiTheme="minorHAnsi"/>
        </w:rPr>
        <w:t xml:space="preserve">proposed </w:t>
      </w:r>
      <w:r w:rsidRPr="00C355BB">
        <w:rPr>
          <w:rFonts w:asciiTheme="minorHAnsi" w:hAnsiTheme="minorHAnsi"/>
        </w:rPr>
        <w:t>place in therapy, as an alternative to dostarlimab + PC, was appropriate. The PBAC considered that dostarlimab + PC was the appropriate comparator.</w:t>
      </w:r>
    </w:p>
    <w:p w14:paraId="6006CCE8" w14:textId="01BCEA7C" w:rsidR="00623ED9" w:rsidRPr="00C355BB" w:rsidRDefault="00623ED9" w:rsidP="00623ED9">
      <w:pPr>
        <w:widowControl w:val="0"/>
        <w:numPr>
          <w:ilvl w:val="1"/>
          <w:numId w:val="1"/>
        </w:numPr>
        <w:spacing w:after="120"/>
        <w:rPr>
          <w:rFonts w:asciiTheme="minorHAnsi" w:hAnsiTheme="minorHAnsi"/>
        </w:rPr>
      </w:pPr>
      <w:r w:rsidRPr="00C355BB">
        <w:rPr>
          <w:rFonts w:asciiTheme="minorHAnsi" w:hAnsiTheme="minorHAnsi"/>
        </w:rPr>
        <w:t>The PBAC noted that the submission was based on the dMMR subgroup of the DUO-E trial, which compared durvalumab + PC to PC alone and indirect treatment comparisons with dostarlimab + PC (data was presented from the RUBY trial).</w:t>
      </w:r>
    </w:p>
    <w:p w14:paraId="5220C035" w14:textId="1E4C3B97" w:rsidR="00623ED9" w:rsidRPr="00C355BB" w:rsidRDefault="00623ED9" w:rsidP="00623ED9">
      <w:pPr>
        <w:widowControl w:val="0"/>
        <w:numPr>
          <w:ilvl w:val="1"/>
          <w:numId w:val="1"/>
        </w:numPr>
        <w:spacing w:after="120"/>
        <w:rPr>
          <w:rFonts w:asciiTheme="minorHAnsi" w:hAnsiTheme="minorHAnsi"/>
        </w:rPr>
      </w:pPr>
      <w:r w:rsidRPr="00C355BB">
        <w:rPr>
          <w:rFonts w:asciiTheme="minorHAnsi" w:hAnsiTheme="minorHAnsi"/>
        </w:rPr>
        <w:t xml:space="preserve">Compared to PC alone, the PBAC noted that durvalumab + PC in dMMR EC patients was associated with a statistically significant benefit in terms of progression free survival (PFS; HR = 0.42; 95% CI: 0.22, 0.80). The PBAC noted that the data for overall survival (OS) were immature in this population, but that the OS benefit appeared to support </w:t>
      </w:r>
      <w:r w:rsidR="006A7B23">
        <w:rPr>
          <w:rFonts w:asciiTheme="minorHAnsi" w:hAnsiTheme="minorHAnsi"/>
        </w:rPr>
        <w:t xml:space="preserve">the use of </w:t>
      </w:r>
      <w:r w:rsidRPr="00C355BB">
        <w:rPr>
          <w:rFonts w:asciiTheme="minorHAnsi" w:hAnsiTheme="minorHAnsi"/>
        </w:rPr>
        <w:t>durvalumab + PC over PC alone</w:t>
      </w:r>
      <w:r w:rsidR="00370616">
        <w:rPr>
          <w:rFonts w:asciiTheme="minorHAnsi" w:hAnsiTheme="minorHAnsi"/>
        </w:rPr>
        <w:t xml:space="preserve"> </w:t>
      </w:r>
      <w:r w:rsidR="00370616" w:rsidRPr="00C355BB">
        <w:rPr>
          <w:rFonts w:asciiTheme="minorHAnsi" w:hAnsiTheme="minorHAnsi"/>
        </w:rPr>
        <w:t>(</w:t>
      </w:r>
      <w:r w:rsidR="00370616">
        <w:rPr>
          <w:rFonts w:asciiTheme="minorHAnsi" w:hAnsiTheme="minorHAnsi"/>
        </w:rPr>
        <w:t>O</w:t>
      </w:r>
      <w:r w:rsidR="00370616" w:rsidRPr="00C355BB">
        <w:rPr>
          <w:rFonts w:asciiTheme="minorHAnsi" w:hAnsiTheme="minorHAnsi"/>
        </w:rPr>
        <w:t>S; HR = 0.</w:t>
      </w:r>
      <w:r w:rsidR="00370616">
        <w:rPr>
          <w:rFonts w:asciiTheme="minorHAnsi" w:hAnsiTheme="minorHAnsi"/>
        </w:rPr>
        <w:t>3</w:t>
      </w:r>
      <w:r w:rsidR="00370616" w:rsidRPr="00C355BB">
        <w:rPr>
          <w:rFonts w:asciiTheme="minorHAnsi" w:hAnsiTheme="minorHAnsi"/>
        </w:rPr>
        <w:t xml:space="preserve">4; 95% CI: </w:t>
      </w:r>
      <w:r w:rsidR="00370616" w:rsidRPr="00370616">
        <w:rPr>
          <w:rFonts w:asciiTheme="minorHAnsi" w:hAnsiTheme="minorHAnsi"/>
        </w:rPr>
        <w:t>0.13, 0.79</w:t>
      </w:r>
      <w:r w:rsidR="00370616" w:rsidRPr="00C355BB">
        <w:rPr>
          <w:rFonts w:asciiTheme="minorHAnsi" w:hAnsiTheme="minorHAnsi"/>
        </w:rPr>
        <w:t>)</w:t>
      </w:r>
      <w:r w:rsidRPr="00C355BB">
        <w:rPr>
          <w:rFonts w:asciiTheme="minorHAnsi" w:hAnsiTheme="minorHAnsi"/>
        </w:rPr>
        <w:t>.</w:t>
      </w:r>
      <w:r w:rsidR="008E30FB" w:rsidRPr="00C355BB">
        <w:rPr>
          <w:rFonts w:asciiTheme="minorHAnsi" w:hAnsiTheme="minorHAnsi"/>
        </w:rPr>
        <w:t xml:space="preserve"> The PBAC considered that durvalumab + PC was superior to PC alone in terms of effectiveness and inferior in terms of safety.</w:t>
      </w:r>
    </w:p>
    <w:p w14:paraId="7153B04E" w14:textId="1B363D1A" w:rsidR="00623ED9" w:rsidRPr="00C355BB" w:rsidRDefault="00623ED9" w:rsidP="00623ED9">
      <w:pPr>
        <w:widowControl w:val="0"/>
        <w:numPr>
          <w:ilvl w:val="1"/>
          <w:numId w:val="1"/>
        </w:numPr>
        <w:spacing w:after="120"/>
        <w:rPr>
          <w:rFonts w:asciiTheme="minorHAnsi" w:hAnsiTheme="minorHAnsi"/>
        </w:rPr>
      </w:pPr>
      <w:r w:rsidRPr="00C355BB">
        <w:rPr>
          <w:rFonts w:asciiTheme="minorHAnsi" w:hAnsiTheme="minorHAnsi"/>
        </w:rPr>
        <w:t>The PBAC noted that the submission presented three ITCs using data from the DUO-E and RUBY trials, with PC as the common comparator</w:t>
      </w:r>
      <w:r w:rsidR="00007286" w:rsidRPr="00C355BB">
        <w:rPr>
          <w:rFonts w:asciiTheme="minorHAnsi" w:hAnsiTheme="minorHAnsi"/>
        </w:rPr>
        <w:t>: (i) unadjusted ITC including dMMR EC patients from DUO-E and dMMR and/or MSI-H patients from RUBY; (ii) unadjusted ITC including dMMR and/or MSI-H patients from both DUO-E and RUBY; and (iii) matching-adjusted indirect comparison (MAIC) adjusted for differences in baseline characteristics</w:t>
      </w:r>
      <w:r w:rsidRPr="00C355BB">
        <w:rPr>
          <w:rFonts w:asciiTheme="minorHAnsi" w:hAnsiTheme="minorHAnsi"/>
        </w:rPr>
        <w:t xml:space="preserve">. The PBAC noted that none of the ITCs demonstrated a significant difference between durvalumab + PC and dostarlimab + PC in terms of PFS or OS (see </w:t>
      </w:r>
      <w:r w:rsidRPr="00C355BB">
        <w:rPr>
          <w:rFonts w:asciiTheme="minorHAnsi" w:hAnsiTheme="minorHAnsi"/>
        </w:rPr>
        <w:fldChar w:fldCharType="begin" w:fldLock="1"/>
      </w:r>
      <w:r w:rsidRPr="00C355BB">
        <w:rPr>
          <w:rFonts w:asciiTheme="minorHAnsi" w:hAnsiTheme="minorHAnsi"/>
        </w:rPr>
        <w:instrText xml:space="preserve"> REF _Ref176203440 \h </w:instrText>
      </w:r>
      <w:r w:rsidR="00C355BB">
        <w:rPr>
          <w:rFonts w:asciiTheme="minorHAnsi" w:hAnsiTheme="minorHAnsi"/>
        </w:rPr>
        <w:instrText xml:space="preserve"> \* MERGEFORMAT </w:instrText>
      </w:r>
      <w:r w:rsidRPr="00C355BB">
        <w:rPr>
          <w:rFonts w:asciiTheme="minorHAnsi" w:hAnsiTheme="minorHAnsi"/>
        </w:rPr>
      </w:r>
      <w:r w:rsidRPr="00C355BB">
        <w:rPr>
          <w:rFonts w:asciiTheme="minorHAnsi" w:hAnsiTheme="minorHAnsi"/>
        </w:rPr>
        <w:fldChar w:fldCharType="separate"/>
      </w:r>
      <w:r w:rsidR="002C52D8" w:rsidRPr="00310498">
        <w:t xml:space="preserve">Table </w:t>
      </w:r>
      <w:r w:rsidR="002C52D8">
        <w:rPr>
          <w:noProof/>
        </w:rPr>
        <w:t>12</w:t>
      </w:r>
      <w:r w:rsidRPr="00C355BB">
        <w:rPr>
          <w:rFonts w:asciiTheme="minorHAnsi" w:hAnsiTheme="minorHAnsi"/>
        </w:rPr>
        <w:fldChar w:fldCharType="end"/>
      </w:r>
      <w:r w:rsidRPr="00C355BB">
        <w:rPr>
          <w:rFonts w:asciiTheme="minorHAnsi" w:hAnsiTheme="minorHAnsi"/>
        </w:rPr>
        <w:t>).</w:t>
      </w:r>
    </w:p>
    <w:p w14:paraId="48CCC530" w14:textId="7F039EEC" w:rsidR="00623ED9" w:rsidRPr="00380518" w:rsidRDefault="00623ED9" w:rsidP="00022017">
      <w:pPr>
        <w:widowControl w:val="0"/>
        <w:numPr>
          <w:ilvl w:val="1"/>
          <w:numId w:val="1"/>
        </w:numPr>
        <w:spacing w:after="120"/>
        <w:rPr>
          <w:rFonts w:asciiTheme="minorHAnsi" w:hAnsiTheme="minorHAnsi"/>
        </w:rPr>
      </w:pPr>
      <w:r w:rsidRPr="00380518">
        <w:rPr>
          <w:rFonts w:asciiTheme="minorHAnsi" w:hAnsiTheme="minorHAnsi"/>
        </w:rPr>
        <w:t xml:space="preserve">The PBAC noted that there were issues with the ITCs, including differences in PFS response in the common comparator arm and small sample sizes in the subgroups </w:t>
      </w:r>
      <w:r w:rsidRPr="00380518">
        <w:rPr>
          <w:rFonts w:asciiTheme="minorHAnsi" w:hAnsiTheme="minorHAnsi"/>
        </w:rPr>
        <w:lastRenderedPageBreak/>
        <w:t>which increased the risk of bias</w:t>
      </w:r>
      <w:r w:rsidR="00007286" w:rsidRPr="00380518">
        <w:rPr>
          <w:rFonts w:asciiTheme="minorHAnsi" w:hAnsiTheme="minorHAnsi"/>
        </w:rPr>
        <w:t xml:space="preserve">, particularly in the </w:t>
      </w:r>
      <w:r w:rsidR="008E30FB" w:rsidRPr="00380518">
        <w:rPr>
          <w:rFonts w:asciiTheme="minorHAnsi" w:hAnsiTheme="minorHAnsi"/>
        </w:rPr>
        <w:t>MAIC.</w:t>
      </w:r>
      <w:r w:rsidR="00380518" w:rsidRPr="00380518">
        <w:rPr>
          <w:rFonts w:asciiTheme="minorHAnsi" w:hAnsiTheme="minorHAnsi"/>
        </w:rPr>
        <w:t xml:space="preserve"> </w:t>
      </w:r>
      <w:r w:rsidR="008E30FB" w:rsidRPr="00380518">
        <w:rPr>
          <w:rFonts w:asciiTheme="minorHAnsi" w:hAnsiTheme="minorHAnsi"/>
        </w:rPr>
        <w:t xml:space="preserve">However, overall, the PBAC considered that the claim that durvalumab + PC was non-inferior in terms of efficacy compared to dostarlimab + PC in patients with dMMR EC was </w:t>
      </w:r>
      <w:r w:rsidR="006A7B23" w:rsidRPr="00380518">
        <w:rPr>
          <w:rFonts w:asciiTheme="minorHAnsi" w:hAnsiTheme="minorHAnsi"/>
        </w:rPr>
        <w:t>acceptable</w:t>
      </w:r>
      <w:r w:rsidR="008E30FB" w:rsidRPr="00380518">
        <w:rPr>
          <w:rFonts w:asciiTheme="minorHAnsi" w:hAnsiTheme="minorHAnsi"/>
        </w:rPr>
        <w:t>, noting the limitations of the ITCs.</w:t>
      </w:r>
    </w:p>
    <w:p w14:paraId="1DD00E3C" w14:textId="48F4C164" w:rsidR="008E30FB" w:rsidRPr="00C355BB" w:rsidRDefault="008E30FB" w:rsidP="00623ED9">
      <w:pPr>
        <w:widowControl w:val="0"/>
        <w:numPr>
          <w:ilvl w:val="1"/>
          <w:numId w:val="1"/>
        </w:numPr>
        <w:spacing w:after="120"/>
        <w:rPr>
          <w:rFonts w:asciiTheme="minorHAnsi" w:hAnsiTheme="minorHAnsi"/>
        </w:rPr>
      </w:pPr>
      <w:r w:rsidRPr="00C355BB">
        <w:rPr>
          <w:rFonts w:asciiTheme="minorHAnsi" w:hAnsiTheme="minorHAnsi"/>
        </w:rPr>
        <w:t xml:space="preserve">In terms of safety, the PBAC </w:t>
      </w:r>
      <w:r w:rsidR="006931E3">
        <w:rPr>
          <w:rFonts w:asciiTheme="minorHAnsi" w:hAnsiTheme="minorHAnsi"/>
        </w:rPr>
        <w:t>consider</w:t>
      </w:r>
      <w:r w:rsidR="006931E3" w:rsidRPr="00C355BB">
        <w:rPr>
          <w:rFonts w:asciiTheme="minorHAnsi" w:hAnsiTheme="minorHAnsi"/>
        </w:rPr>
        <w:t xml:space="preserve">ed </w:t>
      </w:r>
      <w:r w:rsidRPr="00C355BB">
        <w:rPr>
          <w:rFonts w:asciiTheme="minorHAnsi" w:hAnsiTheme="minorHAnsi"/>
        </w:rPr>
        <w:t>that although the data were difficult to interpret due to the small sample sizes and wide confidence intervals, durvalumab + PC was likely to be non-inferior to dostarlimab + PC, particularly given the similar mechanism of action of durvalumab and dostarlimab.</w:t>
      </w:r>
    </w:p>
    <w:p w14:paraId="168A0640" w14:textId="63582364" w:rsidR="00C355BB" w:rsidRPr="00C355BB" w:rsidRDefault="00C355BB" w:rsidP="00623ED9">
      <w:pPr>
        <w:widowControl w:val="0"/>
        <w:numPr>
          <w:ilvl w:val="1"/>
          <w:numId w:val="1"/>
        </w:numPr>
        <w:spacing w:after="120"/>
        <w:rPr>
          <w:rFonts w:asciiTheme="minorHAnsi" w:hAnsiTheme="minorHAnsi"/>
        </w:rPr>
      </w:pPr>
      <w:r w:rsidRPr="00C355BB">
        <w:rPr>
          <w:rFonts w:asciiTheme="minorHAnsi" w:hAnsiTheme="minorHAnsi"/>
        </w:rPr>
        <w:t>The PBAC noted that the submission presented a CMA which assumed the same average duration of therapy for durvalumab and dostarlimab. The PBAC considered that this was reasonable</w:t>
      </w:r>
      <w:r w:rsidR="00370616">
        <w:rPr>
          <w:rFonts w:asciiTheme="minorHAnsi" w:hAnsiTheme="minorHAnsi"/>
        </w:rPr>
        <w:t xml:space="preserve"> in this particular case</w:t>
      </w:r>
      <w:r w:rsidRPr="00C355BB">
        <w:rPr>
          <w:rFonts w:asciiTheme="minorHAnsi" w:hAnsiTheme="minorHAnsi"/>
        </w:rPr>
        <w:t xml:space="preserve"> given the claim of non-inferior efficacy and safety</w:t>
      </w:r>
      <w:r w:rsidR="00370616">
        <w:rPr>
          <w:rFonts w:asciiTheme="minorHAnsi" w:hAnsiTheme="minorHAnsi"/>
        </w:rPr>
        <w:t>,</w:t>
      </w:r>
      <w:r w:rsidRPr="00C355BB">
        <w:rPr>
          <w:rFonts w:asciiTheme="minorHAnsi" w:hAnsiTheme="minorHAnsi"/>
        </w:rPr>
        <w:t xml:space="preserve"> the similar </w:t>
      </w:r>
      <w:r w:rsidR="006116B4">
        <w:rPr>
          <w:rFonts w:asciiTheme="minorHAnsi" w:hAnsiTheme="minorHAnsi"/>
        </w:rPr>
        <w:t xml:space="preserve">results across the ITCs </w:t>
      </w:r>
      <w:r w:rsidR="00370616">
        <w:rPr>
          <w:rFonts w:asciiTheme="minorHAnsi" w:hAnsiTheme="minorHAnsi"/>
        </w:rPr>
        <w:t xml:space="preserve">and the same maximum duration of therapy </w:t>
      </w:r>
      <w:r w:rsidR="006116B4">
        <w:rPr>
          <w:rFonts w:asciiTheme="minorHAnsi" w:hAnsiTheme="minorHAnsi"/>
        </w:rPr>
        <w:t>for</w:t>
      </w:r>
      <w:r w:rsidR="00370616">
        <w:rPr>
          <w:rFonts w:asciiTheme="minorHAnsi" w:hAnsiTheme="minorHAnsi"/>
        </w:rPr>
        <w:t xml:space="preserve"> the two therapies</w:t>
      </w:r>
      <w:r w:rsidRPr="00C355BB">
        <w:rPr>
          <w:rFonts w:asciiTheme="minorHAnsi" w:hAnsiTheme="minorHAnsi"/>
        </w:rPr>
        <w:t>. The PBAC considered that the equi-effective doses were:</w:t>
      </w:r>
    </w:p>
    <w:p w14:paraId="62AB69DA" w14:textId="291219FD" w:rsidR="00C355BB" w:rsidRPr="00C355BB" w:rsidRDefault="00C355BB" w:rsidP="00C355BB">
      <w:pPr>
        <w:widowControl w:val="0"/>
        <w:spacing w:after="120"/>
        <w:ind w:left="720"/>
        <w:rPr>
          <w:rFonts w:asciiTheme="minorHAnsi" w:hAnsiTheme="minorHAnsi"/>
        </w:rPr>
      </w:pPr>
      <w:r w:rsidRPr="00C355BB">
        <w:rPr>
          <w:rFonts w:asciiTheme="minorHAnsi" w:hAnsiTheme="minorHAnsi"/>
        </w:rPr>
        <w:t xml:space="preserve">Durvalumab: 5.1 infusions of induction (1,120 mg per infusion) + 18.0 infusions of maintenance (1,500 mg per infusion), i.e. 32,712 mg = </w:t>
      </w:r>
    </w:p>
    <w:p w14:paraId="3F32BA23" w14:textId="3B679756" w:rsidR="00C355BB" w:rsidRPr="00C355BB" w:rsidRDefault="00C355BB" w:rsidP="00C355BB">
      <w:pPr>
        <w:widowControl w:val="0"/>
        <w:spacing w:after="120"/>
        <w:ind w:left="720"/>
        <w:rPr>
          <w:rFonts w:asciiTheme="minorHAnsi" w:hAnsiTheme="minorHAnsi"/>
        </w:rPr>
      </w:pPr>
      <w:r w:rsidRPr="00C355BB">
        <w:rPr>
          <w:rFonts w:asciiTheme="minorHAnsi" w:hAnsiTheme="minorHAnsi"/>
        </w:rPr>
        <w:t xml:space="preserve">Dostarlimab: 5.1 infusions of induction (500 mg per infusion) + 12.0 infusions of maintenance (1,000 mg per infusion), i.e. 14,550 mg </w:t>
      </w:r>
    </w:p>
    <w:p w14:paraId="5D3501A2" w14:textId="10654734" w:rsidR="00C355BB" w:rsidRPr="00C355BB" w:rsidRDefault="00C355BB" w:rsidP="00623ED9">
      <w:pPr>
        <w:widowControl w:val="0"/>
        <w:numPr>
          <w:ilvl w:val="1"/>
          <w:numId w:val="1"/>
        </w:numPr>
        <w:spacing w:after="120"/>
        <w:rPr>
          <w:rFonts w:asciiTheme="minorHAnsi" w:hAnsiTheme="minorHAnsi"/>
        </w:rPr>
      </w:pPr>
      <w:r w:rsidRPr="00C355BB">
        <w:rPr>
          <w:rFonts w:asciiTheme="minorHAnsi" w:hAnsiTheme="minorHAnsi"/>
        </w:rPr>
        <w:t>The PBAC noted that intravenous administration costs were incorporated into the CMA due to different frequency of dosing of durvalumab and dostarlimab and considered that this was reasonable.</w:t>
      </w:r>
    </w:p>
    <w:p w14:paraId="3AC4150A" w14:textId="209907F0" w:rsidR="00C355BB" w:rsidRPr="00C355BB" w:rsidRDefault="00C355BB" w:rsidP="00623ED9">
      <w:pPr>
        <w:widowControl w:val="0"/>
        <w:numPr>
          <w:ilvl w:val="1"/>
          <w:numId w:val="1"/>
        </w:numPr>
        <w:spacing w:after="120"/>
        <w:rPr>
          <w:rFonts w:asciiTheme="minorHAnsi" w:hAnsiTheme="minorHAnsi"/>
        </w:rPr>
      </w:pPr>
      <w:r w:rsidRPr="00C355BB">
        <w:rPr>
          <w:rFonts w:asciiTheme="minorHAnsi" w:hAnsiTheme="minorHAnsi"/>
        </w:rPr>
        <w:t xml:space="preserve">The PBAC considered that the </w:t>
      </w:r>
      <w:r w:rsidR="00370616">
        <w:rPr>
          <w:rFonts w:asciiTheme="minorHAnsi" w:hAnsiTheme="minorHAnsi"/>
        </w:rPr>
        <w:t xml:space="preserve">PSCR’s </w:t>
      </w:r>
      <w:r w:rsidRPr="00C355BB">
        <w:rPr>
          <w:rFonts w:asciiTheme="minorHAnsi" w:hAnsiTheme="minorHAnsi"/>
        </w:rPr>
        <w:t xml:space="preserve">proposed utilisation estimates for durvalumab in dMMR patients were </w:t>
      </w:r>
      <w:r w:rsidR="006116B4">
        <w:rPr>
          <w:rFonts w:asciiTheme="minorHAnsi" w:hAnsiTheme="minorHAnsi"/>
        </w:rPr>
        <w:t xml:space="preserve">generally </w:t>
      </w:r>
      <w:r w:rsidRPr="00C355BB">
        <w:rPr>
          <w:rFonts w:asciiTheme="minorHAnsi" w:hAnsiTheme="minorHAnsi"/>
        </w:rPr>
        <w:t>reasonable</w:t>
      </w:r>
      <w:r w:rsidR="003E46F3">
        <w:rPr>
          <w:rFonts w:asciiTheme="minorHAnsi" w:hAnsiTheme="minorHAnsi"/>
        </w:rPr>
        <w:t xml:space="preserve">, noting that the assumed 50% market share of durvalumab was overestimated in the first years of listing (see paragraph </w:t>
      </w:r>
      <w:r w:rsidR="003E46F3">
        <w:rPr>
          <w:rFonts w:asciiTheme="minorHAnsi" w:hAnsiTheme="minorHAnsi"/>
        </w:rPr>
        <w:fldChar w:fldCharType="begin" w:fldLock="1"/>
      </w:r>
      <w:r w:rsidR="003E46F3">
        <w:rPr>
          <w:rFonts w:asciiTheme="minorHAnsi" w:hAnsiTheme="minorHAnsi"/>
        </w:rPr>
        <w:instrText xml:space="preserve"> REF _Ref183609247 \r \h </w:instrText>
      </w:r>
      <w:r w:rsidR="003E46F3">
        <w:rPr>
          <w:rFonts w:asciiTheme="minorHAnsi" w:hAnsiTheme="minorHAnsi"/>
        </w:rPr>
      </w:r>
      <w:r w:rsidR="003E46F3">
        <w:rPr>
          <w:rFonts w:asciiTheme="minorHAnsi" w:hAnsiTheme="minorHAnsi"/>
        </w:rPr>
        <w:fldChar w:fldCharType="separate"/>
      </w:r>
      <w:r w:rsidR="003E46F3">
        <w:rPr>
          <w:rFonts w:asciiTheme="minorHAnsi" w:hAnsiTheme="minorHAnsi"/>
        </w:rPr>
        <w:t>6.97</w:t>
      </w:r>
      <w:r w:rsidR="003E46F3">
        <w:rPr>
          <w:rFonts w:asciiTheme="minorHAnsi" w:hAnsiTheme="minorHAnsi"/>
        </w:rPr>
        <w:fldChar w:fldCharType="end"/>
      </w:r>
      <w:r w:rsidR="003E46F3">
        <w:rPr>
          <w:rFonts w:asciiTheme="minorHAnsi" w:hAnsiTheme="minorHAnsi"/>
        </w:rPr>
        <w:t xml:space="preserve">). </w:t>
      </w:r>
      <w:r w:rsidRPr="00C355BB">
        <w:rPr>
          <w:rFonts w:asciiTheme="minorHAnsi" w:hAnsiTheme="minorHAnsi"/>
        </w:rPr>
        <w:t xml:space="preserve">The PBAC noted that </w:t>
      </w:r>
      <w:r w:rsidR="00FA09C7">
        <w:rPr>
          <w:rFonts w:asciiTheme="minorHAnsi" w:hAnsiTheme="minorHAnsi"/>
        </w:rPr>
        <w:t>when the effective cost minimised prices of durvalumab and dostarlimab were used</w:t>
      </w:r>
      <w:r w:rsidR="006A7B23">
        <w:rPr>
          <w:rFonts w:asciiTheme="minorHAnsi" w:hAnsiTheme="minorHAnsi"/>
        </w:rPr>
        <w:t>,</w:t>
      </w:r>
      <w:r w:rsidR="00FA09C7">
        <w:rPr>
          <w:rFonts w:asciiTheme="minorHAnsi" w:hAnsiTheme="minorHAnsi"/>
        </w:rPr>
        <w:t xml:space="preserve"> </w:t>
      </w:r>
      <w:r w:rsidRPr="00C355BB">
        <w:rPr>
          <w:rFonts w:asciiTheme="minorHAnsi" w:hAnsiTheme="minorHAnsi"/>
        </w:rPr>
        <w:t>the listing of durvalumab resulted in a small cost saving to the PBS/RPBS</w:t>
      </w:r>
      <w:r w:rsidR="00FA09C7" w:rsidRPr="00FA09C7">
        <w:rPr>
          <w:rFonts w:asciiTheme="minorHAnsi" w:hAnsiTheme="minorHAnsi"/>
        </w:rPr>
        <w:t xml:space="preserve"> </w:t>
      </w:r>
      <w:r w:rsidR="00FA09C7" w:rsidRPr="00C355BB">
        <w:rPr>
          <w:rFonts w:asciiTheme="minorHAnsi" w:hAnsiTheme="minorHAnsi"/>
        </w:rPr>
        <w:t xml:space="preserve">due to the inclusion of </w:t>
      </w:r>
      <w:r w:rsidR="00370616">
        <w:rPr>
          <w:rFonts w:asciiTheme="minorHAnsi" w:hAnsiTheme="minorHAnsi"/>
        </w:rPr>
        <w:t xml:space="preserve">MBS </w:t>
      </w:r>
      <w:r w:rsidR="00FA09C7" w:rsidRPr="00C355BB">
        <w:rPr>
          <w:rFonts w:asciiTheme="minorHAnsi" w:hAnsiTheme="minorHAnsi"/>
        </w:rPr>
        <w:t>administration costs in the CMA</w:t>
      </w:r>
      <w:r w:rsidRPr="00C355BB">
        <w:rPr>
          <w:rFonts w:asciiTheme="minorHAnsi" w:hAnsiTheme="minorHAnsi"/>
        </w:rPr>
        <w:t xml:space="preserve">. </w:t>
      </w:r>
    </w:p>
    <w:p w14:paraId="3CBE6DFA" w14:textId="0AD1569A" w:rsidR="00C355BB" w:rsidRPr="00C355BB" w:rsidRDefault="00C355BB" w:rsidP="00623ED9">
      <w:pPr>
        <w:widowControl w:val="0"/>
        <w:numPr>
          <w:ilvl w:val="1"/>
          <w:numId w:val="1"/>
        </w:numPr>
        <w:spacing w:after="120"/>
        <w:rPr>
          <w:rFonts w:asciiTheme="minorHAnsi" w:hAnsiTheme="minorHAnsi"/>
        </w:rPr>
      </w:pPr>
      <w:r w:rsidRPr="00C355BB">
        <w:rPr>
          <w:rFonts w:asciiTheme="minorHAnsi" w:hAnsiTheme="minorHAnsi"/>
        </w:rPr>
        <w:t xml:space="preserve">The PBAC advised that it was appropriate for durvalumab to be added to the existing </w:t>
      </w:r>
      <w:r>
        <w:rPr>
          <w:rFonts w:asciiTheme="minorHAnsi" w:hAnsiTheme="minorHAnsi"/>
        </w:rPr>
        <w:t>RSA</w:t>
      </w:r>
      <w:r w:rsidRPr="00C355BB">
        <w:rPr>
          <w:rFonts w:asciiTheme="minorHAnsi" w:hAnsiTheme="minorHAnsi"/>
        </w:rPr>
        <w:t xml:space="preserve"> for dostarlimab</w:t>
      </w:r>
      <w:r w:rsidR="00EC37B7">
        <w:rPr>
          <w:rFonts w:asciiTheme="minorHAnsi" w:hAnsiTheme="minorHAnsi"/>
        </w:rPr>
        <w:t>, pembrolizumab and lenvatinib for EC</w:t>
      </w:r>
      <w:r w:rsidRPr="00C355BB">
        <w:rPr>
          <w:rFonts w:asciiTheme="minorHAnsi" w:hAnsiTheme="minorHAnsi"/>
        </w:rPr>
        <w:t xml:space="preserve"> with no increase to the expenditure caps.</w:t>
      </w:r>
    </w:p>
    <w:p w14:paraId="1B4E6FEC" w14:textId="47E74B15" w:rsidR="00FA09C7" w:rsidRPr="00FA09C7" w:rsidRDefault="00C355BB" w:rsidP="00827CAD">
      <w:pPr>
        <w:widowControl w:val="0"/>
        <w:numPr>
          <w:ilvl w:val="1"/>
          <w:numId w:val="1"/>
        </w:numPr>
        <w:spacing w:after="120"/>
        <w:rPr>
          <w:rFonts w:asciiTheme="minorHAnsi" w:hAnsiTheme="minorHAnsi"/>
          <w:snapToGrid w:val="0"/>
          <w:lang w:val="en-GB"/>
        </w:rPr>
      </w:pPr>
      <w:r w:rsidRPr="00FA09C7">
        <w:rPr>
          <w:rFonts w:asciiTheme="minorHAnsi" w:hAnsiTheme="minorHAnsi"/>
        </w:rPr>
        <w:t xml:space="preserve">The PBAC considered that the restriction for durvalumab should align with the current listing for dostarlimab. The PBAC advised that a criterion stating that ‘Patient must not be undergoing continuing PBS-subsidised treatment where this benefit is extending treatment beyond 36 cumulative months from the first administered dose, once in a lifetime’ should be included in the durvalumab </w:t>
      </w:r>
      <w:r w:rsidR="006A7B23">
        <w:rPr>
          <w:rFonts w:asciiTheme="minorHAnsi" w:hAnsiTheme="minorHAnsi"/>
        </w:rPr>
        <w:t xml:space="preserve">continuing </w:t>
      </w:r>
      <w:r w:rsidRPr="00FA09C7">
        <w:rPr>
          <w:rFonts w:asciiTheme="minorHAnsi" w:hAnsiTheme="minorHAnsi"/>
        </w:rPr>
        <w:t>restriction.</w:t>
      </w:r>
    </w:p>
    <w:p w14:paraId="1142B8F3" w14:textId="2BEF6DA7" w:rsidR="00C355BB" w:rsidRPr="00FA09C7" w:rsidRDefault="00C355BB" w:rsidP="00827CAD">
      <w:pPr>
        <w:widowControl w:val="0"/>
        <w:numPr>
          <w:ilvl w:val="1"/>
          <w:numId w:val="1"/>
        </w:numPr>
        <w:spacing w:after="120"/>
        <w:rPr>
          <w:rFonts w:asciiTheme="minorHAnsi" w:hAnsiTheme="minorHAnsi"/>
          <w:snapToGrid w:val="0"/>
          <w:lang w:val="en-GB"/>
        </w:rPr>
      </w:pPr>
      <w:r w:rsidRPr="00FA09C7">
        <w:rPr>
          <w:rFonts w:asciiTheme="minorHAnsi" w:hAnsiTheme="minorHAnsi"/>
          <w:snapToGrid w:val="0"/>
        </w:rPr>
        <w:t xml:space="preserve">The PBAC noted that its recommendation was on a cost-minimisation basis and advised that, because durvalumab is not expected to provide a substantial and clinically relevant improvement in efficacy, or reduction of toxicity, over dostarlimab, or not expected to address a high and urgent unmet clinical need given the presence of alternative therapies, the criteria prescribed by the </w:t>
      </w:r>
      <w:r w:rsidRPr="00FA09C7">
        <w:rPr>
          <w:rFonts w:asciiTheme="minorHAnsi" w:hAnsiTheme="minorHAnsi"/>
          <w:i/>
          <w:iCs/>
          <w:snapToGrid w:val="0"/>
        </w:rPr>
        <w:t xml:space="preserve">National Health </w:t>
      </w:r>
      <w:r w:rsidRPr="00FA09C7">
        <w:rPr>
          <w:rFonts w:asciiTheme="minorHAnsi" w:hAnsiTheme="minorHAnsi"/>
          <w:i/>
          <w:iCs/>
          <w:snapToGrid w:val="0"/>
        </w:rPr>
        <w:lastRenderedPageBreak/>
        <w:t>(Pharmaceuticals and Vaccines – Cost Recovery) Regulations 2022</w:t>
      </w:r>
      <w:r w:rsidRPr="00FA09C7">
        <w:rPr>
          <w:rFonts w:asciiTheme="minorHAnsi" w:hAnsiTheme="minorHAnsi"/>
          <w:snapToGrid w:val="0"/>
        </w:rPr>
        <w:t xml:space="preserve"> for Pricing Pathway A were not met.</w:t>
      </w:r>
    </w:p>
    <w:p w14:paraId="00AD0DE8" w14:textId="57F0DA2E" w:rsidR="00C355BB" w:rsidRPr="00C355BB" w:rsidRDefault="00C355BB" w:rsidP="00C355BB">
      <w:pPr>
        <w:widowControl w:val="0"/>
        <w:numPr>
          <w:ilvl w:val="1"/>
          <w:numId w:val="1"/>
        </w:numPr>
        <w:spacing w:after="120"/>
        <w:rPr>
          <w:rFonts w:asciiTheme="minorHAnsi" w:hAnsiTheme="minorHAnsi"/>
        </w:rPr>
      </w:pPr>
      <w:r w:rsidRPr="00C355BB">
        <w:rPr>
          <w:rFonts w:asciiTheme="minorHAnsi" w:hAnsiTheme="minorHAnsi"/>
          <w:snapToGrid w:val="0"/>
        </w:rPr>
        <w:t>The PBAC advised that durvalumab for dMMR EC is not eligible for an Independent Review as it received a positive recommendation.</w:t>
      </w:r>
    </w:p>
    <w:p w14:paraId="00DD1122" w14:textId="77777777" w:rsidR="00C355BB" w:rsidRPr="00C355BB" w:rsidRDefault="00C355BB" w:rsidP="00796275">
      <w:pPr>
        <w:spacing w:before="120"/>
        <w:rPr>
          <w:rFonts w:asciiTheme="minorHAnsi" w:hAnsiTheme="minorHAnsi"/>
          <w:b/>
          <w:bCs/>
          <w:snapToGrid w:val="0"/>
          <w:lang w:val="en-GB"/>
        </w:rPr>
      </w:pPr>
      <w:r w:rsidRPr="00C355BB">
        <w:rPr>
          <w:rFonts w:asciiTheme="minorHAnsi" w:hAnsiTheme="minorHAnsi"/>
          <w:b/>
          <w:bCs/>
          <w:snapToGrid w:val="0"/>
          <w:lang w:val="en-GB"/>
        </w:rPr>
        <w:t>Outcome:</w:t>
      </w:r>
    </w:p>
    <w:p w14:paraId="5B369830" w14:textId="4C7D98A6" w:rsidR="00C355BB" w:rsidRDefault="00C355BB" w:rsidP="00C355BB">
      <w:pPr>
        <w:rPr>
          <w:rFonts w:asciiTheme="minorHAnsi" w:hAnsiTheme="minorHAnsi"/>
          <w:bCs/>
          <w:snapToGrid w:val="0"/>
          <w:lang w:val="en-GB"/>
        </w:rPr>
      </w:pPr>
      <w:r w:rsidRPr="00C355BB">
        <w:rPr>
          <w:rFonts w:asciiTheme="minorHAnsi" w:hAnsiTheme="minorHAnsi"/>
          <w:bCs/>
          <w:snapToGrid w:val="0"/>
          <w:lang w:val="en-GB"/>
        </w:rPr>
        <w:t xml:space="preserve">Recommended </w:t>
      </w:r>
      <w:r w:rsidR="00E72AB6">
        <w:rPr>
          <w:rFonts w:asciiTheme="minorHAnsi" w:hAnsiTheme="minorHAnsi"/>
          <w:bCs/>
          <w:snapToGrid w:val="0"/>
          <w:lang w:val="en-GB"/>
        </w:rPr>
        <w:t>for dMMR endometrial cancer</w:t>
      </w:r>
    </w:p>
    <w:p w14:paraId="62F5DC19" w14:textId="77777777" w:rsidR="00C355BB" w:rsidRPr="00C355BB" w:rsidRDefault="00C355BB" w:rsidP="00C355BB">
      <w:pPr>
        <w:rPr>
          <w:rFonts w:asciiTheme="minorHAnsi" w:hAnsiTheme="minorHAnsi"/>
        </w:rPr>
      </w:pPr>
    </w:p>
    <w:p w14:paraId="346D1622" w14:textId="7CBEAA08" w:rsidR="00C355BB" w:rsidRPr="00C355BB" w:rsidRDefault="00C355BB" w:rsidP="00C355BB">
      <w:pPr>
        <w:widowControl w:val="0"/>
        <w:spacing w:after="120"/>
        <w:rPr>
          <w:rFonts w:asciiTheme="minorHAnsi" w:hAnsiTheme="minorHAnsi"/>
          <w:u w:val="single"/>
        </w:rPr>
      </w:pPr>
      <w:r w:rsidRPr="00C355BB">
        <w:rPr>
          <w:rFonts w:asciiTheme="minorHAnsi" w:hAnsiTheme="minorHAnsi"/>
          <w:snapToGrid w:val="0"/>
          <w:u w:val="single"/>
        </w:rPr>
        <w:t>Proficient mismatch repair</w:t>
      </w:r>
      <w:r w:rsidR="00E72AB6">
        <w:rPr>
          <w:rFonts w:asciiTheme="minorHAnsi" w:hAnsiTheme="minorHAnsi"/>
          <w:snapToGrid w:val="0"/>
          <w:u w:val="single"/>
        </w:rPr>
        <w:t xml:space="preserve"> (pMMR)</w:t>
      </w:r>
      <w:r w:rsidRPr="00C355BB">
        <w:rPr>
          <w:rFonts w:asciiTheme="minorHAnsi" w:hAnsiTheme="minorHAnsi"/>
          <w:snapToGrid w:val="0"/>
          <w:u w:val="single"/>
        </w:rPr>
        <w:t xml:space="preserve"> endometrial cancer</w:t>
      </w:r>
    </w:p>
    <w:p w14:paraId="62E295BD" w14:textId="77777777" w:rsidR="00C355BB" w:rsidRPr="004823EE" w:rsidRDefault="00C355BB" w:rsidP="00331AA2">
      <w:pPr>
        <w:widowControl w:val="0"/>
        <w:numPr>
          <w:ilvl w:val="1"/>
          <w:numId w:val="1"/>
        </w:numPr>
        <w:spacing w:after="120"/>
        <w:rPr>
          <w:rFonts w:asciiTheme="minorHAnsi" w:hAnsiTheme="minorHAnsi"/>
          <w:i/>
          <w:iCs/>
          <w:snapToGrid w:val="0"/>
          <w:lang w:val="en-GB"/>
        </w:rPr>
      </w:pPr>
      <w:r w:rsidRPr="004823EE">
        <w:rPr>
          <w:rFonts w:asciiTheme="minorHAnsi" w:hAnsiTheme="minorHAnsi"/>
          <w:snapToGrid w:val="0"/>
          <w:lang w:val="en-GB"/>
        </w:rPr>
        <w:t xml:space="preserve">The PBAC deferred making a recommendation for durvalumab, in combination with olaparib plus platinum-based chemotherapy, for the treatment of proficient mismatch repair (pMMR) endometrial cancer (EC). </w:t>
      </w:r>
    </w:p>
    <w:p w14:paraId="6F1460CA" w14:textId="497B18DD" w:rsidR="004823EE" w:rsidRPr="004823EE" w:rsidRDefault="00C355BB" w:rsidP="00331AA2">
      <w:pPr>
        <w:widowControl w:val="0"/>
        <w:numPr>
          <w:ilvl w:val="1"/>
          <w:numId w:val="1"/>
        </w:numPr>
        <w:spacing w:after="120"/>
        <w:rPr>
          <w:rFonts w:asciiTheme="minorHAnsi" w:hAnsiTheme="minorHAnsi"/>
          <w:i/>
          <w:iCs/>
          <w:snapToGrid w:val="0"/>
          <w:lang w:val="en-GB"/>
        </w:rPr>
      </w:pPr>
      <w:r w:rsidRPr="004823EE">
        <w:rPr>
          <w:rFonts w:asciiTheme="minorHAnsi" w:hAnsiTheme="minorHAnsi"/>
          <w:snapToGrid w:val="0"/>
          <w:lang w:val="en-GB"/>
        </w:rPr>
        <w:t>The PBAC noted that the</w:t>
      </w:r>
      <w:r w:rsidR="00380518">
        <w:rPr>
          <w:rFonts w:asciiTheme="minorHAnsi" w:hAnsiTheme="minorHAnsi"/>
          <w:snapToGrid w:val="0"/>
          <w:lang w:val="en-GB"/>
        </w:rPr>
        <w:t xml:space="preserve"> </w:t>
      </w:r>
      <w:r w:rsidR="00E72AB6" w:rsidRPr="00E72AB6">
        <w:rPr>
          <w:rFonts w:asciiTheme="minorHAnsi" w:hAnsiTheme="minorHAnsi"/>
          <w:snapToGrid w:val="0"/>
          <w:lang w:val="en-GB"/>
        </w:rPr>
        <w:t xml:space="preserve">TGA Delegate (at the time the Delegate’s Overview was prepared) was not satisfied that the efficacy and safety of durvalumab and olaparib were established for the pMMR component of the requested indication. </w:t>
      </w:r>
    </w:p>
    <w:p w14:paraId="4E42BD12" w14:textId="2B87951C" w:rsidR="00C355BB" w:rsidRPr="004823EE" w:rsidRDefault="004823EE" w:rsidP="00331AA2">
      <w:pPr>
        <w:widowControl w:val="0"/>
        <w:numPr>
          <w:ilvl w:val="1"/>
          <w:numId w:val="1"/>
        </w:numPr>
        <w:spacing w:after="120"/>
        <w:rPr>
          <w:rFonts w:asciiTheme="minorHAnsi" w:hAnsiTheme="minorHAnsi"/>
          <w:i/>
          <w:iCs/>
          <w:snapToGrid w:val="0"/>
          <w:lang w:val="en-GB"/>
        </w:rPr>
      </w:pPr>
      <w:r w:rsidRPr="004823EE">
        <w:rPr>
          <w:rFonts w:asciiTheme="minorHAnsi" w:hAnsiTheme="minorHAnsi"/>
          <w:snapToGrid w:val="0"/>
          <w:lang w:val="en-GB"/>
        </w:rPr>
        <w:t xml:space="preserve">The PBAC, noting that durvalumab and olaparib would be considered at a future Advisory Committee on Medicines meeting, advised </w:t>
      </w:r>
      <w:r>
        <w:rPr>
          <w:rFonts w:asciiTheme="minorHAnsi" w:hAnsiTheme="minorHAnsi"/>
          <w:snapToGrid w:val="0"/>
          <w:lang w:val="en-GB"/>
        </w:rPr>
        <w:t xml:space="preserve">that </w:t>
      </w:r>
      <w:r w:rsidRPr="004823EE">
        <w:rPr>
          <w:rFonts w:asciiTheme="minorHAnsi" w:hAnsiTheme="minorHAnsi"/>
          <w:snapToGrid w:val="0"/>
          <w:lang w:val="en-GB"/>
        </w:rPr>
        <w:t>consideration of durvalumab + olaparib + PC for pMMR EC would be deferred until TGA registration for the indication was confirmed.</w:t>
      </w:r>
    </w:p>
    <w:p w14:paraId="3600C928" w14:textId="05C2AF4C" w:rsidR="004823EE" w:rsidRPr="004823EE" w:rsidRDefault="004823EE" w:rsidP="004823EE">
      <w:pPr>
        <w:widowControl w:val="0"/>
        <w:rPr>
          <w:rFonts w:asciiTheme="minorHAnsi" w:hAnsiTheme="minorHAnsi"/>
          <w:b/>
          <w:bCs/>
          <w:snapToGrid w:val="0"/>
          <w:lang w:val="en-GB"/>
        </w:rPr>
      </w:pPr>
      <w:r w:rsidRPr="004823EE">
        <w:rPr>
          <w:rFonts w:asciiTheme="minorHAnsi" w:hAnsiTheme="minorHAnsi"/>
          <w:b/>
          <w:bCs/>
          <w:snapToGrid w:val="0"/>
          <w:lang w:val="en-GB"/>
        </w:rPr>
        <w:t>Outcome:</w:t>
      </w:r>
    </w:p>
    <w:p w14:paraId="16F50347" w14:textId="3A6F6CFB" w:rsidR="00EF14BC" w:rsidRPr="00B65847" w:rsidRDefault="004823EE" w:rsidP="00B65847">
      <w:pPr>
        <w:widowControl w:val="0"/>
        <w:spacing w:after="120"/>
        <w:rPr>
          <w:rFonts w:asciiTheme="minorHAnsi" w:hAnsiTheme="minorHAnsi"/>
          <w:snapToGrid w:val="0"/>
          <w:lang w:val="en-GB"/>
        </w:rPr>
      </w:pPr>
      <w:r w:rsidRPr="004823EE">
        <w:rPr>
          <w:rFonts w:asciiTheme="minorHAnsi" w:hAnsiTheme="minorHAnsi"/>
          <w:snapToGrid w:val="0"/>
          <w:lang w:val="en-GB"/>
        </w:rPr>
        <w:t>Deferred</w:t>
      </w:r>
    </w:p>
    <w:bookmarkEnd w:id="104"/>
    <w:bookmarkEnd w:id="106"/>
    <w:p w14:paraId="164099AC" w14:textId="6379BC3D" w:rsidR="00331AA2" w:rsidRPr="00FA09C7" w:rsidRDefault="00331AA2" w:rsidP="00331AA2">
      <w:pPr>
        <w:pStyle w:val="2-SectionHeading"/>
        <w:numPr>
          <w:ilvl w:val="0"/>
          <w:numId w:val="1"/>
        </w:numPr>
        <w:rPr>
          <w:i/>
          <w:iCs/>
        </w:rPr>
      </w:pPr>
      <w:r w:rsidRPr="00FA09C7">
        <w:t>Recommended</w:t>
      </w:r>
      <w:r w:rsidR="00EF14BC">
        <w:t xml:space="preserve"> </w:t>
      </w:r>
      <w:r w:rsidRPr="00FA09C7">
        <w:t>listing</w:t>
      </w:r>
    </w:p>
    <w:p w14:paraId="6F53CBF4" w14:textId="3BDE4C25" w:rsidR="00FA09C7" w:rsidRPr="00D161C4" w:rsidRDefault="00FA09C7" w:rsidP="00D161C4">
      <w:pPr>
        <w:pStyle w:val="3-BodyText"/>
        <w:rPr>
          <w:bCs/>
          <w:snapToGrid w:val="0"/>
        </w:rPr>
      </w:pPr>
      <w:r w:rsidRPr="00FA09C7">
        <w:rPr>
          <w:snapToGrid w:val="0"/>
        </w:rPr>
        <w:t>Add new item:</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12"/>
        <w:gridCol w:w="1828"/>
        <w:gridCol w:w="1978"/>
        <w:gridCol w:w="1978"/>
        <w:gridCol w:w="1982"/>
      </w:tblGrid>
      <w:tr w:rsidR="00FA09C7" w:rsidRPr="00310498" w14:paraId="2486A5BC" w14:textId="77777777" w:rsidTr="00827CAD">
        <w:trPr>
          <w:cantSplit/>
          <w:trHeight w:val="20"/>
        </w:trPr>
        <w:tc>
          <w:tcPr>
            <w:tcW w:w="1716" w:type="pct"/>
            <w:gridSpan w:val="3"/>
            <w:vAlign w:val="center"/>
          </w:tcPr>
          <w:p w14:paraId="393C0492" w14:textId="77777777" w:rsidR="00FA09C7" w:rsidRPr="00FA09C7" w:rsidRDefault="00FA09C7" w:rsidP="00827CAD">
            <w:pPr>
              <w:keepNext/>
              <w:rPr>
                <w:rFonts w:ascii="Arial Narrow" w:hAnsi="Arial Narrow"/>
                <w:b/>
                <w:bCs/>
                <w:sz w:val="20"/>
                <w:szCs w:val="20"/>
              </w:rPr>
            </w:pPr>
            <w:r w:rsidRPr="00FA09C7">
              <w:rPr>
                <w:rFonts w:ascii="Arial Narrow" w:hAnsi="Arial Narrow"/>
                <w:b/>
                <w:bCs/>
                <w:sz w:val="20"/>
                <w:szCs w:val="20"/>
              </w:rPr>
              <w:t>MEDICINAL PRODUCT</w:t>
            </w:r>
          </w:p>
          <w:p w14:paraId="4E883266" w14:textId="77777777" w:rsidR="00FA09C7" w:rsidRPr="00FA09C7" w:rsidRDefault="00FA09C7" w:rsidP="00827CAD">
            <w:pPr>
              <w:keepNext/>
              <w:rPr>
                <w:rFonts w:ascii="Arial Narrow" w:hAnsi="Arial Narrow"/>
                <w:b/>
                <w:sz w:val="20"/>
                <w:szCs w:val="20"/>
              </w:rPr>
            </w:pPr>
            <w:r w:rsidRPr="00FA09C7">
              <w:rPr>
                <w:rFonts w:ascii="Arial Narrow" w:hAnsi="Arial Narrow"/>
                <w:b/>
                <w:sz w:val="20"/>
                <w:szCs w:val="20"/>
              </w:rPr>
              <w:t>Form</w:t>
            </w:r>
          </w:p>
        </w:tc>
        <w:tc>
          <w:tcPr>
            <w:tcW w:w="1094" w:type="pct"/>
            <w:vAlign w:val="center"/>
          </w:tcPr>
          <w:p w14:paraId="5A025955" w14:textId="77777777" w:rsidR="00FA09C7" w:rsidRPr="00FA09C7" w:rsidRDefault="00FA09C7" w:rsidP="00827CAD">
            <w:pPr>
              <w:keepNext/>
              <w:jc w:val="center"/>
              <w:rPr>
                <w:rFonts w:ascii="Arial Narrow" w:hAnsi="Arial Narrow"/>
                <w:b/>
                <w:sz w:val="20"/>
                <w:szCs w:val="20"/>
              </w:rPr>
            </w:pPr>
            <w:r w:rsidRPr="00FA09C7">
              <w:rPr>
                <w:rFonts w:ascii="Arial Narrow" w:hAnsi="Arial Narrow"/>
                <w:b/>
                <w:sz w:val="20"/>
                <w:szCs w:val="20"/>
              </w:rPr>
              <w:t>PBS item code</w:t>
            </w:r>
          </w:p>
        </w:tc>
        <w:tc>
          <w:tcPr>
            <w:tcW w:w="1094" w:type="pct"/>
            <w:vAlign w:val="center"/>
          </w:tcPr>
          <w:p w14:paraId="2729E966" w14:textId="77777777" w:rsidR="00FA09C7" w:rsidRPr="00FA09C7" w:rsidRDefault="00FA09C7" w:rsidP="00827CAD">
            <w:pPr>
              <w:keepNext/>
              <w:jc w:val="center"/>
              <w:rPr>
                <w:rFonts w:ascii="Arial Narrow" w:hAnsi="Arial Narrow"/>
                <w:b/>
                <w:sz w:val="20"/>
                <w:szCs w:val="20"/>
              </w:rPr>
            </w:pPr>
            <w:r w:rsidRPr="00FA09C7">
              <w:rPr>
                <w:rFonts w:ascii="Arial Narrow" w:hAnsi="Arial Narrow"/>
                <w:b/>
                <w:sz w:val="20"/>
                <w:szCs w:val="20"/>
              </w:rPr>
              <w:t>Max. Amount</w:t>
            </w:r>
          </w:p>
        </w:tc>
        <w:tc>
          <w:tcPr>
            <w:tcW w:w="1096" w:type="pct"/>
            <w:vAlign w:val="center"/>
          </w:tcPr>
          <w:p w14:paraId="0DEBA787" w14:textId="424BF6DE" w:rsidR="00FA09C7" w:rsidRPr="00310498" w:rsidRDefault="00FA09C7" w:rsidP="00827CAD">
            <w:pPr>
              <w:keepNext/>
              <w:jc w:val="center"/>
              <w:rPr>
                <w:rFonts w:ascii="Arial Narrow" w:hAnsi="Arial Narrow"/>
                <w:b/>
                <w:sz w:val="20"/>
                <w:szCs w:val="20"/>
              </w:rPr>
            </w:pPr>
            <w:r w:rsidRPr="00FA09C7">
              <w:rPr>
                <w:rFonts w:ascii="Arial Narrow" w:hAnsi="Arial Narrow"/>
                <w:b/>
                <w:sz w:val="20"/>
                <w:szCs w:val="20"/>
              </w:rPr>
              <w:t>№. of Rpts</w:t>
            </w:r>
          </w:p>
        </w:tc>
      </w:tr>
      <w:tr w:rsidR="00FA09C7" w:rsidRPr="00310498" w14:paraId="36036F69" w14:textId="77777777" w:rsidTr="00827CAD">
        <w:trPr>
          <w:cantSplit/>
          <w:trHeight w:val="20"/>
        </w:trPr>
        <w:tc>
          <w:tcPr>
            <w:tcW w:w="1716" w:type="pct"/>
            <w:gridSpan w:val="3"/>
            <w:vAlign w:val="center"/>
          </w:tcPr>
          <w:p w14:paraId="5C90DFE8" w14:textId="77777777" w:rsidR="00FA09C7" w:rsidRDefault="00FA09C7" w:rsidP="00827CAD">
            <w:pPr>
              <w:keepNext/>
              <w:rPr>
                <w:rFonts w:ascii="Arial Narrow" w:hAnsi="Arial Narrow"/>
                <w:sz w:val="20"/>
                <w:szCs w:val="20"/>
              </w:rPr>
            </w:pPr>
            <w:r w:rsidRPr="00310498">
              <w:rPr>
                <w:rFonts w:ascii="Arial Narrow" w:hAnsi="Arial Narrow"/>
                <w:sz w:val="20"/>
                <w:szCs w:val="20"/>
              </w:rPr>
              <w:t>DURVALUMAB</w:t>
            </w:r>
          </w:p>
          <w:p w14:paraId="3CEAB37A" w14:textId="1FF82AD6" w:rsidR="00FA09C7" w:rsidRPr="00310498" w:rsidRDefault="009B7318" w:rsidP="00827CAD">
            <w:pPr>
              <w:keepNext/>
              <w:rPr>
                <w:rFonts w:ascii="Arial Narrow" w:hAnsi="Arial Narrow"/>
                <w:sz w:val="20"/>
                <w:szCs w:val="20"/>
              </w:rPr>
            </w:pPr>
            <w:r>
              <w:rPr>
                <w:rFonts w:ascii="Arial Narrow" w:hAnsi="Arial Narrow"/>
                <w:sz w:val="20"/>
                <w:szCs w:val="20"/>
              </w:rPr>
              <w:t>Injection</w:t>
            </w:r>
          </w:p>
        </w:tc>
        <w:tc>
          <w:tcPr>
            <w:tcW w:w="1094" w:type="pct"/>
            <w:vAlign w:val="center"/>
          </w:tcPr>
          <w:p w14:paraId="12F43440" w14:textId="77777777" w:rsidR="00FA09C7" w:rsidRPr="00310498" w:rsidRDefault="00FA09C7" w:rsidP="00827CAD">
            <w:pPr>
              <w:keepNext/>
              <w:jc w:val="center"/>
              <w:rPr>
                <w:rFonts w:ascii="Arial Narrow" w:hAnsi="Arial Narrow"/>
                <w:sz w:val="20"/>
                <w:szCs w:val="20"/>
              </w:rPr>
            </w:pPr>
            <w:r w:rsidRPr="00310498">
              <w:rPr>
                <w:rFonts w:ascii="Arial Narrow" w:hAnsi="Arial Narrow"/>
                <w:sz w:val="20"/>
                <w:szCs w:val="20"/>
              </w:rPr>
              <w:t>NEW (Public)</w:t>
            </w:r>
            <w:r w:rsidRPr="00310498">
              <w:rPr>
                <w:rFonts w:ascii="Arial Narrow" w:hAnsi="Arial Narrow"/>
                <w:sz w:val="20"/>
                <w:szCs w:val="20"/>
              </w:rPr>
              <w:br/>
              <w:t>NEW (Private)</w:t>
            </w:r>
          </w:p>
        </w:tc>
        <w:tc>
          <w:tcPr>
            <w:tcW w:w="1094" w:type="pct"/>
            <w:vAlign w:val="center"/>
          </w:tcPr>
          <w:p w14:paraId="3D85486D" w14:textId="77777777" w:rsidR="00FA09C7" w:rsidRPr="00310498" w:rsidRDefault="00FA09C7" w:rsidP="00827CAD">
            <w:pPr>
              <w:keepNext/>
              <w:jc w:val="center"/>
              <w:rPr>
                <w:rFonts w:ascii="Arial Narrow" w:hAnsi="Arial Narrow"/>
                <w:sz w:val="20"/>
                <w:szCs w:val="20"/>
              </w:rPr>
            </w:pPr>
            <w:r w:rsidRPr="00310498">
              <w:rPr>
                <w:rFonts w:ascii="Arial Narrow" w:hAnsi="Arial Narrow"/>
                <w:sz w:val="20"/>
                <w:szCs w:val="20"/>
              </w:rPr>
              <w:t>1120 mg</w:t>
            </w:r>
          </w:p>
        </w:tc>
        <w:tc>
          <w:tcPr>
            <w:tcW w:w="1096" w:type="pct"/>
            <w:vAlign w:val="center"/>
          </w:tcPr>
          <w:p w14:paraId="3D385AE2" w14:textId="77777777" w:rsidR="00FA09C7" w:rsidRPr="00310498" w:rsidRDefault="00FA09C7" w:rsidP="00827CAD">
            <w:pPr>
              <w:keepNext/>
              <w:jc w:val="center"/>
              <w:rPr>
                <w:rFonts w:ascii="Arial Narrow" w:hAnsi="Arial Narrow"/>
                <w:sz w:val="20"/>
                <w:szCs w:val="20"/>
              </w:rPr>
            </w:pPr>
            <w:r w:rsidRPr="00310498">
              <w:rPr>
                <w:rFonts w:ascii="Arial Narrow" w:hAnsi="Arial Narrow"/>
                <w:sz w:val="20"/>
                <w:szCs w:val="20"/>
              </w:rPr>
              <w:t>5</w:t>
            </w:r>
          </w:p>
        </w:tc>
      </w:tr>
      <w:tr w:rsidR="00FA09C7" w:rsidRPr="00310498" w14:paraId="759CDA1D" w14:textId="77777777" w:rsidTr="00827CAD">
        <w:trPr>
          <w:cantSplit/>
          <w:trHeight w:val="20"/>
        </w:trPr>
        <w:tc>
          <w:tcPr>
            <w:tcW w:w="5000" w:type="pct"/>
            <w:gridSpan w:val="6"/>
            <w:vAlign w:val="center"/>
          </w:tcPr>
          <w:p w14:paraId="3CD5EAC8" w14:textId="77777777" w:rsidR="00FA09C7" w:rsidRPr="00310498" w:rsidRDefault="00FA09C7" w:rsidP="00827CAD">
            <w:pPr>
              <w:keepNext/>
              <w:rPr>
                <w:rFonts w:ascii="Arial Narrow" w:hAnsi="Arial Narrow"/>
                <w:b/>
                <w:sz w:val="20"/>
                <w:szCs w:val="20"/>
              </w:rPr>
            </w:pPr>
            <w:r w:rsidRPr="00310498">
              <w:rPr>
                <w:rFonts w:ascii="Arial Narrow" w:hAnsi="Arial Narrow"/>
                <w:b/>
                <w:sz w:val="20"/>
                <w:szCs w:val="20"/>
              </w:rPr>
              <w:t xml:space="preserve">Available brands </w:t>
            </w:r>
          </w:p>
        </w:tc>
      </w:tr>
      <w:tr w:rsidR="00FA09C7" w:rsidRPr="00310498" w14:paraId="4B3B2D77" w14:textId="77777777" w:rsidTr="00827CAD">
        <w:trPr>
          <w:cantSplit/>
          <w:trHeight w:val="20"/>
        </w:trPr>
        <w:tc>
          <w:tcPr>
            <w:tcW w:w="5000" w:type="pct"/>
            <w:gridSpan w:val="6"/>
            <w:vAlign w:val="center"/>
          </w:tcPr>
          <w:p w14:paraId="1D68741D" w14:textId="34871D37" w:rsidR="00FA09C7" w:rsidRPr="00310498" w:rsidRDefault="00FA09C7" w:rsidP="00827CAD">
            <w:pPr>
              <w:keepNext/>
              <w:rPr>
                <w:rFonts w:ascii="Arial Narrow" w:hAnsi="Arial Narrow"/>
                <w:sz w:val="20"/>
                <w:szCs w:val="20"/>
              </w:rPr>
            </w:pPr>
            <w:r w:rsidRPr="00310498">
              <w:rPr>
                <w:rFonts w:ascii="Arial Narrow" w:hAnsi="Arial Narrow"/>
                <w:sz w:val="20"/>
                <w:szCs w:val="20"/>
              </w:rPr>
              <w:t>Imfinzi</w:t>
            </w:r>
            <w:r w:rsidRPr="00310498">
              <w:rPr>
                <w:rFonts w:ascii="Arial Narrow" w:hAnsi="Arial Narrow"/>
                <w:color w:val="FF0000"/>
                <w:sz w:val="20"/>
                <w:szCs w:val="20"/>
              </w:rPr>
              <w:br/>
            </w:r>
            <w:r w:rsidR="009B7318">
              <w:rPr>
                <w:rFonts w:ascii="Arial Narrow" w:hAnsi="Arial Narrow"/>
                <w:sz w:val="20"/>
                <w:szCs w:val="20"/>
              </w:rPr>
              <w:t>(</w:t>
            </w:r>
            <w:r w:rsidRPr="00310498">
              <w:rPr>
                <w:rFonts w:ascii="Arial Narrow" w:hAnsi="Arial Narrow"/>
                <w:sz w:val="20"/>
                <w:szCs w:val="20"/>
              </w:rPr>
              <w:t>durvalumab 120 mg/2.4 mL injection, 2.4 mL vial</w:t>
            </w:r>
            <w:r w:rsidR="009B7318">
              <w:rPr>
                <w:rFonts w:ascii="Arial Narrow" w:hAnsi="Arial Narrow"/>
                <w:sz w:val="20"/>
                <w:szCs w:val="20"/>
              </w:rPr>
              <w:t>)</w:t>
            </w:r>
          </w:p>
        </w:tc>
      </w:tr>
      <w:tr w:rsidR="00FA09C7" w:rsidRPr="00310498" w14:paraId="55A265F2" w14:textId="77777777" w:rsidTr="00827CAD">
        <w:trPr>
          <w:cantSplit/>
          <w:trHeight w:val="20"/>
        </w:trPr>
        <w:tc>
          <w:tcPr>
            <w:tcW w:w="5000" w:type="pct"/>
            <w:gridSpan w:val="6"/>
            <w:vAlign w:val="center"/>
          </w:tcPr>
          <w:p w14:paraId="384BF929" w14:textId="3E789B0D" w:rsidR="00FA09C7" w:rsidRPr="00310498" w:rsidRDefault="00FA09C7" w:rsidP="00827CAD">
            <w:pPr>
              <w:keepNext/>
              <w:rPr>
                <w:rFonts w:ascii="Arial Narrow" w:hAnsi="Arial Narrow"/>
                <w:sz w:val="20"/>
                <w:szCs w:val="20"/>
              </w:rPr>
            </w:pPr>
            <w:r w:rsidRPr="00310498">
              <w:rPr>
                <w:rFonts w:ascii="Arial Narrow" w:hAnsi="Arial Narrow"/>
                <w:sz w:val="20"/>
                <w:szCs w:val="20"/>
              </w:rPr>
              <w:t>Imfinzi</w:t>
            </w:r>
            <w:r w:rsidRPr="00310498">
              <w:rPr>
                <w:rFonts w:ascii="Arial Narrow" w:hAnsi="Arial Narrow"/>
                <w:sz w:val="20"/>
                <w:szCs w:val="20"/>
              </w:rPr>
              <w:br/>
            </w:r>
            <w:r w:rsidR="009B7318">
              <w:rPr>
                <w:rFonts w:ascii="Arial Narrow" w:hAnsi="Arial Narrow"/>
                <w:sz w:val="20"/>
                <w:szCs w:val="20"/>
              </w:rPr>
              <w:t>(</w:t>
            </w:r>
            <w:r w:rsidRPr="00310498">
              <w:rPr>
                <w:rFonts w:ascii="Arial Narrow" w:hAnsi="Arial Narrow"/>
                <w:sz w:val="20"/>
                <w:szCs w:val="20"/>
              </w:rPr>
              <w:t>durvalumab 500 mg/10 mL injection, 10 mL vial</w:t>
            </w:r>
            <w:r w:rsidR="009B7318">
              <w:rPr>
                <w:rFonts w:ascii="Arial Narrow" w:hAnsi="Arial Narrow"/>
                <w:sz w:val="20"/>
                <w:szCs w:val="20"/>
              </w:rPr>
              <w:t>)</w:t>
            </w:r>
          </w:p>
        </w:tc>
      </w:tr>
      <w:tr w:rsidR="00FA09C7" w:rsidRPr="00310498" w14:paraId="447B1B9A" w14:textId="77777777" w:rsidTr="00827CAD">
        <w:trPr>
          <w:cantSplit/>
          <w:trHeight w:val="20"/>
        </w:trPr>
        <w:tc>
          <w:tcPr>
            <w:tcW w:w="5000" w:type="pct"/>
            <w:gridSpan w:val="6"/>
            <w:vAlign w:val="center"/>
          </w:tcPr>
          <w:p w14:paraId="522DDCC4" w14:textId="77777777" w:rsidR="00FA09C7" w:rsidRPr="00310498" w:rsidRDefault="00FA09C7" w:rsidP="00827CAD">
            <w:pPr>
              <w:rPr>
                <w:rFonts w:ascii="Arial Narrow" w:hAnsi="Arial Narrow"/>
                <w:color w:val="FF0000"/>
                <w:sz w:val="20"/>
                <w:szCs w:val="20"/>
              </w:rPr>
            </w:pPr>
          </w:p>
        </w:tc>
      </w:tr>
      <w:tr w:rsidR="00FA09C7" w:rsidRPr="00310498" w14:paraId="186AA34A" w14:textId="77777777" w:rsidTr="00827CAD">
        <w:trPr>
          <w:cantSplit/>
          <w:trHeight w:val="20"/>
        </w:trPr>
        <w:tc>
          <w:tcPr>
            <w:tcW w:w="5000" w:type="pct"/>
            <w:gridSpan w:val="6"/>
            <w:vAlign w:val="center"/>
          </w:tcPr>
          <w:p w14:paraId="41DEB8F7" w14:textId="77777777" w:rsidR="00FA09C7" w:rsidRPr="00310498" w:rsidRDefault="00FA09C7" w:rsidP="00827CAD">
            <w:pPr>
              <w:keepNext/>
              <w:rPr>
                <w:rFonts w:ascii="Arial Narrow" w:hAnsi="Arial Narrow"/>
                <w:color w:val="FF0000"/>
                <w:sz w:val="20"/>
                <w:szCs w:val="20"/>
              </w:rPr>
            </w:pPr>
            <w:r w:rsidRPr="00310498">
              <w:rPr>
                <w:rFonts w:ascii="Arial Narrow" w:hAnsi="Arial Narrow"/>
                <w:b/>
                <w:sz w:val="20"/>
                <w:szCs w:val="20"/>
              </w:rPr>
              <w:t>Restriction Summary [new]</w:t>
            </w:r>
            <w:r w:rsidRPr="00310498">
              <w:rPr>
                <w:rFonts w:ascii="Arial Narrow" w:hAnsi="Arial Narrow"/>
                <w:b/>
                <w:color w:val="FF0000"/>
                <w:sz w:val="20"/>
                <w:szCs w:val="20"/>
              </w:rPr>
              <w:t xml:space="preserve"> </w:t>
            </w:r>
            <w:r w:rsidRPr="00310498">
              <w:rPr>
                <w:rFonts w:ascii="Arial Narrow" w:hAnsi="Arial Narrow"/>
                <w:b/>
                <w:sz w:val="20"/>
                <w:szCs w:val="20"/>
              </w:rPr>
              <w:t>/ Treatment of Concept: [new]</w:t>
            </w:r>
          </w:p>
        </w:tc>
      </w:tr>
      <w:tr w:rsidR="00FA09C7" w:rsidRPr="00310498" w14:paraId="08B665FB"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4E071344" w14:textId="475D7669" w:rsidR="00FA09C7" w:rsidRPr="00310498" w:rsidRDefault="00FA09C7" w:rsidP="00827CAD">
            <w:pPr>
              <w:keepNext/>
              <w:jc w:val="center"/>
              <w:rPr>
                <w:rFonts w:ascii="Arial Narrow" w:hAnsi="Arial Narrow"/>
                <w:b/>
                <w:sz w:val="20"/>
                <w:szCs w:val="20"/>
              </w:rPr>
            </w:pPr>
          </w:p>
        </w:tc>
        <w:tc>
          <w:tcPr>
            <w:tcW w:w="4295" w:type="pct"/>
            <w:gridSpan w:val="4"/>
          </w:tcPr>
          <w:p w14:paraId="007AF930" w14:textId="77777777" w:rsidR="00FA09C7" w:rsidRPr="00310498" w:rsidRDefault="00FA09C7" w:rsidP="00827CAD">
            <w:pPr>
              <w:keepNext/>
              <w:rPr>
                <w:rFonts w:ascii="Arial Narrow" w:hAnsi="Arial Narrow"/>
                <w:sz w:val="20"/>
                <w:szCs w:val="20"/>
              </w:rPr>
            </w:pPr>
            <w:r w:rsidRPr="00310498">
              <w:rPr>
                <w:rFonts w:ascii="Arial Narrow" w:hAnsi="Arial Narrow"/>
                <w:b/>
                <w:sz w:val="20"/>
                <w:szCs w:val="20"/>
              </w:rPr>
              <w:t xml:space="preserve">Category / Program: </w:t>
            </w:r>
            <w:r w:rsidRPr="00310498">
              <w:rPr>
                <w:rFonts w:ascii="Arial Narrow" w:hAnsi="Arial Narrow"/>
                <w:sz w:val="20"/>
                <w:szCs w:val="20"/>
              </w:rPr>
              <w:t xml:space="preserve">Section 100 – Efficient Funding of Chemotherapy Public/Private hospitals </w:t>
            </w:r>
          </w:p>
        </w:tc>
      </w:tr>
      <w:tr w:rsidR="00FA09C7" w:rsidRPr="00310498" w14:paraId="209179EE"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587302DC" w14:textId="77777777" w:rsidR="00FA09C7" w:rsidRPr="00310498" w:rsidRDefault="00FA09C7" w:rsidP="00827CAD">
            <w:pPr>
              <w:keepNext/>
              <w:rPr>
                <w:rFonts w:ascii="Arial Narrow" w:hAnsi="Arial Narrow"/>
                <w:sz w:val="20"/>
                <w:szCs w:val="20"/>
              </w:rPr>
            </w:pPr>
          </w:p>
        </w:tc>
        <w:tc>
          <w:tcPr>
            <w:tcW w:w="4295" w:type="pct"/>
            <w:gridSpan w:val="4"/>
          </w:tcPr>
          <w:p w14:paraId="4F418B7F" w14:textId="77777777" w:rsidR="00FA09C7" w:rsidRPr="00310498" w:rsidRDefault="00FA09C7" w:rsidP="00827CAD">
            <w:pPr>
              <w:keepNext/>
              <w:rPr>
                <w:rFonts w:ascii="Arial Narrow" w:hAnsi="Arial Narrow"/>
                <w:b/>
                <w:sz w:val="20"/>
                <w:szCs w:val="20"/>
              </w:rPr>
            </w:pPr>
            <w:r w:rsidRPr="00310498">
              <w:rPr>
                <w:rFonts w:ascii="Arial Narrow" w:hAnsi="Arial Narrow"/>
                <w:b/>
                <w:sz w:val="20"/>
                <w:szCs w:val="20"/>
              </w:rPr>
              <w:t xml:space="preserve">Prescriber type: </w:t>
            </w:r>
            <w:r w:rsidRPr="00310498">
              <w:rPr>
                <w:rFonts w:ascii="Arial Narrow" w:hAnsi="Arial Narrow"/>
                <w:sz w:val="20"/>
                <w:szCs w:val="20"/>
              </w:rPr>
              <w:fldChar w:fldCharType="begin" w:fldLock="1">
                <w:ffData>
                  <w:name w:val=""/>
                  <w:enabled/>
                  <w:calcOnExit w:val="0"/>
                  <w:checkBox>
                    <w:sizeAuto/>
                    <w:default w:val="1"/>
                  </w:checkBox>
                </w:ffData>
              </w:fldChar>
            </w:r>
            <w:r w:rsidRPr="00310498">
              <w:rPr>
                <w:rFonts w:ascii="Arial Narrow" w:hAnsi="Arial Narrow"/>
                <w:sz w:val="20"/>
                <w:szCs w:val="20"/>
              </w:rPr>
              <w:instrText xml:space="preserve"> FORMCHECKBOX </w:instrText>
            </w:r>
            <w:r w:rsidRPr="00310498">
              <w:rPr>
                <w:rFonts w:ascii="Arial Narrow" w:hAnsi="Arial Narrow"/>
                <w:sz w:val="20"/>
                <w:szCs w:val="20"/>
              </w:rPr>
            </w:r>
            <w:r w:rsidRPr="00310498">
              <w:rPr>
                <w:rFonts w:ascii="Arial Narrow" w:hAnsi="Arial Narrow"/>
                <w:sz w:val="20"/>
                <w:szCs w:val="20"/>
              </w:rPr>
              <w:fldChar w:fldCharType="separate"/>
            </w:r>
            <w:r w:rsidRPr="00310498">
              <w:rPr>
                <w:rFonts w:ascii="Arial Narrow" w:hAnsi="Arial Narrow"/>
                <w:sz w:val="20"/>
                <w:szCs w:val="20"/>
              </w:rPr>
              <w:fldChar w:fldCharType="end"/>
            </w:r>
            <w:r w:rsidRPr="00310498">
              <w:rPr>
                <w:rFonts w:ascii="Arial Narrow" w:hAnsi="Arial Narrow"/>
                <w:sz w:val="20"/>
                <w:szCs w:val="20"/>
              </w:rPr>
              <w:t xml:space="preserve">Medical Practitioners </w:t>
            </w:r>
          </w:p>
        </w:tc>
      </w:tr>
      <w:tr w:rsidR="00FA09C7" w:rsidRPr="00310498" w14:paraId="7D19C400"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07FF5D6E" w14:textId="77777777" w:rsidR="00FA09C7" w:rsidRPr="00310498" w:rsidRDefault="00FA09C7" w:rsidP="00827CAD">
            <w:pPr>
              <w:rPr>
                <w:rFonts w:ascii="Arial Narrow" w:hAnsi="Arial Narrow"/>
                <w:sz w:val="20"/>
                <w:szCs w:val="20"/>
              </w:rPr>
            </w:pPr>
          </w:p>
        </w:tc>
        <w:tc>
          <w:tcPr>
            <w:tcW w:w="4295" w:type="pct"/>
            <w:gridSpan w:val="4"/>
          </w:tcPr>
          <w:p w14:paraId="6AB000C0" w14:textId="77777777" w:rsidR="00FA09C7" w:rsidRPr="00310498" w:rsidRDefault="00FA09C7" w:rsidP="00827CAD">
            <w:pPr>
              <w:rPr>
                <w:rFonts w:ascii="Arial Narrow" w:eastAsia="Calibri" w:hAnsi="Arial Narrow"/>
                <w:sz w:val="20"/>
                <w:szCs w:val="20"/>
              </w:rPr>
            </w:pPr>
            <w:r w:rsidRPr="00310498">
              <w:rPr>
                <w:rFonts w:ascii="Arial Narrow" w:hAnsi="Arial Narrow"/>
                <w:b/>
                <w:sz w:val="20"/>
                <w:szCs w:val="20"/>
              </w:rPr>
              <w:t xml:space="preserve">Restriction type: </w:t>
            </w:r>
            <w:r w:rsidRPr="00310498">
              <w:rPr>
                <w:rFonts w:ascii="Arial Narrow" w:eastAsia="Calibri" w:hAnsi="Arial Narrow"/>
                <w:sz w:val="20"/>
                <w:szCs w:val="20"/>
              </w:rPr>
              <w:fldChar w:fldCharType="begin" w:fldLock="1">
                <w:ffData>
                  <w:name w:val=""/>
                  <w:enabled/>
                  <w:calcOnExit w:val="0"/>
                  <w:checkBox>
                    <w:sizeAuto/>
                    <w:default w:val="1"/>
                  </w:checkBox>
                </w:ffData>
              </w:fldChar>
            </w:r>
            <w:r w:rsidRPr="00310498">
              <w:rPr>
                <w:rFonts w:ascii="Arial Narrow" w:eastAsia="Calibri" w:hAnsi="Arial Narrow"/>
                <w:sz w:val="20"/>
                <w:szCs w:val="20"/>
              </w:rPr>
              <w:instrText xml:space="preserve"> FORMCHECKBOX </w:instrText>
            </w:r>
            <w:r w:rsidRPr="00310498">
              <w:rPr>
                <w:rFonts w:ascii="Arial Narrow" w:eastAsia="Calibri" w:hAnsi="Arial Narrow"/>
                <w:sz w:val="20"/>
                <w:szCs w:val="20"/>
              </w:rPr>
            </w:r>
            <w:r w:rsidRPr="00310498">
              <w:rPr>
                <w:rFonts w:ascii="Arial Narrow" w:eastAsia="Calibri" w:hAnsi="Arial Narrow"/>
                <w:sz w:val="20"/>
                <w:szCs w:val="20"/>
              </w:rPr>
              <w:fldChar w:fldCharType="separate"/>
            </w:r>
            <w:r w:rsidRPr="00310498">
              <w:rPr>
                <w:rFonts w:ascii="Arial Narrow" w:eastAsia="Calibri" w:hAnsi="Arial Narrow"/>
                <w:sz w:val="20"/>
                <w:szCs w:val="20"/>
              </w:rPr>
              <w:fldChar w:fldCharType="end"/>
            </w:r>
            <w:r w:rsidRPr="00310498">
              <w:rPr>
                <w:rFonts w:ascii="Arial Narrow" w:eastAsia="Calibri" w:hAnsi="Arial Narrow"/>
                <w:sz w:val="20"/>
                <w:szCs w:val="20"/>
              </w:rPr>
              <w:t xml:space="preserve">Authority Required (STREAMLINED) [new code] </w:t>
            </w:r>
            <w:r w:rsidRPr="00310498">
              <w:rPr>
                <w:rFonts w:ascii="Arial Narrow" w:eastAsia="Calibri" w:hAnsi="Arial Narrow"/>
                <w:color w:val="FF0000"/>
                <w:sz w:val="20"/>
                <w:szCs w:val="20"/>
              </w:rPr>
              <w:t xml:space="preserve"> </w:t>
            </w:r>
          </w:p>
        </w:tc>
      </w:tr>
      <w:tr w:rsidR="00FA09C7" w:rsidRPr="00310498" w14:paraId="0D2E374F" w14:textId="77777777" w:rsidTr="00FA09C7">
        <w:tblPrEx>
          <w:tblCellMar>
            <w:top w:w="15" w:type="dxa"/>
            <w:bottom w:w="15" w:type="dxa"/>
          </w:tblCellMar>
          <w:tblLook w:val="04A0" w:firstRow="1" w:lastRow="0" w:firstColumn="1" w:lastColumn="0" w:noHBand="0" w:noVBand="1"/>
        </w:tblPrEx>
        <w:trPr>
          <w:trHeight w:val="20"/>
        </w:trPr>
        <w:tc>
          <w:tcPr>
            <w:tcW w:w="311" w:type="pct"/>
            <w:vMerge w:val="restart"/>
            <w:textDirection w:val="btLr"/>
            <w:vAlign w:val="center"/>
          </w:tcPr>
          <w:p w14:paraId="608136AC" w14:textId="67947AE0" w:rsidR="00FA09C7" w:rsidRPr="00310498" w:rsidRDefault="00FA09C7" w:rsidP="00827CAD">
            <w:pPr>
              <w:keepLines/>
              <w:ind w:right="113"/>
              <w:jc w:val="center"/>
              <w:rPr>
                <w:rFonts w:ascii="Arial Narrow" w:hAnsi="Arial Narrow"/>
                <w:color w:val="333333"/>
                <w:sz w:val="20"/>
                <w:szCs w:val="20"/>
              </w:rPr>
            </w:pPr>
          </w:p>
        </w:tc>
        <w:tc>
          <w:tcPr>
            <w:tcW w:w="394" w:type="pct"/>
            <w:vAlign w:val="center"/>
          </w:tcPr>
          <w:p w14:paraId="581B5C4B" w14:textId="463AD052" w:rsidR="00FA09C7" w:rsidRPr="00310498" w:rsidRDefault="00FA09C7" w:rsidP="00827CAD">
            <w:pPr>
              <w:keepLines/>
              <w:ind w:hanging="35"/>
              <w:jc w:val="center"/>
              <w:rPr>
                <w:rFonts w:ascii="Arial Narrow" w:hAnsi="Arial Narrow"/>
                <w:color w:val="333333"/>
                <w:sz w:val="20"/>
                <w:szCs w:val="20"/>
              </w:rPr>
            </w:pPr>
          </w:p>
        </w:tc>
        <w:tc>
          <w:tcPr>
            <w:tcW w:w="4295" w:type="pct"/>
            <w:gridSpan w:val="4"/>
            <w:vAlign w:val="center"/>
          </w:tcPr>
          <w:p w14:paraId="2CB09418" w14:textId="277173CA" w:rsidR="00FA09C7" w:rsidRPr="00310498" w:rsidRDefault="00FA09C7" w:rsidP="00827CAD">
            <w:pPr>
              <w:keepLines/>
              <w:rPr>
                <w:rFonts w:ascii="Arial Narrow" w:hAnsi="Arial Narrow"/>
                <w:color w:val="333333"/>
                <w:sz w:val="20"/>
                <w:szCs w:val="20"/>
              </w:rPr>
            </w:pPr>
            <w:r w:rsidRPr="00310498">
              <w:rPr>
                <w:rFonts w:ascii="Arial Narrow" w:hAnsi="Arial Narrow"/>
                <w:b/>
                <w:bCs/>
                <w:color w:val="333333"/>
                <w:sz w:val="20"/>
                <w:szCs w:val="20"/>
              </w:rPr>
              <w:t xml:space="preserve">Administrative Advice: </w:t>
            </w:r>
            <w:r w:rsidRPr="00310498">
              <w:rPr>
                <w:rFonts w:ascii="Arial Narrow" w:hAnsi="Arial Narrow"/>
                <w:color w:val="333333"/>
                <w:sz w:val="20"/>
                <w:szCs w:val="20"/>
              </w:rPr>
              <w:t>No increase in the maximum amount or number of units may be authorised.</w:t>
            </w:r>
          </w:p>
        </w:tc>
      </w:tr>
      <w:tr w:rsidR="00FA09C7" w:rsidRPr="00310498" w14:paraId="3EAACC22" w14:textId="77777777" w:rsidTr="00FA09C7">
        <w:tblPrEx>
          <w:tblCellMar>
            <w:top w:w="15" w:type="dxa"/>
            <w:bottom w:w="15" w:type="dxa"/>
          </w:tblCellMar>
          <w:tblLook w:val="04A0" w:firstRow="1" w:lastRow="0" w:firstColumn="1" w:lastColumn="0" w:noHBand="0" w:noVBand="1"/>
        </w:tblPrEx>
        <w:trPr>
          <w:trHeight w:val="20"/>
        </w:trPr>
        <w:tc>
          <w:tcPr>
            <w:tcW w:w="311" w:type="pct"/>
            <w:vMerge/>
            <w:vAlign w:val="center"/>
          </w:tcPr>
          <w:p w14:paraId="410C9C54" w14:textId="77777777" w:rsidR="00FA09C7" w:rsidRPr="00310498" w:rsidRDefault="00FA09C7" w:rsidP="00827CAD">
            <w:pPr>
              <w:keepLines/>
              <w:jc w:val="center"/>
              <w:rPr>
                <w:rFonts w:ascii="Arial Narrow" w:hAnsi="Arial Narrow"/>
                <w:color w:val="333333"/>
                <w:sz w:val="20"/>
                <w:szCs w:val="20"/>
              </w:rPr>
            </w:pPr>
          </w:p>
        </w:tc>
        <w:tc>
          <w:tcPr>
            <w:tcW w:w="394" w:type="pct"/>
            <w:vAlign w:val="center"/>
          </w:tcPr>
          <w:p w14:paraId="1BD6190F" w14:textId="5956B7AC" w:rsidR="00FA09C7" w:rsidRPr="00310498" w:rsidRDefault="00FA09C7" w:rsidP="00827CAD">
            <w:pPr>
              <w:keepLines/>
              <w:ind w:hanging="35"/>
              <w:jc w:val="center"/>
              <w:rPr>
                <w:rFonts w:ascii="Arial Narrow" w:hAnsi="Arial Narrow"/>
                <w:color w:val="333333"/>
                <w:sz w:val="20"/>
                <w:szCs w:val="20"/>
              </w:rPr>
            </w:pPr>
          </w:p>
        </w:tc>
        <w:tc>
          <w:tcPr>
            <w:tcW w:w="4295" w:type="pct"/>
            <w:gridSpan w:val="4"/>
            <w:vAlign w:val="center"/>
          </w:tcPr>
          <w:p w14:paraId="7F8C266B" w14:textId="77777777" w:rsidR="00FA09C7" w:rsidRPr="00310498" w:rsidRDefault="00FA09C7" w:rsidP="00827CAD">
            <w:pPr>
              <w:keepLines/>
              <w:rPr>
                <w:rFonts w:ascii="Arial Narrow" w:hAnsi="Arial Narrow"/>
                <w:b/>
                <w:bCs/>
                <w:color w:val="333333"/>
                <w:sz w:val="20"/>
                <w:szCs w:val="20"/>
              </w:rPr>
            </w:pPr>
            <w:r w:rsidRPr="00310498">
              <w:rPr>
                <w:rFonts w:ascii="Arial Narrow" w:hAnsi="Arial Narrow"/>
                <w:b/>
                <w:bCs/>
                <w:color w:val="333333"/>
                <w:sz w:val="20"/>
                <w:szCs w:val="20"/>
              </w:rPr>
              <w:t xml:space="preserve">Administrative Advice: </w:t>
            </w:r>
            <w:r w:rsidRPr="00310498">
              <w:rPr>
                <w:rFonts w:ascii="Arial Narrow" w:hAnsi="Arial Narrow"/>
                <w:color w:val="333333"/>
                <w:sz w:val="20"/>
                <w:szCs w:val="20"/>
              </w:rPr>
              <w:t>No increase in the maximum number of repeats may be authorised.</w:t>
            </w:r>
          </w:p>
        </w:tc>
      </w:tr>
      <w:tr w:rsidR="00FA09C7" w:rsidRPr="00310498" w14:paraId="75C80689" w14:textId="77777777" w:rsidTr="00FA09C7">
        <w:tblPrEx>
          <w:tblCellMar>
            <w:top w:w="15" w:type="dxa"/>
            <w:bottom w:w="15" w:type="dxa"/>
          </w:tblCellMar>
          <w:tblLook w:val="04A0" w:firstRow="1" w:lastRow="0" w:firstColumn="1" w:lastColumn="0" w:noHBand="0" w:noVBand="1"/>
        </w:tblPrEx>
        <w:trPr>
          <w:trHeight w:val="20"/>
        </w:trPr>
        <w:tc>
          <w:tcPr>
            <w:tcW w:w="311" w:type="pct"/>
            <w:vMerge/>
            <w:vAlign w:val="center"/>
          </w:tcPr>
          <w:p w14:paraId="39661888" w14:textId="77777777" w:rsidR="00FA09C7" w:rsidRPr="00310498" w:rsidRDefault="00FA09C7" w:rsidP="00827CAD">
            <w:pPr>
              <w:keepLines/>
              <w:jc w:val="center"/>
              <w:rPr>
                <w:rFonts w:ascii="Arial Narrow" w:hAnsi="Arial Narrow"/>
                <w:color w:val="333333"/>
                <w:sz w:val="20"/>
                <w:szCs w:val="20"/>
              </w:rPr>
            </w:pPr>
          </w:p>
        </w:tc>
        <w:tc>
          <w:tcPr>
            <w:tcW w:w="394" w:type="pct"/>
            <w:vAlign w:val="center"/>
          </w:tcPr>
          <w:p w14:paraId="1CC7EDA1" w14:textId="6ED1322D" w:rsidR="00FA09C7" w:rsidRPr="00310498" w:rsidRDefault="00FA09C7" w:rsidP="00827CAD">
            <w:pPr>
              <w:keepLines/>
              <w:ind w:hanging="35"/>
              <w:jc w:val="center"/>
              <w:rPr>
                <w:rFonts w:ascii="Arial Narrow" w:hAnsi="Arial Narrow"/>
                <w:color w:val="333333"/>
                <w:sz w:val="20"/>
                <w:szCs w:val="20"/>
              </w:rPr>
            </w:pPr>
          </w:p>
        </w:tc>
        <w:tc>
          <w:tcPr>
            <w:tcW w:w="4295" w:type="pct"/>
            <w:gridSpan w:val="4"/>
            <w:vAlign w:val="center"/>
          </w:tcPr>
          <w:p w14:paraId="3CF3F342" w14:textId="77777777" w:rsidR="00FA09C7" w:rsidRPr="00310498" w:rsidRDefault="00FA09C7" w:rsidP="00827CAD">
            <w:pPr>
              <w:keepLines/>
              <w:rPr>
                <w:rFonts w:ascii="Arial Narrow" w:hAnsi="Arial Narrow"/>
                <w:b/>
                <w:bCs/>
                <w:color w:val="333333"/>
                <w:sz w:val="20"/>
                <w:szCs w:val="20"/>
              </w:rPr>
            </w:pPr>
            <w:r w:rsidRPr="00310498">
              <w:rPr>
                <w:rFonts w:ascii="Arial Narrow" w:hAnsi="Arial Narrow"/>
                <w:b/>
                <w:bCs/>
                <w:color w:val="333333"/>
                <w:sz w:val="20"/>
                <w:szCs w:val="20"/>
              </w:rPr>
              <w:t xml:space="preserve">Administrative Advice: </w:t>
            </w:r>
            <w:r w:rsidRPr="00310498">
              <w:rPr>
                <w:rFonts w:ascii="Arial Narrow" w:hAnsi="Arial Narrow"/>
                <w:color w:val="333333"/>
                <w:sz w:val="20"/>
                <w:szCs w:val="20"/>
              </w:rPr>
              <w:t>Special Pricing Arrangements apply.</w:t>
            </w:r>
          </w:p>
        </w:tc>
      </w:tr>
      <w:tr w:rsidR="009B7318" w:rsidRPr="00310498" w14:paraId="76F9B037"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Merge w:val="restart"/>
            <w:vAlign w:val="center"/>
          </w:tcPr>
          <w:p w14:paraId="15AFB4A0" w14:textId="77777777" w:rsidR="009B7318" w:rsidRPr="00310498" w:rsidRDefault="009B7318" w:rsidP="009B7318">
            <w:pPr>
              <w:keepLines/>
              <w:jc w:val="center"/>
              <w:rPr>
                <w:rFonts w:ascii="Arial Narrow" w:hAnsi="Arial Narrow"/>
                <w:color w:val="333333"/>
                <w:sz w:val="20"/>
                <w:szCs w:val="20"/>
              </w:rPr>
            </w:pPr>
          </w:p>
        </w:tc>
        <w:tc>
          <w:tcPr>
            <w:tcW w:w="4295" w:type="pct"/>
            <w:gridSpan w:val="4"/>
            <w:vAlign w:val="center"/>
          </w:tcPr>
          <w:p w14:paraId="10B12589" w14:textId="77777777" w:rsidR="009B7318" w:rsidRPr="00310498" w:rsidRDefault="009B7318" w:rsidP="009B7318">
            <w:pPr>
              <w:keepLines/>
              <w:rPr>
                <w:rFonts w:ascii="Arial Narrow" w:hAnsi="Arial Narrow"/>
                <w:bCs/>
                <w:color w:val="333333"/>
                <w:sz w:val="20"/>
                <w:szCs w:val="20"/>
              </w:rPr>
            </w:pPr>
            <w:r w:rsidRPr="00310498">
              <w:rPr>
                <w:rFonts w:ascii="Arial Narrow" w:hAnsi="Arial Narrow" w:cs="Segoe UI"/>
                <w:b/>
                <w:bCs/>
                <w:color w:val="BFBFBF" w:themeColor="background1" w:themeShade="BF"/>
                <w:sz w:val="20"/>
                <w:szCs w:val="20"/>
              </w:rPr>
              <w:t xml:space="preserve">Episodicity: </w:t>
            </w:r>
            <w:r w:rsidRPr="00310498">
              <w:rPr>
                <w:rFonts w:ascii="Arial Narrow" w:hAnsi="Arial Narrow" w:cs="Segoe UI"/>
                <w:color w:val="BFBFBF" w:themeColor="background1" w:themeShade="BF"/>
                <w:sz w:val="20"/>
                <w:szCs w:val="20"/>
              </w:rPr>
              <w:t>Not Applicable </w:t>
            </w:r>
          </w:p>
        </w:tc>
      </w:tr>
      <w:tr w:rsidR="009B7318" w:rsidRPr="00310498" w14:paraId="525B4B72"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63EA17B4" w14:textId="77777777" w:rsidR="009B7318" w:rsidRPr="00310498" w:rsidRDefault="009B7318" w:rsidP="009B7318">
            <w:pPr>
              <w:keepLines/>
              <w:jc w:val="center"/>
              <w:rPr>
                <w:rFonts w:ascii="Arial Narrow" w:hAnsi="Arial Narrow"/>
                <w:color w:val="333333"/>
                <w:sz w:val="20"/>
                <w:szCs w:val="20"/>
              </w:rPr>
            </w:pPr>
          </w:p>
        </w:tc>
        <w:tc>
          <w:tcPr>
            <w:tcW w:w="4295" w:type="pct"/>
            <w:gridSpan w:val="4"/>
            <w:vAlign w:val="center"/>
          </w:tcPr>
          <w:p w14:paraId="269C399F" w14:textId="77777777" w:rsidR="009B7318" w:rsidRPr="00310498" w:rsidRDefault="009B7318" w:rsidP="009B7318">
            <w:pPr>
              <w:keepLines/>
              <w:rPr>
                <w:rFonts w:ascii="Arial Narrow" w:hAnsi="Arial Narrow"/>
                <w:b/>
                <w:bCs/>
                <w:color w:val="333333"/>
                <w:sz w:val="20"/>
                <w:szCs w:val="20"/>
              </w:rPr>
            </w:pPr>
            <w:r w:rsidRPr="00310498">
              <w:rPr>
                <w:rFonts w:ascii="Arial Narrow" w:hAnsi="Arial Narrow" w:cs="Segoe UI"/>
                <w:b/>
                <w:bCs/>
                <w:color w:val="333333"/>
                <w:sz w:val="20"/>
                <w:szCs w:val="20"/>
              </w:rPr>
              <w:t>Severity:</w:t>
            </w:r>
            <w:r w:rsidRPr="00310498">
              <w:rPr>
                <w:rFonts w:ascii="Arial Narrow" w:hAnsi="Arial Narrow" w:cs="Segoe UI"/>
                <w:color w:val="333333"/>
                <w:sz w:val="20"/>
                <w:szCs w:val="20"/>
              </w:rPr>
              <w:t xml:space="preserve"> Advanced, metastatic or recurrent</w:t>
            </w:r>
          </w:p>
        </w:tc>
      </w:tr>
      <w:tr w:rsidR="009B7318" w:rsidRPr="00310498" w14:paraId="58CFA9F4"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136A4795" w14:textId="77777777" w:rsidR="009B7318" w:rsidRPr="00310498" w:rsidRDefault="009B7318" w:rsidP="009B7318">
            <w:pPr>
              <w:keepLines/>
              <w:jc w:val="center"/>
              <w:rPr>
                <w:rFonts w:ascii="Arial Narrow" w:hAnsi="Arial Narrow"/>
                <w:color w:val="333333"/>
                <w:sz w:val="20"/>
                <w:szCs w:val="20"/>
              </w:rPr>
            </w:pPr>
          </w:p>
        </w:tc>
        <w:tc>
          <w:tcPr>
            <w:tcW w:w="4295" w:type="pct"/>
            <w:gridSpan w:val="4"/>
            <w:vAlign w:val="center"/>
          </w:tcPr>
          <w:p w14:paraId="6F48D992" w14:textId="4F93C30E" w:rsidR="009B7318" w:rsidRPr="00310498" w:rsidRDefault="009B7318" w:rsidP="009B7318">
            <w:pPr>
              <w:keepLines/>
              <w:rPr>
                <w:rFonts w:ascii="Arial Narrow" w:hAnsi="Arial Narrow"/>
                <w:b/>
                <w:bCs/>
                <w:color w:val="333333"/>
                <w:sz w:val="20"/>
                <w:szCs w:val="20"/>
              </w:rPr>
            </w:pPr>
            <w:r w:rsidRPr="00310498">
              <w:rPr>
                <w:rFonts w:ascii="Arial Narrow" w:hAnsi="Arial Narrow" w:cs="Segoe UI"/>
                <w:b/>
                <w:bCs/>
                <w:color w:val="333333"/>
                <w:sz w:val="20"/>
                <w:szCs w:val="20"/>
              </w:rPr>
              <w:t xml:space="preserve">Condition: </w:t>
            </w:r>
            <w:r w:rsidRPr="00310498">
              <w:rPr>
                <w:rFonts w:ascii="Arial Narrow" w:hAnsi="Arial Narrow" w:cs="Segoe UI"/>
                <w:color w:val="333333"/>
                <w:sz w:val="20"/>
                <w:szCs w:val="20"/>
              </w:rPr>
              <w:t>Endometrial carcinoma</w:t>
            </w:r>
          </w:p>
        </w:tc>
      </w:tr>
      <w:tr w:rsidR="009B7318" w:rsidRPr="00310498" w14:paraId="47194373" w14:textId="77777777" w:rsidTr="00A47109">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1B7CF7B" w14:textId="6A7EC961" w:rsidR="009B7318" w:rsidRPr="00310498" w:rsidRDefault="009B7318" w:rsidP="009B7318">
            <w:pPr>
              <w:keepLines/>
              <w:jc w:val="center"/>
              <w:rPr>
                <w:rFonts w:ascii="Arial Narrow" w:hAnsi="Arial Narrow"/>
                <w:color w:val="333333"/>
                <w:sz w:val="20"/>
                <w:szCs w:val="20"/>
              </w:rPr>
            </w:pPr>
          </w:p>
        </w:tc>
        <w:tc>
          <w:tcPr>
            <w:tcW w:w="4295" w:type="pct"/>
            <w:gridSpan w:val="4"/>
            <w:vAlign w:val="center"/>
            <w:hideMark/>
          </w:tcPr>
          <w:p w14:paraId="739F735A" w14:textId="063BC6D2" w:rsidR="009B7318" w:rsidRPr="00310498" w:rsidRDefault="009B7318" w:rsidP="009B7318">
            <w:pPr>
              <w:keepLines/>
              <w:rPr>
                <w:rFonts w:ascii="Arial Narrow" w:hAnsi="Arial Narrow"/>
                <w:color w:val="333333"/>
                <w:sz w:val="20"/>
                <w:szCs w:val="20"/>
              </w:rPr>
            </w:pPr>
            <w:r w:rsidRPr="00310498">
              <w:rPr>
                <w:rFonts w:ascii="Arial Narrow" w:hAnsi="Arial Narrow" w:cs="Segoe UI"/>
                <w:b/>
                <w:bCs/>
                <w:color w:val="333333"/>
                <w:sz w:val="20"/>
                <w:szCs w:val="20"/>
              </w:rPr>
              <w:t>Indication:</w:t>
            </w:r>
            <w:r w:rsidRPr="00310498">
              <w:rPr>
                <w:rFonts w:ascii="Arial Narrow" w:hAnsi="Arial Narrow" w:cs="Segoe UI"/>
                <w:color w:val="333333"/>
                <w:sz w:val="20"/>
                <w:szCs w:val="20"/>
              </w:rPr>
              <w:t>  Advanced, metastatic or recurrent endometrial carcinoma</w:t>
            </w:r>
          </w:p>
        </w:tc>
      </w:tr>
      <w:tr w:rsidR="009B7318" w:rsidRPr="00310498" w14:paraId="18DD4BB0"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318D8B76" w14:textId="77777777"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1E2BFEDE" w14:textId="77777777" w:rsidR="009B7318" w:rsidRPr="00310498" w:rsidRDefault="009B7318" w:rsidP="009B7318">
            <w:pPr>
              <w:rPr>
                <w:rFonts w:ascii="Arial Narrow" w:hAnsi="Arial Narrow"/>
                <w:color w:val="FF0000"/>
                <w:sz w:val="20"/>
                <w:szCs w:val="20"/>
              </w:rPr>
            </w:pPr>
            <w:r w:rsidRPr="00310498">
              <w:rPr>
                <w:rFonts w:ascii="Arial Narrow" w:hAnsi="Arial Narrow" w:cs="Segoe UI"/>
                <w:b/>
                <w:bCs/>
                <w:color w:val="333333"/>
                <w:sz w:val="20"/>
                <w:szCs w:val="20"/>
              </w:rPr>
              <w:t>Treatment Phase:</w:t>
            </w:r>
            <w:r w:rsidRPr="00310498">
              <w:rPr>
                <w:rFonts w:ascii="Arial Narrow" w:hAnsi="Arial Narrow" w:cs="Segoe UI"/>
                <w:color w:val="333333"/>
                <w:sz w:val="20"/>
                <w:szCs w:val="20"/>
              </w:rPr>
              <w:t xml:space="preserve"> Initial treatment covering the first 6 treatment cycles</w:t>
            </w:r>
          </w:p>
        </w:tc>
      </w:tr>
      <w:tr w:rsidR="009B7318" w:rsidRPr="00310498" w14:paraId="2ECC95CF" w14:textId="77777777" w:rsidTr="00A47109">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4B0EC59" w14:textId="1D0070C5"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42681A7A" w14:textId="77777777" w:rsidR="009B7318" w:rsidRPr="00310498" w:rsidRDefault="009B7318" w:rsidP="009B7318">
            <w:pPr>
              <w:rPr>
                <w:rFonts w:ascii="Arial Narrow" w:hAnsi="Arial Narrow"/>
                <w:color w:val="FF0000"/>
                <w:sz w:val="20"/>
                <w:szCs w:val="20"/>
              </w:rPr>
            </w:pPr>
            <w:r w:rsidRPr="00310498">
              <w:rPr>
                <w:rFonts w:ascii="Arial Narrow" w:hAnsi="Arial Narrow" w:cs="Segoe UI"/>
                <w:b/>
                <w:bCs/>
                <w:color w:val="333333"/>
                <w:sz w:val="20"/>
                <w:szCs w:val="20"/>
              </w:rPr>
              <w:t>Clinical criteria:</w:t>
            </w:r>
            <w:r w:rsidRPr="00310498">
              <w:rPr>
                <w:rFonts w:ascii="Arial Narrow" w:hAnsi="Arial Narrow" w:cs="Segoe UI"/>
                <w:color w:val="333333"/>
                <w:sz w:val="20"/>
                <w:szCs w:val="20"/>
              </w:rPr>
              <w:t> </w:t>
            </w:r>
          </w:p>
        </w:tc>
      </w:tr>
      <w:tr w:rsidR="009B7318" w:rsidRPr="00310498" w14:paraId="66460CEF" w14:textId="77777777" w:rsidTr="00A47109">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99BF7B8" w14:textId="34F309F0"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6F7B3FA8" w14:textId="6F4DC886" w:rsidR="009B7318" w:rsidRPr="00310498" w:rsidRDefault="009B7318" w:rsidP="009B7318">
            <w:pPr>
              <w:jc w:val="left"/>
              <w:rPr>
                <w:rFonts w:ascii="Arial Narrow" w:hAnsi="Arial Narrow"/>
                <w:color w:val="333333"/>
                <w:sz w:val="20"/>
                <w:szCs w:val="20"/>
              </w:rPr>
            </w:pPr>
            <w:r w:rsidRPr="00310498">
              <w:rPr>
                <w:rFonts w:ascii="Arial Narrow" w:hAnsi="Arial Narrow" w:cs="Segoe UI"/>
                <w:color w:val="333333"/>
                <w:sz w:val="20"/>
                <w:szCs w:val="20"/>
              </w:rPr>
              <w:t>Patient must have deficient mismatch repair (dMMR)</w:t>
            </w:r>
            <w:r>
              <w:rPr>
                <w:rFonts w:ascii="Arial Narrow" w:hAnsi="Arial Narrow" w:cs="Segoe UI"/>
                <w:color w:val="333333"/>
                <w:sz w:val="20"/>
                <w:szCs w:val="20"/>
              </w:rPr>
              <w:t xml:space="preserve"> endometrial cancer, as determined by immunohistochemistry test</w:t>
            </w:r>
          </w:p>
        </w:tc>
      </w:tr>
      <w:tr w:rsidR="009B7318" w:rsidRPr="00310498" w14:paraId="20D70DBE" w14:textId="77777777" w:rsidTr="00A47109">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86B253C" w14:textId="77777777"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318044AA" w14:textId="77777777" w:rsidR="009B7318" w:rsidRPr="00310498" w:rsidRDefault="009B7318" w:rsidP="009B7318">
            <w:pPr>
              <w:rPr>
                <w:rFonts w:ascii="Arial Narrow" w:hAnsi="Arial Narrow"/>
                <w:color w:val="333333"/>
                <w:sz w:val="20"/>
                <w:szCs w:val="20"/>
              </w:rPr>
            </w:pPr>
            <w:r w:rsidRPr="00310498">
              <w:rPr>
                <w:rFonts w:ascii="Arial Narrow" w:hAnsi="Arial Narrow" w:cs="Segoe UI"/>
                <w:b/>
                <w:bCs/>
                <w:color w:val="333333"/>
                <w:sz w:val="20"/>
                <w:szCs w:val="20"/>
              </w:rPr>
              <w:t>AND</w:t>
            </w:r>
            <w:r w:rsidRPr="00310498">
              <w:rPr>
                <w:rFonts w:ascii="Arial Narrow" w:hAnsi="Arial Narrow" w:cs="Segoe UI"/>
                <w:color w:val="333333"/>
                <w:sz w:val="20"/>
                <w:szCs w:val="20"/>
              </w:rPr>
              <w:t> </w:t>
            </w:r>
          </w:p>
        </w:tc>
      </w:tr>
      <w:tr w:rsidR="009B7318" w:rsidRPr="00310498" w14:paraId="75DC9A4A"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536FFA5" w14:textId="6AD103E4"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59FA6409" w14:textId="77777777" w:rsidR="009B7318" w:rsidRPr="00310498" w:rsidRDefault="009B7318" w:rsidP="009B7318">
            <w:pPr>
              <w:rPr>
                <w:rFonts w:ascii="Arial Narrow" w:hAnsi="Arial Narrow" w:cs="Segoe UI"/>
                <w:b/>
                <w:bCs/>
                <w:color w:val="333333"/>
                <w:sz w:val="20"/>
                <w:szCs w:val="20"/>
              </w:rPr>
            </w:pPr>
            <w:r w:rsidRPr="00310498">
              <w:rPr>
                <w:rFonts w:ascii="Arial Narrow" w:hAnsi="Arial Narrow" w:cs="Segoe UI"/>
                <w:b/>
                <w:bCs/>
                <w:color w:val="333333"/>
                <w:sz w:val="20"/>
                <w:szCs w:val="20"/>
              </w:rPr>
              <w:t>Clinical criteria:</w:t>
            </w:r>
            <w:r w:rsidRPr="00310498">
              <w:rPr>
                <w:rFonts w:ascii="Arial Narrow" w:hAnsi="Arial Narrow" w:cs="Segoe UI"/>
                <w:color w:val="333333"/>
                <w:sz w:val="20"/>
                <w:szCs w:val="20"/>
              </w:rPr>
              <w:t> </w:t>
            </w:r>
          </w:p>
        </w:tc>
      </w:tr>
      <w:tr w:rsidR="009B7318" w:rsidRPr="00310498" w14:paraId="229F12CE"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B17EDBD" w14:textId="6F8F3B82"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50083204" w14:textId="485A0222" w:rsidR="009B7318" w:rsidRPr="00310498" w:rsidRDefault="009B7318" w:rsidP="009B7318">
            <w:pPr>
              <w:textAlignment w:val="baseline"/>
              <w:rPr>
                <w:rFonts w:ascii="Segoe UI" w:hAnsi="Segoe UI" w:cs="Segoe UI"/>
                <w:sz w:val="18"/>
                <w:szCs w:val="18"/>
              </w:rPr>
            </w:pPr>
            <w:r w:rsidRPr="00310498">
              <w:rPr>
                <w:rFonts w:ascii="Arial Narrow" w:hAnsi="Arial Narrow" w:cs="Segoe UI"/>
                <w:color w:val="333333"/>
                <w:sz w:val="20"/>
                <w:szCs w:val="20"/>
              </w:rPr>
              <w:t xml:space="preserve">The condition must be unsuitable for at least one of the following: (i) curative surgical resection, </w:t>
            </w:r>
          </w:p>
          <w:p w14:paraId="6573B2CB" w14:textId="77777777" w:rsidR="009B7318" w:rsidRPr="00310498" w:rsidRDefault="009B7318" w:rsidP="009B7318">
            <w:pPr>
              <w:rPr>
                <w:rFonts w:ascii="Arial Narrow" w:hAnsi="Arial Narrow" w:cs="Segoe UI"/>
                <w:color w:val="333333"/>
                <w:sz w:val="20"/>
                <w:szCs w:val="20"/>
              </w:rPr>
            </w:pPr>
            <w:r w:rsidRPr="00310498">
              <w:rPr>
                <w:rFonts w:ascii="Arial Narrow" w:hAnsi="Arial Narrow" w:cs="Segoe UI"/>
                <w:color w:val="333333"/>
                <w:sz w:val="20"/>
                <w:szCs w:val="20"/>
              </w:rPr>
              <w:t>(ii) curative radiotherapy </w:t>
            </w:r>
          </w:p>
        </w:tc>
      </w:tr>
      <w:tr w:rsidR="009B7318" w:rsidRPr="00310498" w14:paraId="3D3258D5"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BA12261" w14:textId="77777777"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7FB0D041" w14:textId="77777777" w:rsidR="009B7318" w:rsidRPr="00310498" w:rsidRDefault="009B7318" w:rsidP="009B7318">
            <w:pPr>
              <w:rPr>
                <w:rFonts w:ascii="Arial Narrow" w:hAnsi="Arial Narrow"/>
                <w:color w:val="FF0000"/>
                <w:sz w:val="20"/>
                <w:szCs w:val="20"/>
              </w:rPr>
            </w:pPr>
            <w:r w:rsidRPr="00310498">
              <w:rPr>
                <w:rFonts w:ascii="Arial Narrow" w:hAnsi="Arial Narrow" w:cs="Segoe UI"/>
                <w:b/>
                <w:bCs/>
                <w:color w:val="333333"/>
                <w:sz w:val="20"/>
                <w:szCs w:val="20"/>
              </w:rPr>
              <w:t>AND</w:t>
            </w:r>
            <w:r w:rsidRPr="00310498">
              <w:rPr>
                <w:rFonts w:ascii="Arial Narrow" w:hAnsi="Arial Narrow" w:cs="Segoe UI"/>
                <w:color w:val="333333"/>
                <w:sz w:val="20"/>
                <w:szCs w:val="20"/>
              </w:rPr>
              <w:t> </w:t>
            </w:r>
          </w:p>
        </w:tc>
      </w:tr>
      <w:tr w:rsidR="009B7318" w:rsidRPr="00310498" w14:paraId="0595EA46"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F86A9BC" w14:textId="64EAE9D4"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7C2A80A3" w14:textId="77777777" w:rsidR="009B7318" w:rsidRPr="00310498" w:rsidRDefault="009B7318" w:rsidP="009B7318">
            <w:pPr>
              <w:rPr>
                <w:rFonts w:ascii="Arial Narrow" w:hAnsi="Arial Narrow" w:cs="Segoe UI"/>
                <w:b/>
                <w:bCs/>
                <w:color w:val="333333"/>
                <w:sz w:val="20"/>
                <w:szCs w:val="20"/>
              </w:rPr>
            </w:pPr>
            <w:r w:rsidRPr="00310498">
              <w:rPr>
                <w:rFonts w:ascii="Arial Narrow" w:hAnsi="Arial Narrow" w:cs="Segoe UI"/>
                <w:b/>
                <w:bCs/>
                <w:color w:val="333333"/>
                <w:sz w:val="20"/>
                <w:szCs w:val="20"/>
              </w:rPr>
              <w:t>Clinical criteria:</w:t>
            </w:r>
            <w:r w:rsidRPr="00310498">
              <w:rPr>
                <w:rFonts w:ascii="Arial Narrow" w:hAnsi="Arial Narrow" w:cs="Segoe UI"/>
                <w:color w:val="333333"/>
                <w:sz w:val="20"/>
                <w:szCs w:val="20"/>
              </w:rPr>
              <w:t> </w:t>
            </w:r>
          </w:p>
        </w:tc>
      </w:tr>
      <w:tr w:rsidR="009B7318" w:rsidRPr="00310498" w14:paraId="2A88B811"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349390C" w14:textId="231950BF"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0B1E755A" w14:textId="77777777" w:rsidR="009B7318" w:rsidRPr="00310498" w:rsidRDefault="009B7318" w:rsidP="009B7318">
            <w:pPr>
              <w:rPr>
                <w:rFonts w:ascii="Arial Narrow" w:hAnsi="Arial Narrow"/>
                <w:color w:val="333333"/>
                <w:sz w:val="20"/>
                <w:szCs w:val="20"/>
              </w:rPr>
            </w:pPr>
            <w:r w:rsidRPr="00310498">
              <w:rPr>
                <w:rFonts w:ascii="Arial Narrow" w:hAnsi="Arial Narrow" w:cs="Segoe UI"/>
                <w:color w:val="333333"/>
                <w:sz w:val="20"/>
                <w:szCs w:val="20"/>
              </w:rPr>
              <w:t>The treatment must be initiated in combination with platinum-containing chemotherapy </w:t>
            </w:r>
          </w:p>
        </w:tc>
      </w:tr>
      <w:tr w:rsidR="009B7318" w:rsidRPr="00310498" w14:paraId="3BF3E41D"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A0A2AC2" w14:textId="77777777"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5317325C" w14:textId="77777777" w:rsidR="009B7318" w:rsidRPr="00310498" w:rsidRDefault="009B7318" w:rsidP="009B7318">
            <w:pPr>
              <w:rPr>
                <w:rFonts w:ascii="Arial Narrow" w:hAnsi="Arial Narrow"/>
                <w:color w:val="333333"/>
                <w:sz w:val="20"/>
                <w:szCs w:val="20"/>
              </w:rPr>
            </w:pPr>
            <w:r w:rsidRPr="00310498">
              <w:rPr>
                <w:rFonts w:ascii="Arial Narrow" w:hAnsi="Arial Narrow" w:cs="Segoe UI"/>
                <w:b/>
                <w:bCs/>
                <w:color w:val="333333"/>
                <w:sz w:val="20"/>
                <w:szCs w:val="20"/>
              </w:rPr>
              <w:t>AND</w:t>
            </w:r>
            <w:r w:rsidRPr="00310498">
              <w:rPr>
                <w:rFonts w:ascii="Arial Narrow" w:hAnsi="Arial Narrow" w:cs="Segoe UI"/>
                <w:color w:val="333333"/>
                <w:sz w:val="20"/>
                <w:szCs w:val="20"/>
              </w:rPr>
              <w:t> </w:t>
            </w:r>
          </w:p>
        </w:tc>
      </w:tr>
      <w:tr w:rsidR="009B7318" w:rsidRPr="00310498" w14:paraId="3A7123C1"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6830D92" w14:textId="1D3B63FD"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3CAC5622" w14:textId="77777777" w:rsidR="009B7318" w:rsidRPr="00310498" w:rsidRDefault="009B7318" w:rsidP="009B7318">
            <w:pPr>
              <w:rPr>
                <w:rFonts w:ascii="Arial Narrow" w:hAnsi="Arial Narrow" w:cs="Segoe UI"/>
                <w:b/>
                <w:bCs/>
                <w:color w:val="333333"/>
                <w:sz w:val="20"/>
                <w:szCs w:val="20"/>
              </w:rPr>
            </w:pPr>
            <w:r w:rsidRPr="00310498">
              <w:rPr>
                <w:rFonts w:ascii="Arial Narrow" w:hAnsi="Arial Narrow" w:cs="Segoe UI"/>
                <w:b/>
                <w:bCs/>
                <w:color w:val="333333"/>
                <w:sz w:val="20"/>
                <w:szCs w:val="20"/>
              </w:rPr>
              <w:t>Clinical criteria:</w:t>
            </w:r>
            <w:r w:rsidRPr="00310498">
              <w:rPr>
                <w:rFonts w:ascii="Arial Narrow" w:hAnsi="Arial Narrow" w:cs="Segoe UI"/>
                <w:color w:val="333333"/>
                <w:sz w:val="20"/>
                <w:szCs w:val="20"/>
              </w:rPr>
              <w:t> </w:t>
            </w:r>
          </w:p>
        </w:tc>
      </w:tr>
      <w:tr w:rsidR="009B7318" w:rsidRPr="00310498" w14:paraId="4B74B673" w14:textId="77777777" w:rsidTr="00827CAD">
        <w:tblPrEx>
          <w:tblCellMar>
            <w:top w:w="15" w:type="dxa"/>
            <w:bottom w:w="15" w:type="dxa"/>
          </w:tblCellMar>
          <w:tblLook w:val="04A0" w:firstRow="1" w:lastRow="0" w:firstColumn="1" w:lastColumn="0" w:noHBand="0" w:noVBand="1"/>
        </w:tblPrEx>
        <w:trPr>
          <w:cantSplit/>
          <w:trHeight w:val="499"/>
        </w:trPr>
        <w:tc>
          <w:tcPr>
            <w:tcW w:w="705" w:type="pct"/>
            <w:gridSpan w:val="2"/>
            <w:vAlign w:val="center"/>
          </w:tcPr>
          <w:p w14:paraId="21756EF1" w14:textId="0A77A805"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312DE67F" w14:textId="441B1065" w:rsidR="009B7318" w:rsidRPr="00310498" w:rsidRDefault="009B7318" w:rsidP="009B7318">
            <w:pPr>
              <w:textAlignment w:val="baseline"/>
              <w:rPr>
                <w:rFonts w:ascii="Segoe UI" w:hAnsi="Segoe UI" w:cs="Segoe UI"/>
                <w:sz w:val="18"/>
                <w:szCs w:val="18"/>
              </w:rPr>
            </w:pPr>
            <w:r w:rsidRPr="00310498">
              <w:rPr>
                <w:rFonts w:ascii="Arial Narrow" w:hAnsi="Arial Narrow" w:cs="Segoe UI"/>
                <w:color w:val="333333"/>
                <w:sz w:val="20"/>
                <w:szCs w:val="20"/>
              </w:rPr>
              <w:t xml:space="preserve">The condition must be, at treatment initiation with this drug, either: (i) untreated with systemic therapy,  </w:t>
            </w:r>
          </w:p>
          <w:p w14:paraId="48F072E6" w14:textId="77777777" w:rsidR="009B7318" w:rsidRPr="00310498" w:rsidRDefault="009B7318" w:rsidP="009B7318">
            <w:pPr>
              <w:autoSpaceDE w:val="0"/>
              <w:autoSpaceDN w:val="0"/>
              <w:adjustRightInd w:val="0"/>
              <w:rPr>
                <w:rFonts w:ascii="Segoe UI" w:hAnsi="Segoe UI" w:cs="Segoe UI"/>
                <w:strike/>
                <w:sz w:val="18"/>
                <w:szCs w:val="18"/>
              </w:rPr>
            </w:pPr>
            <w:r w:rsidRPr="00310498">
              <w:rPr>
                <w:rFonts w:ascii="Arial Narrow" w:hAnsi="Arial Narrow" w:cs="Segoe UI"/>
                <w:color w:val="333333"/>
                <w:sz w:val="20"/>
                <w:szCs w:val="20"/>
              </w:rPr>
              <w:t>(ii) treated with neoadjuvant/adjuvant systemic therapy, but the cancer has recurred or progressed after more than 6 months from the last dose of systemic therapy</w:t>
            </w:r>
          </w:p>
        </w:tc>
      </w:tr>
      <w:tr w:rsidR="009B7318" w:rsidRPr="00310498" w14:paraId="586E1F30"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7882BE6" w14:textId="77777777"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1E08F365" w14:textId="77777777" w:rsidR="009B7318" w:rsidRPr="00310498" w:rsidRDefault="009B7318" w:rsidP="009B7318">
            <w:pPr>
              <w:autoSpaceDE w:val="0"/>
              <w:autoSpaceDN w:val="0"/>
              <w:adjustRightInd w:val="0"/>
              <w:rPr>
                <w:rFonts w:ascii="Arial Narrow" w:hAnsi="Arial Narrow" w:cs="Arial Narrow"/>
                <w:sz w:val="20"/>
                <w:szCs w:val="20"/>
              </w:rPr>
            </w:pPr>
            <w:r w:rsidRPr="00310498">
              <w:rPr>
                <w:rFonts w:ascii="Arial Narrow" w:hAnsi="Arial Narrow" w:cs="Segoe UI"/>
                <w:b/>
                <w:bCs/>
                <w:color w:val="333333"/>
                <w:sz w:val="20"/>
                <w:szCs w:val="20"/>
              </w:rPr>
              <w:t>AND </w:t>
            </w:r>
            <w:r w:rsidRPr="00310498">
              <w:rPr>
                <w:rFonts w:ascii="Arial Narrow" w:hAnsi="Arial Narrow" w:cs="Segoe UI"/>
                <w:color w:val="333333"/>
                <w:sz w:val="20"/>
                <w:szCs w:val="20"/>
              </w:rPr>
              <w:t> </w:t>
            </w:r>
          </w:p>
        </w:tc>
      </w:tr>
      <w:tr w:rsidR="009B7318" w:rsidRPr="00310498" w14:paraId="7E9ADAE9"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3AF68CE" w14:textId="2B7589C1"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4B545DAF" w14:textId="77777777" w:rsidR="009B7318" w:rsidRPr="00310498" w:rsidRDefault="009B7318" w:rsidP="009B7318">
            <w:pPr>
              <w:autoSpaceDE w:val="0"/>
              <w:autoSpaceDN w:val="0"/>
              <w:adjustRightInd w:val="0"/>
              <w:rPr>
                <w:rFonts w:ascii="Arial Narrow" w:hAnsi="Arial Narrow" w:cs="Segoe UI"/>
                <w:b/>
                <w:bCs/>
                <w:color w:val="333333"/>
                <w:sz w:val="20"/>
                <w:szCs w:val="20"/>
              </w:rPr>
            </w:pPr>
            <w:r w:rsidRPr="00310498">
              <w:rPr>
                <w:rFonts w:ascii="Arial Narrow" w:hAnsi="Arial Narrow" w:cs="Segoe UI"/>
                <w:b/>
                <w:bCs/>
                <w:color w:val="333333"/>
                <w:sz w:val="20"/>
                <w:szCs w:val="20"/>
              </w:rPr>
              <w:t>Clinical criteria:</w:t>
            </w:r>
            <w:r w:rsidRPr="00310498">
              <w:rPr>
                <w:rFonts w:ascii="Arial Narrow" w:hAnsi="Arial Narrow" w:cs="Segoe UI"/>
                <w:color w:val="333333"/>
                <w:sz w:val="20"/>
                <w:szCs w:val="20"/>
              </w:rPr>
              <w:t> </w:t>
            </w:r>
          </w:p>
        </w:tc>
      </w:tr>
      <w:tr w:rsidR="009B7318" w:rsidRPr="00310498" w14:paraId="2CD3D55C"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5CD22C5" w14:textId="573284F5"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79BB986F" w14:textId="77777777" w:rsidR="009B7318" w:rsidRPr="00310498" w:rsidRDefault="009B7318" w:rsidP="009B7318">
            <w:pPr>
              <w:rPr>
                <w:rFonts w:ascii="Arial Narrow" w:hAnsi="Arial Narrow"/>
                <w:b/>
                <w:bCs/>
                <w:color w:val="333333"/>
                <w:sz w:val="20"/>
                <w:szCs w:val="20"/>
              </w:rPr>
            </w:pPr>
            <w:r w:rsidRPr="00310498">
              <w:rPr>
                <w:rFonts w:ascii="Arial Narrow" w:hAnsi="Arial Narrow" w:cs="Segoe UI"/>
                <w:color w:val="333333"/>
                <w:sz w:val="20"/>
                <w:szCs w:val="20"/>
              </w:rPr>
              <w:t>Patient must not have received prior treatment with a programmed cell death-1 (PD-1) or a programmed cell death ligand-1 (PD-L1) inhibitor for this condition </w:t>
            </w:r>
          </w:p>
        </w:tc>
      </w:tr>
      <w:tr w:rsidR="009B7318" w:rsidRPr="00310498" w14:paraId="234A2E08"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5ACE7CA" w14:textId="77777777"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65450127" w14:textId="77777777" w:rsidR="009B7318" w:rsidRPr="00310498" w:rsidRDefault="009B7318" w:rsidP="009B7318">
            <w:pPr>
              <w:rPr>
                <w:rFonts w:ascii="Arial Narrow" w:hAnsi="Arial Narrow"/>
                <w:b/>
                <w:bCs/>
                <w:color w:val="333333"/>
                <w:sz w:val="20"/>
                <w:szCs w:val="20"/>
              </w:rPr>
            </w:pPr>
            <w:r w:rsidRPr="00310498">
              <w:rPr>
                <w:rFonts w:ascii="Arial Narrow" w:hAnsi="Arial Narrow" w:cs="Segoe UI"/>
                <w:b/>
                <w:bCs/>
                <w:color w:val="333333"/>
                <w:sz w:val="20"/>
                <w:szCs w:val="20"/>
              </w:rPr>
              <w:t>AND</w:t>
            </w:r>
            <w:r w:rsidRPr="00310498">
              <w:rPr>
                <w:rFonts w:ascii="Arial Narrow" w:hAnsi="Arial Narrow" w:cs="Segoe UI"/>
                <w:color w:val="333333"/>
                <w:sz w:val="20"/>
                <w:szCs w:val="20"/>
              </w:rPr>
              <w:t> </w:t>
            </w:r>
          </w:p>
        </w:tc>
      </w:tr>
      <w:tr w:rsidR="009B7318" w:rsidRPr="00310498" w14:paraId="2E68CAA9"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FD49BDB" w14:textId="48238EA9"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4A6C0E2E" w14:textId="77777777" w:rsidR="009B7318" w:rsidRPr="00310498" w:rsidRDefault="009B7318" w:rsidP="009B7318">
            <w:pPr>
              <w:rPr>
                <w:rFonts w:ascii="Arial Narrow" w:hAnsi="Arial Narrow" w:cs="Segoe UI"/>
                <w:b/>
                <w:bCs/>
                <w:color w:val="333333"/>
                <w:sz w:val="20"/>
                <w:szCs w:val="20"/>
              </w:rPr>
            </w:pPr>
            <w:r w:rsidRPr="00310498">
              <w:rPr>
                <w:rFonts w:ascii="Arial Narrow" w:hAnsi="Arial Narrow" w:cs="Segoe UI"/>
                <w:b/>
                <w:bCs/>
                <w:color w:val="333333"/>
                <w:sz w:val="20"/>
                <w:szCs w:val="20"/>
              </w:rPr>
              <w:t>Clinical criteria:</w:t>
            </w:r>
            <w:r w:rsidRPr="00310498">
              <w:rPr>
                <w:rFonts w:ascii="Arial Narrow" w:hAnsi="Arial Narrow" w:cs="Segoe UI"/>
                <w:color w:val="333333"/>
                <w:sz w:val="20"/>
                <w:szCs w:val="20"/>
              </w:rPr>
              <w:t> </w:t>
            </w:r>
          </w:p>
        </w:tc>
      </w:tr>
      <w:tr w:rsidR="009B7318" w:rsidRPr="00310498" w14:paraId="3D252F97"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53387F8" w14:textId="1724B334" w:rsidR="009B7318" w:rsidRPr="00310498" w:rsidRDefault="009B7318" w:rsidP="009B7318">
            <w:pPr>
              <w:jc w:val="center"/>
              <w:rPr>
                <w:rFonts w:ascii="Arial Narrow" w:hAnsi="Arial Narrow"/>
                <w:color w:val="333333"/>
                <w:sz w:val="20"/>
                <w:szCs w:val="20"/>
              </w:rPr>
            </w:pPr>
          </w:p>
        </w:tc>
        <w:tc>
          <w:tcPr>
            <w:tcW w:w="4295" w:type="pct"/>
            <w:gridSpan w:val="4"/>
            <w:vAlign w:val="center"/>
            <w:hideMark/>
          </w:tcPr>
          <w:p w14:paraId="24F3EF04" w14:textId="590A3FDA" w:rsidR="009B7318" w:rsidRPr="00310498" w:rsidRDefault="009B7318" w:rsidP="009B7318">
            <w:pPr>
              <w:rPr>
                <w:rFonts w:ascii="Arial Narrow" w:hAnsi="Arial Narrow"/>
                <w:color w:val="333333"/>
                <w:sz w:val="20"/>
                <w:szCs w:val="20"/>
              </w:rPr>
            </w:pPr>
            <w:r w:rsidRPr="00310498">
              <w:rPr>
                <w:rFonts w:ascii="Arial Narrow" w:hAnsi="Arial Narrow" w:cs="Segoe UI"/>
                <w:color w:val="333333"/>
                <w:sz w:val="20"/>
                <w:szCs w:val="20"/>
              </w:rPr>
              <w:t>Patient must have a World Health Organisation (WHO) Eastern Cooperative Oncology Group (ECOG) performance status no higher than 1 prior to treatment initiation</w:t>
            </w:r>
          </w:p>
        </w:tc>
      </w:tr>
      <w:tr w:rsidR="009B7318" w:rsidRPr="00310498" w14:paraId="335045A1"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69F841A" w14:textId="77777777"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409BC7E4" w14:textId="77777777" w:rsidR="009B7318" w:rsidRPr="00310498" w:rsidRDefault="009B7318" w:rsidP="009B7318">
            <w:pPr>
              <w:rPr>
                <w:rFonts w:ascii="Arial Narrow" w:hAnsi="Arial Narrow" w:cs="Segoe UI"/>
                <w:color w:val="333333"/>
                <w:sz w:val="20"/>
                <w:szCs w:val="20"/>
              </w:rPr>
            </w:pPr>
          </w:p>
        </w:tc>
      </w:tr>
      <w:tr w:rsidR="009B7318" w:rsidRPr="00310498" w14:paraId="2FA26B02" w14:textId="77777777" w:rsidTr="00827CAD">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98BF620" w14:textId="75FB8224" w:rsidR="009B7318" w:rsidRPr="00310498" w:rsidRDefault="009B7318" w:rsidP="009B7318">
            <w:pPr>
              <w:jc w:val="center"/>
              <w:rPr>
                <w:rFonts w:ascii="Arial Narrow" w:hAnsi="Arial Narrow"/>
                <w:color w:val="333333"/>
                <w:sz w:val="20"/>
                <w:szCs w:val="20"/>
              </w:rPr>
            </w:pPr>
          </w:p>
        </w:tc>
        <w:tc>
          <w:tcPr>
            <w:tcW w:w="4295" w:type="pct"/>
            <w:gridSpan w:val="4"/>
            <w:vAlign w:val="center"/>
          </w:tcPr>
          <w:p w14:paraId="796DEBC9" w14:textId="77777777" w:rsidR="009B7318" w:rsidRPr="00310498" w:rsidRDefault="009B7318" w:rsidP="009B7318">
            <w:pPr>
              <w:rPr>
                <w:rFonts w:ascii="Arial Narrow" w:hAnsi="Arial Narrow" w:cs="Segoe UI"/>
                <w:b/>
                <w:bCs/>
                <w:color w:val="333333"/>
                <w:sz w:val="20"/>
                <w:szCs w:val="20"/>
              </w:rPr>
            </w:pPr>
            <w:r w:rsidRPr="00310498">
              <w:rPr>
                <w:rFonts w:ascii="Arial Narrow" w:hAnsi="Arial Narrow" w:cs="Segoe UI"/>
                <w:b/>
                <w:bCs/>
                <w:color w:val="333333"/>
                <w:sz w:val="20"/>
                <w:szCs w:val="20"/>
              </w:rPr>
              <w:t>Prescribing Instructions:</w:t>
            </w:r>
          </w:p>
          <w:p w14:paraId="08FB66C6" w14:textId="79408195" w:rsidR="009B7318" w:rsidRPr="00310498" w:rsidRDefault="009B7318" w:rsidP="009B7318">
            <w:pPr>
              <w:rPr>
                <w:rFonts w:ascii="Arial Narrow" w:hAnsi="Arial Narrow" w:cs="Segoe UI"/>
                <w:color w:val="333333"/>
                <w:sz w:val="20"/>
                <w:szCs w:val="20"/>
              </w:rPr>
            </w:pPr>
            <w:r w:rsidRPr="00310498">
              <w:rPr>
                <w:rFonts w:ascii="Arial Narrow" w:hAnsi="Arial Narrow" w:cs="Segoe UI"/>
                <w:color w:val="333333"/>
                <w:sz w:val="20"/>
                <w:szCs w:val="20"/>
              </w:rPr>
              <w:t xml:space="preserve">Retain all pathology imaging and investigative test results in the patient’s medical records. </w:t>
            </w:r>
          </w:p>
        </w:tc>
      </w:tr>
    </w:tbl>
    <w:p w14:paraId="7CC597CA" w14:textId="77777777" w:rsidR="00FA09C7" w:rsidRPr="00310498" w:rsidRDefault="00FA09C7" w:rsidP="00FA09C7"/>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22"/>
        <w:gridCol w:w="1919"/>
        <w:gridCol w:w="1931"/>
        <w:gridCol w:w="1931"/>
        <w:gridCol w:w="1937"/>
      </w:tblGrid>
      <w:tr w:rsidR="00FA09C7" w:rsidRPr="00310498" w14:paraId="7AD61722" w14:textId="77777777" w:rsidTr="00827CAD">
        <w:trPr>
          <w:cantSplit/>
          <w:trHeight w:val="20"/>
        </w:trPr>
        <w:tc>
          <w:tcPr>
            <w:tcW w:w="1793" w:type="pct"/>
            <w:gridSpan w:val="3"/>
            <w:vAlign w:val="center"/>
          </w:tcPr>
          <w:p w14:paraId="435D0D67" w14:textId="77777777" w:rsidR="00FA09C7" w:rsidRPr="00310498" w:rsidRDefault="00FA09C7" w:rsidP="00FA09C7">
            <w:pPr>
              <w:rPr>
                <w:rFonts w:ascii="Arial Narrow" w:hAnsi="Arial Narrow"/>
                <w:b/>
                <w:bCs/>
                <w:sz w:val="20"/>
                <w:szCs w:val="20"/>
              </w:rPr>
            </w:pPr>
            <w:r w:rsidRPr="00310498">
              <w:rPr>
                <w:rFonts w:ascii="Arial Narrow" w:hAnsi="Arial Narrow"/>
                <w:b/>
                <w:bCs/>
                <w:sz w:val="20"/>
                <w:szCs w:val="20"/>
              </w:rPr>
              <w:t>MEDICINAL PRODUCT</w:t>
            </w:r>
          </w:p>
          <w:p w14:paraId="63D80D58" w14:textId="77777777" w:rsidR="00FA09C7" w:rsidRPr="00310498" w:rsidRDefault="00FA09C7" w:rsidP="00FA09C7">
            <w:pPr>
              <w:rPr>
                <w:rFonts w:ascii="Arial Narrow" w:hAnsi="Arial Narrow"/>
                <w:b/>
                <w:sz w:val="20"/>
                <w:szCs w:val="20"/>
              </w:rPr>
            </w:pPr>
            <w:r w:rsidRPr="00310498">
              <w:rPr>
                <w:rFonts w:ascii="Arial Narrow" w:hAnsi="Arial Narrow"/>
                <w:b/>
                <w:sz w:val="20"/>
                <w:szCs w:val="20"/>
              </w:rPr>
              <w:t>Form</w:t>
            </w:r>
          </w:p>
        </w:tc>
        <w:tc>
          <w:tcPr>
            <w:tcW w:w="1068" w:type="pct"/>
            <w:vAlign w:val="center"/>
          </w:tcPr>
          <w:p w14:paraId="7284DC81" w14:textId="77777777" w:rsidR="00FA09C7" w:rsidRPr="00310498" w:rsidRDefault="00FA09C7" w:rsidP="00FA09C7">
            <w:pPr>
              <w:jc w:val="center"/>
              <w:rPr>
                <w:rFonts w:ascii="Arial Narrow" w:hAnsi="Arial Narrow"/>
                <w:b/>
                <w:sz w:val="20"/>
                <w:szCs w:val="20"/>
              </w:rPr>
            </w:pPr>
            <w:r w:rsidRPr="00310498">
              <w:rPr>
                <w:rFonts w:ascii="Arial Narrow" w:hAnsi="Arial Narrow"/>
                <w:b/>
                <w:sz w:val="20"/>
                <w:szCs w:val="20"/>
              </w:rPr>
              <w:t>PBS item code</w:t>
            </w:r>
          </w:p>
        </w:tc>
        <w:tc>
          <w:tcPr>
            <w:tcW w:w="1068" w:type="pct"/>
            <w:vAlign w:val="center"/>
          </w:tcPr>
          <w:p w14:paraId="6E0C4483" w14:textId="77777777" w:rsidR="00FA09C7" w:rsidRPr="00310498" w:rsidRDefault="00FA09C7" w:rsidP="00FA09C7">
            <w:pPr>
              <w:jc w:val="center"/>
              <w:rPr>
                <w:rFonts w:ascii="Arial Narrow" w:hAnsi="Arial Narrow"/>
                <w:b/>
                <w:sz w:val="20"/>
                <w:szCs w:val="20"/>
              </w:rPr>
            </w:pPr>
            <w:r w:rsidRPr="00310498">
              <w:rPr>
                <w:rFonts w:ascii="Arial Narrow" w:hAnsi="Arial Narrow"/>
                <w:b/>
                <w:sz w:val="20"/>
                <w:szCs w:val="20"/>
              </w:rPr>
              <w:t>Max. Amount</w:t>
            </w:r>
          </w:p>
        </w:tc>
        <w:tc>
          <w:tcPr>
            <w:tcW w:w="1071" w:type="pct"/>
            <w:vAlign w:val="center"/>
          </w:tcPr>
          <w:p w14:paraId="67AD34F9" w14:textId="59DA139F" w:rsidR="00FA09C7" w:rsidRPr="00310498" w:rsidRDefault="00FA09C7" w:rsidP="00FA09C7">
            <w:pPr>
              <w:jc w:val="center"/>
              <w:rPr>
                <w:rFonts w:ascii="Arial Narrow" w:hAnsi="Arial Narrow"/>
                <w:b/>
                <w:sz w:val="20"/>
                <w:szCs w:val="20"/>
              </w:rPr>
            </w:pPr>
            <w:r w:rsidRPr="00310498">
              <w:rPr>
                <w:rFonts w:ascii="Arial Narrow" w:hAnsi="Arial Narrow"/>
                <w:b/>
                <w:sz w:val="20"/>
                <w:szCs w:val="20"/>
              </w:rPr>
              <w:t>№.</w:t>
            </w:r>
            <w:r>
              <w:rPr>
                <w:rFonts w:ascii="Arial Narrow" w:hAnsi="Arial Narrow"/>
                <w:b/>
                <w:sz w:val="20"/>
                <w:szCs w:val="20"/>
              </w:rPr>
              <w:t xml:space="preserve"> </w:t>
            </w:r>
            <w:r w:rsidRPr="00310498">
              <w:rPr>
                <w:rFonts w:ascii="Arial Narrow" w:hAnsi="Arial Narrow"/>
                <w:b/>
                <w:sz w:val="20"/>
                <w:szCs w:val="20"/>
              </w:rPr>
              <w:t>of Rpts</w:t>
            </w:r>
          </w:p>
        </w:tc>
      </w:tr>
      <w:tr w:rsidR="00FA09C7" w:rsidRPr="00310498" w14:paraId="0DD5BC55" w14:textId="77777777" w:rsidTr="00827CAD">
        <w:trPr>
          <w:cantSplit/>
          <w:trHeight w:val="20"/>
        </w:trPr>
        <w:tc>
          <w:tcPr>
            <w:tcW w:w="1793" w:type="pct"/>
            <w:gridSpan w:val="3"/>
            <w:vAlign w:val="center"/>
          </w:tcPr>
          <w:p w14:paraId="02427C06" w14:textId="77777777" w:rsidR="00FA09C7" w:rsidRPr="00310498" w:rsidRDefault="00FA09C7" w:rsidP="00FA09C7">
            <w:pPr>
              <w:rPr>
                <w:rFonts w:ascii="Arial Narrow" w:hAnsi="Arial Narrow"/>
                <w:sz w:val="20"/>
                <w:szCs w:val="20"/>
              </w:rPr>
            </w:pPr>
            <w:r w:rsidRPr="00310498">
              <w:rPr>
                <w:rFonts w:ascii="Arial Narrow" w:hAnsi="Arial Narrow"/>
                <w:sz w:val="20"/>
                <w:szCs w:val="20"/>
              </w:rPr>
              <w:t>DURVALUMAB</w:t>
            </w:r>
          </w:p>
          <w:p w14:paraId="4B9CB1A5" w14:textId="77777777" w:rsidR="00FA09C7" w:rsidRPr="00310498" w:rsidRDefault="00FA09C7" w:rsidP="00FA09C7">
            <w:pPr>
              <w:rPr>
                <w:rFonts w:ascii="Arial Narrow" w:hAnsi="Arial Narrow"/>
                <w:sz w:val="20"/>
                <w:szCs w:val="20"/>
              </w:rPr>
            </w:pPr>
          </w:p>
        </w:tc>
        <w:tc>
          <w:tcPr>
            <w:tcW w:w="1068" w:type="pct"/>
            <w:vAlign w:val="center"/>
          </w:tcPr>
          <w:p w14:paraId="5557DB03" w14:textId="77777777" w:rsidR="00FA09C7" w:rsidRPr="00310498" w:rsidRDefault="00FA09C7" w:rsidP="00FA09C7">
            <w:pPr>
              <w:jc w:val="center"/>
              <w:rPr>
                <w:rFonts w:ascii="Arial Narrow" w:hAnsi="Arial Narrow"/>
                <w:sz w:val="20"/>
                <w:szCs w:val="20"/>
              </w:rPr>
            </w:pPr>
            <w:r w:rsidRPr="00310498">
              <w:rPr>
                <w:rFonts w:ascii="Arial Narrow" w:hAnsi="Arial Narrow"/>
                <w:sz w:val="20"/>
                <w:szCs w:val="20"/>
              </w:rPr>
              <w:t>NEW (Public)</w:t>
            </w:r>
            <w:r w:rsidRPr="00310498">
              <w:rPr>
                <w:rFonts w:ascii="Arial Narrow" w:hAnsi="Arial Narrow"/>
                <w:sz w:val="20"/>
                <w:szCs w:val="20"/>
              </w:rPr>
              <w:br/>
              <w:t>NEW (Private)</w:t>
            </w:r>
          </w:p>
        </w:tc>
        <w:tc>
          <w:tcPr>
            <w:tcW w:w="1068" w:type="pct"/>
            <w:vAlign w:val="center"/>
          </w:tcPr>
          <w:p w14:paraId="2679EB4B" w14:textId="77777777" w:rsidR="00FA09C7" w:rsidRPr="00310498" w:rsidRDefault="00FA09C7" w:rsidP="00FA09C7">
            <w:pPr>
              <w:jc w:val="center"/>
              <w:rPr>
                <w:rFonts w:ascii="Arial Narrow" w:hAnsi="Arial Narrow"/>
                <w:sz w:val="20"/>
                <w:szCs w:val="20"/>
              </w:rPr>
            </w:pPr>
            <w:r w:rsidRPr="00310498">
              <w:rPr>
                <w:rFonts w:ascii="Arial Narrow" w:hAnsi="Arial Narrow"/>
                <w:sz w:val="20"/>
                <w:szCs w:val="20"/>
              </w:rPr>
              <w:t>1500 mg</w:t>
            </w:r>
          </w:p>
        </w:tc>
        <w:tc>
          <w:tcPr>
            <w:tcW w:w="1071" w:type="pct"/>
            <w:vAlign w:val="center"/>
          </w:tcPr>
          <w:p w14:paraId="2E44509F" w14:textId="77777777" w:rsidR="00FA09C7" w:rsidRPr="00310498" w:rsidRDefault="00FA09C7" w:rsidP="00FA09C7">
            <w:pPr>
              <w:jc w:val="center"/>
              <w:rPr>
                <w:rFonts w:ascii="Arial Narrow" w:hAnsi="Arial Narrow"/>
                <w:sz w:val="20"/>
                <w:szCs w:val="20"/>
              </w:rPr>
            </w:pPr>
            <w:r w:rsidRPr="00310498">
              <w:rPr>
                <w:rFonts w:ascii="Arial Narrow" w:hAnsi="Arial Narrow"/>
                <w:sz w:val="20"/>
                <w:szCs w:val="20"/>
              </w:rPr>
              <w:t>5</w:t>
            </w:r>
          </w:p>
        </w:tc>
      </w:tr>
      <w:tr w:rsidR="00FA09C7" w:rsidRPr="00310498" w14:paraId="24DA14A6" w14:textId="77777777" w:rsidTr="00827CAD">
        <w:trPr>
          <w:cantSplit/>
          <w:trHeight w:val="20"/>
        </w:trPr>
        <w:tc>
          <w:tcPr>
            <w:tcW w:w="5000" w:type="pct"/>
            <w:gridSpan w:val="6"/>
            <w:vAlign w:val="center"/>
          </w:tcPr>
          <w:p w14:paraId="5BA6B0D0" w14:textId="77777777" w:rsidR="00FA09C7" w:rsidRPr="00310498" w:rsidRDefault="00FA09C7" w:rsidP="00FA09C7">
            <w:pPr>
              <w:rPr>
                <w:rFonts w:ascii="Arial Narrow" w:hAnsi="Arial Narrow"/>
                <w:b/>
                <w:sz w:val="20"/>
                <w:szCs w:val="20"/>
              </w:rPr>
            </w:pPr>
            <w:r w:rsidRPr="00310498">
              <w:rPr>
                <w:rFonts w:ascii="Arial Narrow" w:hAnsi="Arial Narrow"/>
                <w:b/>
                <w:sz w:val="20"/>
                <w:szCs w:val="20"/>
              </w:rPr>
              <w:t xml:space="preserve">Available brands </w:t>
            </w:r>
          </w:p>
        </w:tc>
      </w:tr>
      <w:tr w:rsidR="00FA09C7" w:rsidRPr="00310498" w14:paraId="6AAEC226" w14:textId="77777777" w:rsidTr="00827CAD">
        <w:trPr>
          <w:cantSplit/>
          <w:trHeight w:val="20"/>
        </w:trPr>
        <w:tc>
          <w:tcPr>
            <w:tcW w:w="5000" w:type="pct"/>
            <w:gridSpan w:val="6"/>
            <w:vAlign w:val="center"/>
          </w:tcPr>
          <w:p w14:paraId="5D56EC29" w14:textId="2C4F880E" w:rsidR="00FA09C7" w:rsidRPr="00310498" w:rsidRDefault="00FA09C7" w:rsidP="00FA09C7">
            <w:pPr>
              <w:rPr>
                <w:rFonts w:ascii="Arial Narrow" w:hAnsi="Arial Narrow"/>
                <w:sz w:val="20"/>
                <w:szCs w:val="20"/>
              </w:rPr>
            </w:pPr>
            <w:r w:rsidRPr="00310498">
              <w:rPr>
                <w:rFonts w:ascii="Arial Narrow" w:hAnsi="Arial Narrow"/>
                <w:sz w:val="20"/>
                <w:szCs w:val="20"/>
              </w:rPr>
              <w:t>Imfinzi</w:t>
            </w:r>
            <w:r w:rsidRPr="00310498">
              <w:rPr>
                <w:rFonts w:ascii="Arial Narrow" w:hAnsi="Arial Narrow"/>
                <w:color w:val="FF0000"/>
                <w:sz w:val="20"/>
                <w:szCs w:val="20"/>
              </w:rPr>
              <w:br/>
            </w:r>
            <w:r w:rsidRPr="00310498">
              <w:rPr>
                <w:rFonts w:ascii="Arial Narrow" w:hAnsi="Arial Narrow"/>
                <w:sz w:val="20"/>
                <w:szCs w:val="20"/>
              </w:rPr>
              <w:t>durvalumab 120 mg/2.4 mL injection, 2.4 mL vial</w:t>
            </w:r>
          </w:p>
        </w:tc>
      </w:tr>
      <w:tr w:rsidR="00FA09C7" w:rsidRPr="00310498" w14:paraId="3C60E9A9" w14:textId="77777777" w:rsidTr="00827CAD">
        <w:trPr>
          <w:cantSplit/>
          <w:trHeight w:val="20"/>
        </w:trPr>
        <w:tc>
          <w:tcPr>
            <w:tcW w:w="5000" w:type="pct"/>
            <w:gridSpan w:val="6"/>
            <w:vAlign w:val="center"/>
          </w:tcPr>
          <w:p w14:paraId="4D5B232A" w14:textId="02235C5A" w:rsidR="00FA09C7" w:rsidRPr="00310498" w:rsidRDefault="00FA09C7" w:rsidP="00FA09C7">
            <w:pPr>
              <w:rPr>
                <w:rFonts w:ascii="Arial Narrow" w:hAnsi="Arial Narrow"/>
                <w:sz w:val="20"/>
                <w:szCs w:val="20"/>
              </w:rPr>
            </w:pPr>
            <w:r w:rsidRPr="00310498">
              <w:rPr>
                <w:rFonts w:ascii="Arial Narrow" w:hAnsi="Arial Narrow"/>
                <w:sz w:val="20"/>
                <w:szCs w:val="20"/>
              </w:rPr>
              <w:t>Imfinzi</w:t>
            </w:r>
            <w:r w:rsidRPr="00310498">
              <w:rPr>
                <w:rFonts w:ascii="Arial Narrow" w:hAnsi="Arial Narrow"/>
                <w:sz w:val="20"/>
                <w:szCs w:val="20"/>
              </w:rPr>
              <w:br/>
              <w:t>durvalumab 500 mg/10 mL injection, 10 mL vial</w:t>
            </w:r>
          </w:p>
        </w:tc>
      </w:tr>
      <w:tr w:rsidR="00FA09C7" w:rsidRPr="00310498" w14:paraId="6BCFAFB6" w14:textId="77777777" w:rsidTr="00827CA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CF0C558" w14:textId="77777777" w:rsidR="00FA09C7" w:rsidRPr="00310498" w:rsidRDefault="00FA09C7" w:rsidP="00FA09C7">
            <w:pPr>
              <w:rPr>
                <w:rFonts w:ascii="Arial Narrow" w:hAnsi="Arial Narrow"/>
                <w:bCs/>
                <w:color w:val="FF0000"/>
                <w:sz w:val="20"/>
                <w:szCs w:val="20"/>
              </w:rPr>
            </w:pPr>
          </w:p>
        </w:tc>
      </w:tr>
      <w:tr w:rsidR="00FA09C7" w:rsidRPr="00310498" w14:paraId="7B5413B6" w14:textId="77777777" w:rsidTr="00827CAD">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994C4F1" w14:textId="77777777" w:rsidR="00FA09C7" w:rsidRPr="00310498" w:rsidRDefault="00FA09C7" w:rsidP="00FA09C7">
            <w:pPr>
              <w:rPr>
                <w:rFonts w:ascii="Arial Narrow" w:hAnsi="Arial Narrow"/>
                <w:b/>
                <w:bCs/>
                <w:color w:val="333333"/>
                <w:sz w:val="20"/>
                <w:szCs w:val="20"/>
              </w:rPr>
            </w:pPr>
            <w:r w:rsidRPr="00310498">
              <w:rPr>
                <w:rFonts w:ascii="Arial Narrow" w:hAnsi="Arial Narrow"/>
                <w:b/>
                <w:bCs/>
                <w:color w:val="333333"/>
                <w:sz w:val="20"/>
                <w:szCs w:val="20"/>
              </w:rPr>
              <w:t>Restriction Summary [new]</w:t>
            </w:r>
            <w:r w:rsidRPr="00310498">
              <w:rPr>
                <w:rFonts w:ascii="Arial Narrow" w:hAnsi="Arial Narrow"/>
                <w:b/>
                <w:bCs/>
                <w:color w:val="FF0000"/>
                <w:sz w:val="20"/>
                <w:szCs w:val="20"/>
              </w:rPr>
              <w:t xml:space="preserve"> </w:t>
            </w:r>
            <w:r w:rsidRPr="00310498">
              <w:rPr>
                <w:rFonts w:ascii="Arial Narrow" w:hAnsi="Arial Narrow"/>
                <w:b/>
                <w:bCs/>
                <w:color w:val="333333"/>
                <w:sz w:val="20"/>
                <w:szCs w:val="20"/>
              </w:rPr>
              <w:t xml:space="preserve">/ Treatment of Concept: [new] </w:t>
            </w:r>
          </w:p>
        </w:tc>
      </w:tr>
      <w:tr w:rsidR="00FA09C7" w:rsidRPr="00310498" w14:paraId="61F6F438"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Merge w:val="restart"/>
          </w:tcPr>
          <w:p w14:paraId="638515DD" w14:textId="7B14E074" w:rsidR="00FA09C7" w:rsidRPr="00310498" w:rsidRDefault="00FA09C7" w:rsidP="00FA09C7">
            <w:pPr>
              <w:jc w:val="center"/>
              <w:rPr>
                <w:rFonts w:ascii="Arial Narrow" w:hAnsi="Arial Narrow"/>
                <w:sz w:val="20"/>
                <w:szCs w:val="20"/>
              </w:rPr>
            </w:pPr>
          </w:p>
        </w:tc>
        <w:tc>
          <w:tcPr>
            <w:tcW w:w="4268" w:type="pct"/>
            <w:gridSpan w:val="4"/>
            <w:vAlign w:val="center"/>
          </w:tcPr>
          <w:p w14:paraId="03A4BD18" w14:textId="77777777" w:rsidR="00FA09C7" w:rsidRPr="00310498" w:rsidRDefault="00FA09C7" w:rsidP="00FA09C7">
            <w:pPr>
              <w:rPr>
                <w:rFonts w:ascii="Arial Narrow" w:hAnsi="Arial Narrow"/>
                <w:sz w:val="20"/>
                <w:szCs w:val="20"/>
              </w:rPr>
            </w:pPr>
            <w:r w:rsidRPr="00310498">
              <w:rPr>
                <w:rFonts w:ascii="Arial Narrow" w:hAnsi="Arial Narrow"/>
                <w:b/>
                <w:sz w:val="20"/>
                <w:szCs w:val="20"/>
              </w:rPr>
              <w:t xml:space="preserve">Category / Program: </w:t>
            </w:r>
            <w:r w:rsidRPr="00310498">
              <w:rPr>
                <w:rFonts w:ascii="Arial Narrow" w:hAnsi="Arial Narrow"/>
                <w:sz w:val="20"/>
                <w:szCs w:val="20"/>
              </w:rPr>
              <w:t>Section 100 – Efficient Funding of Chemotherapy Public/Private hospitals</w:t>
            </w:r>
          </w:p>
        </w:tc>
      </w:tr>
      <w:tr w:rsidR="00FA09C7" w:rsidRPr="00310498" w14:paraId="74E502F0"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Merge/>
          </w:tcPr>
          <w:p w14:paraId="5A03F284" w14:textId="77777777" w:rsidR="00FA09C7" w:rsidRPr="00310498" w:rsidRDefault="00FA09C7" w:rsidP="00FA09C7">
            <w:pPr>
              <w:rPr>
                <w:rFonts w:ascii="Arial Narrow" w:hAnsi="Arial Narrow"/>
                <w:sz w:val="20"/>
                <w:szCs w:val="20"/>
              </w:rPr>
            </w:pPr>
          </w:p>
        </w:tc>
        <w:tc>
          <w:tcPr>
            <w:tcW w:w="4268" w:type="pct"/>
            <w:gridSpan w:val="4"/>
            <w:vAlign w:val="center"/>
          </w:tcPr>
          <w:p w14:paraId="647B9A8D" w14:textId="77777777" w:rsidR="00FA09C7" w:rsidRPr="00310498" w:rsidRDefault="00FA09C7" w:rsidP="00FA09C7">
            <w:pPr>
              <w:rPr>
                <w:rFonts w:ascii="Arial Narrow" w:hAnsi="Arial Narrow"/>
                <w:b/>
                <w:sz w:val="20"/>
                <w:szCs w:val="20"/>
              </w:rPr>
            </w:pPr>
            <w:r w:rsidRPr="00310498">
              <w:rPr>
                <w:rFonts w:ascii="Arial Narrow" w:hAnsi="Arial Narrow"/>
                <w:b/>
                <w:sz w:val="20"/>
                <w:szCs w:val="20"/>
              </w:rPr>
              <w:t xml:space="preserve">Prescriber type: </w:t>
            </w:r>
            <w:r w:rsidRPr="00310498">
              <w:rPr>
                <w:rFonts w:ascii="Arial Narrow" w:hAnsi="Arial Narrow"/>
                <w:sz w:val="20"/>
                <w:szCs w:val="20"/>
              </w:rPr>
              <w:fldChar w:fldCharType="begin" w:fldLock="1">
                <w:ffData>
                  <w:name w:val=""/>
                  <w:enabled/>
                  <w:calcOnExit w:val="0"/>
                  <w:checkBox>
                    <w:sizeAuto/>
                    <w:default w:val="1"/>
                  </w:checkBox>
                </w:ffData>
              </w:fldChar>
            </w:r>
            <w:r w:rsidRPr="00310498">
              <w:rPr>
                <w:rFonts w:ascii="Arial Narrow" w:hAnsi="Arial Narrow"/>
                <w:sz w:val="20"/>
                <w:szCs w:val="20"/>
              </w:rPr>
              <w:instrText xml:space="preserve"> FORMCHECKBOX </w:instrText>
            </w:r>
            <w:r w:rsidRPr="00310498">
              <w:rPr>
                <w:rFonts w:ascii="Arial Narrow" w:hAnsi="Arial Narrow"/>
                <w:sz w:val="20"/>
                <w:szCs w:val="20"/>
              </w:rPr>
            </w:r>
            <w:r w:rsidRPr="00310498">
              <w:rPr>
                <w:rFonts w:ascii="Arial Narrow" w:hAnsi="Arial Narrow"/>
                <w:sz w:val="20"/>
                <w:szCs w:val="20"/>
              </w:rPr>
              <w:fldChar w:fldCharType="separate"/>
            </w:r>
            <w:r w:rsidRPr="00310498">
              <w:rPr>
                <w:rFonts w:ascii="Arial Narrow" w:hAnsi="Arial Narrow"/>
                <w:sz w:val="20"/>
                <w:szCs w:val="20"/>
              </w:rPr>
              <w:fldChar w:fldCharType="end"/>
            </w:r>
            <w:r w:rsidRPr="00310498">
              <w:rPr>
                <w:rFonts w:ascii="Arial Narrow" w:hAnsi="Arial Narrow"/>
                <w:sz w:val="20"/>
                <w:szCs w:val="20"/>
              </w:rPr>
              <w:t xml:space="preserve">Medical Practitioners </w:t>
            </w:r>
          </w:p>
        </w:tc>
      </w:tr>
      <w:tr w:rsidR="00FA09C7" w:rsidRPr="00310498" w14:paraId="5F1B97DC" w14:textId="77777777" w:rsidTr="00827CAD">
        <w:tblPrEx>
          <w:tblCellMar>
            <w:top w:w="15" w:type="dxa"/>
            <w:bottom w:w="15" w:type="dxa"/>
          </w:tblCellMar>
          <w:tblLook w:val="04A0" w:firstRow="1" w:lastRow="0" w:firstColumn="1" w:lastColumn="0" w:noHBand="0" w:noVBand="1"/>
        </w:tblPrEx>
        <w:trPr>
          <w:cantSplit/>
          <w:trHeight w:val="45"/>
        </w:trPr>
        <w:tc>
          <w:tcPr>
            <w:tcW w:w="732" w:type="pct"/>
            <w:gridSpan w:val="2"/>
            <w:vMerge/>
          </w:tcPr>
          <w:p w14:paraId="10AEAAB9" w14:textId="77777777" w:rsidR="00FA09C7" w:rsidRPr="00310498" w:rsidRDefault="00FA09C7" w:rsidP="00FA09C7">
            <w:pPr>
              <w:rPr>
                <w:rFonts w:ascii="Arial Narrow" w:hAnsi="Arial Narrow"/>
                <w:sz w:val="20"/>
                <w:szCs w:val="20"/>
              </w:rPr>
            </w:pPr>
          </w:p>
        </w:tc>
        <w:tc>
          <w:tcPr>
            <w:tcW w:w="4268" w:type="pct"/>
            <w:gridSpan w:val="4"/>
            <w:vAlign w:val="center"/>
          </w:tcPr>
          <w:p w14:paraId="17D846AA" w14:textId="77777777" w:rsidR="00FA09C7" w:rsidRPr="00310498" w:rsidRDefault="00FA09C7" w:rsidP="00FA09C7">
            <w:pPr>
              <w:rPr>
                <w:rFonts w:ascii="Arial Narrow" w:eastAsia="Calibri" w:hAnsi="Arial Narrow"/>
                <w:color w:val="FF0000"/>
                <w:sz w:val="20"/>
                <w:szCs w:val="20"/>
              </w:rPr>
            </w:pPr>
            <w:r w:rsidRPr="00310498">
              <w:rPr>
                <w:rFonts w:ascii="Arial Narrow" w:hAnsi="Arial Narrow"/>
                <w:b/>
                <w:sz w:val="20"/>
                <w:szCs w:val="20"/>
              </w:rPr>
              <w:t xml:space="preserve">Restriction type: </w:t>
            </w:r>
            <w:r w:rsidRPr="00310498">
              <w:rPr>
                <w:rFonts w:ascii="Arial Narrow" w:eastAsia="Calibri" w:hAnsi="Arial Narrow"/>
                <w:sz w:val="20"/>
                <w:szCs w:val="20"/>
              </w:rPr>
              <w:fldChar w:fldCharType="begin" w:fldLock="1">
                <w:ffData>
                  <w:name w:val=""/>
                  <w:enabled/>
                  <w:calcOnExit w:val="0"/>
                  <w:checkBox>
                    <w:sizeAuto/>
                    <w:default w:val="1"/>
                  </w:checkBox>
                </w:ffData>
              </w:fldChar>
            </w:r>
            <w:r w:rsidRPr="00310498">
              <w:rPr>
                <w:rFonts w:ascii="Arial Narrow" w:eastAsia="Calibri" w:hAnsi="Arial Narrow"/>
                <w:sz w:val="20"/>
                <w:szCs w:val="20"/>
              </w:rPr>
              <w:instrText xml:space="preserve"> FORMCHECKBOX </w:instrText>
            </w:r>
            <w:r w:rsidRPr="00310498">
              <w:rPr>
                <w:rFonts w:ascii="Arial Narrow" w:eastAsia="Calibri" w:hAnsi="Arial Narrow"/>
                <w:sz w:val="20"/>
                <w:szCs w:val="20"/>
              </w:rPr>
            </w:r>
            <w:r w:rsidRPr="00310498">
              <w:rPr>
                <w:rFonts w:ascii="Arial Narrow" w:eastAsia="Calibri" w:hAnsi="Arial Narrow"/>
                <w:sz w:val="20"/>
                <w:szCs w:val="20"/>
              </w:rPr>
              <w:fldChar w:fldCharType="separate"/>
            </w:r>
            <w:r w:rsidRPr="00310498">
              <w:rPr>
                <w:rFonts w:ascii="Arial Narrow" w:eastAsia="Calibri" w:hAnsi="Arial Narrow"/>
                <w:sz w:val="20"/>
                <w:szCs w:val="20"/>
              </w:rPr>
              <w:fldChar w:fldCharType="end"/>
            </w:r>
            <w:r w:rsidRPr="00310498">
              <w:rPr>
                <w:rFonts w:ascii="Arial Narrow" w:eastAsia="Calibri" w:hAnsi="Arial Narrow"/>
                <w:sz w:val="20"/>
                <w:szCs w:val="20"/>
              </w:rPr>
              <w:t>Authority Required (STREAMLINED) [new code]</w:t>
            </w:r>
          </w:p>
        </w:tc>
      </w:tr>
      <w:tr w:rsidR="00FA09C7" w:rsidRPr="00310498" w14:paraId="5C8D5327" w14:textId="77777777" w:rsidTr="00827CAD">
        <w:tblPrEx>
          <w:tblCellMar>
            <w:top w:w="15" w:type="dxa"/>
            <w:bottom w:w="15" w:type="dxa"/>
          </w:tblCellMar>
          <w:tblLook w:val="04A0" w:firstRow="1" w:lastRow="0" w:firstColumn="1" w:lastColumn="0" w:noHBand="0" w:noVBand="1"/>
        </w:tblPrEx>
        <w:trPr>
          <w:cantSplit/>
          <w:trHeight w:val="20"/>
        </w:trPr>
        <w:tc>
          <w:tcPr>
            <w:tcW w:w="333" w:type="pct"/>
            <w:vMerge w:val="restart"/>
            <w:textDirection w:val="btLr"/>
            <w:vAlign w:val="center"/>
          </w:tcPr>
          <w:p w14:paraId="409DC44A" w14:textId="6AF3AD96" w:rsidR="00FA09C7" w:rsidRPr="00310498" w:rsidRDefault="00FA09C7" w:rsidP="00FA09C7">
            <w:pPr>
              <w:ind w:left="113" w:right="113"/>
              <w:rPr>
                <w:rFonts w:ascii="Arial Narrow" w:hAnsi="Arial Narrow"/>
                <w:sz w:val="20"/>
                <w:szCs w:val="20"/>
              </w:rPr>
            </w:pPr>
          </w:p>
        </w:tc>
        <w:tc>
          <w:tcPr>
            <w:tcW w:w="399" w:type="pct"/>
            <w:vAlign w:val="center"/>
          </w:tcPr>
          <w:p w14:paraId="7F801DE6" w14:textId="21573F9E" w:rsidR="00FA09C7" w:rsidRPr="00310498" w:rsidRDefault="00FA09C7" w:rsidP="00FA09C7">
            <w:pPr>
              <w:rPr>
                <w:rFonts w:ascii="Arial Narrow" w:hAnsi="Arial Narrow"/>
                <w:sz w:val="20"/>
                <w:szCs w:val="20"/>
              </w:rPr>
            </w:pPr>
          </w:p>
        </w:tc>
        <w:tc>
          <w:tcPr>
            <w:tcW w:w="4268" w:type="pct"/>
            <w:gridSpan w:val="4"/>
            <w:vAlign w:val="center"/>
          </w:tcPr>
          <w:p w14:paraId="71080AA5" w14:textId="44C4C5E1" w:rsidR="00FA09C7" w:rsidRPr="00310498" w:rsidRDefault="00FA09C7" w:rsidP="00FA09C7">
            <w:pPr>
              <w:rPr>
                <w:rFonts w:ascii="Arial Narrow" w:hAnsi="Arial Narrow"/>
                <w:b/>
                <w:sz w:val="20"/>
                <w:szCs w:val="20"/>
              </w:rPr>
            </w:pPr>
            <w:r w:rsidRPr="00310498">
              <w:rPr>
                <w:rFonts w:ascii="Arial Narrow" w:hAnsi="Arial Narrow"/>
                <w:b/>
                <w:bCs/>
                <w:color w:val="333333"/>
                <w:sz w:val="20"/>
                <w:szCs w:val="20"/>
              </w:rPr>
              <w:t xml:space="preserve">Administrative Advice: </w:t>
            </w:r>
            <w:r w:rsidRPr="00310498">
              <w:rPr>
                <w:rFonts w:ascii="Arial Narrow" w:hAnsi="Arial Narrow"/>
                <w:color w:val="333333"/>
                <w:sz w:val="20"/>
                <w:szCs w:val="20"/>
              </w:rPr>
              <w:t>No increase in the maximum amount or number of units may be authorised</w:t>
            </w:r>
          </w:p>
        </w:tc>
      </w:tr>
      <w:tr w:rsidR="00FA09C7" w:rsidRPr="00310498" w14:paraId="06D6C7D5" w14:textId="77777777" w:rsidTr="00827CAD">
        <w:tblPrEx>
          <w:tblCellMar>
            <w:top w:w="15" w:type="dxa"/>
            <w:bottom w:w="15" w:type="dxa"/>
          </w:tblCellMar>
          <w:tblLook w:val="04A0" w:firstRow="1" w:lastRow="0" w:firstColumn="1" w:lastColumn="0" w:noHBand="0" w:noVBand="1"/>
        </w:tblPrEx>
        <w:trPr>
          <w:cantSplit/>
          <w:trHeight w:val="20"/>
        </w:trPr>
        <w:tc>
          <w:tcPr>
            <w:tcW w:w="333" w:type="pct"/>
            <w:vMerge/>
            <w:vAlign w:val="center"/>
          </w:tcPr>
          <w:p w14:paraId="34BBD8B5" w14:textId="77777777" w:rsidR="00FA09C7" w:rsidRPr="00310498" w:rsidRDefault="00FA09C7" w:rsidP="00FA09C7">
            <w:pPr>
              <w:rPr>
                <w:rFonts w:ascii="Arial Narrow" w:hAnsi="Arial Narrow"/>
                <w:sz w:val="20"/>
                <w:szCs w:val="20"/>
              </w:rPr>
            </w:pPr>
          </w:p>
        </w:tc>
        <w:tc>
          <w:tcPr>
            <w:tcW w:w="399" w:type="pct"/>
            <w:vAlign w:val="center"/>
          </w:tcPr>
          <w:p w14:paraId="257573EB" w14:textId="2B304812" w:rsidR="00FA09C7" w:rsidRPr="00310498" w:rsidRDefault="00FA09C7" w:rsidP="00FA09C7">
            <w:pPr>
              <w:rPr>
                <w:rFonts w:ascii="Arial Narrow" w:hAnsi="Arial Narrow"/>
                <w:sz w:val="20"/>
                <w:szCs w:val="20"/>
              </w:rPr>
            </w:pPr>
          </w:p>
        </w:tc>
        <w:tc>
          <w:tcPr>
            <w:tcW w:w="4268" w:type="pct"/>
            <w:gridSpan w:val="4"/>
            <w:vAlign w:val="center"/>
          </w:tcPr>
          <w:p w14:paraId="25ECC1E2" w14:textId="77777777" w:rsidR="00FA09C7" w:rsidRPr="00310498" w:rsidRDefault="00FA09C7" w:rsidP="00FA09C7">
            <w:pPr>
              <w:rPr>
                <w:rFonts w:ascii="Arial Narrow" w:hAnsi="Arial Narrow"/>
                <w:b/>
                <w:sz w:val="20"/>
                <w:szCs w:val="20"/>
              </w:rPr>
            </w:pPr>
            <w:r w:rsidRPr="00310498">
              <w:rPr>
                <w:rFonts w:ascii="Arial Narrow" w:hAnsi="Arial Narrow"/>
                <w:b/>
                <w:bCs/>
                <w:color w:val="333333"/>
                <w:sz w:val="20"/>
                <w:szCs w:val="20"/>
              </w:rPr>
              <w:t xml:space="preserve">Administrative Advice: </w:t>
            </w:r>
            <w:r w:rsidRPr="00310498">
              <w:rPr>
                <w:rFonts w:ascii="Arial Narrow" w:hAnsi="Arial Narrow"/>
                <w:color w:val="333333"/>
                <w:sz w:val="20"/>
                <w:szCs w:val="20"/>
              </w:rPr>
              <w:t>No increase in the maximum number of repeats may be authorised.</w:t>
            </w:r>
          </w:p>
        </w:tc>
      </w:tr>
      <w:tr w:rsidR="00FA09C7" w:rsidRPr="00310498" w14:paraId="4C17A49F" w14:textId="77777777" w:rsidTr="00827CAD">
        <w:tblPrEx>
          <w:tblCellMar>
            <w:top w:w="15" w:type="dxa"/>
            <w:bottom w:w="15" w:type="dxa"/>
          </w:tblCellMar>
          <w:tblLook w:val="04A0" w:firstRow="1" w:lastRow="0" w:firstColumn="1" w:lastColumn="0" w:noHBand="0" w:noVBand="1"/>
        </w:tblPrEx>
        <w:trPr>
          <w:cantSplit/>
          <w:trHeight w:val="203"/>
        </w:trPr>
        <w:tc>
          <w:tcPr>
            <w:tcW w:w="333" w:type="pct"/>
            <w:vMerge/>
            <w:vAlign w:val="center"/>
          </w:tcPr>
          <w:p w14:paraId="78BCE9DA" w14:textId="77777777" w:rsidR="00FA09C7" w:rsidRPr="00310498" w:rsidRDefault="00FA09C7" w:rsidP="00FA09C7">
            <w:pPr>
              <w:rPr>
                <w:rFonts w:ascii="Arial Narrow" w:hAnsi="Arial Narrow"/>
                <w:sz w:val="20"/>
                <w:szCs w:val="20"/>
              </w:rPr>
            </w:pPr>
          </w:p>
        </w:tc>
        <w:tc>
          <w:tcPr>
            <w:tcW w:w="399" w:type="pct"/>
            <w:vAlign w:val="center"/>
          </w:tcPr>
          <w:p w14:paraId="0264483C" w14:textId="7649B2CD" w:rsidR="00FA09C7" w:rsidRPr="00310498" w:rsidRDefault="00FA09C7" w:rsidP="00FA09C7">
            <w:pPr>
              <w:rPr>
                <w:rFonts w:ascii="Arial Narrow" w:hAnsi="Arial Narrow"/>
                <w:sz w:val="20"/>
                <w:szCs w:val="20"/>
              </w:rPr>
            </w:pPr>
          </w:p>
        </w:tc>
        <w:tc>
          <w:tcPr>
            <w:tcW w:w="4268" w:type="pct"/>
            <w:gridSpan w:val="4"/>
            <w:vAlign w:val="center"/>
          </w:tcPr>
          <w:p w14:paraId="5C33D8F9" w14:textId="77777777" w:rsidR="00FA09C7" w:rsidRPr="00310498" w:rsidRDefault="00FA09C7" w:rsidP="00FA09C7">
            <w:pPr>
              <w:rPr>
                <w:rFonts w:ascii="Arial Narrow" w:hAnsi="Arial Narrow"/>
                <w:b/>
                <w:sz w:val="20"/>
                <w:szCs w:val="20"/>
              </w:rPr>
            </w:pPr>
            <w:r w:rsidRPr="00310498">
              <w:rPr>
                <w:rFonts w:ascii="Arial Narrow" w:hAnsi="Arial Narrow"/>
                <w:b/>
                <w:bCs/>
                <w:color w:val="333333"/>
                <w:sz w:val="20"/>
                <w:szCs w:val="20"/>
              </w:rPr>
              <w:t xml:space="preserve">Administrative Advice: </w:t>
            </w:r>
            <w:r w:rsidRPr="00310498">
              <w:rPr>
                <w:rFonts w:ascii="Arial Narrow" w:hAnsi="Arial Narrow"/>
                <w:color w:val="333333"/>
                <w:sz w:val="20"/>
                <w:szCs w:val="20"/>
              </w:rPr>
              <w:t>Special Pricing Arrangements apply.</w:t>
            </w:r>
          </w:p>
        </w:tc>
      </w:tr>
      <w:tr w:rsidR="00FA09C7" w:rsidRPr="00310498" w14:paraId="462DF684" w14:textId="77777777" w:rsidTr="00CC641F">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136AA596" w14:textId="045D61A1" w:rsidR="00FA09C7" w:rsidRPr="00310498" w:rsidRDefault="00FA09C7" w:rsidP="00FA09C7">
            <w:pPr>
              <w:jc w:val="center"/>
              <w:rPr>
                <w:rFonts w:ascii="Arial Narrow" w:hAnsi="Arial Narrow"/>
                <w:color w:val="333333"/>
                <w:sz w:val="20"/>
                <w:szCs w:val="20"/>
              </w:rPr>
            </w:pPr>
          </w:p>
        </w:tc>
        <w:tc>
          <w:tcPr>
            <w:tcW w:w="4268" w:type="pct"/>
            <w:gridSpan w:val="4"/>
            <w:vAlign w:val="center"/>
            <w:hideMark/>
          </w:tcPr>
          <w:p w14:paraId="7D5F257C" w14:textId="7B42F52A" w:rsidR="00FA09C7" w:rsidRPr="00310498" w:rsidRDefault="00FA09C7" w:rsidP="00FA09C7">
            <w:pPr>
              <w:rPr>
                <w:rFonts w:ascii="Arial Narrow" w:hAnsi="Arial Narrow"/>
                <w:color w:val="333333"/>
                <w:sz w:val="20"/>
                <w:szCs w:val="20"/>
              </w:rPr>
            </w:pPr>
            <w:r w:rsidRPr="00310498">
              <w:rPr>
                <w:rFonts w:ascii="Arial Narrow" w:hAnsi="Arial Narrow"/>
                <w:b/>
                <w:bCs/>
                <w:color w:val="333333"/>
                <w:sz w:val="20"/>
                <w:szCs w:val="20"/>
              </w:rPr>
              <w:t>Indication:</w:t>
            </w:r>
            <w:r w:rsidRPr="00310498">
              <w:rPr>
                <w:rFonts w:ascii="Arial Narrow" w:hAnsi="Arial Narrow"/>
                <w:color w:val="333333"/>
                <w:sz w:val="20"/>
                <w:szCs w:val="20"/>
              </w:rPr>
              <w:t xml:space="preserve"> </w:t>
            </w:r>
            <w:r w:rsidRPr="00310498">
              <w:rPr>
                <w:rFonts w:ascii="Arial Narrow" w:hAnsi="Arial Narrow" w:cs="Segoe UI"/>
                <w:color w:val="333333"/>
                <w:sz w:val="20"/>
                <w:szCs w:val="20"/>
              </w:rPr>
              <w:t>Advanced, metastatic or recurrent endometrial carcinoma</w:t>
            </w:r>
          </w:p>
        </w:tc>
      </w:tr>
      <w:tr w:rsidR="00FA09C7" w:rsidRPr="00310498" w14:paraId="7C06470A" w14:textId="77777777" w:rsidTr="00CC641F">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6BC6CDA9" w14:textId="77777777" w:rsidR="00FA09C7" w:rsidRPr="00310498" w:rsidRDefault="00FA09C7" w:rsidP="00FA09C7">
            <w:pPr>
              <w:jc w:val="center"/>
              <w:rPr>
                <w:rFonts w:ascii="Arial Narrow" w:hAnsi="Arial Narrow"/>
                <w:color w:val="333333"/>
                <w:sz w:val="20"/>
                <w:szCs w:val="20"/>
              </w:rPr>
            </w:pPr>
          </w:p>
        </w:tc>
        <w:tc>
          <w:tcPr>
            <w:tcW w:w="4268" w:type="pct"/>
            <w:gridSpan w:val="4"/>
            <w:vAlign w:val="center"/>
            <w:hideMark/>
          </w:tcPr>
          <w:p w14:paraId="44CCB345" w14:textId="77777777" w:rsidR="00FA09C7" w:rsidRPr="00310498" w:rsidRDefault="00FA09C7" w:rsidP="00FA09C7">
            <w:pPr>
              <w:rPr>
                <w:rFonts w:ascii="Arial Narrow" w:hAnsi="Arial Narrow"/>
                <w:color w:val="FF0000"/>
                <w:sz w:val="20"/>
                <w:szCs w:val="20"/>
              </w:rPr>
            </w:pPr>
            <w:r w:rsidRPr="00310498">
              <w:rPr>
                <w:rFonts w:ascii="Arial Narrow" w:hAnsi="Arial Narrow"/>
                <w:b/>
                <w:bCs/>
                <w:color w:val="333333"/>
                <w:sz w:val="20"/>
                <w:szCs w:val="20"/>
              </w:rPr>
              <w:t>Treatment Phase:</w:t>
            </w:r>
            <w:r w:rsidRPr="00310498">
              <w:rPr>
                <w:rFonts w:ascii="Arial Narrow" w:hAnsi="Arial Narrow"/>
                <w:color w:val="FF0000"/>
                <w:sz w:val="20"/>
                <w:szCs w:val="20"/>
              </w:rPr>
              <w:t xml:space="preserve"> </w:t>
            </w:r>
            <w:r w:rsidRPr="00310498">
              <w:rPr>
                <w:rFonts w:ascii="Arial Narrow" w:hAnsi="Arial Narrow"/>
                <w:sz w:val="20"/>
                <w:szCs w:val="20"/>
              </w:rPr>
              <w:t>Continuing Treatment</w:t>
            </w:r>
          </w:p>
        </w:tc>
      </w:tr>
      <w:tr w:rsidR="00FA09C7" w:rsidRPr="00310498" w14:paraId="5FC29D1A"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4DD03BA4" w14:textId="0D771A69"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488CE1E3" w14:textId="77777777" w:rsidR="00FA09C7" w:rsidRPr="00310498" w:rsidRDefault="00FA09C7" w:rsidP="00FA09C7">
            <w:pPr>
              <w:rPr>
                <w:rFonts w:ascii="Arial Narrow" w:hAnsi="Arial Narrow"/>
                <w:b/>
                <w:bCs/>
                <w:color w:val="333333"/>
                <w:sz w:val="20"/>
                <w:szCs w:val="20"/>
              </w:rPr>
            </w:pPr>
            <w:r w:rsidRPr="00310498">
              <w:rPr>
                <w:rFonts w:ascii="Arial Narrow" w:hAnsi="Arial Narrow" w:cs="Segoe UI"/>
                <w:b/>
                <w:bCs/>
                <w:color w:val="333333"/>
                <w:sz w:val="20"/>
                <w:szCs w:val="20"/>
              </w:rPr>
              <w:t>Clinical criteria:</w:t>
            </w:r>
            <w:r w:rsidRPr="00310498">
              <w:rPr>
                <w:rFonts w:ascii="Arial Narrow" w:hAnsi="Arial Narrow" w:cs="Segoe UI"/>
                <w:color w:val="333333"/>
                <w:sz w:val="20"/>
                <w:szCs w:val="20"/>
              </w:rPr>
              <w:t> </w:t>
            </w:r>
          </w:p>
        </w:tc>
      </w:tr>
      <w:tr w:rsidR="00FA09C7" w:rsidRPr="00310498" w14:paraId="36C0B8FE"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4811CDE7" w14:textId="2D3CD51C"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6E15007D" w14:textId="4EE725ED" w:rsidR="00FA09C7" w:rsidRPr="00310498" w:rsidRDefault="00FA09C7" w:rsidP="00FA09C7">
            <w:pPr>
              <w:rPr>
                <w:rFonts w:ascii="Arial Narrow" w:hAnsi="Arial Narrow"/>
                <w:b/>
                <w:bCs/>
                <w:color w:val="333333"/>
                <w:sz w:val="20"/>
                <w:szCs w:val="20"/>
              </w:rPr>
            </w:pPr>
            <w:r w:rsidRPr="00310498">
              <w:rPr>
                <w:rFonts w:ascii="Arial Narrow" w:hAnsi="Arial Narrow" w:cs="Segoe UI"/>
                <w:color w:val="333333"/>
                <w:sz w:val="20"/>
                <w:szCs w:val="20"/>
              </w:rPr>
              <w:t>Patient must have previously received PBS-subsidised treatment with this drug for this condition </w:t>
            </w:r>
          </w:p>
        </w:tc>
      </w:tr>
      <w:tr w:rsidR="00FA09C7" w:rsidRPr="00310498" w14:paraId="057B9693"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1A85AC3C" w14:textId="77777777"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152D49F9" w14:textId="77777777" w:rsidR="00FA09C7" w:rsidRPr="00310498" w:rsidRDefault="00FA09C7" w:rsidP="00FA09C7">
            <w:pPr>
              <w:rPr>
                <w:rFonts w:ascii="Arial Narrow" w:hAnsi="Arial Narrow"/>
                <w:b/>
                <w:bCs/>
                <w:color w:val="333333"/>
                <w:sz w:val="20"/>
                <w:szCs w:val="20"/>
              </w:rPr>
            </w:pPr>
            <w:r w:rsidRPr="00310498">
              <w:rPr>
                <w:rFonts w:ascii="Arial Narrow" w:hAnsi="Arial Narrow" w:cs="Segoe UI"/>
                <w:b/>
                <w:bCs/>
                <w:color w:val="333333"/>
                <w:sz w:val="20"/>
                <w:szCs w:val="20"/>
              </w:rPr>
              <w:t>AND </w:t>
            </w:r>
            <w:r w:rsidRPr="00310498">
              <w:rPr>
                <w:rFonts w:ascii="Arial Narrow" w:hAnsi="Arial Narrow" w:cs="Segoe UI"/>
                <w:color w:val="333333"/>
                <w:sz w:val="20"/>
                <w:szCs w:val="20"/>
              </w:rPr>
              <w:t> </w:t>
            </w:r>
          </w:p>
        </w:tc>
      </w:tr>
      <w:tr w:rsidR="00FA09C7" w:rsidRPr="00310498" w14:paraId="5DCFA53F"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714C32F5" w14:textId="11C85809"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134BCBA1" w14:textId="77777777" w:rsidR="00FA09C7" w:rsidRPr="00310498" w:rsidRDefault="00FA09C7" w:rsidP="00FA09C7">
            <w:pPr>
              <w:rPr>
                <w:rFonts w:ascii="Arial Narrow" w:hAnsi="Arial Narrow"/>
                <w:b/>
                <w:bCs/>
                <w:color w:val="333333"/>
                <w:sz w:val="20"/>
                <w:szCs w:val="20"/>
              </w:rPr>
            </w:pPr>
            <w:r w:rsidRPr="00310498">
              <w:rPr>
                <w:rFonts w:ascii="Arial Narrow" w:hAnsi="Arial Narrow" w:cs="Segoe UI"/>
                <w:b/>
                <w:bCs/>
                <w:color w:val="333333"/>
                <w:sz w:val="20"/>
                <w:szCs w:val="20"/>
              </w:rPr>
              <w:t>Clinical criteria:</w:t>
            </w:r>
            <w:r w:rsidRPr="00310498">
              <w:rPr>
                <w:rFonts w:ascii="Arial Narrow" w:hAnsi="Arial Narrow" w:cs="Segoe UI"/>
                <w:color w:val="333333"/>
                <w:sz w:val="20"/>
                <w:szCs w:val="20"/>
              </w:rPr>
              <w:t> </w:t>
            </w:r>
          </w:p>
        </w:tc>
      </w:tr>
      <w:tr w:rsidR="00FA09C7" w:rsidRPr="00310498" w14:paraId="305D83E7"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02033FDA" w14:textId="4DE601F9"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51B53921" w14:textId="77777777" w:rsidR="00FA09C7" w:rsidRPr="00310498" w:rsidRDefault="00FA09C7" w:rsidP="00FA09C7">
            <w:pPr>
              <w:rPr>
                <w:rFonts w:ascii="Arial Narrow" w:hAnsi="Arial Narrow"/>
                <w:b/>
                <w:bCs/>
                <w:color w:val="333333"/>
                <w:sz w:val="20"/>
                <w:szCs w:val="20"/>
              </w:rPr>
            </w:pPr>
            <w:r w:rsidRPr="00310498">
              <w:rPr>
                <w:rFonts w:ascii="Arial Narrow" w:hAnsi="Arial Narrow" w:cs="Segoe UI"/>
                <w:color w:val="333333"/>
                <w:sz w:val="20"/>
                <w:szCs w:val="20"/>
              </w:rPr>
              <w:t>Patient must not have developed disease progression while receiving PBS-subsidised treatment with this drug for this condition </w:t>
            </w:r>
          </w:p>
        </w:tc>
      </w:tr>
      <w:tr w:rsidR="00FA09C7" w:rsidRPr="00310498" w14:paraId="390C347D"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0E9A0864" w14:textId="77777777"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4640A524" w14:textId="77777777" w:rsidR="00FA09C7" w:rsidRPr="00310498" w:rsidRDefault="00FA09C7" w:rsidP="00FA09C7">
            <w:pPr>
              <w:rPr>
                <w:rFonts w:ascii="Arial Narrow" w:hAnsi="Arial Narrow"/>
                <w:b/>
                <w:bCs/>
                <w:color w:val="333333"/>
                <w:sz w:val="20"/>
                <w:szCs w:val="20"/>
              </w:rPr>
            </w:pPr>
            <w:r w:rsidRPr="00310498">
              <w:rPr>
                <w:rFonts w:ascii="Arial Narrow" w:hAnsi="Arial Narrow" w:cs="Segoe UI"/>
                <w:b/>
                <w:bCs/>
                <w:color w:val="333333"/>
                <w:sz w:val="20"/>
                <w:szCs w:val="20"/>
              </w:rPr>
              <w:t>AND</w:t>
            </w:r>
            <w:r w:rsidRPr="00310498">
              <w:rPr>
                <w:rFonts w:ascii="Arial Narrow" w:hAnsi="Arial Narrow" w:cs="Segoe UI"/>
                <w:color w:val="333333"/>
                <w:sz w:val="20"/>
                <w:szCs w:val="20"/>
              </w:rPr>
              <w:t> </w:t>
            </w:r>
          </w:p>
        </w:tc>
      </w:tr>
      <w:tr w:rsidR="00FA09C7" w:rsidRPr="00310498" w14:paraId="44B9DF8F"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24467428" w14:textId="0BE689D9"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3DE2E6B7" w14:textId="40A498F6" w:rsidR="00FA09C7" w:rsidRPr="00310498" w:rsidRDefault="00FA09C7" w:rsidP="00FA09C7">
            <w:pPr>
              <w:rPr>
                <w:rFonts w:ascii="Arial Narrow" w:hAnsi="Arial Narrow" w:cs="Segoe UI"/>
                <w:b/>
                <w:bCs/>
                <w:color w:val="333333"/>
                <w:sz w:val="20"/>
                <w:szCs w:val="20"/>
              </w:rPr>
            </w:pPr>
            <w:r>
              <w:rPr>
                <w:rFonts w:ascii="Arial Narrow" w:hAnsi="Arial Narrow" w:cs="Segoe UI"/>
                <w:b/>
                <w:bCs/>
                <w:color w:val="333333"/>
                <w:sz w:val="20"/>
                <w:szCs w:val="20"/>
              </w:rPr>
              <w:t>Treatment criteria</w:t>
            </w:r>
            <w:r w:rsidRPr="00310498">
              <w:rPr>
                <w:rFonts w:ascii="Arial Narrow" w:hAnsi="Arial Narrow" w:cs="Segoe UI"/>
                <w:b/>
                <w:bCs/>
                <w:color w:val="333333"/>
                <w:sz w:val="20"/>
                <w:szCs w:val="20"/>
              </w:rPr>
              <w:t xml:space="preserve">: </w:t>
            </w:r>
          </w:p>
        </w:tc>
      </w:tr>
      <w:tr w:rsidR="00FA09C7" w:rsidRPr="00310498" w14:paraId="21FB6F9E"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29C24C10" w14:textId="2642FBE3"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1DECD6DC" w14:textId="3D4F6C5A" w:rsidR="00FA09C7" w:rsidRPr="00310498" w:rsidRDefault="00FA09C7" w:rsidP="00FA09C7">
            <w:pPr>
              <w:rPr>
                <w:rFonts w:ascii="Arial Narrow" w:hAnsi="Arial Narrow"/>
                <w:b/>
                <w:bCs/>
                <w:color w:val="333333"/>
                <w:sz w:val="20"/>
                <w:szCs w:val="20"/>
              </w:rPr>
            </w:pPr>
            <w:r>
              <w:rPr>
                <w:rFonts w:ascii="Arial Narrow" w:hAnsi="Arial Narrow" w:cs="Segoe UI"/>
                <w:color w:val="333333"/>
                <w:sz w:val="20"/>
                <w:szCs w:val="20"/>
              </w:rPr>
              <w:t>Patient must not be undergoing continuing PBS-subsidised treatment where this benefit is extending treatment beyond 36 cumulative months from the first administered dose, once in a lifetime.</w:t>
            </w:r>
          </w:p>
        </w:tc>
      </w:tr>
      <w:tr w:rsidR="00FA09C7" w:rsidRPr="00310498" w14:paraId="382DF853"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1BE3389A" w14:textId="77777777"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76FF38AB" w14:textId="77777777" w:rsidR="00FA09C7" w:rsidRPr="00310498" w:rsidRDefault="00FA09C7" w:rsidP="00FA09C7">
            <w:pPr>
              <w:rPr>
                <w:rFonts w:ascii="Arial Narrow" w:hAnsi="Arial Narrow"/>
                <w:b/>
                <w:bCs/>
                <w:color w:val="333333"/>
                <w:sz w:val="20"/>
                <w:szCs w:val="20"/>
              </w:rPr>
            </w:pPr>
          </w:p>
        </w:tc>
      </w:tr>
      <w:tr w:rsidR="00FA09C7" w:rsidRPr="00310498" w14:paraId="7BF1BFA9"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569C59E6" w14:textId="72C5F3D3" w:rsidR="00FA09C7" w:rsidRPr="00310498" w:rsidRDefault="00FA09C7" w:rsidP="00FA09C7">
            <w:pPr>
              <w:jc w:val="center"/>
              <w:rPr>
                <w:rFonts w:ascii="Arial Narrow" w:hAnsi="Arial Narrow"/>
                <w:color w:val="333333"/>
                <w:sz w:val="20"/>
                <w:szCs w:val="20"/>
              </w:rPr>
            </w:pPr>
          </w:p>
        </w:tc>
        <w:tc>
          <w:tcPr>
            <w:tcW w:w="4268" w:type="pct"/>
            <w:gridSpan w:val="4"/>
            <w:vAlign w:val="center"/>
          </w:tcPr>
          <w:p w14:paraId="4731ACEA" w14:textId="77777777" w:rsidR="00FA09C7" w:rsidRPr="00310498" w:rsidRDefault="00FA09C7" w:rsidP="00FA09C7">
            <w:pPr>
              <w:rPr>
                <w:rFonts w:ascii="Arial Narrow" w:hAnsi="Arial Narrow" w:cs="Segoe UI"/>
                <w:b/>
                <w:bCs/>
                <w:color w:val="333333"/>
                <w:sz w:val="20"/>
                <w:szCs w:val="20"/>
              </w:rPr>
            </w:pPr>
            <w:r w:rsidRPr="00310498">
              <w:rPr>
                <w:rFonts w:ascii="Arial Narrow" w:hAnsi="Arial Narrow" w:cs="Segoe UI"/>
                <w:b/>
                <w:bCs/>
                <w:color w:val="333333"/>
                <w:sz w:val="20"/>
                <w:szCs w:val="20"/>
              </w:rPr>
              <w:t>Prescribing Instructions:</w:t>
            </w:r>
          </w:p>
          <w:p w14:paraId="57C3571C" w14:textId="365C55FE" w:rsidR="00FA09C7" w:rsidRPr="00310498" w:rsidRDefault="00FA09C7" w:rsidP="00FA09C7">
            <w:pPr>
              <w:rPr>
                <w:rFonts w:ascii="Arial Narrow" w:hAnsi="Arial Narrow"/>
                <w:color w:val="333333"/>
                <w:sz w:val="20"/>
                <w:szCs w:val="20"/>
              </w:rPr>
            </w:pPr>
            <w:r w:rsidRPr="00310498">
              <w:rPr>
                <w:rFonts w:ascii="Arial Narrow" w:hAnsi="Arial Narrow" w:cs="Segoe UI"/>
                <w:color w:val="333333"/>
                <w:sz w:val="20"/>
                <w:szCs w:val="20"/>
              </w:rPr>
              <w:t xml:space="preserve">Retain all pathology imaging and investigative test results in the patient’s medical records. </w:t>
            </w:r>
          </w:p>
        </w:tc>
      </w:tr>
      <w:tr w:rsidR="00FA09C7" w:rsidRPr="00310498" w14:paraId="27AB0F97" w14:textId="77777777" w:rsidTr="00827CAD">
        <w:tblPrEx>
          <w:tblCellMar>
            <w:top w:w="15" w:type="dxa"/>
            <w:bottom w:w="15" w:type="dxa"/>
          </w:tblCellMar>
          <w:tblLook w:val="04A0" w:firstRow="1" w:lastRow="0" w:firstColumn="1" w:lastColumn="0" w:noHBand="0" w:noVBand="1"/>
        </w:tblPrEx>
        <w:trPr>
          <w:cantSplit/>
          <w:trHeight w:val="20"/>
        </w:trPr>
        <w:tc>
          <w:tcPr>
            <w:tcW w:w="732" w:type="pct"/>
            <w:gridSpan w:val="2"/>
            <w:vAlign w:val="center"/>
          </w:tcPr>
          <w:p w14:paraId="0452A538" w14:textId="330E57B4" w:rsidR="001F16DD" w:rsidRPr="00310498" w:rsidRDefault="001F16DD" w:rsidP="00FA09C7">
            <w:pPr>
              <w:jc w:val="center"/>
              <w:rPr>
                <w:rFonts w:ascii="Arial Narrow" w:hAnsi="Arial Narrow"/>
                <w:color w:val="333333"/>
                <w:sz w:val="20"/>
                <w:szCs w:val="20"/>
              </w:rPr>
            </w:pPr>
          </w:p>
        </w:tc>
        <w:tc>
          <w:tcPr>
            <w:tcW w:w="4268" w:type="pct"/>
            <w:gridSpan w:val="4"/>
            <w:vAlign w:val="center"/>
          </w:tcPr>
          <w:p w14:paraId="7198FB54" w14:textId="77777777" w:rsidR="00FA09C7" w:rsidRPr="00310498" w:rsidRDefault="00FA09C7" w:rsidP="00FA09C7">
            <w:pPr>
              <w:rPr>
                <w:rFonts w:ascii="Arial Narrow" w:hAnsi="Arial Narrow"/>
                <w:b/>
                <w:bCs/>
                <w:color w:val="333333"/>
                <w:sz w:val="20"/>
                <w:szCs w:val="20"/>
              </w:rPr>
            </w:pPr>
            <w:r w:rsidRPr="00310498">
              <w:rPr>
                <w:rFonts w:ascii="Arial Narrow" w:hAnsi="Arial Narrow"/>
                <w:b/>
                <w:bCs/>
                <w:color w:val="333333"/>
                <w:sz w:val="20"/>
                <w:szCs w:val="20"/>
              </w:rPr>
              <w:t>Prescribing Instruction:</w:t>
            </w:r>
          </w:p>
          <w:p w14:paraId="14EEC93E" w14:textId="77777777" w:rsidR="00FA09C7" w:rsidRPr="00310498" w:rsidRDefault="00FA09C7" w:rsidP="00FA09C7">
            <w:pPr>
              <w:rPr>
                <w:rFonts w:ascii="Arial Narrow" w:hAnsi="Arial Narrow"/>
                <w:color w:val="333333"/>
                <w:sz w:val="20"/>
                <w:szCs w:val="20"/>
              </w:rPr>
            </w:pPr>
            <w:r w:rsidRPr="00310498">
              <w:rPr>
                <w:rFonts w:ascii="Arial Narrow" w:hAnsi="Arial Narrow"/>
                <w:color w:val="333333"/>
                <w:sz w:val="20"/>
                <w:szCs w:val="20"/>
              </w:rPr>
              <w:t>Patients with a body weight of 30 kg or less during continuing treatment must receive weight-based dosing, equivalent to durvalumab 20 mg/kg, until weight is greater than 30 kg</w:t>
            </w:r>
          </w:p>
        </w:tc>
      </w:tr>
    </w:tbl>
    <w:p w14:paraId="6E7A3A20" w14:textId="77777777" w:rsidR="00331AA2" w:rsidRDefault="00331AA2" w:rsidP="00331AA2">
      <w:pPr>
        <w:spacing w:before="120"/>
        <w:rPr>
          <w:rFonts w:asciiTheme="minorHAnsi" w:hAnsiTheme="minorHAnsi"/>
          <w:b/>
          <w:i/>
          <w:iCs/>
          <w:snapToGrid w:val="0"/>
          <w:lang w:val="en-GB"/>
        </w:rPr>
      </w:pPr>
      <w:r w:rsidRPr="00FA09C7">
        <w:rPr>
          <w:rFonts w:asciiTheme="minorHAnsi" w:hAnsiTheme="minorHAnsi"/>
          <w:b/>
          <w:i/>
          <w:iCs/>
          <w:snapToGrid w:val="0"/>
          <w:lang w:val="en-GB"/>
        </w:rPr>
        <w:t>These restrictions may be subject to further review. Should there be any changes made to the restriction the sponsor will be informed.</w:t>
      </w:r>
    </w:p>
    <w:p w14:paraId="43A7B020" w14:textId="77777777" w:rsidR="00DE7BEE" w:rsidRPr="00C95C33" w:rsidRDefault="00DE7BEE" w:rsidP="00C95C33">
      <w:pPr>
        <w:pStyle w:val="2-SectionHeading"/>
        <w:numPr>
          <w:ilvl w:val="0"/>
          <w:numId w:val="1"/>
        </w:numPr>
      </w:pPr>
      <w:r w:rsidRPr="00DE7BEE">
        <w:t>Context for Decision</w:t>
      </w:r>
    </w:p>
    <w:p w14:paraId="131CA2F4" w14:textId="77777777" w:rsidR="00DE7BEE" w:rsidRPr="00DE7BEE" w:rsidRDefault="00DE7BEE" w:rsidP="00DE7BEE">
      <w:pPr>
        <w:spacing w:after="120"/>
        <w:ind w:left="720"/>
        <w:rPr>
          <w:bCs/>
          <w:lang w:val="en-GB"/>
        </w:rPr>
      </w:pPr>
      <w:r w:rsidRPr="00DE7BE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CA430A0" w14:textId="77777777" w:rsidR="00DE7BEE" w:rsidRPr="00C95C33" w:rsidRDefault="00DE7BEE" w:rsidP="00C95C33">
      <w:pPr>
        <w:pStyle w:val="2-SectionHeading"/>
        <w:numPr>
          <w:ilvl w:val="0"/>
          <w:numId w:val="1"/>
        </w:numPr>
      </w:pPr>
      <w:r w:rsidRPr="00DE7BEE">
        <w:t>Sponsor’s Comment</w:t>
      </w:r>
    </w:p>
    <w:p w14:paraId="281F6DED" w14:textId="61A75E59" w:rsidR="00DE7BEE" w:rsidRPr="00331AA2" w:rsidRDefault="00DE7BEE" w:rsidP="00C95C33">
      <w:pPr>
        <w:spacing w:after="120" w:line="276" w:lineRule="auto"/>
        <w:ind w:left="720"/>
        <w:rPr>
          <w:rFonts w:asciiTheme="minorHAnsi" w:hAnsiTheme="minorHAnsi"/>
          <w:b/>
          <w:i/>
          <w:iCs/>
          <w:snapToGrid w:val="0"/>
          <w:lang w:val="en-GB"/>
        </w:rPr>
      </w:pPr>
      <w:r w:rsidRPr="00DE7BEE">
        <w:rPr>
          <w:rFonts w:eastAsia="Calibri"/>
          <w:bCs/>
          <w:szCs w:val="22"/>
          <w:lang w:eastAsia="en-US"/>
        </w:rPr>
        <w:t>The sponsor had no comment.</w:t>
      </w:r>
      <w:bookmarkEnd w:id="103"/>
      <w:bookmarkEnd w:id="105"/>
    </w:p>
    <w:sectPr w:rsidR="00DE7BEE" w:rsidRPr="00331AA2" w:rsidSect="00046D8B">
      <w:headerReference w:type="even" r:id="rId13"/>
      <w:headerReference w:type="default" r:id="rId14"/>
      <w:footerReference w:type="even" r:id="rId15"/>
      <w:footerReference w:type="default" r:id="rId16"/>
      <w:headerReference w:type="first" r:id="rId17"/>
      <w:footerReference w:type="first" r:id="rId18"/>
      <w:pgSz w:w="11907" w:h="16840" w:code="9"/>
      <w:pgMar w:top="1440" w:right="1417"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F2D30" w14:textId="77777777" w:rsidR="00B77ABF" w:rsidRDefault="00B77ABF" w:rsidP="00124A51">
      <w:r>
        <w:separator/>
      </w:r>
    </w:p>
    <w:p w14:paraId="4E653213" w14:textId="77777777" w:rsidR="00B77ABF" w:rsidRDefault="00B77ABF"/>
  </w:endnote>
  <w:endnote w:type="continuationSeparator" w:id="0">
    <w:p w14:paraId="562890E0" w14:textId="77777777" w:rsidR="00B77ABF" w:rsidRDefault="00B77ABF" w:rsidP="00124A51">
      <w:r>
        <w:continuationSeparator/>
      </w:r>
    </w:p>
    <w:p w14:paraId="6D4AC122" w14:textId="77777777" w:rsidR="00B77ABF" w:rsidRDefault="00B77ABF"/>
  </w:endnote>
  <w:endnote w:type="continuationNotice" w:id="1">
    <w:p w14:paraId="1A7CD37F" w14:textId="77777777" w:rsidR="00B77ABF" w:rsidRDefault="00B77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B74B" w14:textId="77777777" w:rsidR="00070C9A" w:rsidRDefault="00070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E500" w14:textId="77777777" w:rsidR="00C355BB" w:rsidRDefault="00C355BB" w:rsidP="00C355BB">
    <w:pPr>
      <w:pStyle w:val="Footer"/>
      <w:tabs>
        <w:tab w:val="center" w:pos="4678"/>
        <w:tab w:val="right" w:pos="9356"/>
      </w:tabs>
      <w:jc w:val="center"/>
      <w:rPr>
        <w:rFonts w:cs="Calibri"/>
        <w:sz w:val="20"/>
        <w:szCs w:val="20"/>
      </w:rPr>
    </w:pPr>
  </w:p>
  <w:p w14:paraId="0BB214E9" w14:textId="0BC7C553" w:rsidR="00331AA2" w:rsidRPr="00A549B2" w:rsidRDefault="00331AA2" w:rsidP="00CC162A">
    <w:pPr>
      <w:pStyle w:val="Footer"/>
      <w:tabs>
        <w:tab w:val="center" w:pos="4678"/>
        <w:tab w:val="right" w:pos="9356"/>
      </w:tabs>
      <w:jc w:val="center"/>
      <w:rPr>
        <w:rFonts w:cs="Calibri"/>
        <w:sz w:val="20"/>
        <w:szCs w:val="20"/>
      </w:rPr>
    </w:pPr>
    <w:r w:rsidRPr="00C355BB">
      <w:rPr>
        <w:rFonts w:cs="Calibri"/>
      </w:rPr>
      <w:fldChar w:fldCharType="begin"/>
    </w:r>
    <w:r w:rsidRPr="00C355BB">
      <w:rPr>
        <w:rFonts w:cs="Calibri"/>
      </w:rPr>
      <w:instrText xml:space="preserve"> PAGE   \* MERGEFORMAT </w:instrText>
    </w:r>
    <w:r w:rsidRPr="00C355BB">
      <w:rPr>
        <w:rFonts w:cs="Calibri"/>
      </w:rPr>
      <w:fldChar w:fldCharType="separate"/>
    </w:r>
    <w:r w:rsidRPr="00C355BB">
      <w:rPr>
        <w:rFonts w:cs="Calibri"/>
        <w:b/>
        <w:bCs/>
        <w:noProof/>
      </w:rPr>
      <w:t>14</w:t>
    </w:r>
    <w:r w:rsidRPr="00C355BB">
      <w:rPr>
        <w:rFonts w:cs="Calibri"/>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DCC8" w14:textId="77777777" w:rsidR="00070C9A" w:rsidRDefault="00070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8D60" w14:textId="77777777" w:rsidR="00B77ABF" w:rsidRDefault="00B77ABF" w:rsidP="00124A51">
      <w:r>
        <w:separator/>
      </w:r>
    </w:p>
    <w:p w14:paraId="69DC6946" w14:textId="77777777" w:rsidR="00B77ABF" w:rsidRDefault="00B77ABF"/>
  </w:footnote>
  <w:footnote w:type="continuationSeparator" w:id="0">
    <w:p w14:paraId="1BB56AB6" w14:textId="77777777" w:rsidR="00B77ABF" w:rsidRDefault="00B77ABF" w:rsidP="00124A51">
      <w:r>
        <w:continuationSeparator/>
      </w:r>
    </w:p>
    <w:p w14:paraId="19CB7E85" w14:textId="77777777" w:rsidR="00B77ABF" w:rsidRDefault="00B77ABF"/>
  </w:footnote>
  <w:footnote w:type="continuationNotice" w:id="1">
    <w:p w14:paraId="4BF9F0F4" w14:textId="77777777" w:rsidR="00B77ABF" w:rsidRDefault="00B77ABF"/>
  </w:footnote>
  <w:footnote w:id="2">
    <w:p w14:paraId="02BC3E10" w14:textId="5A9A78C9" w:rsidR="00623ED9" w:rsidRDefault="00623ED9">
      <w:pPr>
        <w:pStyle w:val="FootnoteText"/>
      </w:pPr>
      <w:r>
        <w:rPr>
          <w:rStyle w:val="FootnoteReference"/>
        </w:rPr>
        <w:footnoteRef/>
      </w:r>
      <w:r>
        <w:t xml:space="preserve"> </w:t>
      </w:r>
      <w:r w:rsidRPr="00623ED9">
        <w:rPr>
          <w:bCs/>
        </w:rPr>
        <w:t>Cherny NI, Dafni U, Bogaerts J, et al: ESMO-Magnitude of Clinical Benefit Scale version 1.1. Annals of Oncology 28:2340-2366, 2017]</w:t>
      </w:r>
    </w:p>
  </w:footnote>
  <w:footnote w:id="3">
    <w:p w14:paraId="32302DC1" w14:textId="55D7F71C" w:rsidR="003A2460" w:rsidRPr="0032043A" w:rsidRDefault="003A2460">
      <w:pPr>
        <w:pStyle w:val="FootnoteText"/>
        <w:rPr>
          <w:rFonts w:cs="Calibri"/>
        </w:rPr>
      </w:pPr>
      <w:r w:rsidRPr="0032043A">
        <w:rPr>
          <w:rStyle w:val="FootnoteReference"/>
          <w:rFonts w:cs="Calibri"/>
        </w:rPr>
        <w:footnoteRef/>
      </w:r>
      <w:r w:rsidRPr="0032043A">
        <w:rPr>
          <w:rFonts w:cs="Calibri"/>
        </w:rPr>
        <w:t xml:space="preserve"> Table 1, </w:t>
      </w:r>
      <w:hyperlink r:id="rId1" w:history="1">
        <w:r w:rsidRPr="0032043A">
          <w:rPr>
            <w:rStyle w:val="Hyperlink"/>
            <w:rFonts w:cs="Calibri"/>
          </w:rPr>
          <w:t>Durvalumab Plus Carboplatin/Paclitaxel Followed by Maintenance Durvalumab With or Without Olaparib as First-Line Treatment for Advanced Endometrial Cancer: The Phase III DUO-E Trial - PMC (nih.gov)</w:t>
        </w:r>
      </w:hyperlink>
    </w:p>
  </w:footnote>
  <w:footnote w:id="4">
    <w:p w14:paraId="7FB31E89" w14:textId="35874F43" w:rsidR="008965E3" w:rsidRDefault="008965E3">
      <w:pPr>
        <w:pStyle w:val="FootnoteText"/>
      </w:pPr>
      <w:r>
        <w:rPr>
          <w:rStyle w:val="FootnoteReference"/>
        </w:rPr>
        <w:footnoteRef/>
      </w:r>
      <w:r>
        <w:t xml:space="preserve"> </w:t>
      </w:r>
      <w:r w:rsidRPr="008965E3">
        <w:t xml:space="preserve">Nieuwenhuysen </w:t>
      </w:r>
      <w:r>
        <w:t xml:space="preserve">et al. </w:t>
      </w:r>
      <w:r w:rsidRPr="0032043A">
        <w:t>Durvalumab + carboplatin/paclitaxel followed by durvalumab ± olaparib as first</w:t>
      </w:r>
      <w:r w:rsidRPr="0032043A">
        <w:rPr>
          <w:rFonts w:ascii="Cambria Math" w:hAnsi="Cambria Math" w:cs="Cambria Math"/>
        </w:rPr>
        <w:t>‑</w:t>
      </w:r>
      <w:r w:rsidRPr="0032043A">
        <w:t xml:space="preserve">line treatment for newly diagnosed advanced or recurrent endometrial cancer in the DUO-E/GOG-3041/ENGOT-EN10 trial: results by BRCA1 and/or BRCA2 mutation status. </w:t>
      </w:r>
      <w:r>
        <w:t xml:space="preserve">Poster </w:t>
      </w:r>
      <w:r w:rsidRPr="008965E3">
        <w:t>presented at the American Society for Clinical Oncology (ASCO) Annual Meeting, held on May 31–June 4, 2024</w:t>
      </w:r>
      <w:r>
        <w:t>.</w:t>
      </w:r>
    </w:p>
  </w:footnote>
  <w:footnote w:id="5">
    <w:p w14:paraId="205065AF" w14:textId="63076C29" w:rsidR="002C296E" w:rsidRDefault="002C296E">
      <w:pPr>
        <w:pStyle w:val="FootnoteText"/>
      </w:pPr>
      <w:r>
        <w:rPr>
          <w:rStyle w:val="FootnoteReference"/>
        </w:rPr>
        <w:footnoteRef/>
      </w:r>
      <w:r>
        <w:t xml:space="preserve"> </w:t>
      </w:r>
      <w:r w:rsidR="00D92154" w:rsidRPr="00D92154">
        <w:rPr>
          <w:lang w:val="en-GB"/>
        </w:rPr>
        <w:t xml:space="preserve">The redacted information relates to the TGA assessment of durvalumab and olaparib for the treatment of endometrial cancer. Details about the TGA assessment will be available in the TGA Australian Public Assessment Report for this assessment once it is published at </w:t>
      </w:r>
      <w:hyperlink r:id="rId2" w:history="1">
        <w:r w:rsidR="00D92154" w:rsidRPr="00D92154">
          <w:rPr>
            <w:rStyle w:val="Hyperlink"/>
            <w:lang w:val="en-GB"/>
          </w:rPr>
          <w:t>www.tga.gov.au/resources/auspar</w:t>
        </w:r>
      </w:hyperlink>
      <w:r w:rsidR="00D92154">
        <w:t>.</w:t>
      </w:r>
    </w:p>
  </w:footnote>
  <w:footnote w:id="6">
    <w:p w14:paraId="7204248B" w14:textId="77777777" w:rsidR="000C5173" w:rsidRDefault="000C5173" w:rsidP="000C5173">
      <w:pPr>
        <w:pStyle w:val="FootnoteText"/>
      </w:pPr>
      <w:r>
        <w:rPr>
          <w:rStyle w:val="FootnoteReference"/>
        </w:rPr>
        <w:footnoteRef/>
      </w:r>
      <w:r>
        <w:t xml:space="preserve"> </w:t>
      </w:r>
      <w:r w:rsidRPr="00D92154">
        <w:rPr>
          <w:lang w:val="en-GB"/>
        </w:rPr>
        <w:t xml:space="preserve">The redacted information relates to the TGA assessment of durvalumab and olaparib for the treatment of endometrial cancer. Details about the TGA assessment will be available in the TGA Australian Public Assessment Report for this assessment once it is published at </w:t>
      </w:r>
      <w:hyperlink r:id="rId3" w:history="1">
        <w:r w:rsidRPr="00D92154">
          <w:rPr>
            <w:rStyle w:val="Hyperlink"/>
            <w:lang w:val="en-GB"/>
          </w:rPr>
          <w:t>www.tga.gov.au/resources/auspar</w:t>
        </w:r>
      </w:hyperlink>
      <w:r>
        <w:t>.</w:t>
      </w:r>
    </w:p>
  </w:footnote>
  <w:footnote w:id="7">
    <w:p w14:paraId="4FCB0330" w14:textId="6E26014B" w:rsidR="00105983" w:rsidRDefault="00105983">
      <w:pPr>
        <w:pStyle w:val="FootnoteText"/>
      </w:pPr>
      <w:r>
        <w:rPr>
          <w:rStyle w:val="FootnoteReference"/>
        </w:rPr>
        <w:footnoteRef/>
      </w:r>
      <w:r>
        <w:t xml:space="preserve"> </w:t>
      </w:r>
      <w:r w:rsidR="00FC15B3" w:rsidRPr="00FC15B3">
        <w:rPr>
          <w:lang w:val="en-GB"/>
        </w:rPr>
        <w:t xml:space="preserve">The redacted information relates to the TGA assessment of durvalumab and olaparib for the treatment of endometrial cancer. Details about the TGA assessment will be available in the TGA Australian Public Assessment Report for this assessment once it is published at </w:t>
      </w:r>
      <w:hyperlink r:id="rId4" w:history="1">
        <w:r w:rsidR="00FC15B3" w:rsidRPr="00FC15B3">
          <w:rPr>
            <w:rStyle w:val="Hyperlink"/>
            <w:lang w:val="en-GB"/>
          </w:rPr>
          <w:t>www.tga.gov.au/resources/auspar</w:t>
        </w:r>
      </w:hyperlink>
      <w:r w:rsidR="00FC15B3">
        <w:t>.</w:t>
      </w:r>
    </w:p>
  </w:footnote>
  <w:footnote w:id="8">
    <w:p w14:paraId="304983A6" w14:textId="435B28CE" w:rsidR="0067038A" w:rsidRDefault="0067038A">
      <w:pPr>
        <w:pStyle w:val="FootnoteText"/>
      </w:pPr>
      <w:r>
        <w:rPr>
          <w:rStyle w:val="FootnoteReference"/>
        </w:rPr>
        <w:footnoteRef/>
      </w:r>
      <w:r>
        <w:t xml:space="preserve"> </w:t>
      </w:r>
      <w:r w:rsidR="00D115EF" w:rsidRPr="00D115EF">
        <w:rPr>
          <w:lang w:val="en-GB"/>
        </w:rPr>
        <w:t xml:space="preserve">The redacted information relates to the TGA assessment of durvalumab and olaparib for the treatment of endometrial cancer. Details about the TGA assessment will be available in the TGA Australian Public Assessment Report for this assessment once it is published at </w:t>
      </w:r>
      <w:hyperlink r:id="rId5" w:history="1">
        <w:r w:rsidR="00D115EF" w:rsidRPr="00D115EF">
          <w:rPr>
            <w:rStyle w:val="Hyperlink"/>
            <w:lang w:val="en-GB"/>
          </w:rPr>
          <w:t>www.tga.gov.au/resources/auspar</w:t>
        </w:r>
      </w:hyperlink>
      <w:r w:rsidR="00D115EF">
        <w:t>.</w:t>
      </w:r>
    </w:p>
  </w:footnote>
  <w:footnote w:id="9">
    <w:p w14:paraId="51FF74DC" w14:textId="77777777" w:rsidR="001E3FDA" w:rsidRDefault="001E3FDA" w:rsidP="001E3FDA">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0">
    <w:p w14:paraId="0CAE77EB" w14:textId="77777777" w:rsidR="00B538E7" w:rsidRDefault="00B538E7" w:rsidP="00B538E7">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1">
    <w:p w14:paraId="4203A18F" w14:textId="77777777" w:rsidR="0021025A" w:rsidRDefault="0021025A" w:rsidP="0021025A">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2">
    <w:p w14:paraId="15FD80B6" w14:textId="77777777" w:rsidR="0021025A" w:rsidRDefault="0021025A" w:rsidP="0021025A">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3">
    <w:p w14:paraId="592C330D" w14:textId="77777777" w:rsidR="0021025A" w:rsidRDefault="0021025A" w:rsidP="0021025A">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4">
    <w:p w14:paraId="21852400" w14:textId="77777777" w:rsidR="00DB2A12" w:rsidRDefault="00DB2A12" w:rsidP="00DB2A12">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5">
    <w:p w14:paraId="417D4A6B" w14:textId="77777777" w:rsidR="002F75CE" w:rsidRDefault="002F75CE" w:rsidP="002F75CE">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6">
    <w:p w14:paraId="5485DB02" w14:textId="77777777" w:rsidR="00D80A8F" w:rsidRDefault="00D80A8F" w:rsidP="00D80A8F">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7">
    <w:p w14:paraId="6C0FBB61" w14:textId="77777777" w:rsidR="00312BBA" w:rsidRDefault="00312BBA" w:rsidP="00312BBA">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8">
    <w:p w14:paraId="6045563A" w14:textId="77777777" w:rsidR="00B11861" w:rsidRDefault="00B11861" w:rsidP="00B11861">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 w:id="19">
    <w:p w14:paraId="1FA55CC4" w14:textId="77777777" w:rsidR="004A533C" w:rsidRDefault="004A533C" w:rsidP="004A533C">
      <w:pPr>
        <w:pStyle w:val="FootnoteText"/>
      </w:pPr>
      <w:r>
        <w:rPr>
          <w:rStyle w:val="FootnoteReference"/>
        </w:rPr>
        <w:footnoteRef/>
      </w:r>
      <w:r>
        <w:t xml:space="preserve"> </w:t>
      </w:r>
      <w:r w:rsidRPr="001E3FDA">
        <w:t>This information has been redacted at the sponsor’s request, as it was not part of the PBAC’s decision making for this submission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EBEC" w14:textId="77777777" w:rsidR="00070C9A" w:rsidRDefault="00070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9172" w14:textId="3D11D8C7" w:rsidR="00331AA2" w:rsidRPr="00812BCA" w:rsidRDefault="00F655BE" w:rsidP="00C355BB">
    <w:pPr>
      <w:pStyle w:val="Header"/>
    </w:pPr>
    <w:r w:rsidRPr="00812BCA">
      <w:t>Public Summary Document</w:t>
    </w:r>
    <w:r w:rsidRPr="00812BCA">
      <w:rPr>
        <w:rFonts w:asciiTheme="minorHAnsi" w:eastAsiaTheme="minorEastAsia" w:hAnsiTheme="minorHAnsi" w:cstheme="minorHAnsi"/>
      </w:rPr>
      <w:t xml:space="preserve"> </w:t>
    </w:r>
    <w:r w:rsidR="00C355BB" w:rsidRPr="00812BCA">
      <w:t>– November 2024 PBAC Meeting</w:t>
    </w:r>
  </w:p>
  <w:p w14:paraId="1D2E20EE" w14:textId="77777777" w:rsidR="00C355BB" w:rsidRPr="00C355BB" w:rsidRDefault="00C355BB" w:rsidP="00C35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ED9C" w14:textId="77777777" w:rsidR="00070C9A" w:rsidRDefault="00070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0236E"/>
    <w:multiLevelType w:val="hybridMultilevel"/>
    <w:tmpl w:val="64F45FC2"/>
    <w:lvl w:ilvl="0" w:tplc="6040098A">
      <w:start w:val="22"/>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677F46"/>
    <w:multiLevelType w:val="hybridMultilevel"/>
    <w:tmpl w:val="61F097D4"/>
    <w:lvl w:ilvl="0" w:tplc="C198740C">
      <w:start w:val="29"/>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23DBF"/>
    <w:multiLevelType w:val="hybridMultilevel"/>
    <w:tmpl w:val="05B0AA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712D2"/>
    <w:multiLevelType w:val="hybridMultilevel"/>
    <w:tmpl w:val="4A54FC4A"/>
    <w:lvl w:ilvl="0" w:tplc="2690D0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986CC5"/>
    <w:multiLevelType w:val="multilevel"/>
    <w:tmpl w:val="42260E50"/>
    <w:styleLink w:val="HeadingListStyle"/>
    <w:lvl w:ilvl="0">
      <w:start w:val="1"/>
      <w:numFmt w:val="decimal"/>
      <w:lvlText w:val="Section %1"/>
      <w:lvlJc w:val="left"/>
      <w:pPr>
        <w:ind w:left="2268" w:hanging="2268"/>
      </w:pPr>
      <w:rPr>
        <w:rFonts w:hint="default"/>
      </w:rPr>
    </w:lvl>
    <w:lvl w:ilvl="1">
      <w:start w:val="1"/>
      <w:numFmt w:val="upperLetter"/>
      <w:lvlText w:val="Section %1%2"/>
      <w:lvlJc w:val="left"/>
      <w:pPr>
        <w:ind w:left="2268" w:hanging="2268"/>
      </w:pPr>
      <w:rPr>
        <w:rFonts w:hint="default"/>
      </w:rPr>
    </w:lvl>
    <w:lvl w:ilvl="2">
      <w:start w:val="1"/>
      <w:numFmt w:val="decimal"/>
      <w:lvlRestart w:val="1"/>
      <w:lvlText w:val="%1.%3"/>
      <w:lvlJc w:val="left"/>
      <w:pPr>
        <w:ind w:left="1134" w:hanging="1134"/>
      </w:pPr>
      <w:rPr>
        <w:rFonts w:hint="default"/>
      </w:rPr>
    </w:lvl>
    <w:lvl w:ilvl="3">
      <w:start w:val="1"/>
      <w:numFmt w:val="decimal"/>
      <w:lvlRestart w:val="2"/>
      <w:lvlText w:val="%1%2.%4"/>
      <w:lvlJc w:val="left"/>
      <w:pPr>
        <w:ind w:left="1134" w:hanging="1134"/>
      </w:pPr>
      <w:rPr>
        <w:rFonts w:hint="default"/>
      </w:rPr>
    </w:lvl>
    <w:lvl w:ilvl="4">
      <w:start w:val="1"/>
      <w:numFmt w:val="decimal"/>
      <w:lvlRestart w:val="3"/>
      <w:lvlText w:val="%1.%3.%5"/>
      <w:lvlJc w:val="left"/>
      <w:pPr>
        <w:ind w:left="1134" w:hanging="1134"/>
      </w:pPr>
      <w:rPr>
        <w:rFonts w:hint="default"/>
      </w:rPr>
    </w:lvl>
    <w:lvl w:ilvl="5">
      <w:start w:val="1"/>
      <w:numFmt w:val="decimal"/>
      <w:lvlRestart w:val="4"/>
      <w:lvlText w:val="%1%2.%4.%6"/>
      <w:lvlJc w:val="left"/>
      <w:pPr>
        <w:ind w:left="1134" w:hanging="113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B623993"/>
    <w:multiLevelType w:val="hybridMultilevel"/>
    <w:tmpl w:val="39C6CE72"/>
    <w:lvl w:ilvl="0" w:tplc="0134866A">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65F41DC"/>
    <w:multiLevelType w:val="hybridMultilevel"/>
    <w:tmpl w:val="8DE64D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6874586"/>
    <w:multiLevelType w:val="multilevel"/>
    <w:tmpl w:val="C09E0D4E"/>
    <w:lvl w:ilvl="0">
      <w:numFmt w:val="decimal"/>
      <w:pStyle w:val="MtAProposalListBullet1"/>
      <w:lvlText w:val=""/>
      <w:lvlJc w:val="left"/>
    </w:lvl>
    <w:lvl w:ilvl="1">
      <w:numFmt w:val="decimal"/>
      <w:pStyle w:val="MtAProposalListBullet2"/>
      <w:lvlText w:val=""/>
      <w:lvlJc w:val="left"/>
    </w:lvl>
    <w:lvl w:ilvl="2">
      <w:numFmt w:val="decimal"/>
      <w:pStyle w:val="MtAProposalListBullet3"/>
      <w:lvlText w:val=""/>
      <w:lvlJc w:val="left"/>
    </w:lvl>
    <w:lvl w:ilvl="3">
      <w:numFmt w:val="decimal"/>
      <w:pStyle w:val="MtAProposalListBullet4"/>
      <w:lvlText w:val=""/>
      <w:lvlJc w:val="left"/>
    </w:lvl>
    <w:lvl w:ilvl="4">
      <w:numFmt w:val="decimal"/>
      <w:pStyle w:val="MtAProposalListBulle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346AD7"/>
    <w:multiLevelType w:val="hybridMultilevel"/>
    <w:tmpl w:val="135AA326"/>
    <w:lvl w:ilvl="0" w:tplc="CFBE442A">
      <w:start w:val="1"/>
      <w:numFmt w:val="bullet"/>
      <w:pStyle w:val="ListParagraph"/>
      <w:lvlText w:val=""/>
      <w:lvlJc w:val="left"/>
      <w:pPr>
        <w:ind w:left="1440" w:hanging="360"/>
      </w:pPr>
      <w:rPr>
        <w:rFonts w:ascii="Symbol" w:hAnsi="Symbol" w:hint="default"/>
      </w:rPr>
    </w:lvl>
    <w:lvl w:ilvl="1" w:tplc="5880B6CC">
      <w:numFmt w:val="bullet"/>
      <w:lvlText w:val="•"/>
      <w:lvlJc w:val="left"/>
      <w:pPr>
        <w:ind w:left="2160" w:hanging="360"/>
      </w:pPr>
      <w:rPr>
        <w:rFonts w:ascii="Arial Narrow" w:eastAsiaTheme="majorEastAsia" w:hAnsi="Arial Narrow" w:cstheme="maj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0A60E54"/>
    <w:multiLevelType w:val="multilevel"/>
    <w:tmpl w:val="4F249DEE"/>
    <w:lvl w:ilvl="0">
      <w:start w:val="1"/>
      <w:numFmt w:val="decimal"/>
      <w:lvlText w:val="%1"/>
      <w:lvlJc w:val="left"/>
      <w:pPr>
        <w:ind w:left="720" w:hanging="720"/>
      </w:pPr>
      <w:rPr>
        <w:rFonts w:hint="default"/>
        <w:b/>
        <w:i w:val="0"/>
        <w:iCs w:val="0"/>
      </w:rPr>
    </w:lvl>
    <w:lvl w:ilvl="1">
      <w:start w:val="1"/>
      <w:numFmt w:val="bullet"/>
      <w:lvlText w:val=""/>
      <w:lvlJc w:val="left"/>
      <w:pPr>
        <w:ind w:left="360" w:hanging="360"/>
      </w:pPr>
      <w:rPr>
        <w:rFonts w:ascii="Symbol" w:hAnsi="Symbol"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324E3"/>
    <w:multiLevelType w:val="hybridMultilevel"/>
    <w:tmpl w:val="C346C69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207185"/>
    <w:multiLevelType w:val="hybridMultilevel"/>
    <w:tmpl w:val="76FC342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5AC863DD"/>
    <w:multiLevelType w:val="hybridMultilevel"/>
    <w:tmpl w:val="CEBE06E0"/>
    <w:lvl w:ilvl="0" w:tplc="C91E125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68146B"/>
    <w:multiLevelType w:val="hybridMultilevel"/>
    <w:tmpl w:val="E96EA5DA"/>
    <w:lvl w:ilvl="0" w:tplc="0DB4ECE6">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B45994"/>
    <w:multiLevelType w:val="multilevel"/>
    <w:tmpl w:val="D42E777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9052919"/>
    <w:multiLevelType w:val="multilevel"/>
    <w:tmpl w:val="4F249DEE"/>
    <w:lvl w:ilvl="0">
      <w:start w:val="1"/>
      <w:numFmt w:val="decimal"/>
      <w:lvlText w:val="%1"/>
      <w:lvlJc w:val="left"/>
      <w:pPr>
        <w:ind w:left="720" w:hanging="720"/>
      </w:pPr>
      <w:rPr>
        <w:rFonts w:hint="default"/>
        <w:b/>
        <w:i w:val="0"/>
        <w:iCs w:val="0"/>
      </w:rPr>
    </w:lvl>
    <w:lvl w:ilvl="1">
      <w:start w:val="1"/>
      <w:numFmt w:val="bullet"/>
      <w:lvlText w:val=""/>
      <w:lvlJc w:val="left"/>
      <w:pPr>
        <w:ind w:left="360" w:hanging="360"/>
      </w:pPr>
      <w:rPr>
        <w:rFonts w:ascii="Symbol" w:hAnsi="Symbol"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4D033C"/>
    <w:multiLevelType w:val="multilevel"/>
    <w:tmpl w:val="ED546C94"/>
    <w:lvl w:ilvl="0">
      <w:start w:val="1"/>
      <w:numFmt w:val="decimal"/>
      <w:pStyle w:val="2-SectionHeading"/>
      <w:lvlText w:val="%1"/>
      <w:lvlJc w:val="left"/>
      <w:pPr>
        <w:ind w:left="720" w:hanging="720"/>
      </w:pPr>
      <w:rPr>
        <w:rFonts w:hint="default"/>
        <w:b/>
        <w:i w:val="0"/>
        <w:iCs w:val="0"/>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20"/>
  </w:num>
  <w:num w:numId="2" w16cid:durableId="917793048">
    <w:abstractNumId w:val="11"/>
  </w:num>
  <w:num w:numId="3" w16cid:durableId="263461728">
    <w:abstractNumId w:val="0"/>
  </w:num>
  <w:num w:numId="4" w16cid:durableId="220360847">
    <w:abstractNumId w:val="18"/>
  </w:num>
  <w:num w:numId="5" w16cid:durableId="268196418">
    <w:abstractNumId w:val="9"/>
  </w:num>
  <w:num w:numId="6" w16cid:durableId="1048839230">
    <w:abstractNumId w:val="20"/>
  </w:num>
  <w:num w:numId="7" w16cid:durableId="1859466415">
    <w:abstractNumId w:val="13"/>
  </w:num>
  <w:num w:numId="8" w16cid:durableId="568660185">
    <w:abstractNumId w:val="5"/>
  </w:num>
  <w:num w:numId="9" w16cid:durableId="816068885">
    <w:abstractNumId w:val="8"/>
  </w:num>
  <w:num w:numId="10" w16cid:durableId="273563391">
    <w:abstractNumId w:val="3"/>
  </w:num>
  <w:num w:numId="11" w16cid:durableId="1099062557">
    <w:abstractNumId w:val="17"/>
  </w:num>
  <w:num w:numId="12" w16cid:durableId="314526992">
    <w:abstractNumId w:val="7"/>
  </w:num>
  <w:num w:numId="13" w16cid:durableId="1775251665">
    <w:abstractNumId w:val="6"/>
  </w:num>
  <w:num w:numId="14" w16cid:durableId="1906135736">
    <w:abstractNumId w:val="4"/>
  </w:num>
  <w:num w:numId="15" w16cid:durableId="88084374">
    <w:abstractNumId w:val="1"/>
  </w:num>
  <w:num w:numId="16" w16cid:durableId="1965891371">
    <w:abstractNumId w:val="15"/>
  </w:num>
  <w:num w:numId="17" w16cid:durableId="930816010">
    <w:abstractNumId w:val="14"/>
  </w:num>
  <w:num w:numId="18" w16cid:durableId="767777699">
    <w:abstractNumId w:val="12"/>
  </w:num>
  <w:num w:numId="19" w16cid:durableId="1589197857">
    <w:abstractNumId w:val="16"/>
  </w:num>
  <w:num w:numId="20" w16cid:durableId="960572671">
    <w:abstractNumId w:val="2"/>
  </w:num>
  <w:num w:numId="21" w16cid:durableId="630597009">
    <w:abstractNumId w:val="20"/>
  </w:num>
  <w:num w:numId="22" w16cid:durableId="1435782697">
    <w:abstractNumId w:val="20"/>
  </w:num>
  <w:num w:numId="23" w16cid:durableId="1287273679">
    <w:abstractNumId w:val="19"/>
  </w:num>
  <w:num w:numId="24" w16cid:durableId="59875472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9F"/>
    <w:rsid w:val="00000725"/>
    <w:rsid w:val="00000790"/>
    <w:rsid w:val="00000EF9"/>
    <w:rsid w:val="00001004"/>
    <w:rsid w:val="0000110B"/>
    <w:rsid w:val="00001669"/>
    <w:rsid w:val="00001B4B"/>
    <w:rsid w:val="00001F06"/>
    <w:rsid w:val="00003499"/>
    <w:rsid w:val="000039B7"/>
    <w:rsid w:val="0000527E"/>
    <w:rsid w:val="000056B9"/>
    <w:rsid w:val="00006067"/>
    <w:rsid w:val="0000639A"/>
    <w:rsid w:val="00006ECA"/>
    <w:rsid w:val="00007286"/>
    <w:rsid w:val="00007752"/>
    <w:rsid w:val="00007A44"/>
    <w:rsid w:val="00010431"/>
    <w:rsid w:val="00010D1A"/>
    <w:rsid w:val="00010F24"/>
    <w:rsid w:val="00011838"/>
    <w:rsid w:val="00011839"/>
    <w:rsid w:val="00011845"/>
    <w:rsid w:val="00012C58"/>
    <w:rsid w:val="00013247"/>
    <w:rsid w:val="00013CE8"/>
    <w:rsid w:val="000146EA"/>
    <w:rsid w:val="00015886"/>
    <w:rsid w:val="000162EF"/>
    <w:rsid w:val="00016571"/>
    <w:rsid w:val="00016A3C"/>
    <w:rsid w:val="00016C4F"/>
    <w:rsid w:val="00016FDF"/>
    <w:rsid w:val="0001707B"/>
    <w:rsid w:val="00020470"/>
    <w:rsid w:val="000207C9"/>
    <w:rsid w:val="00020CBC"/>
    <w:rsid w:val="000213AC"/>
    <w:rsid w:val="000214DC"/>
    <w:rsid w:val="0002150A"/>
    <w:rsid w:val="00021C5C"/>
    <w:rsid w:val="00022017"/>
    <w:rsid w:val="0002225F"/>
    <w:rsid w:val="000222FE"/>
    <w:rsid w:val="000227AD"/>
    <w:rsid w:val="00022AE3"/>
    <w:rsid w:val="00022F41"/>
    <w:rsid w:val="00023033"/>
    <w:rsid w:val="00023222"/>
    <w:rsid w:val="00023763"/>
    <w:rsid w:val="00023A9C"/>
    <w:rsid w:val="00023FF7"/>
    <w:rsid w:val="000240AC"/>
    <w:rsid w:val="000244FE"/>
    <w:rsid w:val="00024D0A"/>
    <w:rsid w:val="00024EB5"/>
    <w:rsid w:val="00025B50"/>
    <w:rsid w:val="00026212"/>
    <w:rsid w:val="000274B8"/>
    <w:rsid w:val="00027590"/>
    <w:rsid w:val="00027947"/>
    <w:rsid w:val="00027A43"/>
    <w:rsid w:val="00027EB4"/>
    <w:rsid w:val="00027FDA"/>
    <w:rsid w:val="00030B0C"/>
    <w:rsid w:val="0003169E"/>
    <w:rsid w:val="00031936"/>
    <w:rsid w:val="00031A16"/>
    <w:rsid w:val="00031F84"/>
    <w:rsid w:val="00032EDB"/>
    <w:rsid w:val="00033069"/>
    <w:rsid w:val="000331FF"/>
    <w:rsid w:val="00033863"/>
    <w:rsid w:val="0003394D"/>
    <w:rsid w:val="000339F6"/>
    <w:rsid w:val="00035A4D"/>
    <w:rsid w:val="00035DC0"/>
    <w:rsid w:val="00035F76"/>
    <w:rsid w:val="00036829"/>
    <w:rsid w:val="000368E4"/>
    <w:rsid w:val="00036A3D"/>
    <w:rsid w:val="00036C13"/>
    <w:rsid w:val="00036D5F"/>
    <w:rsid w:val="00036E8C"/>
    <w:rsid w:val="0003717E"/>
    <w:rsid w:val="00037F19"/>
    <w:rsid w:val="00040895"/>
    <w:rsid w:val="000408B9"/>
    <w:rsid w:val="000410A0"/>
    <w:rsid w:val="000415BA"/>
    <w:rsid w:val="00041A8B"/>
    <w:rsid w:val="00041CA9"/>
    <w:rsid w:val="0004291B"/>
    <w:rsid w:val="00042951"/>
    <w:rsid w:val="000435EE"/>
    <w:rsid w:val="00043B9E"/>
    <w:rsid w:val="00043C37"/>
    <w:rsid w:val="000440F1"/>
    <w:rsid w:val="00044C94"/>
    <w:rsid w:val="00045017"/>
    <w:rsid w:val="000454C7"/>
    <w:rsid w:val="00045A2B"/>
    <w:rsid w:val="00045B53"/>
    <w:rsid w:val="00046104"/>
    <w:rsid w:val="000466AA"/>
    <w:rsid w:val="0004698F"/>
    <w:rsid w:val="00046D00"/>
    <w:rsid w:val="00046D64"/>
    <w:rsid w:val="00046D8B"/>
    <w:rsid w:val="000478A5"/>
    <w:rsid w:val="00047EBA"/>
    <w:rsid w:val="0005006C"/>
    <w:rsid w:val="00050209"/>
    <w:rsid w:val="000503E7"/>
    <w:rsid w:val="000508C2"/>
    <w:rsid w:val="000511DC"/>
    <w:rsid w:val="0005157D"/>
    <w:rsid w:val="000517DA"/>
    <w:rsid w:val="000517F9"/>
    <w:rsid w:val="00051898"/>
    <w:rsid w:val="00051B57"/>
    <w:rsid w:val="00051F0D"/>
    <w:rsid w:val="00052907"/>
    <w:rsid w:val="00052D94"/>
    <w:rsid w:val="000530A9"/>
    <w:rsid w:val="000530EA"/>
    <w:rsid w:val="000533FA"/>
    <w:rsid w:val="000539D0"/>
    <w:rsid w:val="00053E5D"/>
    <w:rsid w:val="00053E9A"/>
    <w:rsid w:val="00054096"/>
    <w:rsid w:val="00054621"/>
    <w:rsid w:val="000546D7"/>
    <w:rsid w:val="0005487C"/>
    <w:rsid w:val="00054A8D"/>
    <w:rsid w:val="00054EA9"/>
    <w:rsid w:val="00056017"/>
    <w:rsid w:val="00056302"/>
    <w:rsid w:val="0005650A"/>
    <w:rsid w:val="00056607"/>
    <w:rsid w:val="00056655"/>
    <w:rsid w:val="000567FF"/>
    <w:rsid w:val="00056CAC"/>
    <w:rsid w:val="00056ECF"/>
    <w:rsid w:val="00057734"/>
    <w:rsid w:val="00057AB4"/>
    <w:rsid w:val="00057ABC"/>
    <w:rsid w:val="0006024F"/>
    <w:rsid w:val="000604DF"/>
    <w:rsid w:val="00060FAD"/>
    <w:rsid w:val="00061194"/>
    <w:rsid w:val="00061210"/>
    <w:rsid w:val="00061239"/>
    <w:rsid w:val="00061B2E"/>
    <w:rsid w:val="0006209A"/>
    <w:rsid w:val="00062324"/>
    <w:rsid w:val="00062B2B"/>
    <w:rsid w:val="00062D2E"/>
    <w:rsid w:val="00063564"/>
    <w:rsid w:val="000645B1"/>
    <w:rsid w:val="000647A5"/>
    <w:rsid w:val="000651BE"/>
    <w:rsid w:val="000653B5"/>
    <w:rsid w:val="0006575C"/>
    <w:rsid w:val="000657E4"/>
    <w:rsid w:val="00065E35"/>
    <w:rsid w:val="0006632B"/>
    <w:rsid w:val="00066345"/>
    <w:rsid w:val="00066360"/>
    <w:rsid w:val="000665D9"/>
    <w:rsid w:val="00066717"/>
    <w:rsid w:val="0006678D"/>
    <w:rsid w:val="000668B3"/>
    <w:rsid w:val="000668C3"/>
    <w:rsid w:val="00066AF8"/>
    <w:rsid w:val="00067CF5"/>
    <w:rsid w:val="00070256"/>
    <w:rsid w:val="000703A8"/>
    <w:rsid w:val="00070794"/>
    <w:rsid w:val="00070C4E"/>
    <w:rsid w:val="00070C9A"/>
    <w:rsid w:val="00070CD6"/>
    <w:rsid w:val="000711E4"/>
    <w:rsid w:val="00071248"/>
    <w:rsid w:val="00071954"/>
    <w:rsid w:val="000720B9"/>
    <w:rsid w:val="00072258"/>
    <w:rsid w:val="00072795"/>
    <w:rsid w:val="000737F7"/>
    <w:rsid w:val="00073D9C"/>
    <w:rsid w:val="00074525"/>
    <w:rsid w:val="0007452F"/>
    <w:rsid w:val="00074576"/>
    <w:rsid w:val="00074DE2"/>
    <w:rsid w:val="00075374"/>
    <w:rsid w:val="00075B5E"/>
    <w:rsid w:val="00075D29"/>
    <w:rsid w:val="000760DF"/>
    <w:rsid w:val="0007672F"/>
    <w:rsid w:val="0007684A"/>
    <w:rsid w:val="0007696A"/>
    <w:rsid w:val="000769E9"/>
    <w:rsid w:val="00076B54"/>
    <w:rsid w:val="00076F42"/>
    <w:rsid w:val="000772B0"/>
    <w:rsid w:val="000774F0"/>
    <w:rsid w:val="00077882"/>
    <w:rsid w:val="00077D57"/>
    <w:rsid w:val="00077F00"/>
    <w:rsid w:val="00080909"/>
    <w:rsid w:val="00080FE9"/>
    <w:rsid w:val="0008103D"/>
    <w:rsid w:val="000812CA"/>
    <w:rsid w:val="000812E8"/>
    <w:rsid w:val="00081B23"/>
    <w:rsid w:val="00081E63"/>
    <w:rsid w:val="00081E7D"/>
    <w:rsid w:val="0008258D"/>
    <w:rsid w:val="00083E99"/>
    <w:rsid w:val="00084328"/>
    <w:rsid w:val="000845F8"/>
    <w:rsid w:val="000845FB"/>
    <w:rsid w:val="00084C52"/>
    <w:rsid w:val="00084DD7"/>
    <w:rsid w:val="00084FA8"/>
    <w:rsid w:val="000853D9"/>
    <w:rsid w:val="000855AC"/>
    <w:rsid w:val="000856C5"/>
    <w:rsid w:val="00085C31"/>
    <w:rsid w:val="00085FCA"/>
    <w:rsid w:val="00086551"/>
    <w:rsid w:val="0008685E"/>
    <w:rsid w:val="000868FA"/>
    <w:rsid w:val="000871A6"/>
    <w:rsid w:val="00087711"/>
    <w:rsid w:val="000879B1"/>
    <w:rsid w:val="000879DC"/>
    <w:rsid w:val="000902D9"/>
    <w:rsid w:val="000908F8"/>
    <w:rsid w:val="00090BDB"/>
    <w:rsid w:val="00090C7E"/>
    <w:rsid w:val="000911AC"/>
    <w:rsid w:val="000912D4"/>
    <w:rsid w:val="00091DC8"/>
    <w:rsid w:val="00092600"/>
    <w:rsid w:val="0009262B"/>
    <w:rsid w:val="000929E5"/>
    <w:rsid w:val="00092D1D"/>
    <w:rsid w:val="00093310"/>
    <w:rsid w:val="00093427"/>
    <w:rsid w:val="00093701"/>
    <w:rsid w:val="000939FC"/>
    <w:rsid w:val="000943F5"/>
    <w:rsid w:val="0009445C"/>
    <w:rsid w:val="0009482D"/>
    <w:rsid w:val="00094D11"/>
    <w:rsid w:val="00095200"/>
    <w:rsid w:val="00095549"/>
    <w:rsid w:val="000956DA"/>
    <w:rsid w:val="00095836"/>
    <w:rsid w:val="00095FE5"/>
    <w:rsid w:val="00096284"/>
    <w:rsid w:val="000966BF"/>
    <w:rsid w:val="00096F77"/>
    <w:rsid w:val="0009751D"/>
    <w:rsid w:val="00097571"/>
    <w:rsid w:val="000977E5"/>
    <w:rsid w:val="00097D06"/>
    <w:rsid w:val="00097DB9"/>
    <w:rsid w:val="000A0894"/>
    <w:rsid w:val="000A1013"/>
    <w:rsid w:val="000A12E3"/>
    <w:rsid w:val="000A1B03"/>
    <w:rsid w:val="000A1BC0"/>
    <w:rsid w:val="000A1CBA"/>
    <w:rsid w:val="000A1D15"/>
    <w:rsid w:val="000A2F84"/>
    <w:rsid w:val="000A2F9E"/>
    <w:rsid w:val="000A326E"/>
    <w:rsid w:val="000A39A5"/>
    <w:rsid w:val="000A39BD"/>
    <w:rsid w:val="000A3E47"/>
    <w:rsid w:val="000A4349"/>
    <w:rsid w:val="000A4C62"/>
    <w:rsid w:val="000A522B"/>
    <w:rsid w:val="000A5554"/>
    <w:rsid w:val="000A5B35"/>
    <w:rsid w:val="000A6039"/>
    <w:rsid w:val="000A6854"/>
    <w:rsid w:val="000A6E53"/>
    <w:rsid w:val="000A6EE9"/>
    <w:rsid w:val="000A7453"/>
    <w:rsid w:val="000A746F"/>
    <w:rsid w:val="000A7743"/>
    <w:rsid w:val="000A7B60"/>
    <w:rsid w:val="000A7BF0"/>
    <w:rsid w:val="000A7D08"/>
    <w:rsid w:val="000B000C"/>
    <w:rsid w:val="000B0121"/>
    <w:rsid w:val="000B02DA"/>
    <w:rsid w:val="000B0670"/>
    <w:rsid w:val="000B0863"/>
    <w:rsid w:val="000B0B78"/>
    <w:rsid w:val="000B0BD6"/>
    <w:rsid w:val="000B0E75"/>
    <w:rsid w:val="000B1748"/>
    <w:rsid w:val="000B1DC9"/>
    <w:rsid w:val="000B1EA6"/>
    <w:rsid w:val="000B2584"/>
    <w:rsid w:val="000B27C5"/>
    <w:rsid w:val="000B2DCB"/>
    <w:rsid w:val="000B34D3"/>
    <w:rsid w:val="000B4000"/>
    <w:rsid w:val="000B40B1"/>
    <w:rsid w:val="000B54F5"/>
    <w:rsid w:val="000B57D9"/>
    <w:rsid w:val="000B5CE0"/>
    <w:rsid w:val="000B5F33"/>
    <w:rsid w:val="000B6CAC"/>
    <w:rsid w:val="000B7612"/>
    <w:rsid w:val="000B78AE"/>
    <w:rsid w:val="000B797D"/>
    <w:rsid w:val="000C0080"/>
    <w:rsid w:val="000C028E"/>
    <w:rsid w:val="000C03F3"/>
    <w:rsid w:val="000C04D9"/>
    <w:rsid w:val="000C0704"/>
    <w:rsid w:val="000C08B2"/>
    <w:rsid w:val="000C08DD"/>
    <w:rsid w:val="000C0A1F"/>
    <w:rsid w:val="000C0CD3"/>
    <w:rsid w:val="000C0E32"/>
    <w:rsid w:val="000C14F3"/>
    <w:rsid w:val="000C1D19"/>
    <w:rsid w:val="000C204D"/>
    <w:rsid w:val="000C2395"/>
    <w:rsid w:val="000C26D4"/>
    <w:rsid w:val="000C28CB"/>
    <w:rsid w:val="000C36E6"/>
    <w:rsid w:val="000C399A"/>
    <w:rsid w:val="000C3DF9"/>
    <w:rsid w:val="000C4057"/>
    <w:rsid w:val="000C4CF2"/>
    <w:rsid w:val="000C4E79"/>
    <w:rsid w:val="000C4ECB"/>
    <w:rsid w:val="000C4FD2"/>
    <w:rsid w:val="000C5173"/>
    <w:rsid w:val="000C5796"/>
    <w:rsid w:val="000C62E8"/>
    <w:rsid w:val="000C666B"/>
    <w:rsid w:val="000C6713"/>
    <w:rsid w:val="000C6761"/>
    <w:rsid w:val="000C75F2"/>
    <w:rsid w:val="000D0FF2"/>
    <w:rsid w:val="000D18F5"/>
    <w:rsid w:val="000D1915"/>
    <w:rsid w:val="000D1AD6"/>
    <w:rsid w:val="000D1BFC"/>
    <w:rsid w:val="000D1D5D"/>
    <w:rsid w:val="000D20C7"/>
    <w:rsid w:val="000D23FB"/>
    <w:rsid w:val="000D281A"/>
    <w:rsid w:val="000D2848"/>
    <w:rsid w:val="000D28D9"/>
    <w:rsid w:val="000D2DA2"/>
    <w:rsid w:val="000D2DC6"/>
    <w:rsid w:val="000D326A"/>
    <w:rsid w:val="000D3EC6"/>
    <w:rsid w:val="000D453D"/>
    <w:rsid w:val="000D4A6A"/>
    <w:rsid w:val="000D4FB1"/>
    <w:rsid w:val="000D5031"/>
    <w:rsid w:val="000D51FB"/>
    <w:rsid w:val="000D52E1"/>
    <w:rsid w:val="000D56B8"/>
    <w:rsid w:val="000D5811"/>
    <w:rsid w:val="000D59E0"/>
    <w:rsid w:val="000D655E"/>
    <w:rsid w:val="000D6842"/>
    <w:rsid w:val="000D6A30"/>
    <w:rsid w:val="000D6BE0"/>
    <w:rsid w:val="000D6F47"/>
    <w:rsid w:val="000D6FC5"/>
    <w:rsid w:val="000D72AB"/>
    <w:rsid w:val="000E0640"/>
    <w:rsid w:val="000E098F"/>
    <w:rsid w:val="000E09BE"/>
    <w:rsid w:val="000E0BA7"/>
    <w:rsid w:val="000E135D"/>
    <w:rsid w:val="000E157F"/>
    <w:rsid w:val="000E187A"/>
    <w:rsid w:val="000E1F06"/>
    <w:rsid w:val="000E24A9"/>
    <w:rsid w:val="000E25CB"/>
    <w:rsid w:val="000E260C"/>
    <w:rsid w:val="000E26E7"/>
    <w:rsid w:val="000E2A3D"/>
    <w:rsid w:val="000E3B69"/>
    <w:rsid w:val="000E4277"/>
    <w:rsid w:val="000E4336"/>
    <w:rsid w:val="000E4C5C"/>
    <w:rsid w:val="000E5CB6"/>
    <w:rsid w:val="000E6209"/>
    <w:rsid w:val="000E68B4"/>
    <w:rsid w:val="000E7F0F"/>
    <w:rsid w:val="000F00BA"/>
    <w:rsid w:val="000F0C9D"/>
    <w:rsid w:val="000F1A50"/>
    <w:rsid w:val="000F220D"/>
    <w:rsid w:val="000F2EFB"/>
    <w:rsid w:val="000F316A"/>
    <w:rsid w:val="000F3C74"/>
    <w:rsid w:val="000F4A9E"/>
    <w:rsid w:val="000F4BB8"/>
    <w:rsid w:val="000F4FA9"/>
    <w:rsid w:val="000F512D"/>
    <w:rsid w:val="000F53FB"/>
    <w:rsid w:val="000F5790"/>
    <w:rsid w:val="000F5B70"/>
    <w:rsid w:val="000F5E25"/>
    <w:rsid w:val="000F6070"/>
    <w:rsid w:val="000F6191"/>
    <w:rsid w:val="000F6285"/>
    <w:rsid w:val="000F6DBC"/>
    <w:rsid w:val="000F7127"/>
    <w:rsid w:val="000F78C8"/>
    <w:rsid w:val="000F7B54"/>
    <w:rsid w:val="000F7BCE"/>
    <w:rsid w:val="000F7E59"/>
    <w:rsid w:val="000F7F75"/>
    <w:rsid w:val="001000B3"/>
    <w:rsid w:val="0010055D"/>
    <w:rsid w:val="00100ABE"/>
    <w:rsid w:val="00100EA9"/>
    <w:rsid w:val="00100F8A"/>
    <w:rsid w:val="001019DB"/>
    <w:rsid w:val="00101CBB"/>
    <w:rsid w:val="00101D67"/>
    <w:rsid w:val="0010287B"/>
    <w:rsid w:val="001029E5"/>
    <w:rsid w:val="00103EF8"/>
    <w:rsid w:val="0010452E"/>
    <w:rsid w:val="001046FB"/>
    <w:rsid w:val="00105014"/>
    <w:rsid w:val="00105566"/>
    <w:rsid w:val="00105983"/>
    <w:rsid w:val="00105A46"/>
    <w:rsid w:val="00105AE2"/>
    <w:rsid w:val="00105F40"/>
    <w:rsid w:val="0010605D"/>
    <w:rsid w:val="001060C6"/>
    <w:rsid w:val="001060DF"/>
    <w:rsid w:val="00106512"/>
    <w:rsid w:val="001066E6"/>
    <w:rsid w:val="00106B80"/>
    <w:rsid w:val="00106EE0"/>
    <w:rsid w:val="00106F25"/>
    <w:rsid w:val="001072A6"/>
    <w:rsid w:val="001075C8"/>
    <w:rsid w:val="001102F6"/>
    <w:rsid w:val="00110302"/>
    <w:rsid w:val="0011032E"/>
    <w:rsid w:val="00110799"/>
    <w:rsid w:val="00110CAF"/>
    <w:rsid w:val="00110DD4"/>
    <w:rsid w:val="00112051"/>
    <w:rsid w:val="00112A2A"/>
    <w:rsid w:val="0011348B"/>
    <w:rsid w:val="00113506"/>
    <w:rsid w:val="00113772"/>
    <w:rsid w:val="00113939"/>
    <w:rsid w:val="00114040"/>
    <w:rsid w:val="001146B7"/>
    <w:rsid w:val="001148E6"/>
    <w:rsid w:val="00114AB7"/>
    <w:rsid w:val="00114B6A"/>
    <w:rsid w:val="00114C64"/>
    <w:rsid w:val="0011569B"/>
    <w:rsid w:val="00115982"/>
    <w:rsid w:val="001160B8"/>
    <w:rsid w:val="00116C53"/>
    <w:rsid w:val="00116C60"/>
    <w:rsid w:val="00116E4F"/>
    <w:rsid w:val="001171B4"/>
    <w:rsid w:val="0011795B"/>
    <w:rsid w:val="00117D9E"/>
    <w:rsid w:val="00117EAD"/>
    <w:rsid w:val="00120528"/>
    <w:rsid w:val="00120787"/>
    <w:rsid w:val="001207B1"/>
    <w:rsid w:val="00120B41"/>
    <w:rsid w:val="00120EBA"/>
    <w:rsid w:val="00121799"/>
    <w:rsid w:val="00121B5C"/>
    <w:rsid w:val="0012201C"/>
    <w:rsid w:val="001222FC"/>
    <w:rsid w:val="00122637"/>
    <w:rsid w:val="001228B8"/>
    <w:rsid w:val="001236C2"/>
    <w:rsid w:val="001237A4"/>
    <w:rsid w:val="00123902"/>
    <w:rsid w:val="00123C6E"/>
    <w:rsid w:val="00123EC2"/>
    <w:rsid w:val="00123F84"/>
    <w:rsid w:val="00124456"/>
    <w:rsid w:val="00124A51"/>
    <w:rsid w:val="00124AFE"/>
    <w:rsid w:val="00124F58"/>
    <w:rsid w:val="00126621"/>
    <w:rsid w:val="00126648"/>
    <w:rsid w:val="00126B1D"/>
    <w:rsid w:val="00126F1F"/>
    <w:rsid w:val="00127362"/>
    <w:rsid w:val="0012736F"/>
    <w:rsid w:val="00127988"/>
    <w:rsid w:val="00127D45"/>
    <w:rsid w:val="001301E9"/>
    <w:rsid w:val="0013083A"/>
    <w:rsid w:val="00130E03"/>
    <w:rsid w:val="00130E99"/>
    <w:rsid w:val="001318EE"/>
    <w:rsid w:val="00131977"/>
    <w:rsid w:val="001319F6"/>
    <w:rsid w:val="00131D82"/>
    <w:rsid w:val="00131E26"/>
    <w:rsid w:val="00132247"/>
    <w:rsid w:val="001322AE"/>
    <w:rsid w:val="001326A6"/>
    <w:rsid w:val="00132978"/>
    <w:rsid w:val="00132B22"/>
    <w:rsid w:val="00132DEF"/>
    <w:rsid w:val="00133D36"/>
    <w:rsid w:val="0013463C"/>
    <w:rsid w:val="001346F3"/>
    <w:rsid w:val="00135A5C"/>
    <w:rsid w:val="00135C04"/>
    <w:rsid w:val="00136C9C"/>
    <w:rsid w:val="00137480"/>
    <w:rsid w:val="00137645"/>
    <w:rsid w:val="00137E3C"/>
    <w:rsid w:val="0014015A"/>
    <w:rsid w:val="00140B60"/>
    <w:rsid w:val="00140E99"/>
    <w:rsid w:val="0014150F"/>
    <w:rsid w:val="00141A19"/>
    <w:rsid w:val="00141B13"/>
    <w:rsid w:val="001425BD"/>
    <w:rsid w:val="00142AEB"/>
    <w:rsid w:val="0014335E"/>
    <w:rsid w:val="00143F67"/>
    <w:rsid w:val="001447A1"/>
    <w:rsid w:val="0014504D"/>
    <w:rsid w:val="00145234"/>
    <w:rsid w:val="00145540"/>
    <w:rsid w:val="001456B0"/>
    <w:rsid w:val="0014619F"/>
    <w:rsid w:val="001464D2"/>
    <w:rsid w:val="001465C6"/>
    <w:rsid w:val="00146DCE"/>
    <w:rsid w:val="001472A9"/>
    <w:rsid w:val="001473BB"/>
    <w:rsid w:val="00147B59"/>
    <w:rsid w:val="00150C6C"/>
    <w:rsid w:val="00152114"/>
    <w:rsid w:val="00152F30"/>
    <w:rsid w:val="00153487"/>
    <w:rsid w:val="00153D3A"/>
    <w:rsid w:val="001547AB"/>
    <w:rsid w:val="001547B9"/>
    <w:rsid w:val="00154D14"/>
    <w:rsid w:val="00154E78"/>
    <w:rsid w:val="001558D8"/>
    <w:rsid w:val="001558F5"/>
    <w:rsid w:val="00156F8F"/>
    <w:rsid w:val="00157130"/>
    <w:rsid w:val="00157228"/>
    <w:rsid w:val="0015757F"/>
    <w:rsid w:val="001576B1"/>
    <w:rsid w:val="0015780F"/>
    <w:rsid w:val="001578B2"/>
    <w:rsid w:val="00157FD7"/>
    <w:rsid w:val="0016047B"/>
    <w:rsid w:val="00160A4C"/>
    <w:rsid w:val="00160D91"/>
    <w:rsid w:val="00160F03"/>
    <w:rsid w:val="00161043"/>
    <w:rsid w:val="00161B5F"/>
    <w:rsid w:val="00162155"/>
    <w:rsid w:val="0016281D"/>
    <w:rsid w:val="00162913"/>
    <w:rsid w:val="00162E1A"/>
    <w:rsid w:val="00163A8F"/>
    <w:rsid w:val="00163EFF"/>
    <w:rsid w:val="00163F66"/>
    <w:rsid w:val="0016478E"/>
    <w:rsid w:val="00164F52"/>
    <w:rsid w:val="00165099"/>
    <w:rsid w:val="00165693"/>
    <w:rsid w:val="00165D1F"/>
    <w:rsid w:val="00165EC4"/>
    <w:rsid w:val="001660B7"/>
    <w:rsid w:val="001661FB"/>
    <w:rsid w:val="00166673"/>
    <w:rsid w:val="0016704F"/>
    <w:rsid w:val="001671A0"/>
    <w:rsid w:val="001673F2"/>
    <w:rsid w:val="0016767F"/>
    <w:rsid w:val="0017094C"/>
    <w:rsid w:val="00170C4E"/>
    <w:rsid w:val="00171310"/>
    <w:rsid w:val="00171C93"/>
    <w:rsid w:val="00171F24"/>
    <w:rsid w:val="0017281B"/>
    <w:rsid w:val="00172991"/>
    <w:rsid w:val="00172E18"/>
    <w:rsid w:val="0017315F"/>
    <w:rsid w:val="001732B1"/>
    <w:rsid w:val="001733C3"/>
    <w:rsid w:val="00173565"/>
    <w:rsid w:val="00173B07"/>
    <w:rsid w:val="00173DD7"/>
    <w:rsid w:val="00173F1E"/>
    <w:rsid w:val="0017461C"/>
    <w:rsid w:val="00174F26"/>
    <w:rsid w:val="001751FA"/>
    <w:rsid w:val="00175B2C"/>
    <w:rsid w:val="00175CC9"/>
    <w:rsid w:val="001762F9"/>
    <w:rsid w:val="0017634D"/>
    <w:rsid w:val="001764F9"/>
    <w:rsid w:val="00176B86"/>
    <w:rsid w:val="00176C42"/>
    <w:rsid w:val="00177109"/>
    <w:rsid w:val="0017770B"/>
    <w:rsid w:val="00177788"/>
    <w:rsid w:val="00177939"/>
    <w:rsid w:val="00177FFB"/>
    <w:rsid w:val="0018000D"/>
    <w:rsid w:val="001809D3"/>
    <w:rsid w:val="00180D8E"/>
    <w:rsid w:val="00181063"/>
    <w:rsid w:val="00181C10"/>
    <w:rsid w:val="00181D9C"/>
    <w:rsid w:val="00181DF6"/>
    <w:rsid w:val="00182527"/>
    <w:rsid w:val="001837FF"/>
    <w:rsid w:val="001838A8"/>
    <w:rsid w:val="00183966"/>
    <w:rsid w:val="00183D08"/>
    <w:rsid w:val="00183F0A"/>
    <w:rsid w:val="0018441B"/>
    <w:rsid w:val="00184499"/>
    <w:rsid w:val="00184B0E"/>
    <w:rsid w:val="00184C52"/>
    <w:rsid w:val="00184F98"/>
    <w:rsid w:val="00185552"/>
    <w:rsid w:val="0018559A"/>
    <w:rsid w:val="00186474"/>
    <w:rsid w:val="001868B7"/>
    <w:rsid w:val="00186966"/>
    <w:rsid w:val="00186BE1"/>
    <w:rsid w:val="00186FA2"/>
    <w:rsid w:val="0018752F"/>
    <w:rsid w:val="00187D6A"/>
    <w:rsid w:val="001900E9"/>
    <w:rsid w:val="0019087A"/>
    <w:rsid w:val="00190EB8"/>
    <w:rsid w:val="00192361"/>
    <w:rsid w:val="00192929"/>
    <w:rsid w:val="001929D6"/>
    <w:rsid w:val="00192F00"/>
    <w:rsid w:val="0019371C"/>
    <w:rsid w:val="00193838"/>
    <w:rsid w:val="00194671"/>
    <w:rsid w:val="001947FE"/>
    <w:rsid w:val="00194810"/>
    <w:rsid w:val="0019492A"/>
    <w:rsid w:val="00194981"/>
    <w:rsid w:val="0019498E"/>
    <w:rsid w:val="00194AD8"/>
    <w:rsid w:val="0019503A"/>
    <w:rsid w:val="00195222"/>
    <w:rsid w:val="00195452"/>
    <w:rsid w:val="0019595E"/>
    <w:rsid w:val="0019625B"/>
    <w:rsid w:val="00196407"/>
    <w:rsid w:val="00196C37"/>
    <w:rsid w:val="0019740E"/>
    <w:rsid w:val="00197423"/>
    <w:rsid w:val="001975D8"/>
    <w:rsid w:val="001A01CB"/>
    <w:rsid w:val="001A0560"/>
    <w:rsid w:val="001A06D1"/>
    <w:rsid w:val="001A0CD4"/>
    <w:rsid w:val="001A15C0"/>
    <w:rsid w:val="001A178E"/>
    <w:rsid w:val="001A181B"/>
    <w:rsid w:val="001A1958"/>
    <w:rsid w:val="001A1C60"/>
    <w:rsid w:val="001A1D27"/>
    <w:rsid w:val="001A21A8"/>
    <w:rsid w:val="001A2440"/>
    <w:rsid w:val="001A30C4"/>
    <w:rsid w:val="001A3823"/>
    <w:rsid w:val="001A3A51"/>
    <w:rsid w:val="001A420C"/>
    <w:rsid w:val="001A43FA"/>
    <w:rsid w:val="001A47C5"/>
    <w:rsid w:val="001A4D37"/>
    <w:rsid w:val="001A4F32"/>
    <w:rsid w:val="001A5523"/>
    <w:rsid w:val="001A59B5"/>
    <w:rsid w:val="001A59FB"/>
    <w:rsid w:val="001A5E9E"/>
    <w:rsid w:val="001A6354"/>
    <w:rsid w:val="001A6366"/>
    <w:rsid w:val="001A6432"/>
    <w:rsid w:val="001A6BC7"/>
    <w:rsid w:val="001A765A"/>
    <w:rsid w:val="001A7A62"/>
    <w:rsid w:val="001A7AE8"/>
    <w:rsid w:val="001A7FB3"/>
    <w:rsid w:val="001B0145"/>
    <w:rsid w:val="001B049A"/>
    <w:rsid w:val="001B09F2"/>
    <w:rsid w:val="001B0AF2"/>
    <w:rsid w:val="001B0E98"/>
    <w:rsid w:val="001B0F52"/>
    <w:rsid w:val="001B1C10"/>
    <w:rsid w:val="001B1FEE"/>
    <w:rsid w:val="001B204E"/>
    <w:rsid w:val="001B2372"/>
    <w:rsid w:val="001B26C9"/>
    <w:rsid w:val="001B2973"/>
    <w:rsid w:val="001B2CA8"/>
    <w:rsid w:val="001B2EBD"/>
    <w:rsid w:val="001B3443"/>
    <w:rsid w:val="001B3C6A"/>
    <w:rsid w:val="001B3C8A"/>
    <w:rsid w:val="001B43FC"/>
    <w:rsid w:val="001B454E"/>
    <w:rsid w:val="001B4D20"/>
    <w:rsid w:val="001B50B1"/>
    <w:rsid w:val="001B5FD7"/>
    <w:rsid w:val="001B6680"/>
    <w:rsid w:val="001B7537"/>
    <w:rsid w:val="001B7B3C"/>
    <w:rsid w:val="001B7F84"/>
    <w:rsid w:val="001C0486"/>
    <w:rsid w:val="001C0BE7"/>
    <w:rsid w:val="001C17AD"/>
    <w:rsid w:val="001C19ED"/>
    <w:rsid w:val="001C1D8C"/>
    <w:rsid w:val="001C2A64"/>
    <w:rsid w:val="001C2A9B"/>
    <w:rsid w:val="001C3DD6"/>
    <w:rsid w:val="001C3DD9"/>
    <w:rsid w:val="001C40F1"/>
    <w:rsid w:val="001C4299"/>
    <w:rsid w:val="001C4874"/>
    <w:rsid w:val="001C4AC5"/>
    <w:rsid w:val="001C4AEF"/>
    <w:rsid w:val="001C4E48"/>
    <w:rsid w:val="001C5485"/>
    <w:rsid w:val="001C5EE0"/>
    <w:rsid w:val="001C5F36"/>
    <w:rsid w:val="001C5F94"/>
    <w:rsid w:val="001C6075"/>
    <w:rsid w:val="001C670C"/>
    <w:rsid w:val="001C69CD"/>
    <w:rsid w:val="001C6E66"/>
    <w:rsid w:val="001C7278"/>
    <w:rsid w:val="001C7817"/>
    <w:rsid w:val="001C7D90"/>
    <w:rsid w:val="001D0C74"/>
    <w:rsid w:val="001D0EF3"/>
    <w:rsid w:val="001D1100"/>
    <w:rsid w:val="001D1391"/>
    <w:rsid w:val="001D1B9B"/>
    <w:rsid w:val="001D25CB"/>
    <w:rsid w:val="001D25D7"/>
    <w:rsid w:val="001D27BC"/>
    <w:rsid w:val="001D3629"/>
    <w:rsid w:val="001D3721"/>
    <w:rsid w:val="001D3845"/>
    <w:rsid w:val="001D3A3D"/>
    <w:rsid w:val="001D3B83"/>
    <w:rsid w:val="001D3E6C"/>
    <w:rsid w:val="001D4685"/>
    <w:rsid w:val="001D4B32"/>
    <w:rsid w:val="001D4F9B"/>
    <w:rsid w:val="001D50B2"/>
    <w:rsid w:val="001D521C"/>
    <w:rsid w:val="001D5B4D"/>
    <w:rsid w:val="001D6304"/>
    <w:rsid w:val="001D6379"/>
    <w:rsid w:val="001D6B82"/>
    <w:rsid w:val="001D71F4"/>
    <w:rsid w:val="001D7645"/>
    <w:rsid w:val="001D7701"/>
    <w:rsid w:val="001D78D0"/>
    <w:rsid w:val="001E0663"/>
    <w:rsid w:val="001E140B"/>
    <w:rsid w:val="001E1D8E"/>
    <w:rsid w:val="001E1E7F"/>
    <w:rsid w:val="001E1E86"/>
    <w:rsid w:val="001E1FD1"/>
    <w:rsid w:val="001E238E"/>
    <w:rsid w:val="001E2483"/>
    <w:rsid w:val="001E291E"/>
    <w:rsid w:val="001E2B1E"/>
    <w:rsid w:val="001E2B87"/>
    <w:rsid w:val="001E2CFF"/>
    <w:rsid w:val="001E2ED0"/>
    <w:rsid w:val="001E2F24"/>
    <w:rsid w:val="001E30D4"/>
    <w:rsid w:val="001E34DF"/>
    <w:rsid w:val="001E398F"/>
    <w:rsid w:val="001E3FDA"/>
    <w:rsid w:val="001E4071"/>
    <w:rsid w:val="001E43DB"/>
    <w:rsid w:val="001E44B5"/>
    <w:rsid w:val="001E4952"/>
    <w:rsid w:val="001E5202"/>
    <w:rsid w:val="001E52EB"/>
    <w:rsid w:val="001E5675"/>
    <w:rsid w:val="001E583F"/>
    <w:rsid w:val="001E61D2"/>
    <w:rsid w:val="001E740C"/>
    <w:rsid w:val="001E7533"/>
    <w:rsid w:val="001F0406"/>
    <w:rsid w:val="001F0EB0"/>
    <w:rsid w:val="001F1235"/>
    <w:rsid w:val="001F16DD"/>
    <w:rsid w:val="001F1A3A"/>
    <w:rsid w:val="001F1CB3"/>
    <w:rsid w:val="001F1E81"/>
    <w:rsid w:val="001F1F3A"/>
    <w:rsid w:val="001F1F6B"/>
    <w:rsid w:val="001F2282"/>
    <w:rsid w:val="001F23E1"/>
    <w:rsid w:val="001F2B9B"/>
    <w:rsid w:val="001F2CEC"/>
    <w:rsid w:val="001F32E9"/>
    <w:rsid w:val="001F35CE"/>
    <w:rsid w:val="001F38B5"/>
    <w:rsid w:val="001F38FE"/>
    <w:rsid w:val="001F4081"/>
    <w:rsid w:val="001F4B20"/>
    <w:rsid w:val="001F56C2"/>
    <w:rsid w:val="001F59E8"/>
    <w:rsid w:val="001F6428"/>
    <w:rsid w:val="001F6A4D"/>
    <w:rsid w:val="001F6D08"/>
    <w:rsid w:val="001F7361"/>
    <w:rsid w:val="001F7B2F"/>
    <w:rsid w:val="001F7C93"/>
    <w:rsid w:val="002011B0"/>
    <w:rsid w:val="002013B9"/>
    <w:rsid w:val="002017EF"/>
    <w:rsid w:val="00201FF8"/>
    <w:rsid w:val="0020213F"/>
    <w:rsid w:val="002021F8"/>
    <w:rsid w:val="002022BB"/>
    <w:rsid w:val="00202826"/>
    <w:rsid w:val="002028F4"/>
    <w:rsid w:val="00203181"/>
    <w:rsid w:val="0020319B"/>
    <w:rsid w:val="00203783"/>
    <w:rsid w:val="0020385F"/>
    <w:rsid w:val="00203915"/>
    <w:rsid w:val="0020394D"/>
    <w:rsid w:val="00204705"/>
    <w:rsid w:val="002047A4"/>
    <w:rsid w:val="00204B7C"/>
    <w:rsid w:val="0020549C"/>
    <w:rsid w:val="0020571C"/>
    <w:rsid w:val="00205870"/>
    <w:rsid w:val="00205AB1"/>
    <w:rsid w:val="0020627A"/>
    <w:rsid w:val="00206361"/>
    <w:rsid w:val="00206393"/>
    <w:rsid w:val="002068A0"/>
    <w:rsid w:val="00206F8D"/>
    <w:rsid w:val="00207021"/>
    <w:rsid w:val="0020732F"/>
    <w:rsid w:val="00207570"/>
    <w:rsid w:val="0020798E"/>
    <w:rsid w:val="00207D00"/>
    <w:rsid w:val="00210241"/>
    <w:rsid w:val="00210251"/>
    <w:rsid w:val="0021025A"/>
    <w:rsid w:val="002105C1"/>
    <w:rsid w:val="00210644"/>
    <w:rsid w:val="00210A0D"/>
    <w:rsid w:val="002112A5"/>
    <w:rsid w:val="002116FD"/>
    <w:rsid w:val="00211F51"/>
    <w:rsid w:val="00212705"/>
    <w:rsid w:val="00212B86"/>
    <w:rsid w:val="002131EF"/>
    <w:rsid w:val="00213377"/>
    <w:rsid w:val="00213534"/>
    <w:rsid w:val="00213EF5"/>
    <w:rsid w:val="00214A73"/>
    <w:rsid w:val="00214B71"/>
    <w:rsid w:val="0021569A"/>
    <w:rsid w:val="002158C2"/>
    <w:rsid w:val="00215F66"/>
    <w:rsid w:val="00215FF8"/>
    <w:rsid w:val="0021642B"/>
    <w:rsid w:val="00216640"/>
    <w:rsid w:val="00216BF5"/>
    <w:rsid w:val="00216CAC"/>
    <w:rsid w:val="00216CF7"/>
    <w:rsid w:val="00216E6A"/>
    <w:rsid w:val="002176A1"/>
    <w:rsid w:val="00217FEC"/>
    <w:rsid w:val="002200D2"/>
    <w:rsid w:val="00220E0A"/>
    <w:rsid w:val="00221382"/>
    <w:rsid w:val="002219F9"/>
    <w:rsid w:val="00221E1A"/>
    <w:rsid w:val="00221E3A"/>
    <w:rsid w:val="00221EBA"/>
    <w:rsid w:val="00222E2C"/>
    <w:rsid w:val="002232A1"/>
    <w:rsid w:val="00223B49"/>
    <w:rsid w:val="00223D5A"/>
    <w:rsid w:val="00223DAB"/>
    <w:rsid w:val="002240C0"/>
    <w:rsid w:val="00224DD4"/>
    <w:rsid w:val="0022698C"/>
    <w:rsid w:val="00226DBB"/>
    <w:rsid w:val="00227235"/>
    <w:rsid w:val="00227272"/>
    <w:rsid w:val="002275E6"/>
    <w:rsid w:val="002278A0"/>
    <w:rsid w:val="0022791B"/>
    <w:rsid w:val="00227C5D"/>
    <w:rsid w:val="0023009C"/>
    <w:rsid w:val="002301CF"/>
    <w:rsid w:val="002309CC"/>
    <w:rsid w:val="00230BDF"/>
    <w:rsid w:val="00230FFE"/>
    <w:rsid w:val="00231376"/>
    <w:rsid w:val="00231639"/>
    <w:rsid w:val="00231BA9"/>
    <w:rsid w:val="0023209F"/>
    <w:rsid w:val="002326AD"/>
    <w:rsid w:val="00232BAF"/>
    <w:rsid w:val="002333E6"/>
    <w:rsid w:val="00233462"/>
    <w:rsid w:val="00233C01"/>
    <w:rsid w:val="0023413C"/>
    <w:rsid w:val="00234424"/>
    <w:rsid w:val="002346F0"/>
    <w:rsid w:val="00234A30"/>
    <w:rsid w:val="00234BC6"/>
    <w:rsid w:val="00234DD0"/>
    <w:rsid w:val="00235311"/>
    <w:rsid w:val="002355D8"/>
    <w:rsid w:val="0023575A"/>
    <w:rsid w:val="00235972"/>
    <w:rsid w:val="00235FB9"/>
    <w:rsid w:val="002360D8"/>
    <w:rsid w:val="0023629D"/>
    <w:rsid w:val="00236563"/>
    <w:rsid w:val="00236795"/>
    <w:rsid w:val="00236970"/>
    <w:rsid w:val="00236D09"/>
    <w:rsid w:val="00237255"/>
    <w:rsid w:val="002379C6"/>
    <w:rsid w:val="00237EFA"/>
    <w:rsid w:val="00240093"/>
    <w:rsid w:val="00240B87"/>
    <w:rsid w:val="00240E76"/>
    <w:rsid w:val="002413C7"/>
    <w:rsid w:val="0024186B"/>
    <w:rsid w:val="00241DC2"/>
    <w:rsid w:val="00241E3D"/>
    <w:rsid w:val="00242035"/>
    <w:rsid w:val="00242084"/>
    <w:rsid w:val="00242210"/>
    <w:rsid w:val="00242277"/>
    <w:rsid w:val="002424AF"/>
    <w:rsid w:val="00242D6E"/>
    <w:rsid w:val="00243522"/>
    <w:rsid w:val="00243745"/>
    <w:rsid w:val="0024384F"/>
    <w:rsid w:val="002439DC"/>
    <w:rsid w:val="0024404D"/>
    <w:rsid w:val="002441C5"/>
    <w:rsid w:val="002441D2"/>
    <w:rsid w:val="002446D5"/>
    <w:rsid w:val="002446F8"/>
    <w:rsid w:val="002447EA"/>
    <w:rsid w:val="00244A5D"/>
    <w:rsid w:val="00244DC8"/>
    <w:rsid w:val="00244FDA"/>
    <w:rsid w:val="00245611"/>
    <w:rsid w:val="002458BA"/>
    <w:rsid w:val="00245CE9"/>
    <w:rsid w:val="0024636C"/>
    <w:rsid w:val="002467E6"/>
    <w:rsid w:val="00247925"/>
    <w:rsid w:val="00247D13"/>
    <w:rsid w:val="00247F13"/>
    <w:rsid w:val="0025077F"/>
    <w:rsid w:val="00250BF5"/>
    <w:rsid w:val="00251006"/>
    <w:rsid w:val="002511E2"/>
    <w:rsid w:val="00251B09"/>
    <w:rsid w:val="00252488"/>
    <w:rsid w:val="002524D5"/>
    <w:rsid w:val="002524DD"/>
    <w:rsid w:val="002524F8"/>
    <w:rsid w:val="00252A18"/>
    <w:rsid w:val="00252C2E"/>
    <w:rsid w:val="00253370"/>
    <w:rsid w:val="002534AE"/>
    <w:rsid w:val="002535FA"/>
    <w:rsid w:val="00253B1D"/>
    <w:rsid w:val="00253BB0"/>
    <w:rsid w:val="00253C36"/>
    <w:rsid w:val="00254041"/>
    <w:rsid w:val="00254C7B"/>
    <w:rsid w:val="00254DCF"/>
    <w:rsid w:val="00254F08"/>
    <w:rsid w:val="0025534B"/>
    <w:rsid w:val="0025590C"/>
    <w:rsid w:val="00255BB7"/>
    <w:rsid w:val="00255C4D"/>
    <w:rsid w:val="00255DA3"/>
    <w:rsid w:val="002561DC"/>
    <w:rsid w:val="002562AC"/>
    <w:rsid w:val="002569AA"/>
    <w:rsid w:val="00257361"/>
    <w:rsid w:val="00257541"/>
    <w:rsid w:val="00257A39"/>
    <w:rsid w:val="00257AC4"/>
    <w:rsid w:val="00257BBE"/>
    <w:rsid w:val="00257DFE"/>
    <w:rsid w:val="002600A2"/>
    <w:rsid w:val="0026013F"/>
    <w:rsid w:val="00260330"/>
    <w:rsid w:val="00260736"/>
    <w:rsid w:val="00260B5C"/>
    <w:rsid w:val="002610BC"/>
    <w:rsid w:val="00261140"/>
    <w:rsid w:val="0026162C"/>
    <w:rsid w:val="0026175A"/>
    <w:rsid w:val="0026175F"/>
    <w:rsid w:val="0026197E"/>
    <w:rsid w:val="00261EEF"/>
    <w:rsid w:val="002621D8"/>
    <w:rsid w:val="002622E6"/>
    <w:rsid w:val="00262303"/>
    <w:rsid w:val="0026290D"/>
    <w:rsid w:val="00262A1A"/>
    <w:rsid w:val="00262A6C"/>
    <w:rsid w:val="00262A87"/>
    <w:rsid w:val="0026335B"/>
    <w:rsid w:val="00263483"/>
    <w:rsid w:val="00263986"/>
    <w:rsid w:val="002639EC"/>
    <w:rsid w:val="00263F0C"/>
    <w:rsid w:val="002642D4"/>
    <w:rsid w:val="00264452"/>
    <w:rsid w:val="002648E5"/>
    <w:rsid w:val="00264B99"/>
    <w:rsid w:val="00264BD2"/>
    <w:rsid w:val="00264D26"/>
    <w:rsid w:val="002658D6"/>
    <w:rsid w:val="0026648C"/>
    <w:rsid w:val="00266CE7"/>
    <w:rsid w:val="00266D3B"/>
    <w:rsid w:val="00267391"/>
    <w:rsid w:val="002673D6"/>
    <w:rsid w:val="00267642"/>
    <w:rsid w:val="00267AEA"/>
    <w:rsid w:val="00267E2D"/>
    <w:rsid w:val="00267F20"/>
    <w:rsid w:val="002700E6"/>
    <w:rsid w:val="00270880"/>
    <w:rsid w:val="00270BF7"/>
    <w:rsid w:val="00271119"/>
    <w:rsid w:val="00271CD5"/>
    <w:rsid w:val="00272428"/>
    <w:rsid w:val="0027294B"/>
    <w:rsid w:val="00272DC0"/>
    <w:rsid w:val="00272E5A"/>
    <w:rsid w:val="002730ED"/>
    <w:rsid w:val="002738D1"/>
    <w:rsid w:val="00273EB4"/>
    <w:rsid w:val="00273FFF"/>
    <w:rsid w:val="002741E8"/>
    <w:rsid w:val="00274682"/>
    <w:rsid w:val="00274A06"/>
    <w:rsid w:val="00274D27"/>
    <w:rsid w:val="00274EB5"/>
    <w:rsid w:val="00275158"/>
    <w:rsid w:val="00275A7C"/>
    <w:rsid w:val="00275C5A"/>
    <w:rsid w:val="00276924"/>
    <w:rsid w:val="00276C02"/>
    <w:rsid w:val="00277F6F"/>
    <w:rsid w:val="002800CA"/>
    <w:rsid w:val="00280874"/>
    <w:rsid w:val="002809DD"/>
    <w:rsid w:val="00280D38"/>
    <w:rsid w:val="00280EF4"/>
    <w:rsid w:val="00281014"/>
    <w:rsid w:val="002810B2"/>
    <w:rsid w:val="002816DC"/>
    <w:rsid w:val="0028190D"/>
    <w:rsid w:val="00282289"/>
    <w:rsid w:val="002824A4"/>
    <w:rsid w:val="00282E2A"/>
    <w:rsid w:val="002830B1"/>
    <w:rsid w:val="0028355B"/>
    <w:rsid w:val="0028387C"/>
    <w:rsid w:val="002838CF"/>
    <w:rsid w:val="00283A42"/>
    <w:rsid w:val="00284153"/>
    <w:rsid w:val="0028428A"/>
    <w:rsid w:val="002845BB"/>
    <w:rsid w:val="002848EF"/>
    <w:rsid w:val="00284E53"/>
    <w:rsid w:val="002856A5"/>
    <w:rsid w:val="0028591D"/>
    <w:rsid w:val="00285BCE"/>
    <w:rsid w:val="00285C85"/>
    <w:rsid w:val="00285D5F"/>
    <w:rsid w:val="0028665D"/>
    <w:rsid w:val="00287103"/>
    <w:rsid w:val="0028798D"/>
    <w:rsid w:val="002906AA"/>
    <w:rsid w:val="00290C3F"/>
    <w:rsid w:val="00290EBF"/>
    <w:rsid w:val="00291905"/>
    <w:rsid w:val="002919AE"/>
    <w:rsid w:val="002920D9"/>
    <w:rsid w:val="0029220D"/>
    <w:rsid w:val="0029229B"/>
    <w:rsid w:val="002927EF"/>
    <w:rsid w:val="002937CD"/>
    <w:rsid w:val="002938A6"/>
    <w:rsid w:val="00294234"/>
    <w:rsid w:val="0029455C"/>
    <w:rsid w:val="0029490D"/>
    <w:rsid w:val="00294C43"/>
    <w:rsid w:val="00294E20"/>
    <w:rsid w:val="00294F21"/>
    <w:rsid w:val="00295021"/>
    <w:rsid w:val="00295695"/>
    <w:rsid w:val="002958D2"/>
    <w:rsid w:val="00295B2B"/>
    <w:rsid w:val="00295F77"/>
    <w:rsid w:val="002966E3"/>
    <w:rsid w:val="0029700E"/>
    <w:rsid w:val="00297126"/>
    <w:rsid w:val="00297337"/>
    <w:rsid w:val="002976A9"/>
    <w:rsid w:val="0029778F"/>
    <w:rsid w:val="00297C12"/>
    <w:rsid w:val="002A0140"/>
    <w:rsid w:val="002A0EF4"/>
    <w:rsid w:val="002A1396"/>
    <w:rsid w:val="002A14AB"/>
    <w:rsid w:val="002A18F3"/>
    <w:rsid w:val="002A1EF5"/>
    <w:rsid w:val="002A2ADE"/>
    <w:rsid w:val="002A2BD0"/>
    <w:rsid w:val="002A2F50"/>
    <w:rsid w:val="002A356D"/>
    <w:rsid w:val="002A3810"/>
    <w:rsid w:val="002A38B4"/>
    <w:rsid w:val="002A4C60"/>
    <w:rsid w:val="002A4DCD"/>
    <w:rsid w:val="002A4DD1"/>
    <w:rsid w:val="002A4E84"/>
    <w:rsid w:val="002A6608"/>
    <w:rsid w:val="002A67B3"/>
    <w:rsid w:val="002A6C49"/>
    <w:rsid w:val="002A7943"/>
    <w:rsid w:val="002A7EAA"/>
    <w:rsid w:val="002B0156"/>
    <w:rsid w:val="002B02E6"/>
    <w:rsid w:val="002B05A1"/>
    <w:rsid w:val="002B0921"/>
    <w:rsid w:val="002B09A4"/>
    <w:rsid w:val="002B0C03"/>
    <w:rsid w:val="002B171D"/>
    <w:rsid w:val="002B1C1F"/>
    <w:rsid w:val="002B2198"/>
    <w:rsid w:val="002B290C"/>
    <w:rsid w:val="002B2D32"/>
    <w:rsid w:val="002B38AE"/>
    <w:rsid w:val="002B3BDA"/>
    <w:rsid w:val="002B407A"/>
    <w:rsid w:val="002B432F"/>
    <w:rsid w:val="002B4599"/>
    <w:rsid w:val="002B4A37"/>
    <w:rsid w:val="002B4EFF"/>
    <w:rsid w:val="002B5766"/>
    <w:rsid w:val="002B5CA1"/>
    <w:rsid w:val="002B6135"/>
    <w:rsid w:val="002B62B3"/>
    <w:rsid w:val="002B649E"/>
    <w:rsid w:val="002B66E7"/>
    <w:rsid w:val="002B6754"/>
    <w:rsid w:val="002B6C3C"/>
    <w:rsid w:val="002B6CCE"/>
    <w:rsid w:val="002B6F9E"/>
    <w:rsid w:val="002B7DDB"/>
    <w:rsid w:val="002C006B"/>
    <w:rsid w:val="002C05C5"/>
    <w:rsid w:val="002C07FB"/>
    <w:rsid w:val="002C0961"/>
    <w:rsid w:val="002C10D5"/>
    <w:rsid w:val="002C1D61"/>
    <w:rsid w:val="002C2344"/>
    <w:rsid w:val="002C2510"/>
    <w:rsid w:val="002C2775"/>
    <w:rsid w:val="002C27C1"/>
    <w:rsid w:val="002C2845"/>
    <w:rsid w:val="002C296E"/>
    <w:rsid w:val="002C2AFD"/>
    <w:rsid w:val="002C31D7"/>
    <w:rsid w:val="002C3414"/>
    <w:rsid w:val="002C3593"/>
    <w:rsid w:val="002C36E3"/>
    <w:rsid w:val="002C48B2"/>
    <w:rsid w:val="002C4F56"/>
    <w:rsid w:val="002C5099"/>
    <w:rsid w:val="002C52D8"/>
    <w:rsid w:val="002C558B"/>
    <w:rsid w:val="002C5889"/>
    <w:rsid w:val="002C666E"/>
    <w:rsid w:val="002C71CE"/>
    <w:rsid w:val="002D0594"/>
    <w:rsid w:val="002D06F4"/>
    <w:rsid w:val="002D08F8"/>
    <w:rsid w:val="002D16D4"/>
    <w:rsid w:val="002D1FBF"/>
    <w:rsid w:val="002D21BA"/>
    <w:rsid w:val="002D2E66"/>
    <w:rsid w:val="002D2F71"/>
    <w:rsid w:val="002D35EC"/>
    <w:rsid w:val="002D362B"/>
    <w:rsid w:val="002D36F0"/>
    <w:rsid w:val="002D3F01"/>
    <w:rsid w:val="002D425D"/>
    <w:rsid w:val="002D44F3"/>
    <w:rsid w:val="002D4D3D"/>
    <w:rsid w:val="002D4F7E"/>
    <w:rsid w:val="002D5028"/>
    <w:rsid w:val="002D51D2"/>
    <w:rsid w:val="002D539C"/>
    <w:rsid w:val="002D577C"/>
    <w:rsid w:val="002D5AC7"/>
    <w:rsid w:val="002D5EE7"/>
    <w:rsid w:val="002D5F8A"/>
    <w:rsid w:val="002D66A9"/>
    <w:rsid w:val="002D6740"/>
    <w:rsid w:val="002D69DD"/>
    <w:rsid w:val="002D6BDA"/>
    <w:rsid w:val="002D7832"/>
    <w:rsid w:val="002D7F02"/>
    <w:rsid w:val="002E0167"/>
    <w:rsid w:val="002E0A98"/>
    <w:rsid w:val="002E1071"/>
    <w:rsid w:val="002E15B9"/>
    <w:rsid w:val="002E18C6"/>
    <w:rsid w:val="002E1C54"/>
    <w:rsid w:val="002E2158"/>
    <w:rsid w:val="002E22D6"/>
    <w:rsid w:val="002E2654"/>
    <w:rsid w:val="002E32B1"/>
    <w:rsid w:val="002E34EF"/>
    <w:rsid w:val="002E35D9"/>
    <w:rsid w:val="002E37FB"/>
    <w:rsid w:val="002E398F"/>
    <w:rsid w:val="002E3B59"/>
    <w:rsid w:val="002E4502"/>
    <w:rsid w:val="002E4F02"/>
    <w:rsid w:val="002E5067"/>
    <w:rsid w:val="002E526E"/>
    <w:rsid w:val="002E59D0"/>
    <w:rsid w:val="002E5EC4"/>
    <w:rsid w:val="002E616E"/>
    <w:rsid w:val="002E6394"/>
    <w:rsid w:val="002E69F5"/>
    <w:rsid w:val="002E7175"/>
    <w:rsid w:val="002E7722"/>
    <w:rsid w:val="002E78DA"/>
    <w:rsid w:val="002E7C43"/>
    <w:rsid w:val="002E7DEF"/>
    <w:rsid w:val="002F07BA"/>
    <w:rsid w:val="002F0A9A"/>
    <w:rsid w:val="002F0DA9"/>
    <w:rsid w:val="002F1014"/>
    <w:rsid w:val="002F10A3"/>
    <w:rsid w:val="002F151C"/>
    <w:rsid w:val="002F17FB"/>
    <w:rsid w:val="002F1AED"/>
    <w:rsid w:val="002F1E3B"/>
    <w:rsid w:val="002F220A"/>
    <w:rsid w:val="002F234B"/>
    <w:rsid w:val="002F2807"/>
    <w:rsid w:val="002F28DC"/>
    <w:rsid w:val="002F2FD2"/>
    <w:rsid w:val="002F396B"/>
    <w:rsid w:val="002F418D"/>
    <w:rsid w:val="002F4916"/>
    <w:rsid w:val="002F4CE3"/>
    <w:rsid w:val="002F51BC"/>
    <w:rsid w:val="002F5D19"/>
    <w:rsid w:val="002F6197"/>
    <w:rsid w:val="002F643C"/>
    <w:rsid w:val="002F71C0"/>
    <w:rsid w:val="002F74F1"/>
    <w:rsid w:val="002F7560"/>
    <w:rsid w:val="002F75CE"/>
    <w:rsid w:val="002F78B6"/>
    <w:rsid w:val="002F7E75"/>
    <w:rsid w:val="003000E7"/>
    <w:rsid w:val="00300B44"/>
    <w:rsid w:val="00301017"/>
    <w:rsid w:val="00301369"/>
    <w:rsid w:val="003014F7"/>
    <w:rsid w:val="0030155F"/>
    <w:rsid w:val="00301D22"/>
    <w:rsid w:val="00301DA3"/>
    <w:rsid w:val="003023A7"/>
    <w:rsid w:val="0030339D"/>
    <w:rsid w:val="0030341A"/>
    <w:rsid w:val="003037D2"/>
    <w:rsid w:val="0030386C"/>
    <w:rsid w:val="003044F9"/>
    <w:rsid w:val="00304B0A"/>
    <w:rsid w:val="00304D6D"/>
    <w:rsid w:val="00304F6B"/>
    <w:rsid w:val="00305613"/>
    <w:rsid w:val="0030587B"/>
    <w:rsid w:val="0030680B"/>
    <w:rsid w:val="00306935"/>
    <w:rsid w:val="00306D98"/>
    <w:rsid w:val="0030786C"/>
    <w:rsid w:val="00307C79"/>
    <w:rsid w:val="0031031A"/>
    <w:rsid w:val="0031040A"/>
    <w:rsid w:val="00310454"/>
    <w:rsid w:val="00310498"/>
    <w:rsid w:val="00310981"/>
    <w:rsid w:val="00310EA3"/>
    <w:rsid w:val="00310FB4"/>
    <w:rsid w:val="00311A3B"/>
    <w:rsid w:val="00311D9B"/>
    <w:rsid w:val="00311F39"/>
    <w:rsid w:val="0031206E"/>
    <w:rsid w:val="003121D6"/>
    <w:rsid w:val="003124D9"/>
    <w:rsid w:val="00312594"/>
    <w:rsid w:val="00312BBA"/>
    <w:rsid w:val="00312FF0"/>
    <w:rsid w:val="003133F8"/>
    <w:rsid w:val="00313531"/>
    <w:rsid w:val="003137E2"/>
    <w:rsid w:val="003141B7"/>
    <w:rsid w:val="00314D1D"/>
    <w:rsid w:val="00315498"/>
    <w:rsid w:val="0031555D"/>
    <w:rsid w:val="00315692"/>
    <w:rsid w:val="003158D1"/>
    <w:rsid w:val="00315CB3"/>
    <w:rsid w:val="00316474"/>
    <w:rsid w:val="00316EBC"/>
    <w:rsid w:val="00317A8E"/>
    <w:rsid w:val="003201D2"/>
    <w:rsid w:val="00320419"/>
    <w:rsid w:val="0032043A"/>
    <w:rsid w:val="003208DE"/>
    <w:rsid w:val="00321368"/>
    <w:rsid w:val="0032141B"/>
    <w:rsid w:val="00321AC2"/>
    <w:rsid w:val="00321B36"/>
    <w:rsid w:val="00321DD4"/>
    <w:rsid w:val="00322049"/>
    <w:rsid w:val="00322107"/>
    <w:rsid w:val="0032227F"/>
    <w:rsid w:val="00322355"/>
    <w:rsid w:val="003227ED"/>
    <w:rsid w:val="00322846"/>
    <w:rsid w:val="00322B82"/>
    <w:rsid w:val="00322B8C"/>
    <w:rsid w:val="00323A34"/>
    <w:rsid w:val="00323EC8"/>
    <w:rsid w:val="0032410A"/>
    <w:rsid w:val="003241BA"/>
    <w:rsid w:val="003249B5"/>
    <w:rsid w:val="00324F37"/>
    <w:rsid w:val="00325150"/>
    <w:rsid w:val="00325549"/>
    <w:rsid w:val="003255B3"/>
    <w:rsid w:val="00325FAA"/>
    <w:rsid w:val="0032600E"/>
    <w:rsid w:val="003264C1"/>
    <w:rsid w:val="0032673F"/>
    <w:rsid w:val="00326C36"/>
    <w:rsid w:val="00326CCA"/>
    <w:rsid w:val="00326DA7"/>
    <w:rsid w:val="00326F0B"/>
    <w:rsid w:val="00326F0F"/>
    <w:rsid w:val="00327032"/>
    <w:rsid w:val="003270E4"/>
    <w:rsid w:val="00327A10"/>
    <w:rsid w:val="00327E19"/>
    <w:rsid w:val="003300E3"/>
    <w:rsid w:val="003309EA"/>
    <w:rsid w:val="00330A5C"/>
    <w:rsid w:val="00330DAA"/>
    <w:rsid w:val="00330F5C"/>
    <w:rsid w:val="003312C8"/>
    <w:rsid w:val="003313D9"/>
    <w:rsid w:val="003315AA"/>
    <w:rsid w:val="00331637"/>
    <w:rsid w:val="00331AA2"/>
    <w:rsid w:val="00331DE7"/>
    <w:rsid w:val="003321BD"/>
    <w:rsid w:val="00332AC1"/>
    <w:rsid w:val="00332F09"/>
    <w:rsid w:val="0033324D"/>
    <w:rsid w:val="00333276"/>
    <w:rsid w:val="00334265"/>
    <w:rsid w:val="003350EA"/>
    <w:rsid w:val="00335211"/>
    <w:rsid w:val="003356A0"/>
    <w:rsid w:val="00335DDC"/>
    <w:rsid w:val="003366C9"/>
    <w:rsid w:val="00336D85"/>
    <w:rsid w:val="003371B0"/>
    <w:rsid w:val="00337275"/>
    <w:rsid w:val="003376BD"/>
    <w:rsid w:val="00337866"/>
    <w:rsid w:val="003403F4"/>
    <w:rsid w:val="003404E8"/>
    <w:rsid w:val="0034078E"/>
    <w:rsid w:val="00340DF1"/>
    <w:rsid w:val="00341B9B"/>
    <w:rsid w:val="003423BA"/>
    <w:rsid w:val="00342701"/>
    <w:rsid w:val="00343071"/>
    <w:rsid w:val="003431F3"/>
    <w:rsid w:val="00343530"/>
    <w:rsid w:val="00343A67"/>
    <w:rsid w:val="00344993"/>
    <w:rsid w:val="00344AE3"/>
    <w:rsid w:val="00344B38"/>
    <w:rsid w:val="00344CEA"/>
    <w:rsid w:val="003451A3"/>
    <w:rsid w:val="00345544"/>
    <w:rsid w:val="003455F2"/>
    <w:rsid w:val="00345931"/>
    <w:rsid w:val="00345BDF"/>
    <w:rsid w:val="00345F75"/>
    <w:rsid w:val="00346096"/>
    <w:rsid w:val="00346538"/>
    <w:rsid w:val="003465B9"/>
    <w:rsid w:val="003465F3"/>
    <w:rsid w:val="00347D87"/>
    <w:rsid w:val="00347DEA"/>
    <w:rsid w:val="00347DEF"/>
    <w:rsid w:val="00347EAB"/>
    <w:rsid w:val="00347ED8"/>
    <w:rsid w:val="00347FF3"/>
    <w:rsid w:val="00350031"/>
    <w:rsid w:val="00350151"/>
    <w:rsid w:val="00350ABB"/>
    <w:rsid w:val="00350B9B"/>
    <w:rsid w:val="00350D48"/>
    <w:rsid w:val="00350ED3"/>
    <w:rsid w:val="0035112B"/>
    <w:rsid w:val="003517F9"/>
    <w:rsid w:val="00351BA9"/>
    <w:rsid w:val="00351D9A"/>
    <w:rsid w:val="00352B0B"/>
    <w:rsid w:val="00352B38"/>
    <w:rsid w:val="003530B4"/>
    <w:rsid w:val="003538A3"/>
    <w:rsid w:val="00353DDC"/>
    <w:rsid w:val="003548D2"/>
    <w:rsid w:val="00354F64"/>
    <w:rsid w:val="00355B88"/>
    <w:rsid w:val="00355D3C"/>
    <w:rsid w:val="0035620E"/>
    <w:rsid w:val="00356414"/>
    <w:rsid w:val="003567C0"/>
    <w:rsid w:val="003568DE"/>
    <w:rsid w:val="00356B57"/>
    <w:rsid w:val="00356E3B"/>
    <w:rsid w:val="003575BE"/>
    <w:rsid w:val="003575F7"/>
    <w:rsid w:val="00357757"/>
    <w:rsid w:val="00357D39"/>
    <w:rsid w:val="00360345"/>
    <w:rsid w:val="003603D9"/>
    <w:rsid w:val="00360691"/>
    <w:rsid w:val="003618FE"/>
    <w:rsid w:val="00361A05"/>
    <w:rsid w:val="00361AD3"/>
    <w:rsid w:val="003624C4"/>
    <w:rsid w:val="00363518"/>
    <w:rsid w:val="0036391F"/>
    <w:rsid w:val="00363B00"/>
    <w:rsid w:val="00363B60"/>
    <w:rsid w:val="003641C7"/>
    <w:rsid w:val="00364F92"/>
    <w:rsid w:val="00364F9B"/>
    <w:rsid w:val="00365180"/>
    <w:rsid w:val="003654AC"/>
    <w:rsid w:val="00367516"/>
    <w:rsid w:val="003677C4"/>
    <w:rsid w:val="00367FC9"/>
    <w:rsid w:val="00370408"/>
    <w:rsid w:val="003704DD"/>
    <w:rsid w:val="00370565"/>
    <w:rsid w:val="00370616"/>
    <w:rsid w:val="0037095A"/>
    <w:rsid w:val="00370E88"/>
    <w:rsid w:val="003710CF"/>
    <w:rsid w:val="003717FF"/>
    <w:rsid w:val="003718D7"/>
    <w:rsid w:val="00371F85"/>
    <w:rsid w:val="003724C2"/>
    <w:rsid w:val="00372F4F"/>
    <w:rsid w:val="0037301B"/>
    <w:rsid w:val="0037358A"/>
    <w:rsid w:val="003749AE"/>
    <w:rsid w:val="003750F6"/>
    <w:rsid w:val="003755D9"/>
    <w:rsid w:val="00375A00"/>
    <w:rsid w:val="00375DDD"/>
    <w:rsid w:val="003760FC"/>
    <w:rsid w:val="0037617F"/>
    <w:rsid w:val="0037630D"/>
    <w:rsid w:val="0037641A"/>
    <w:rsid w:val="0037733E"/>
    <w:rsid w:val="00377A27"/>
    <w:rsid w:val="00377CD3"/>
    <w:rsid w:val="003800EF"/>
    <w:rsid w:val="0038044E"/>
    <w:rsid w:val="003804D0"/>
    <w:rsid w:val="00380518"/>
    <w:rsid w:val="0038102A"/>
    <w:rsid w:val="0038137A"/>
    <w:rsid w:val="00381A77"/>
    <w:rsid w:val="00381F1F"/>
    <w:rsid w:val="00381FBF"/>
    <w:rsid w:val="00382F64"/>
    <w:rsid w:val="0038365C"/>
    <w:rsid w:val="0038369B"/>
    <w:rsid w:val="00383B78"/>
    <w:rsid w:val="00384419"/>
    <w:rsid w:val="00384EEA"/>
    <w:rsid w:val="00385973"/>
    <w:rsid w:val="00385A9D"/>
    <w:rsid w:val="00385DC1"/>
    <w:rsid w:val="00386419"/>
    <w:rsid w:val="00386DF6"/>
    <w:rsid w:val="00387121"/>
    <w:rsid w:val="003902B1"/>
    <w:rsid w:val="003907A3"/>
    <w:rsid w:val="00390C2E"/>
    <w:rsid w:val="00391622"/>
    <w:rsid w:val="0039176A"/>
    <w:rsid w:val="0039179C"/>
    <w:rsid w:val="00391AF8"/>
    <w:rsid w:val="003922E1"/>
    <w:rsid w:val="00392764"/>
    <w:rsid w:val="003927BA"/>
    <w:rsid w:val="00392CDB"/>
    <w:rsid w:val="0039300F"/>
    <w:rsid w:val="00393BE1"/>
    <w:rsid w:val="003941DA"/>
    <w:rsid w:val="0039427B"/>
    <w:rsid w:val="00394F5B"/>
    <w:rsid w:val="00395617"/>
    <w:rsid w:val="00395F11"/>
    <w:rsid w:val="00395FE5"/>
    <w:rsid w:val="0039621B"/>
    <w:rsid w:val="00396896"/>
    <w:rsid w:val="00396FD0"/>
    <w:rsid w:val="0039701A"/>
    <w:rsid w:val="00397057"/>
    <w:rsid w:val="003977BD"/>
    <w:rsid w:val="00397946"/>
    <w:rsid w:val="003A0180"/>
    <w:rsid w:val="003A071A"/>
    <w:rsid w:val="003A0F6D"/>
    <w:rsid w:val="003A1530"/>
    <w:rsid w:val="003A19AD"/>
    <w:rsid w:val="003A1A7A"/>
    <w:rsid w:val="003A20D4"/>
    <w:rsid w:val="003A2392"/>
    <w:rsid w:val="003A2460"/>
    <w:rsid w:val="003A2831"/>
    <w:rsid w:val="003A2E87"/>
    <w:rsid w:val="003A3673"/>
    <w:rsid w:val="003A3CB6"/>
    <w:rsid w:val="003A3E16"/>
    <w:rsid w:val="003A3ED1"/>
    <w:rsid w:val="003A3F34"/>
    <w:rsid w:val="003A44DB"/>
    <w:rsid w:val="003A4C14"/>
    <w:rsid w:val="003A51A2"/>
    <w:rsid w:val="003A60D7"/>
    <w:rsid w:val="003A7DBE"/>
    <w:rsid w:val="003A7DF1"/>
    <w:rsid w:val="003B0D38"/>
    <w:rsid w:val="003B1DED"/>
    <w:rsid w:val="003B214C"/>
    <w:rsid w:val="003B263F"/>
    <w:rsid w:val="003B2B5F"/>
    <w:rsid w:val="003B380E"/>
    <w:rsid w:val="003B3971"/>
    <w:rsid w:val="003B399E"/>
    <w:rsid w:val="003B3E69"/>
    <w:rsid w:val="003B4F77"/>
    <w:rsid w:val="003B553C"/>
    <w:rsid w:val="003B55D1"/>
    <w:rsid w:val="003B562E"/>
    <w:rsid w:val="003B5B61"/>
    <w:rsid w:val="003B5B79"/>
    <w:rsid w:val="003B6680"/>
    <w:rsid w:val="003B68F3"/>
    <w:rsid w:val="003B6CFA"/>
    <w:rsid w:val="003B7034"/>
    <w:rsid w:val="003C02CA"/>
    <w:rsid w:val="003C0F39"/>
    <w:rsid w:val="003C141F"/>
    <w:rsid w:val="003C1654"/>
    <w:rsid w:val="003C1D53"/>
    <w:rsid w:val="003C2BAB"/>
    <w:rsid w:val="003C3248"/>
    <w:rsid w:val="003C37CB"/>
    <w:rsid w:val="003C388C"/>
    <w:rsid w:val="003C3965"/>
    <w:rsid w:val="003C3C2A"/>
    <w:rsid w:val="003C42F5"/>
    <w:rsid w:val="003C450F"/>
    <w:rsid w:val="003C5113"/>
    <w:rsid w:val="003C5542"/>
    <w:rsid w:val="003C633B"/>
    <w:rsid w:val="003C64CC"/>
    <w:rsid w:val="003C734D"/>
    <w:rsid w:val="003C764B"/>
    <w:rsid w:val="003C7880"/>
    <w:rsid w:val="003C7C15"/>
    <w:rsid w:val="003C7D19"/>
    <w:rsid w:val="003C7D2F"/>
    <w:rsid w:val="003D0098"/>
    <w:rsid w:val="003D00FB"/>
    <w:rsid w:val="003D0436"/>
    <w:rsid w:val="003D0450"/>
    <w:rsid w:val="003D0C5A"/>
    <w:rsid w:val="003D0D17"/>
    <w:rsid w:val="003D1123"/>
    <w:rsid w:val="003D1196"/>
    <w:rsid w:val="003D155C"/>
    <w:rsid w:val="003D1598"/>
    <w:rsid w:val="003D1828"/>
    <w:rsid w:val="003D1A07"/>
    <w:rsid w:val="003D1B60"/>
    <w:rsid w:val="003D1DE4"/>
    <w:rsid w:val="003D1E9A"/>
    <w:rsid w:val="003D1F9D"/>
    <w:rsid w:val="003D2422"/>
    <w:rsid w:val="003D2548"/>
    <w:rsid w:val="003D255D"/>
    <w:rsid w:val="003D25BE"/>
    <w:rsid w:val="003D2686"/>
    <w:rsid w:val="003D2837"/>
    <w:rsid w:val="003D2C38"/>
    <w:rsid w:val="003D3025"/>
    <w:rsid w:val="003D39A1"/>
    <w:rsid w:val="003D3FBF"/>
    <w:rsid w:val="003D4262"/>
    <w:rsid w:val="003D4953"/>
    <w:rsid w:val="003D4A30"/>
    <w:rsid w:val="003D4AA2"/>
    <w:rsid w:val="003D4CDB"/>
    <w:rsid w:val="003D52D8"/>
    <w:rsid w:val="003D53F9"/>
    <w:rsid w:val="003D56B5"/>
    <w:rsid w:val="003D7452"/>
    <w:rsid w:val="003D7927"/>
    <w:rsid w:val="003D79BB"/>
    <w:rsid w:val="003D7C6B"/>
    <w:rsid w:val="003D7C98"/>
    <w:rsid w:val="003D7CBC"/>
    <w:rsid w:val="003D7D9D"/>
    <w:rsid w:val="003D7EE3"/>
    <w:rsid w:val="003E0543"/>
    <w:rsid w:val="003E0968"/>
    <w:rsid w:val="003E0F82"/>
    <w:rsid w:val="003E1068"/>
    <w:rsid w:val="003E1132"/>
    <w:rsid w:val="003E1453"/>
    <w:rsid w:val="003E17AC"/>
    <w:rsid w:val="003E1861"/>
    <w:rsid w:val="003E1E83"/>
    <w:rsid w:val="003E2D25"/>
    <w:rsid w:val="003E33AD"/>
    <w:rsid w:val="003E3EB8"/>
    <w:rsid w:val="003E40A2"/>
    <w:rsid w:val="003E42AE"/>
    <w:rsid w:val="003E4586"/>
    <w:rsid w:val="003E46F3"/>
    <w:rsid w:val="003E515A"/>
    <w:rsid w:val="003E5603"/>
    <w:rsid w:val="003E564D"/>
    <w:rsid w:val="003E57B9"/>
    <w:rsid w:val="003E5B34"/>
    <w:rsid w:val="003E625F"/>
    <w:rsid w:val="003E6599"/>
    <w:rsid w:val="003E6CB1"/>
    <w:rsid w:val="003E71D2"/>
    <w:rsid w:val="003E742A"/>
    <w:rsid w:val="003E749E"/>
    <w:rsid w:val="003E787A"/>
    <w:rsid w:val="003E79C8"/>
    <w:rsid w:val="003E7B4F"/>
    <w:rsid w:val="003E7FDC"/>
    <w:rsid w:val="003F047A"/>
    <w:rsid w:val="003F10DD"/>
    <w:rsid w:val="003F1222"/>
    <w:rsid w:val="003F1B6F"/>
    <w:rsid w:val="003F4144"/>
    <w:rsid w:val="003F4156"/>
    <w:rsid w:val="003F4E97"/>
    <w:rsid w:val="003F4FE5"/>
    <w:rsid w:val="003F5ADF"/>
    <w:rsid w:val="003F5B07"/>
    <w:rsid w:val="003F5F3A"/>
    <w:rsid w:val="003F6359"/>
    <w:rsid w:val="003F6531"/>
    <w:rsid w:val="003F6C3B"/>
    <w:rsid w:val="003F735A"/>
    <w:rsid w:val="003F78B1"/>
    <w:rsid w:val="003F7D00"/>
    <w:rsid w:val="003F7D38"/>
    <w:rsid w:val="003F7E88"/>
    <w:rsid w:val="004006C5"/>
    <w:rsid w:val="00400B29"/>
    <w:rsid w:val="00401859"/>
    <w:rsid w:val="00401D65"/>
    <w:rsid w:val="00402812"/>
    <w:rsid w:val="00403930"/>
    <w:rsid w:val="00403B56"/>
    <w:rsid w:val="00403FB9"/>
    <w:rsid w:val="00404157"/>
    <w:rsid w:val="00404574"/>
    <w:rsid w:val="00404835"/>
    <w:rsid w:val="0040504B"/>
    <w:rsid w:val="004059B2"/>
    <w:rsid w:val="004059F4"/>
    <w:rsid w:val="00405A3A"/>
    <w:rsid w:val="00405F4A"/>
    <w:rsid w:val="004066A2"/>
    <w:rsid w:val="00406F95"/>
    <w:rsid w:val="00406FE5"/>
    <w:rsid w:val="00407D1E"/>
    <w:rsid w:val="00407FE5"/>
    <w:rsid w:val="004101B0"/>
    <w:rsid w:val="00410326"/>
    <w:rsid w:val="00410502"/>
    <w:rsid w:val="004105D8"/>
    <w:rsid w:val="00410708"/>
    <w:rsid w:val="00410DE6"/>
    <w:rsid w:val="00410E7B"/>
    <w:rsid w:val="00410EC7"/>
    <w:rsid w:val="00410F3D"/>
    <w:rsid w:val="00411054"/>
    <w:rsid w:val="00411223"/>
    <w:rsid w:val="004112C1"/>
    <w:rsid w:val="004116FA"/>
    <w:rsid w:val="004117CA"/>
    <w:rsid w:val="00411933"/>
    <w:rsid w:val="00411B39"/>
    <w:rsid w:val="00411BB0"/>
    <w:rsid w:val="00411E33"/>
    <w:rsid w:val="004127A7"/>
    <w:rsid w:val="00412BE9"/>
    <w:rsid w:val="00412EF9"/>
    <w:rsid w:val="00413A1E"/>
    <w:rsid w:val="00414476"/>
    <w:rsid w:val="00414C2E"/>
    <w:rsid w:val="00414DBA"/>
    <w:rsid w:val="004151CF"/>
    <w:rsid w:val="00415D8E"/>
    <w:rsid w:val="004162AA"/>
    <w:rsid w:val="00416364"/>
    <w:rsid w:val="0041670E"/>
    <w:rsid w:val="00416DEA"/>
    <w:rsid w:val="004172C9"/>
    <w:rsid w:val="0041731F"/>
    <w:rsid w:val="004176E8"/>
    <w:rsid w:val="00417D01"/>
    <w:rsid w:val="00417F3B"/>
    <w:rsid w:val="0042047F"/>
    <w:rsid w:val="004205B1"/>
    <w:rsid w:val="004207CA"/>
    <w:rsid w:val="00420AA6"/>
    <w:rsid w:val="00420B9F"/>
    <w:rsid w:val="0042175A"/>
    <w:rsid w:val="0042192C"/>
    <w:rsid w:val="00422260"/>
    <w:rsid w:val="004227B6"/>
    <w:rsid w:val="004231B0"/>
    <w:rsid w:val="00423C9B"/>
    <w:rsid w:val="00423ED2"/>
    <w:rsid w:val="0042413F"/>
    <w:rsid w:val="00424574"/>
    <w:rsid w:val="00424F57"/>
    <w:rsid w:val="0042504C"/>
    <w:rsid w:val="0042535C"/>
    <w:rsid w:val="0042550B"/>
    <w:rsid w:val="00425DCB"/>
    <w:rsid w:val="00426A51"/>
    <w:rsid w:val="00426F89"/>
    <w:rsid w:val="00426FA5"/>
    <w:rsid w:val="00427531"/>
    <w:rsid w:val="00430250"/>
    <w:rsid w:val="0043087F"/>
    <w:rsid w:val="00430BC7"/>
    <w:rsid w:val="004319B7"/>
    <w:rsid w:val="004319F8"/>
    <w:rsid w:val="00431A14"/>
    <w:rsid w:val="00431E55"/>
    <w:rsid w:val="00431ED6"/>
    <w:rsid w:val="00431EEC"/>
    <w:rsid w:val="00432035"/>
    <w:rsid w:val="004321F6"/>
    <w:rsid w:val="0043258B"/>
    <w:rsid w:val="00432803"/>
    <w:rsid w:val="00433044"/>
    <w:rsid w:val="00433764"/>
    <w:rsid w:val="0043401C"/>
    <w:rsid w:val="00434088"/>
    <w:rsid w:val="00435001"/>
    <w:rsid w:val="00435452"/>
    <w:rsid w:val="004359DA"/>
    <w:rsid w:val="0043670D"/>
    <w:rsid w:val="00436CE6"/>
    <w:rsid w:val="00436ECD"/>
    <w:rsid w:val="004375B9"/>
    <w:rsid w:val="004402DA"/>
    <w:rsid w:val="00440674"/>
    <w:rsid w:val="00440DF5"/>
    <w:rsid w:val="00441A8C"/>
    <w:rsid w:val="004420AD"/>
    <w:rsid w:val="004428D0"/>
    <w:rsid w:val="00442904"/>
    <w:rsid w:val="00442B91"/>
    <w:rsid w:val="00442F89"/>
    <w:rsid w:val="004430E7"/>
    <w:rsid w:val="004431A1"/>
    <w:rsid w:val="00443475"/>
    <w:rsid w:val="004434D3"/>
    <w:rsid w:val="00443583"/>
    <w:rsid w:val="00444185"/>
    <w:rsid w:val="004443A7"/>
    <w:rsid w:val="0044442C"/>
    <w:rsid w:val="00444B58"/>
    <w:rsid w:val="00445265"/>
    <w:rsid w:val="00445534"/>
    <w:rsid w:val="00445646"/>
    <w:rsid w:val="00445815"/>
    <w:rsid w:val="00445941"/>
    <w:rsid w:val="004459BC"/>
    <w:rsid w:val="00445F8E"/>
    <w:rsid w:val="004464EB"/>
    <w:rsid w:val="00446722"/>
    <w:rsid w:val="0044679F"/>
    <w:rsid w:val="00446C7D"/>
    <w:rsid w:val="00446C96"/>
    <w:rsid w:val="0044733D"/>
    <w:rsid w:val="00447D26"/>
    <w:rsid w:val="00447DFC"/>
    <w:rsid w:val="00450160"/>
    <w:rsid w:val="00451CDB"/>
    <w:rsid w:val="00451EB7"/>
    <w:rsid w:val="00451EE7"/>
    <w:rsid w:val="00452BE2"/>
    <w:rsid w:val="00452D3D"/>
    <w:rsid w:val="00453B9E"/>
    <w:rsid w:val="0045555E"/>
    <w:rsid w:val="00455D07"/>
    <w:rsid w:val="00455D45"/>
    <w:rsid w:val="00456C6A"/>
    <w:rsid w:val="00456FF7"/>
    <w:rsid w:val="004574A6"/>
    <w:rsid w:val="004577C5"/>
    <w:rsid w:val="004578EB"/>
    <w:rsid w:val="00457C0D"/>
    <w:rsid w:val="0046048F"/>
    <w:rsid w:val="004609D1"/>
    <w:rsid w:val="00460C09"/>
    <w:rsid w:val="00460F16"/>
    <w:rsid w:val="00461540"/>
    <w:rsid w:val="004618C9"/>
    <w:rsid w:val="00461ADE"/>
    <w:rsid w:val="00461B3F"/>
    <w:rsid w:val="00462161"/>
    <w:rsid w:val="004627AC"/>
    <w:rsid w:val="004629A5"/>
    <w:rsid w:val="00463786"/>
    <w:rsid w:val="00463818"/>
    <w:rsid w:val="00464595"/>
    <w:rsid w:val="00464CDF"/>
    <w:rsid w:val="0046512A"/>
    <w:rsid w:val="004658B5"/>
    <w:rsid w:val="00465934"/>
    <w:rsid w:val="00466A41"/>
    <w:rsid w:val="00466A45"/>
    <w:rsid w:val="00466ECC"/>
    <w:rsid w:val="00466FB4"/>
    <w:rsid w:val="00467092"/>
    <w:rsid w:val="00467DC6"/>
    <w:rsid w:val="004705EB"/>
    <w:rsid w:val="00470BDF"/>
    <w:rsid w:val="00470CF9"/>
    <w:rsid w:val="00470E92"/>
    <w:rsid w:val="0047105C"/>
    <w:rsid w:val="00471CBC"/>
    <w:rsid w:val="00471EA5"/>
    <w:rsid w:val="00472A79"/>
    <w:rsid w:val="00472D81"/>
    <w:rsid w:val="00473F19"/>
    <w:rsid w:val="00473FE7"/>
    <w:rsid w:val="00474506"/>
    <w:rsid w:val="00474DE0"/>
    <w:rsid w:val="00474EDB"/>
    <w:rsid w:val="00475073"/>
    <w:rsid w:val="004751A1"/>
    <w:rsid w:val="00475544"/>
    <w:rsid w:val="00475A55"/>
    <w:rsid w:val="00475E22"/>
    <w:rsid w:val="004760CD"/>
    <w:rsid w:val="00476A7C"/>
    <w:rsid w:val="00476B5A"/>
    <w:rsid w:val="0047796A"/>
    <w:rsid w:val="0048088E"/>
    <w:rsid w:val="00480BED"/>
    <w:rsid w:val="00480F2B"/>
    <w:rsid w:val="004823EE"/>
    <w:rsid w:val="00482720"/>
    <w:rsid w:val="00482C5F"/>
    <w:rsid w:val="004835E7"/>
    <w:rsid w:val="00484979"/>
    <w:rsid w:val="0048562A"/>
    <w:rsid w:val="00485858"/>
    <w:rsid w:val="004859E1"/>
    <w:rsid w:val="00485BA3"/>
    <w:rsid w:val="00485D01"/>
    <w:rsid w:val="00485DF5"/>
    <w:rsid w:val="004866A2"/>
    <w:rsid w:val="004867E2"/>
    <w:rsid w:val="00486A49"/>
    <w:rsid w:val="00486BD4"/>
    <w:rsid w:val="00486D4B"/>
    <w:rsid w:val="00486E4C"/>
    <w:rsid w:val="00487975"/>
    <w:rsid w:val="00490065"/>
    <w:rsid w:val="0049009A"/>
    <w:rsid w:val="004901EE"/>
    <w:rsid w:val="00490B17"/>
    <w:rsid w:val="00490ED6"/>
    <w:rsid w:val="00491B3A"/>
    <w:rsid w:val="00491D3D"/>
    <w:rsid w:val="00492766"/>
    <w:rsid w:val="00492A63"/>
    <w:rsid w:val="00492CFD"/>
    <w:rsid w:val="00492EEC"/>
    <w:rsid w:val="00493188"/>
    <w:rsid w:val="0049356B"/>
    <w:rsid w:val="00493EBA"/>
    <w:rsid w:val="00494207"/>
    <w:rsid w:val="004944AF"/>
    <w:rsid w:val="00494D60"/>
    <w:rsid w:val="00494DD5"/>
    <w:rsid w:val="0049572E"/>
    <w:rsid w:val="00495756"/>
    <w:rsid w:val="00495A05"/>
    <w:rsid w:val="00495A09"/>
    <w:rsid w:val="0049605B"/>
    <w:rsid w:val="004962D2"/>
    <w:rsid w:val="00496F92"/>
    <w:rsid w:val="004A0434"/>
    <w:rsid w:val="004A0B69"/>
    <w:rsid w:val="004A0DA1"/>
    <w:rsid w:val="004A1264"/>
    <w:rsid w:val="004A13D6"/>
    <w:rsid w:val="004A1728"/>
    <w:rsid w:val="004A1CE2"/>
    <w:rsid w:val="004A1FB3"/>
    <w:rsid w:val="004A2855"/>
    <w:rsid w:val="004A2884"/>
    <w:rsid w:val="004A30EC"/>
    <w:rsid w:val="004A34A5"/>
    <w:rsid w:val="004A38C2"/>
    <w:rsid w:val="004A3CC7"/>
    <w:rsid w:val="004A3D41"/>
    <w:rsid w:val="004A4386"/>
    <w:rsid w:val="004A47CE"/>
    <w:rsid w:val="004A49EC"/>
    <w:rsid w:val="004A51E0"/>
    <w:rsid w:val="004A52E9"/>
    <w:rsid w:val="004A533C"/>
    <w:rsid w:val="004A5B6A"/>
    <w:rsid w:val="004A6040"/>
    <w:rsid w:val="004A6597"/>
    <w:rsid w:val="004A6EB8"/>
    <w:rsid w:val="004A71C2"/>
    <w:rsid w:val="004A74BB"/>
    <w:rsid w:val="004A75E1"/>
    <w:rsid w:val="004A7848"/>
    <w:rsid w:val="004A793B"/>
    <w:rsid w:val="004A7AC5"/>
    <w:rsid w:val="004A7C33"/>
    <w:rsid w:val="004B01C3"/>
    <w:rsid w:val="004B0857"/>
    <w:rsid w:val="004B0A03"/>
    <w:rsid w:val="004B0E64"/>
    <w:rsid w:val="004B1CB4"/>
    <w:rsid w:val="004B228E"/>
    <w:rsid w:val="004B25A5"/>
    <w:rsid w:val="004B2A86"/>
    <w:rsid w:val="004B2E33"/>
    <w:rsid w:val="004B2F18"/>
    <w:rsid w:val="004B2F7B"/>
    <w:rsid w:val="004B3624"/>
    <w:rsid w:val="004B3DDB"/>
    <w:rsid w:val="004B3F87"/>
    <w:rsid w:val="004B42AB"/>
    <w:rsid w:val="004B44FD"/>
    <w:rsid w:val="004B4FE8"/>
    <w:rsid w:val="004B5C5C"/>
    <w:rsid w:val="004B5CFC"/>
    <w:rsid w:val="004B6F79"/>
    <w:rsid w:val="004B6F9B"/>
    <w:rsid w:val="004B774D"/>
    <w:rsid w:val="004B7D21"/>
    <w:rsid w:val="004C0738"/>
    <w:rsid w:val="004C0849"/>
    <w:rsid w:val="004C1526"/>
    <w:rsid w:val="004C1B83"/>
    <w:rsid w:val="004C1C18"/>
    <w:rsid w:val="004C2AC2"/>
    <w:rsid w:val="004C2DC7"/>
    <w:rsid w:val="004C2E42"/>
    <w:rsid w:val="004C3348"/>
    <w:rsid w:val="004C39DE"/>
    <w:rsid w:val="004C3B02"/>
    <w:rsid w:val="004C3B81"/>
    <w:rsid w:val="004C3DA1"/>
    <w:rsid w:val="004C4082"/>
    <w:rsid w:val="004C47AE"/>
    <w:rsid w:val="004C4AED"/>
    <w:rsid w:val="004C69AE"/>
    <w:rsid w:val="004D0FCC"/>
    <w:rsid w:val="004D1A39"/>
    <w:rsid w:val="004D206E"/>
    <w:rsid w:val="004D21FE"/>
    <w:rsid w:val="004D2895"/>
    <w:rsid w:val="004D2C2D"/>
    <w:rsid w:val="004D2CDD"/>
    <w:rsid w:val="004D36DB"/>
    <w:rsid w:val="004D3A3A"/>
    <w:rsid w:val="004D4557"/>
    <w:rsid w:val="004D4BCC"/>
    <w:rsid w:val="004D50CC"/>
    <w:rsid w:val="004D5172"/>
    <w:rsid w:val="004D54A1"/>
    <w:rsid w:val="004D5F01"/>
    <w:rsid w:val="004D635F"/>
    <w:rsid w:val="004D66FC"/>
    <w:rsid w:val="004D677A"/>
    <w:rsid w:val="004D6904"/>
    <w:rsid w:val="004D69B5"/>
    <w:rsid w:val="004D6B3F"/>
    <w:rsid w:val="004D7227"/>
    <w:rsid w:val="004D75E8"/>
    <w:rsid w:val="004D7B5E"/>
    <w:rsid w:val="004E0CBB"/>
    <w:rsid w:val="004E0E7F"/>
    <w:rsid w:val="004E0EB8"/>
    <w:rsid w:val="004E15B8"/>
    <w:rsid w:val="004E15CA"/>
    <w:rsid w:val="004E18E9"/>
    <w:rsid w:val="004E1E59"/>
    <w:rsid w:val="004E2329"/>
    <w:rsid w:val="004E2565"/>
    <w:rsid w:val="004E2ADC"/>
    <w:rsid w:val="004E2CA5"/>
    <w:rsid w:val="004E31EC"/>
    <w:rsid w:val="004E3944"/>
    <w:rsid w:val="004E3B60"/>
    <w:rsid w:val="004E3BF5"/>
    <w:rsid w:val="004E3C88"/>
    <w:rsid w:val="004E43B2"/>
    <w:rsid w:val="004E4C33"/>
    <w:rsid w:val="004E528C"/>
    <w:rsid w:val="004E53E9"/>
    <w:rsid w:val="004E55BD"/>
    <w:rsid w:val="004E5E56"/>
    <w:rsid w:val="004E6C91"/>
    <w:rsid w:val="004E7100"/>
    <w:rsid w:val="004E7245"/>
    <w:rsid w:val="004E7370"/>
    <w:rsid w:val="004E76E9"/>
    <w:rsid w:val="004E78E8"/>
    <w:rsid w:val="004E7BFD"/>
    <w:rsid w:val="004F00D5"/>
    <w:rsid w:val="004F052B"/>
    <w:rsid w:val="004F05B6"/>
    <w:rsid w:val="004F0CD3"/>
    <w:rsid w:val="004F0D32"/>
    <w:rsid w:val="004F0DCC"/>
    <w:rsid w:val="004F0DEC"/>
    <w:rsid w:val="004F109F"/>
    <w:rsid w:val="004F1162"/>
    <w:rsid w:val="004F152A"/>
    <w:rsid w:val="004F1D02"/>
    <w:rsid w:val="004F23D2"/>
    <w:rsid w:val="004F2679"/>
    <w:rsid w:val="004F2B09"/>
    <w:rsid w:val="004F2F21"/>
    <w:rsid w:val="004F37AF"/>
    <w:rsid w:val="004F3C9A"/>
    <w:rsid w:val="004F3D71"/>
    <w:rsid w:val="004F3DE5"/>
    <w:rsid w:val="004F49D7"/>
    <w:rsid w:val="004F4ECF"/>
    <w:rsid w:val="004F5199"/>
    <w:rsid w:val="004F55EF"/>
    <w:rsid w:val="004F6112"/>
    <w:rsid w:val="004F6838"/>
    <w:rsid w:val="004F6913"/>
    <w:rsid w:val="004F6DE2"/>
    <w:rsid w:val="004F6F19"/>
    <w:rsid w:val="004F7401"/>
    <w:rsid w:val="004F74B3"/>
    <w:rsid w:val="004F7865"/>
    <w:rsid w:val="004F7B94"/>
    <w:rsid w:val="00500198"/>
    <w:rsid w:val="005004D2"/>
    <w:rsid w:val="00500E42"/>
    <w:rsid w:val="00500F12"/>
    <w:rsid w:val="005012D1"/>
    <w:rsid w:val="00501443"/>
    <w:rsid w:val="0050174E"/>
    <w:rsid w:val="00501854"/>
    <w:rsid w:val="00501C31"/>
    <w:rsid w:val="0050219B"/>
    <w:rsid w:val="00502336"/>
    <w:rsid w:val="0050233F"/>
    <w:rsid w:val="00502358"/>
    <w:rsid w:val="0050270E"/>
    <w:rsid w:val="005030F1"/>
    <w:rsid w:val="00503356"/>
    <w:rsid w:val="00503F17"/>
    <w:rsid w:val="00503F3A"/>
    <w:rsid w:val="0050447F"/>
    <w:rsid w:val="00504927"/>
    <w:rsid w:val="00504D8F"/>
    <w:rsid w:val="00504F72"/>
    <w:rsid w:val="00506256"/>
    <w:rsid w:val="00506873"/>
    <w:rsid w:val="00506928"/>
    <w:rsid w:val="00506A55"/>
    <w:rsid w:val="00506BA4"/>
    <w:rsid w:val="00506F68"/>
    <w:rsid w:val="005072DD"/>
    <w:rsid w:val="005074AF"/>
    <w:rsid w:val="005076F1"/>
    <w:rsid w:val="005077EF"/>
    <w:rsid w:val="00507F5A"/>
    <w:rsid w:val="00510B1A"/>
    <w:rsid w:val="00510EC9"/>
    <w:rsid w:val="00511230"/>
    <w:rsid w:val="00511AD5"/>
    <w:rsid w:val="00511DC7"/>
    <w:rsid w:val="00511F9A"/>
    <w:rsid w:val="00512028"/>
    <w:rsid w:val="00512193"/>
    <w:rsid w:val="005121B0"/>
    <w:rsid w:val="005124EA"/>
    <w:rsid w:val="005125AF"/>
    <w:rsid w:val="00512650"/>
    <w:rsid w:val="005127D2"/>
    <w:rsid w:val="00513E95"/>
    <w:rsid w:val="00514215"/>
    <w:rsid w:val="005142C5"/>
    <w:rsid w:val="0051430A"/>
    <w:rsid w:val="0051485D"/>
    <w:rsid w:val="00514A74"/>
    <w:rsid w:val="0051501B"/>
    <w:rsid w:val="005150AD"/>
    <w:rsid w:val="005152AA"/>
    <w:rsid w:val="005152B5"/>
    <w:rsid w:val="005152FB"/>
    <w:rsid w:val="00515886"/>
    <w:rsid w:val="00515EDB"/>
    <w:rsid w:val="005174D0"/>
    <w:rsid w:val="0051777A"/>
    <w:rsid w:val="00520D74"/>
    <w:rsid w:val="0052102E"/>
    <w:rsid w:val="0052123C"/>
    <w:rsid w:val="00521319"/>
    <w:rsid w:val="00521883"/>
    <w:rsid w:val="0052240C"/>
    <w:rsid w:val="005224ED"/>
    <w:rsid w:val="00522BC8"/>
    <w:rsid w:val="005233D6"/>
    <w:rsid w:val="0052346D"/>
    <w:rsid w:val="00523BED"/>
    <w:rsid w:val="00523C28"/>
    <w:rsid w:val="00523E03"/>
    <w:rsid w:val="00524360"/>
    <w:rsid w:val="005243F8"/>
    <w:rsid w:val="005246B2"/>
    <w:rsid w:val="00524DD4"/>
    <w:rsid w:val="00524E09"/>
    <w:rsid w:val="00525218"/>
    <w:rsid w:val="0052527F"/>
    <w:rsid w:val="00525768"/>
    <w:rsid w:val="00525A76"/>
    <w:rsid w:val="00525F84"/>
    <w:rsid w:val="00525F9E"/>
    <w:rsid w:val="00526375"/>
    <w:rsid w:val="00526564"/>
    <w:rsid w:val="005268CE"/>
    <w:rsid w:val="0052768B"/>
    <w:rsid w:val="00527B58"/>
    <w:rsid w:val="00527BA0"/>
    <w:rsid w:val="00530E6A"/>
    <w:rsid w:val="00530F0C"/>
    <w:rsid w:val="00531049"/>
    <w:rsid w:val="0053142D"/>
    <w:rsid w:val="0053176B"/>
    <w:rsid w:val="00531A0C"/>
    <w:rsid w:val="00531C72"/>
    <w:rsid w:val="00531C8D"/>
    <w:rsid w:val="00531D4E"/>
    <w:rsid w:val="005320FA"/>
    <w:rsid w:val="00532118"/>
    <w:rsid w:val="005322EC"/>
    <w:rsid w:val="005336CE"/>
    <w:rsid w:val="00533B1D"/>
    <w:rsid w:val="005341B3"/>
    <w:rsid w:val="00534416"/>
    <w:rsid w:val="0053524B"/>
    <w:rsid w:val="00535409"/>
    <w:rsid w:val="0053566D"/>
    <w:rsid w:val="00535A28"/>
    <w:rsid w:val="00535A52"/>
    <w:rsid w:val="00535D1E"/>
    <w:rsid w:val="00535DD8"/>
    <w:rsid w:val="00535FAE"/>
    <w:rsid w:val="00536014"/>
    <w:rsid w:val="005364DD"/>
    <w:rsid w:val="00536F42"/>
    <w:rsid w:val="00537182"/>
    <w:rsid w:val="005406E8"/>
    <w:rsid w:val="00540F5F"/>
    <w:rsid w:val="00541852"/>
    <w:rsid w:val="00541926"/>
    <w:rsid w:val="00541B76"/>
    <w:rsid w:val="00541EDD"/>
    <w:rsid w:val="00542743"/>
    <w:rsid w:val="00542879"/>
    <w:rsid w:val="00542C2D"/>
    <w:rsid w:val="00542D54"/>
    <w:rsid w:val="00543625"/>
    <w:rsid w:val="0054384A"/>
    <w:rsid w:val="005445DB"/>
    <w:rsid w:val="0054501C"/>
    <w:rsid w:val="00546863"/>
    <w:rsid w:val="0054693A"/>
    <w:rsid w:val="00546A2D"/>
    <w:rsid w:val="00546AB2"/>
    <w:rsid w:val="00546AE8"/>
    <w:rsid w:val="00546BD9"/>
    <w:rsid w:val="00546F93"/>
    <w:rsid w:val="0054701E"/>
    <w:rsid w:val="005476F1"/>
    <w:rsid w:val="005478BD"/>
    <w:rsid w:val="005479E3"/>
    <w:rsid w:val="00547D39"/>
    <w:rsid w:val="0055015D"/>
    <w:rsid w:val="00550597"/>
    <w:rsid w:val="00550680"/>
    <w:rsid w:val="00550D07"/>
    <w:rsid w:val="00550FC7"/>
    <w:rsid w:val="0055132B"/>
    <w:rsid w:val="0055158A"/>
    <w:rsid w:val="00551985"/>
    <w:rsid w:val="005522C9"/>
    <w:rsid w:val="005522CC"/>
    <w:rsid w:val="00552A45"/>
    <w:rsid w:val="00552BD3"/>
    <w:rsid w:val="00552E4F"/>
    <w:rsid w:val="00552F42"/>
    <w:rsid w:val="005532A0"/>
    <w:rsid w:val="005535E8"/>
    <w:rsid w:val="00553780"/>
    <w:rsid w:val="0055387C"/>
    <w:rsid w:val="00554015"/>
    <w:rsid w:val="005542E7"/>
    <w:rsid w:val="00554580"/>
    <w:rsid w:val="00554BBD"/>
    <w:rsid w:val="00555109"/>
    <w:rsid w:val="0055524C"/>
    <w:rsid w:val="005557A1"/>
    <w:rsid w:val="00555BE2"/>
    <w:rsid w:val="00555C9F"/>
    <w:rsid w:val="005561BD"/>
    <w:rsid w:val="00556ADC"/>
    <w:rsid w:val="00556B35"/>
    <w:rsid w:val="00556D3F"/>
    <w:rsid w:val="0055741A"/>
    <w:rsid w:val="00560651"/>
    <w:rsid w:val="00560750"/>
    <w:rsid w:val="00560BE1"/>
    <w:rsid w:val="00561064"/>
    <w:rsid w:val="005611B7"/>
    <w:rsid w:val="005615D9"/>
    <w:rsid w:val="005618D4"/>
    <w:rsid w:val="00562AC3"/>
    <w:rsid w:val="00563E21"/>
    <w:rsid w:val="0056406C"/>
    <w:rsid w:val="0056476C"/>
    <w:rsid w:val="00564867"/>
    <w:rsid w:val="00564DCB"/>
    <w:rsid w:val="00564EB7"/>
    <w:rsid w:val="00565048"/>
    <w:rsid w:val="00565C79"/>
    <w:rsid w:val="00565DF0"/>
    <w:rsid w:val="00565F7D"/>
    <w:rsid w:val="0056605D"/>
    <w:rsid w:val="005665FF"/>
    <w:rsid w:val="0056696F"/>
    <w:rsid w:val="00566DCB"/>
    <w:rsid w:val="00567348"/>
    <w:rsid w:val="0056782A"/>
    <w:rsid w:val="005713D7"/>
    <w:rsid w:val="005715BB"/>
    <w:rsid w:val="00571B3C"/>
    <w:rsid w:val="00571B47"/>
    <w:rsid w:val="00571D78"/>
    <w:rsid w:val="00571F41"/>
    <w:rsid w:val="00572269"/>
    <w:rsid w:val="0057244A"/>
    <w:rsid w:val="00572ECF"/>
    <w:rsid w:val="00572F26"/>
    <w:rsid w:val="00573035"/>
    <w:rsid w:val="00573DB0"/>
    <w:rsid w:val="00573DEE"/>
    <w:rsid w:val="00574232"/>
    <w:rsid w:val="00574CAE"/>
    <w:rsid w:val="005750C5"/>
    <w:rsid w:val="005752DE"/>
    <w:rsid w:val="0057596F"/>
    <w:rsid w:val="00575D36"/>
    <w:rsid w:val="00575D60"/>
    <w:rsid w:val="00575D8D"/>
    <w:rsid w:val="00575F71"/>
    <w:rsid w:val="00576972"/>
    <w:rsid w:val="00576AFC"/>
    <w:rsid w:val="00576CF7"/>
    <w:rsid w:val="00577248"/>
    <w:rsid w:val="00577C7F"/>
    <w:rsid w:val="00577FA5"/>
    <w:rsid w:val="00580BC2"/>
    <w:rsid w:val="00580BD6"/>
    <w:rsid w:val="00581192"/>
    <w:rsid w:val="00581D33"/>
    <w:rsid w:val="00582106"/>
    <w:rsid w:val="0058225E"/>
    <w:rsid w:val="00582656"/>
    <w:rsid w:val="005828BD"/>
    <w:rsid w:val="00582A6E"/>
    <w:rsid w:val="00582F1C"/>
    <w:rsid w:val="00583699"/>
    <w:rsid w:val="0058398E"/>
    <w:rsid w:val="00584846"/>
    <w:rsid w:val="005849F9"/>
    <w:rsid w:val="00584A18"/>
    <w:rsid w:val="00584EAE"/>
    <w:rsid w:val="00585CDD"/>
    <w:rsid w:val="00585F00"/>
    <w:rsid w:val="00586073"/>
    <w:rsid w:val="00586117"/>
    <w:rsid w:val="00586755"/>
    <w:rsid w:val="00586DAA"/>
    <w:rsid w:val="0058701D"/>
    <w:rsid w:val="00587058"/>
    <w:rsid w:val="005873EB"/>
    <w:rsid w:val="00590168"/>
    <w:rsid w:val="00590B67"/>
    <w:rsid w:val="0059109E"/>
    <w:rsid w:val="00591957"/>
    <w:rsid w:val="005929F7"/>
    <w:rsid w:val="00592CF1"/>
    <w:rsid w:val="00592D00"/>
    <w:rsid w:val="00592F94"/>
    <w:rsid w:val="005930FD"/>
    <w:rsid w:val="00593A88"/>
    <w:rsid w:val="00593F68"/>
    <w:rsid w:val="0059478B"/>
    <w:rsid w:val="00594F0F"/>
    <w:rsid w:val="005961EB"/>
    <w:rsid w:val="0059632C"/>
    <w:rsid w:val="005968D0"/>
    <w:rsid w:val="00596B79"/>
    <w:rsid w:val="00596E61"/>
    <w:rsid w:val="005971C5"/>
    <w:rsid w:val="00597880"/>
    <w:rsid w:val="00597BF9"/>
    <w:rsid w:val="00597F55"/>
    <w:rsid w:val="005A0152"/>
    <w:rsid w:val="005A03FF"/>
    <w:rsid w:val="005A07D4"/>
    <w:rsid w:val="005A0AD9"/>
    <w:rsid w:val="005A0C11"/>
    <w:rsid w:val="005A122F"/>
    <w:rsid w:val="005A2224"/>
    <w:rsid w:val="005A259C"/>
    <w:rsid w:val="005A2A88"/>
    <w:rsid w:val="005A309A"/>
    <w:rsid w:val="005A30A3"/>
    <w:rsid w:val="005A30B7"/>
    <w:rsid w:val="005A35B9"/>
    <w:rsid w:val="005A373D"/>
    <w:rsid w:val="005A39FA"/>
    <w:rsid w:val="005A41D9"/>
    <w:rsid w:val="005A44E9"/>
    <w:rsid w:val="005A50B4"/>
    <w:rsid w:val="005A51CB"/>
    <w:rsid w:val="005A5747"/>
    <w:rsid w:val="005A5F5A"/>
    <w:rsid w:val="005A6C80"/>
    <w:rsid w:val="005A6DEF"/>
    <w:rsid w:val="005A7110"/>
    <w:rsid w:val="005B018F"/>
    <w:rsid w:val="005B052F"/>
    <w:rsid w:val="005B07FD"/>
    <w:rsid w:val="005B0995"/>
    <w:rsid w:val="005B0B58"/>
    <w:rsid w:val="005B0F63"/>
    <w:rsid w:val="005B1166"/>
    <w:rsid w:val="005B169B"/>
    <w:rsid w:val="005B19A2"/>
    <w:rsid w:val="005B1B6A"/>
    <w:rsid w:val="005B1CDB"/>
    <w:rsid w:val="005B2DFC"/>
    <w:rsid w:val="005B32CF"/>
    <w:rsid w:val="005B411A"/>
    <w:rsid w:val="005B4180"/>
    <w:rsid w:val="005B46C9"/>
    <w:rsid w:val="005B49F8"/>
    <w:rsid w:val="005B4AB0"/>
    <w:rsid w:val="005B4E53"/>
    <w:rsid w:val="005B5391"/>
    <w:rsid w:val="005B57F1"/>
    <w:rsid w:val="005B5857"/>
    <w:rsid w:val="005B759D"/>
    <w:rsid w:val="005B794E"/>
    <w:rsid w:val="005B7DD2"/>
    <w:rsid w:val="005C02B5"/>
    <w:rsid w:val="005C0543"/>
    <w:rsid w:val="005C0C29"/>
    <w:rsid w:val="005C11C4"/>
    <w:rsid w:val="005C139E"/>
    <w:rsid w:val="005C19C4"/>
    <w:rsid w:val="005C1AA0"/>
    <w:rsid w:val="005C1B83"/>
    <w:rsid w:val="005C25FF"/>
    <w:rsid w:val="005C2D55"/>
    <w:rsid w:val="005C2FC4"/>
    <w:rsid w:val="005C322F"/>
    <w:rsid w:val="005C346B"/>
    <w:rsid w:val="005C3876"/>
    <w:rsid w:val="005C52EF"/>
    <w:rsid w:val="005C53CE"/>
    <w:rsid w:val="005C54AF"/>
    <w:rsid w:val="005C5580"/>
    <w:rsid w:val="005C5ABC"/>
    <w:rsid w:val="005C5B45"/>
    <w:rsid w:val="005C5B90"/>
    <w:rsid w:val="005C6579"/>
    <w:rsid w:val="005C759A"/>
    <w:rsid w:val="005C7B0F"/>
    <w:rsid w:val="005D02AD"/>
    <w:rsid w:val="005D044D"/>
    <w:rsid w:val="005D0ABD"/>
    <w:rsid w:val="005D0B0F"/>
    <w:rsid w:val="005D1227"/>
    <w:rsid w:val="005D18AD"/>
    <w:rsid w:val="005D1C92"/>
    <w:rsid w:val="005D2085"/>
    <w:rsid w:val="005D21EF"/>
    <w:rsid w:val="005D24DE"/>
    <w:rsid w:val="005D26B4"/>
    <w:rsid w:val="005D2E5F"/>
    <w:rsid w:val="005D4550"/>
    <w:rsid w:val="005D45C3"/>
    <w:rsid w:val="005D532C"/>
    <w:rsid w:val="005D54A9"/>
    <w:rsid w:val="005D6445"/>
    <w:rsid w:val="005D64EE"/>
    <w:rsid w:val="005D6C42"/>
    <w:rsid w:val="005D761C"/>
    <w:rsid w:val="005D7637"/>
    <w:rsid w:val="005D7918"/>
    <w:rsid w:val="005D7937"/>
    <w:rsid w:val="005D79DE"/>
    <w:rsid w:val="005D7B81"/>
    <w:rsid w:val="005D7CEE"/>
    <w:rsid w:val="005D7DCA"/>
    <w:rsid w:val="005D7F57"/>
    <w:rsid w:val="005E019D"/>
    <w:rsid w:val="005E05CF"/>
    <w:rsid w:val="005E08C3"/>
    <w:rsid w:val="005E0F1C"/>
    <w:rsid w:val="005E1129"/>
    <w:rsid w:val="005E16ED"/>
    <w:rsid w:val="005E1995"/>
    <w:rsid w:val="005E260D"/>
    <w:rsid w:val="005E2B85"/>
    <w:rsid w:val="005E2F49"/>
    <w:rsid w:val="005E451B"/>
    <w:rsid w:val="005E4D9C"/>
    <w:rsid w:val="005E5441"/>
    <w:rsid w:val="005E561C"/>
    <w:rsid w:val="005E58A6"/>
    <w:rsid w:val="005E5C60"/>
    <w:rsid w:val="005E6925"/>
    <w:rsid w:val="005E6A57"/>
    <w:rsid w:val="005E6AB0"/>
    <w:rsid w:val="005E6C3E"/>
    <w:rsid w:val="005E6CBC"/>
    <w:rsid w:val="005E6D82"/>
    <w:rsid w:val="005E72FF"/>
    <w:rsid w:val="005E73C0"/>
    <w:rsid w:val="005E774E"/>
    <w:rsid w:val="005E7A38"/>
    <w:rsid w:val="005F0001"/>
    <w:rsid w:val="005F0228"/>
    <w:rsid w:val="005F07ED"/>
    <w:rsid w:val="005F0983"/>
    <w:rsid w:val="005F0D53"/>
    <w:rsid w:val="005F18CF"/>
    <w:rsid w:val="005F2706"/>
    <w:rsid w:val="005F27A0"/>
    <w:rsid w:val="005F2AE2"/>
    <w:rsid w:val="005F2BDF"/>
    <w:rsid w:val="005F3164"/>
    <w:rsid w:val="005F33A3"/>
    <w:rsid w:val="005F3C57"/>
    <w:rsid w:val="005F43B6"/>
    <w:rsid w:val="005F4DB5"/>
    <w:rsid w:val="005F5BC1"/>
    <w:rsid w:val="005F6A8F"/>
    <w:rsid w:val="005F6BB7"/>
    <w:rsid w:val="005F6E9C"/>
    <w:rsid w:val="005F73B2"/>
    <w:rsid w:val="005F7588"/>
    <w:rsid w:val="005F783C"/>
    <w:rsid w:val="005F7D25"/>
    <w:rsid w:val="005F7DD1"/>
    <w:rsid w:val="005F7FB9"/>
    <w:rsid w:val="00600B99"/>
    <w:rsid w:val="00600F29"/>
    <w:rsid w:val="006010DE"/>
    <w:rsid w:val="00601D02"/>
    <w:rsid w:val="006021B7"/>
    <w:rsid w:val="006028D3"/>
    <w:rsid w:val="00603C23"/>
    <w:rsid w:val="00603DB9"/>
    <w:rsid w:val="006040F8"/>
    <w:rsid w:val="006041D6"/>
    <w:rsid w:val="00604A24"/>
    <w:rsid w:val="006055D4"/>
    <w:rsid w:val="00605E4B"/>
    <w:rsid w:val="00606163"/>
    <w:rsid w:val="00606BBB"/>
    <w:rsid w:val="00606C28"/>
    <w:rsid w:val="00606FBA"/>
    <w:rsid w:val="006075F8"/>
    <w:rsid w:val="00607669"/>
    <w:rsid w:val="006076F4"/>
    <w:rsid w:val="0060786F"/>
    <w:rsid w:val="00607AFD"/>
    <w:rsid w:val="00607D27"/>
    <w:rsid w:val="006108A1"/>
    <w:rsid w:val="00611081"/>
    <w:rsid w:val="006114DD"/>
    <w:rsid w:val="00611691"/>
    <w:rsid w:val="006116B4"/>
    <w:rsid w:val="00611B12"/>
    <w:rsid w:val="00611B6F"/>
    <w:rsid w:val="00611B9C"/>
    <w:rsid w:val="00612264"/>
    <w:rsid w:val="00612F97"/>
    <w:rsid w:val="0061345D"/>
    <w:rsid w:val="0061421D"/>
    <w:rsid w:val="00614479"/>
    <w:rsid w:val="00614A4B"/>
    <w:rsid w:val="00614CD5"/>
    <w:rsid w:val="00615061"/>
    <w:rsid w:val="0061536C"/>
    <w:rsid w:val="006153B7"/>
    <w:rsid w:val="0061549B"/>
    <w:rsid w:val="006165FD"/>
    <w:rsid w:val="00616802"/>
    <w:rsid w:val="00616B2B"/>
    <w:rsid w:val="00616BC7"/>
    <w:rsid w:val="00617858"/>
    <w:rsid w:val="00617E12"/>
    <w:rsid w:val="00620091"/>
    <w:rsid w:val="00620329"/>
    <w:rsid w:val="006204A2"/>
    <w:rsid w:val="0062053A"/>
    <w:rsid w:val="00620949"/>
    <w:rsid w:val="00620A7D"/>
    <w:rsid w:val="00620AD4"/>
    <w:rsid w:val="00620C25"/>
    <w:rsid w:val="00621477"/>
    <w:rsid w:val="00621ADA"/>
    <w:rsid w:val="0062224E"/>
    <w:rsid w:val="006225BC"/>
    <w:rsid w:val="00622A69"/>
    <w:rsid w:val="00622FEE"/>
    <w:rsid w:val="006234A8"/>
    <w:rsid w:val="00623552"/>
    <w:rsid w:val="006236BF"/>
    <w:rsid w:val="00623ED9"/>
    <w:rsid w:val="00623F7B"/>
    <w:rsid w:val="006246D1"/>
    <w:rsid w:val="00624766"/>
    <w:rsid w:val="00624B64"/>
    <w:rsid w:val="00624BD4"/>
    <w:rsid w:val="00624E66"/>
    <w:rsid w:val="00624E8A"/>
    <w:rsid w:val="00625832"/>
    <w:rsid w:val="006258E3"/>
    <w:rsid w:val="00625913"/>
    <w:rsid w:val="0062641E"/>
    <w:rsid w:val="00626AE3"/>
    <w:rsid w:val="00626B01"/>
    <w:rsid w:val="00626DE4"/>
    <w:rsid w:val="00627010"/>
    <w:rsid w:val="006301CC"/>
    <w:rsid w:val="00630907"/>
    <w:rsid w:val="00630A22"/>
    <w:rsid w:val="00630B1E"/>
    <w:rsid w:val="00630BFD"/>
    <w:rsid w:val="0063158E"/>
    <w:rsid w:val="0063158F"/>
    <w:rsid w:val="00631674"/>
    <w:rsid w:val="006317A6"/>
    <w:rsid w:val="00631BDC"/>
    <w:rsid w:val="00631D6B"/>
    <w:rsid w:val="00631F06"/>
    <w:rsid w:val="00632183"/>
    <w:rsid w:val="006330A1"/>
    <w:rsid w:val="0063387D"/>
    <w:rsid w:val="006338D2"/>
    <w:rsid w:val="00633FA8"/>
    <w:rsid w:val="0063435B"/>
    <w:rsid w:val="006343D5"/>
    <w:rsid w:val="0063454B"/>
    <w:rsid w:val="0063479F"/>
    <w:rsid w:val="00634A3A"/>
    <w:rsid w:val="006353F0"/>
    <w:rsid w:val="006357B5"/>
    <w:rsid w:val="006364A1"/>
    <w:rsid w:val="0063678E"/>
    <w:rsid w:val="006373E9"/>
    <w:rsid w:val="0063742C"/>
    <w:rsid w:val="00637620"/>
    <w:rsid w:val="006377D1"/>
    <w:rsid w:val="00637BFD"/>
    <w:rsid w:val="00637C5C"/>
    <w:rsid w:val="00637C93"/>
    <w:rsid w:val="00637D2C"/>
    <w:rsid w:val="00637DDB"/>
    <w:rsid w:val="00640A1F"/>
    <w:rsid w:val="0064102A"/>
    <w:rsid w:val="00641280"/>
    <w:rsid w:val="006415BF"/>
    <w:rsid w:val="006418FE"/>
    <w:rsid w:val="00641C4E"/>
    <w:rsid w:val="00641FB3"/>
    <w:rsid w:val="00642647"/>
    <w:rsid w:val="0064305A"/>
    <w:rsid w:val="006430B9"/>
    <w:rsid w:val="0064362C"/>
    <w:rsid w:val="00643EDE"/>
    <w:rsid w:val="0064434C"/>
    <w:rsid w:val="006446DE"/>
    <w:rsid w:val="00644E5E"/>
    <w:rsid w:val="00645590"/>
    <w:rsid w:val="006455F3"/>
    <w:rsid w:val="00645616"/>
    <w:rsid w:val="006464E4"/>
    <w:rsid w:val="006464F8"/>
    <w:rsid w:val="006471CC"/>
    <w:rsid w:val="006472FE"/>
    <w:rsid w:val="006473B8"/>
    <w:rsid w:val="00647A29"/>
    <w:rsid w:val="00647FE5"/>
    <w:rsid w:val="0065079F"/>
    <w:rsid w:val="00650C1B"/>
    <w:rsid w:val="0065156C"/>
    <w:rsid w:val="00651A0B"/>
    <w:rsid w:val="00651A13"/>
    <w:rsid w:val="00652413"/>
    <w:rsid w:val="00652602"/>
    <w:rsid w:val="00652A28"/>
    <w:rsid w:val="00653766"/>
    <w:rsid w:val="0065379F"/>
    <w:rsid w:val="00653973"/>
    <w:rsid w:val="00653F7D"/>
    <w:rsid w:val="00653FC7"/>
    <w:rsid w:val="0065531D"/>
    <w:rsid w:val="00655670"/>
    <w:rsid w:val="006559D8"/>
    <w:rsid w:val="00656188"/>
    <w:rsid w:val="0065626F"/>
    <w:rsid w:val="0065627A"/>
    <w:rsid w:val="00656571"/>
    <w:rsid w:val="00656FD0"/>
    <w:rsid w:val="0065715A"/>
    <w:rsid w:val="00657B42"/>
    <w:rsid w:val="006600DB"/>
    <w:rsid w:val="0066024B"/>
    <w:rsid w:val="006609FB"/>
    <w:rsid w:val="00660B56"/>
    <w:rsid w:val="00660EF8"/>
    <w:rsid w:val="0066109F"/>
    <w:rsid w:val="006610F1"/>
    <w:rsid w:val="00661151"/>
    <w:rsid w:val="00661C6B"/>
    <w:rsid w:val="00661DAF"/>
    <w:rsid w:val="00662289"/>
    <w:rsid w:val="00662D3E"/>
    <w:rsid w:val="00663EF2"/>
    <w:rsid w:val="006643B4"/>
    <w:rsid w:val="00664999"/>
    <w:rsid w:val="00664F9F"/>
    <w:rsid w:val="00665DB8"/>
    <w:rsid w:val="00665DD6"/>
    <w:rsid w:val="00665F6B"/>
    <w:rsid w:val="0066679E"/>
    <w:rsid w:val="00666C72"/>
    <w:rsid w:val="00666CA0"/>
    <w:rsid w:val="00667343"/>
    <w:rsid w:val="00667681"/>
    <w:rsid w:val="006677CA"/>
    <w:rsid w:val="006678FF"/>
    <w:rsid w:val="00667BE3"/>
    <w:rsid w:val="00667D7E"/>
    <w:rsid w:val="0067038A"/>
    <w:rsid w:val="00670886"/>
    <w:rsid w:val="00671004"/>
    <w:rsid w:val="00671D78"/>
    <w:rsid w:val="00671E33"/>
    <w:rsid w:val="00671EBA"/>
    <w:rsid w:val="00672646"/>
    <w:rsid w:val="006728C6"/>
    <w:rsid w:val="00672914"/>
    <w:rsid w:val="006729C5"/>
    <w:rsid w:val="00673208"/>
    <w:rsid w:val="006734B7"/>
    <w:rsid w:val="0067389A"/>
    <w:rsid w:val="00673936"/>
    <w:rsid w:val="00673A71"/>
    <w:rsid w:val="00673D5C"/>
    <w:rsid w:val="006741B7"/>
    <w:rsid w:val="0067480A"/>
    <w:rsid w:val="00674DEA"/>
    <w:rsid w:val="00674E23"/>
    <w:rsid w:val="00674E42"/>
    <w:rsid w:val="00674E4C"/>
    <w:rsid w:val="00676563"/>
    <w:rsid w:val="00676A11"/>
    <w:rsid w:val="00676B86"/>
    <w:rsid w:val="0067711C"/>
    <w:rsid w:val="006772FD"/>
    <w:rsid w:val="0067743B"/>
    <w:rsid w:val="00677809"/>
    <w:rsid w:val="006802F4"/>
    <w:rsid w:val="00680EAB"/>
    <w:rsid w:val="006813F8"/>
    <w:rsid w:val="0068141C"/>
    <w:rsid w:val="00681E98"/>
    <w:rsid w:val="00682112"/>
    <w:rsid w:val="0068288F"/>
    <w:rsid w:val="00682BA6"/>
    <w:rsid w:val="00683281"/>
    <w:rsid w:val="006833B5"/>
    <w:rsid w:val="00683535"/>
    <w:rsid w:val="00683A28"/>
    <w:rsid w:val="00683AF5"/>
    <w:rsid w:val="00684000"/>
    <w:rsid w:val="006841E6"/>
    <w:rsid w:val="00684282"/>
    <w:rsid w:val="00684371"/>
    <w:rsid w:val="006847F8"/>
    <w:rsid w:val="00684B45"/>
    <w:rsid w:val="00684D6F"/>
    <w:rsid w:val="006850BD"/>
    <w:rsid w:val="0068543B"/>
    <w:rsid w:val="006855C4"/>
    <w:rsid w:val="006855D2"/>
    <w:rsid w:val="00685F60"/>
    <w:rsid w:val="006861C7"/>
    <w:rsid w:val="00686957"/>
    <w:rsid w:val="00686BA7"/>
    <w:rsid w:val="006872BA"/>
    <w:rsid w:val="0068740F"/>
    <w:rsid w:val="00687485"/>
    <w:rsid w:val="00690433"/>
    <w:rsid w:val="0069058A"/>
    <w:rsid w:val="00690795"/>
    <w:rsid w:val="00690F05"/>
    <w:rsid w:val="00690F06"/>
    <w:rsid w:val="006914AA"/>
    <w:rsid w:val="006915D8"/>
    <w:rsid w:val="00691648"/>
    <w:rsid w:val="006917D7"/>
    <w:rsid w:val="00691841"/>
    <w:rsid w:val="00691B3D"/>
    <w:rsid w:val="00692144"/>
    <w:rsid w:val="00692B1A"/>
    <w:rsid w:val="00692F50"/>
    <w:rsid w:val="006931E3"/>
    <w:rsid w:val="00693483"/>
    <w:rsid w:val="00693E86"/>
    <w:rsid w:val="0069428E"/>
    <w:rsid w:val="0069434C"/>
    <w:rsid w:val="00694F44"/>
    <w:rsid w:val="006952C3"/>
    <w:rsid w:val="00695700"/>
    <w:rsid w:val="006961D1"/>
    <w:rsid w:val="006969C2"/>
    <w:rsid w:val="00696C98"/>
    <w:rsid w:val="00696EF9"/>
    <w:rsid w:val="00696F51"/>
    <w:rsid w:val="006972E3"/>
    <w:rsid w:val="00697697"/>
    <w:rsid w:val="006979A5"/>
    <w:rsid w:val="00697BEE"/>
    <w:rsid w:val="00697D64"/>
    <w:rsid w:val="006A016F"/>
    <w:rsid w:val="006A0398"/>
    <w:rsid w:val="006A060D"/>
    <w:rsid w:val="006A0DF7"/>
    <w:rsid w:val="006A0F4F"/>
    <w:rsid w:val="006A23AC"/>
    <w:rsid w:val="006A268E"/>
    <w:rsid w:val="006A2F0E"/>
    <w:rsid w:val="006A3DA1"/>
    <w:rsid w:val="006A4321"/>
    <w:rsid w:val="006A43D9"/>
    <w:rsid w:val="006A638B"/>
    <w:rsid w:val="006A6471"/>
    <w:rsid w:val="006A69AA"/>
    <w:rsid w:val="006A6A1C"/>
    <w:rsid w:val="006A6B99"/>
    <w:rsid w:val="006A72F1"/>
    <w:rsid w:val="006A77B1"/>
    <w:rsid w:val="006A77C4"/>
    <w:rsid w:val="006A7B23"/>
    <w:rsid w:val="006A7B27"/>
    <w:rsid w:val="006A7E5F"/>
    <w:rsid w:val="006B0880"/>
    <w:rsid w:val="006B1D43"/>
    <w:rsid w:val="006B2166"/>
    <w:rsid w:val="006B261B"/>
    <w:rsid w:val="006B2C90"/>
    <w:rsid w:val="006B2D0E"/>
    <w:rsid w:val="006B3081"/>
    <w:rsid w:val="006B3490"/>
    <w:rsid w:val="006B35E6"/>
    <w:rsid w:val="006B38CB"/>
    <w:rsid w:val="006B3947"/>
    <w:rsid w:val="006B39DE"/>
    <w:rsid w:val="006B417B"/>
    <w:rsid w:val="006B465A"/>
    <w:rsid w:val="006B4771"/>
    <w:rsid w:val="006B4A4E"/>
    <w:rsid w:val="006B5156"/>
    <w:rsid w:val="006B5418"/>
    <w:rsid w:val="006B5A78"/>
    <w:rsid w:val="006B5CE8"/>
    <w:rsid w:val="006B62F9"/>
    <w:rsid w:val="006B6318"/>
    <w:rsid w:val="006B63D7"/>
    <w:rsid w:val="006B66DB"/>
    <w:rsid w:val="006B6B6B"/>
    <w:rsid w:val="006B6DD0"/>
    <w:rsid w:val="006B749F"/>
    <w:rsid w:val="006B74C2"/>
    <w:rsid w:val="006B75D8"/>
    <w:rsid w:val="006C0063"/>
    <w:rsid w:val="006C035C"/>
    <w:rsid w:val="006C0399"/>
    <w:rsid w:val="006C03FE"/>
    <w:rsid w:val="006C059B"/>
    <w:rsid w:val="006C066B"/>
    <w:rsid w:val="006C0C7D"/>
    <w:rsid w:val="006C0D45"/>
    <w:rsid w:val="006C1417"/>
    <w:rsid w:val="006C19AC"/>
    <w:rsid w:val="006C26CF"/>
    <w:rsid w:val="006C2864"/>
    <w:rsid w:val="006C2A8E"/>
    <w:rsid w:val="006C2DF5"/>
    <w:rsid w:val="006C2EF7"/>
    <w:rsid w:val="006C2F7C"/>
    <w:rsid w:val="006C30AA"/>
    <w:rsid w:val="006C3255"/>
    <w:rsid w:val="006C3C48"/>
    <w:rsid w:val="006C3F26"/>
    <w:rsid w:val="006C4738"/>
    <w:rsid w:val="006C527A"/>
    <w:rsid w:val="006C54DD"/>
    <w:rsid w:val="006C5691"/>
    <w:rsid w:val="006C69C6"/>
    <w:rsid w:val="006C6E66"/>
    <w:rsid w:val="006C7661"/>
    <w:rsid w:val="006C7818"/>
    <w:rsid w:val="006C787A"/>
    <w:rsid w:val="006C79C9"/>
    <w:rsid w:val="006C7DDF"/>
    <w:rsid w:val="006D0779"/>
    <w:rsid w:val="006D08AA"/>
    <w:rsid w:val="006D0D17"/>
    <w:rsid w:val="006D1151"/>
    <w:rsid w:val="006D1C33"/>
    <w:rsid w:val="006D2434"/>
    <w:rsid w:val="006D303B"/>
    <w:rsid w:val="006D303F"/>
    <w:rsid w:val="006D3188"/>
    <w:rsid w:val="006D3C7D"/>
    <w:rsid w:val="006D443D"/>
    <w:rsid w:val="006D4659"/>
    <w:rsid w:val="006D4C9B"/>
    <w:rsid w:val="006D4DE9"/>
    <w:rsid w:val="006D5008"/>
    <w:rsid w:val="006D5564"/>
    <w:rsid w:val="006D55B1"/>
    <w:rsid w:val="006D56ED"/>
    <w:rsid w:val="006D582D"/>
    <w:rsid w:val="006D5CBC"/>
    <w:rsid w:val="006D5D5F"/>
    <w:rsid w:val="006D6093"/>
    <w:rsid w:val="006D68FB"/>
    <w:rsid w:val="006D693F"/>
    <w:rsid w:val="006D6ABA"/>
    <w:rsid w:val="006D6F78"/>
    <w:rsid w:val="006D71DB"/>
    <w:rsid w:val="006D7792"/>
    <w:rsid w:val="006D7C42"/>
    <w:rsid w:val="006E021A"/>
    <w:rsid w:val="006E070E"/>
    <w:rsid w:val="006E0793"/>
    <w:rsid w:val="006E07D8"/>
    <w:rsid w:val="006E0989"/>
    <w:rsid w:val="006E141D"/>
    <w:rsid w:val="006E1C73"/>
    <w:rsid w:val="006E2321"/>
    <w:rsid w:val="006E2868"/>
    <w:rsid w:val="006E2A1D"/>
    <w:rsid w:val="006E2A7A"/>
    <w:rsid w:val="006E440E"/>
    <w:rsid w:val="006E499B"/>
    <w:rsid w:val="006E4C14"/>
    <w:rsid w:val="006E5059"/>
    <w:rsid w:val="006E5404"/>
    <w:rsid w:val="006E5498"/>
    <w:rsid w:val="006E5892"/>
    <w:rsid w:val="006E60CF"/>
    <w:rsid w:val="006E6609"/>
    <w:rsid w:val="006E77BF"/>
    <w:rsid w:val="006F00D8"/>
    <w:rsid w:val="006F03A8"/>
    <w:rsid w:val="006F08EC"/>
    <w:rsid w:val="006F0E2D"/>
    <w:rsid w:val="006F0E5E"/>
    <w:rsid w:val="006F1545"/>
    <w:rsid w:val="006F1771"/>
    <w:rsid w:val="006F1923"/>
    <w:rsid w:val="006F1A44"/>
    <w:rsid w:val="006F1E35"/>
    <w:rsid w:val="006F2040"/>
    <w:rsid w:val="006F2E91"/>
    <w:rsid w:val="006F306C"/>
    <w:rsid w:val="006F346D"/>
    <w:rsid w:val="006F361F"/>
    <w:rsid w:val="006F37C9"/>
    <w:rsid w:val="006F3B89"/>
    <w:rsid w:val="006F42A9"/>
    <w:rsid w:val="006F44B0"/>
    <w:rsid w:val="006F48B1"/>
    <w:rsid w:val="006F4C99"/>
    <w:rsid w:val="006F5746"/>
    <w:rsid w:val="006F595B"/>
    <w:rsid w:val="006F5C1F"/>
    <w:rsid w:val="006F5C47"/>
    <w:rsid w:val="006F63A5"/>
    <w:rsid w:val="006F68C3"/>
    <w:rsid w:val="006F7AD0"/>
    <w:rsid w:val="006F7D7F"/>
    <w:rsid w:val="007000E2"/>
    <w:rsid w:val="0070116E"/>
    <w:rsid w:val="007011EF"/>
    <w:rsid w:val="007012DF"/>
    <w:rsid w:val="0070131F"/>
    <w:rsid w:val="0070142B"/>
    <w:rsid w:val="00701FFF"/>
    <w:rsid w:val="0070207F"/>
    <w:rsid w:val="0070246F"/>
    <w:rsid w:val="0070258A"/>
    <w:rsid w:val="00702658"/>
    <w:rsid w:val="007026FC"/>
    <w:rsid w:val="0070276E"/>
    <w:rsid w:val="00702F8F"/>
    <w:rsid w:val="00703304"/>
    <w:rsid w:val="0070365E"/>
    <w:rsid w:val="00704676"/>
    <w:rsid w:val="007049F5"/>
    <w:rsid w:val="00704D2B"/>
    <w:rsid w:val="00704E49"/>
    <w:rsid w:val="00705428"/>
    <w:rsid w:val="007055AE"/>
    <w:rsid w:val="00705A6E"/>
    <w:rsid w:val="00705AF9"/>
    <w:rsid w:val="007066CA"/>
    <w:rsid w:val="00706982"/>
    <w:rsid w:val="00706B0D"/>
    <w:rsid w:val="00706B2C"/>
    <w:rsid w:val="0070734C"/>
    <w:rsid w:val="007079FC"/>
    <w:rsid w:val="00707DCF"/>
    <w:rsid w:val="00710360"/>
    <w:rsid w:val="007105DF"/>
    <w:rsid w:val="0071085B"/>
    <w:rsid w:val="00711062"/>
    <w:rsid w:val="00711A36"/>
    <w:rsid w:val="00711F66"/>
    <w:rsid w:val="007125D3"/>
    <w:rsid w:val="00712AC6"/>
    <w:rsid w:val="00712AF8"/>
    <w:rsid w:val="00712EBF"/>
    <w:rsid w:val="00712F4E"/>
    <w:rsid w:val="00713CA1"/>
    <w:rsid w:val="00714980"/>
    <w:rsid w:val="00714B32"/>
    <w:rsid w:val="00714C26"/>
    <w:rsid w:val="0071529C"/>
    <w:rsid w:val="00715DC0"/>
    <w:rsid w:val="00716B06"/>
    <w:rsid w:val="00716C92"/>
    <w:rsid w:val="007170DA"/>
    <w:rsid w:val="007172AD"/>
    <w:rsid w:val="00717546"/>
    <w:rsid w:val="00720737"/>
    <w:rsid w:val="00720801"/>
    <w:rsid w:val="007208CB"/>
    <w:rsid w:val="0072146E"/>
    <w:rsid w:val="007218A8"/>
    <w:rsid w:val="00721BB4"/>
    <w:rsid w:val="00721CF9"/>
    <w:rsid w:val="0072220A"/>
    <w:rsid w:val="00722B1B"/>
    <w:rsid w:val="00722E4F"/>
    <w:rsid w:val="00723042"/>
    <w:rsid w:val="0072346E"/>
    <w:rsid w:val="0072416F"/>
    <w:rsid w:val="007242D1"/>
    <w:rsid w:val="00724514"/>
    <w:rsid w:val="00724B19"/>
    <w:rsid w:val="00725006"/>
    <w:rsid w:val="007258C9"/>
    <w:rsid w:val="00725912"/>
    <w:rsid w:val="00726289"/>
    <w:rsid w:val="0072670E"/>
    <w:rsid w:val="00726D5A"/>
    <w:rsid w:val="00726F95"/>
    <w:rsid w:val="00727891"/>
    <w:rsid w:val="00727A39"/>
    <w:rsid w:val="00727C94"/>
    <w:rsid w:val="00730A50"/>
    <w:rsid w:val="00731B0A"/>
    <w:rsid w:val="00731EAE"/>
    <w:rsid w:val="00731FEC"/>
    <w:rsid w:val="00732718"/>
    <w:rsid w:val="00732A97"/>
    <w:rsid w:val="00732EFD"/>
    <w:rsid w:val="00733073"/>
    <w:rsid w:val="0073338B"/>
    <w:rsid w:val="007334AF"/>
    <w:rsid w:val="00733A3C"/>
    <w:rsid w:val="00733E1D"/>
    <w:rsid w:val="0073417A"/>
    <w:rsid w:val="00734C93"/>
    <w:rsid w:val="00735033"/>
    <w:rsid w:val="00735328"/>
    <w:rsid w:val="00735655"/>
    <w:rsid w:val="0073602B"/>
    <w:rsid w:val="0073685B"/>
    <w:rsid w:val="00736C83"/>
    <w:rsid w:val="00736F10"/>
    <w:rsid w:val="007373B1"/>
    <w:rsid w:val="007375BB"/>
    <w:rsid w:val="00737719"/>
    <w:rsid w:val="00737F86"/>
    <w:rsid w:val="00740191"/>
    <w:rsid w:val="00740417"/>
    <w:rsid w:val="00740A37"/>
    <w:rsid w:val="00740AE2"/>
    <w:rsid w:val="0074160B"/>
    <w:rsid w:val="007419D8"/>
    <w:rsid w:val="0074238F"/>
    <w:rsid w:val="007426CB"/>
    <w:rsid w:val="007426FE"/>
    <w:rsid w:val="00742841"/>
    <w:rsid w:val="007432AB"/>
    <w:rsid w:val="00743329"/>
    <w:rsid w:val="00743670"/>
    <w:rsid w:val="00743E4C"/>
    <w:rsid w:val="00744278"/>
    <w:rsid w:val="00744490"/>
    <w:rsid w:val="00744926"/>
    <w:rsid w:val="007449BF"/>
    <w:rsid w:val="00744E67"/>
    <w:rsid w:val="0074502E"/>
    <w:rsid w:val="0074542F"/>
    <w:rsid w:val="0074587D"/>
    <w:rsid w:val="00745949"/>
    <w:rsid w:val="00746234"/>
    <w:rsid w:val="0074635A"/>
    <w:rsid w:val="007463FE"/>
    <w:rsid w:val="00746758"/>
    <w:rsid w:val="00746836"/>
    <w:rsid w:val="00746854"/>
    <w:rsid w:val="007468F4"/>
    <w:rsid w:val="00746BC0"/>
    <w:rsid w:val="00747415"/>
    <w:rsid w:val="007474F2"/>
    <w:rsid w:val="0074761F"/>
    <w:rsid w:val="00747F7A"/>
    <w:rsid w:val="00750261"/>
    <w:rsid w:val="00750305"/>
    <w:rsid w:val="007509EC"/>
    <w:rsid w:val="007510B4"/>
    <w:rsid w:val="007511B6"/>
    <w:rsid w:val="00752142"/>
    <w:rsid w:val="007523F9"/>
    <w:rsid w:val="007525CE"/>
    <w:rsid w:val="0075319C"/>
    <w:rsid w:val="0075357E"/>
    <w:rsid w:val="00753B29"/>
    <w:rsid w:val="00754120"/>
    <w:rsid w:val="00755788"/>
    <w:rsid w:val="00755CFD"/>
    <w:rsid w:val="00756D45"/>
    <w:rsid w:val="00756DC1"/>
    <w:rsid w:val="00756F36"/>
    <w:rsid w:val="0075723F"/>
    <w:rsid w:val="007573E8"/>
    <w:rsid w:val="00757F99"/>
    <w:rsid w:val="007604C1"/>
    <w:rsid w:val="00760C4E"/>
    <w:rsid w:val="00760F9E"/>
    <w:rsid w:val="007616A7"/>
    <w:rsid w:val="007616E6"/>
    <w:rsid w:val="00761840"/>
    <w:rsid w:val="00761CA6"/>
    <w:rsid w:val="00761F7B"/>
    <w:rsid w:val="00762388"/>
    <w:rsid w:val="007627BE"/>
    <w:rsid w:val="00762F02"/>
    <w:rsid w:val="0076365B"/>
    <w:rsid w:val="00763742"/>
    <w:rsid w:val="00763D5A"/>
    <w:rsid w:val="00763FCE"/>
    <w:rsid w:val="00764287"/>
    <w:rsid w:val="00764C90"/>
    <w:rsid w:val="00764D76"/>
    <w:rsid w:val="00764F03"/>
    <w:rsid w:val="00764F0F"/>
    <w:rsid w:val="0076553C"/>
    <w:rsid w:val="00765B1A"/>
    <w:rsid w:val="00765DC1"/>
    <w:rsid w:val="00765E88"/>
    <w:rsid w:val="00766742"/>
    <w:rsid w:val="00766CE6"/>
    <w:rsid w:val="00766E43"/>
    <w:rsid w:val="00767758"/>
    <w:rsid w:val="007677C1"/>
    <w:rsid w:val="0076788D"/>
    <w:rsid w:val="00767AB2"/>
    <w:rsid w:val="00771077"/>
    <w:rsid w:val="00771134"/>
    <w:rsid w:val="00771339"/>
    <w:rsid w:val="007724A8"/>
    <w:rsid w:val="0077280E"/>
    <w:rsid w:val="007732A8"/>
    <w:rsid w:val="0077409D"/>
    <w:rsid w:val="007754F1"/>
    <w:rsid w:val="0077575B"/>
    <w:rsid w:val="00775E37"/>
    <w:rsid w:val="00776370"/>
    <w:rsid w:val="00776A29"/>
    <w:rsid w:val="00776D85"/>
    <w:rsid w:val="00776EE5"/>
    <w:rsid w:val="00777335"/>
    <w:rsid w:val="0078080B"/>
    <w:rsid w:val="007809E4"/>
    <w:rsid w:val="00780B68"/>
    <w:rsid w:val="00781411"/>
    <w:rsid w:val="00781917"/>
    <w:rsid w:val="007821EB"/>
    <w:rsid w:val="00782398"/>
    <w:rsid w:val="007828B9"/>
    <w:rsid w:val="00782AC0"/>
    <w:rsid w:val="00783ECE"/>
    <w:rsid w:val="00784197"/>
    <w:rsid w:val="00784361"/>
    <w:rsid w:val="007843F2"/>
    <w:rsid w:val="007846FA"/>
    <w:rsid w:val="0078475A"/>
    <w:rsid w:val="00785A9F"/>
    <w:rsid w:val="0078638A"/>
    <w:rsid w:val="00786830"/>
    <w:rsid w:val="00786A7F"/>
    <w:rsid w:val="00786F74"/>
    <w:rsid w:val="007878B0"/>
    <w:rsid w:val="007879F2"/>
    <w:rsid w:val="00790452"/>
    <w:rsid w:val="00790C78"/>
    <w:rsid w:val="00791368"/>
    <w:rsid w:val="007919FA"/>
    <w:rsid w:val="00791D68"/>
    <w:rsid w:val="007925DF"/>
    <w:rsid w:val="00792A85"/>
    <w:rsid w:val="00792FDE"/>
    <w:rsid w:val="0079304A"/>
    <w:rsid w:val="007934E2"/>
    <w:rsid w:val="007947D2"/>
    <w:rsid w:val="00794D0F"/>
    <w:rsid w:val="00794F85"/>
    <w:rsid w:val="007955FD"/>
    <w:rsid w:val="007956CF"/>
    <w:rsid w:val="00796275"/>
    <w:rsid w:val="00796504"/>
    <w:rsid w:val="0079665F"/>
    <w:rsid w:val="00796BB9"/>
    <w:rsid w:val="00797DF2"/>
    <w:rsid w:val="007A052D"/>
    <w:rsid w:val="007A08AA"/>
    <w:rsid w:val="007A0A12"/>
    <w:rsid w:val="007A0C9E"/>
    <w:rsid w:val="007A1267"/>
    <w:rsid w:val="007A132D"/>
    <w:rsid w:val="007A1345"/>
    <w:rsid w:val="007A160A"/>
    <w:rsid w:val="007A19EF"/>
    <w:rsid w:val="007A204A"/>
    <w:rsid w:val="007A25D1"/>
    <w:rsid w:val="007A265C"/>
    <w:rsid w:val="007A2C06"/>
    <w:rsid w:val="007A2DDB"/>
    <w:rsid w:val="007A3BA3"/>
    <w:rsid w:val="007A403B"/>
    <w:rsid w:val="007A49FB"/>
    <w:rsid w:val="007A4D3B"/>
    <w:rsid w:val="007A4DEA"/>
    <w:rsid w:val="007A5862"/>
    <w:rsid w:val="007A594C"/>
    <w:rsid w:val="007A5981"/>
    <w:rsid w:val="007A5C5C"/>
    <w:rsid w:val="007A65FD"/>
    <w:rsid w:val="007A70BA"/>
    <w:rsid w:val="007A7C3D"/>
    <w:rsid w:val="007B01CA"/>
    <w:rsid w:val="007B03F3"/>
    <w:rsid w:val="007B0748"/>
    <w:rsid w:val="007B08E1"/>
    <w:rsid w:val="007B0D68"/>
    <w:rsid w:val="007B0F1E"/>
    <w:rsid w:val="007B180A"/>
    <w:rsid w:val="007B1F26"/>
    <w:rsid w:val="007B251D"/>
    <w:rsid w:val="007B2728"/>
    <w:rsid w:val="007B2E64"/>
    <w:rsid w:val="007B2F5B"/>
    <w:rsid w:val="007B3490"/>
    <w:rsid w:val="007B3533"/>
    <w:rsid w:val="007B38F5"/>
    <w:rsid w:val="007B3BB8"/>
    <w:rsid w:val="007B3BD4"/>
    <w:rsid w:val="007B4F58"/>
    <w:rsid w:val="007B528D"/>
    <w:rsid w:val="007B5679"/>
    <w:rsid w:val="007B63CA"/>
    <w:rsid w:val="007B6F92"/>
    <w:rsid w:val="007B7137"/>
    <w:rsid w:val="007B7649"/>
    <w:rsid w:val="007B77D1"/>
    <w:rsid w:val="007B7B7F"/>
    <w:rsid w:val="007C07C7"/>
    <w:rsid w:val="007C0C0C"/>
    <w:rsid w:val="007C0C79"/>
    <w:rsid w:val="007C1472"/>
    <w:rsid w:val="007C1CD9"/>
    <w:rsid w:val="007C2ED8"/>
    <w:rsid w:val="007C32EF"/>
    <w:rsid w:val="007C361D"/>
    <w:rsid w:val="007C3714"/>
    <w:rsid w:val="007C3DD4"/>
    <w:rsid w:val="007C4B84"/>
    <w:rsid w:val="007C507D"/>
    <w:rsid w:val="007C5F88"/>
    <w:rsid w:val="007C70FF"/>
    <w:rsid w:val="007C7C25"/>
    <w:rsid w:val="007D004F"/>
    <w:rsid w:val="007D026A"/>
    <w:rsid w:val="007D035F"/>
    <w:rsid w:val="007D03C5"/>
    <w:rsid w:val="007D053C"/>
    <w:rsid w:val="007D054D"/>
    <w:rsid w:val="007D06B2"/>
    <w:rsid w:val="007D0B38"/>
    <w:rsid w:val="007D0C7F"/>
    <w:rsid w:val="007D2168"/>
    <w:rsid w:val="007D21E9"/>
    <w:rsid w:val="007D262B"/>
    <w:rsid w:val="007D2BBB"/>
    <w:rsid w:val="007D2E25"/>
    <w:rsid w:val="007D3898"/>
    <w:rsid w:val="007D400E"/>
    <w:rsid w:val="007D423D"/>
    <w:rsid w:val="007D5285"/>
    <w:rsid w:val="007D5440"/>
    <w:rsid w:val="007D6004"/>
    <w:rsid w:val="007D61B4"/>
    <w:rsid w:val="007D649B"/>
    <w:rsid w:val="007D69EB"/>
    <w:rsid w:val="007D6A80"/>
    <w:rsid w:val="007D6C2C"/>
    <w:rsid w:val="007D7637"/>
    <w:rsid w:val="007D7941"/>
    <w:rsid w:val="007D7C4E"/>
    <w:rsid w:val="007D7E3E"/>
    <w:rsid w:val="007E08DF"/>
    <w:rsid w:val="007E08FC"/>
    <w:rsid w:val="007E1272"/>
    <w:rsid w:val="007E128F"/>
    <w:rsid w:val="007E1616"/>
    <w:rsid w:val="007E19FC"/>
    <w:rsid w:val="007E2707"/>
    <w:rsid w:val="007E36B6"/>
    <w:rsid w:val="007E50AA"/>
    <w:rsid w:val="007E5623"/>
    <w:rsid w:val="007E5B18"/>
    <w:rsid w:val="007E65D4"/>
    <w:rsid w:val="007E6DC8"/>
    <w:rsid w:val="007E77E0"/>
    <w:rsid w:val="007E7E4A"/>
    <w:rsid w:val="007F027B"/>
    <w:rsid w:val="007F05C8"/>
    <w:rsid w:val="007F0A81"/>
    <w:rsid w:val="007F0DB1"/>
    <w:rsid w:val="007F1017"/>
    <w:rsid w:val="007F1128"/>
    <w:rsid w:val="007F1234"/>
    <w:rsid w:val="007F13CD"/>
    <w:rsid w:val="007F16AD"/>
    <w:rsid w:val="007F1ADC"/>
    <w:rsid w:val="007F2744"/>
    <w:rsid w:val="007F30BA"/>
    <w:rsid w:val="007F3885"/>
    <w:rsid w:val="007F39A7"/>
    <w:rsid w:val="007F479C"/>
    <w:rsid w:val="007F4A3F"/>
    <w:rsid w:val="007F4A61"/>
    <w:rsid w:val="007F50F1"/>
    <w:rsid w:val="007F5255"/>
    <w:rsid w:val="007F52E2"/>
    <w:rsid w:val="007F56CC"/>
    <w:rsid w:val="007F570F"/>
    <w:rsid w:val="007F5959"/>
    <w:rsid w:val="007F5F80"/>
    <w:rsid w:val="007F61C2"/>
    <w:rsid w:val="007F6FEB"/>
    <w:rsid w:val="007F7065"/>
    <w:rsid w:val="007F749A"/>
    <w:rsid w:val="007F76E1"/>
    <w:rsid w:val="007F7D0E"/>
    <w:rsid w:val="00800F60"/>
    <w:rsid w:val="008014EB"/>
    <w:rsid w:val="008016CF"/>
    <w:rsid w:val="00801B3A"/>
    <w:rsid w:val="00801D4A"/>
    <w:rsid w:val="008023A5"/>
    <w:rsid w:val="00802A22"/>
    <w:rsid w:val="00802FE6"/>
    <w:rsid w:val="008031F7"/>
    <w:rsid w:val="008038AE"/>
    <w:rsid w:val="00803902"/>
    <w:rsid w:val="00803CB7"/>
    <w:rsid w:val="00804B6B"/>
    <w:rsid w:val="00805142"/>
    <w:rsid w:val="0080566B"/>
    <w:rsid w:val="00805FCE"/>
    <w:rsid w:val="00806067"/>
    <w:rsid w:val="008068D4"/>
    <w:rsid w:val="00806950"/>
    <w:rsid w:val="00806ACA"/>
    <w:rsid w:val="00807A8B"/>
    <w:rsid w:val="00807B62"/>
    <w:rsid w:val="00807BA9"/>
    <w:rsid w:val="00810000"/>
    <w:rsid w:val="008101DE"/>
    <w:rsid w:val="0081031B"/>
    <w:rsid w:val="00810D3B"/>
    <w:rsid w:val="00810F61"/>
    <w:rsid w:val="00811212"/>
    <w:rsid w:val="00811383"/>
    <w:rsid w:val="00812149"/>
    <w:rsid w:val="008126A1"/>
    <w:rsid w:val="008128A9"/>
    <w:rsid w:val="008128F0"/>
    <w:rsid w:val="00812BCA"/>
    <w:rsid w:val="00812CAC"/>
    <w:rsid w:val="008131E0"/>
    <w:rsid w:val="00813416"/>
    <w:rsid w:val="008135FF"/>
    <w:rsid w:val="00813DBC"/>
    <w:rsid w:val="0081411C"/>
    <w:rsid w:val="00814D24"/>
    <w:rsid w:val="00814FFC"/>
    <w:rsid w:val="00815334"/>
    <w:rsid w:val="00816361"/>
    <w:rsid w:val="008166EF"/>
    <w:rsid w:val="00816BD7"/>
    <w:rsid w:val="00816FBA"/>
    <w:rsid w:val="00816FEF"/>
    <w:rsid w:val="008172B2"/>
    <w:rsid w:val="00817930"/>
    <w:rsid w:val="00817A39"/>
    <w:rsid w:val="00820A8C"/>
    <w:rsid w:val="00820B7C"/>
    <w:rsid w:val="008215FB"/>
    <w:rsid w:val="00821E95"/>
    <w:rsid w:val="008220CC"/>
    <w:rsid w:val="008221D9"/>
    <w:rsid w:val="008222C6"/>
    <w:rsid w:val="0082281F"/>
    <w:rsid w:val="00822FB9"/>
    <w:rsid w:val="00823174"/>
    <w:rsid w:val="008243F9"/>
    <w:rsid w:val="0082440F"/>
    <w:rsid w:val="00825751"/>
    <w:rsid w:val="008257DD"/>
    <w:rsid w:val="008264EB"/>
    <w:rsid w:val="008268CE"/>
    <w:rsid w:val="008269A3"/>
    <w:rsid w:val="008270C2"/>
    <w:rsid w:val="00827C23"/>
    <w:rsid w:val="00827C53"/>
    <w:rsid w:val="00827CAD"/>
    <w:rsid w:val="00830841"/>
    <w:rsid w:val="00830CFC"/>
    <w:rsid w:val="0083140B"/>
    <w:rsid w:val="00831F2D"/>
    <w:rsid w:val="00831F5D"/>
    <w:rsid w:val="008324ED"/>
    <w:rsid w:val="00832BC4"/>
    <w:rsid w:val="00832E72"/>
    <w:rsid w:val="00833B05"/>
    <w:rsid w:val="00833DA6"/>
    <w:rsid w:val="00833E56"/>
    <w:rsid w:val="0083431C"/>
    <w:rsid w:val="00834467"/>
    <w:rsid w:val="008346B4"/>
    <w:rsid w:val="0083527F"/>
    <w:rsid w:val="00835862"/>
    <w:rsid w:val="00835A04"/>
    <w:rsid w:val="00835B9A"/>
    <w:rsid w:val="008361AB"/>
    <w:rsid w:val="008362B4"/>
    <w:rsid w:val="00836A7B"/>
    <w:rsid w:val="00836CE0"/>
    <w:rsid w:val="00840461"/>
    <w:rsid w:val="00840827"/>
    <w:rsid w:val="00840CA2"/>
    <w:rsid w:val="00840EAC"/>
    <w:rsid w:val="0084129D"/>
    <w:rsid w:val="00841DD5"/>
    <w:rsid w:val="0084200B"/>
    <w:rsid w:val="008422C5"/>
    <w:rsid w:val="0084298B"/>
    <w:rsid w:val="00842B27"/>
    <w:rsid w:val="0084374F"/>
    <w:rsid w:val="00843AAA"/>
    <w:rsid w:val="008442E2"/>
    <w:rsid w:val="00844A22"/>
    <w:rsid w:val="00844E0F"/>
    <w:rsid w:val="008458C0"/>
    <w:rsid w:val="00845BFC"/>
    <w:rsid w:val="008460A5"/>
    <w:rsid w:val="00847176"/>
    <w:rsid w:val="00847703"/>
    <w:rsid w:val="0084794C"/>
    <w:rsid w:val="00847CA7"/>
    <w:rsid w:val="00847DF5"/>
    <w:rsid w:val="00850443"/>
    <w:rsid w:val="008504FF"/>
    <w:rsid w:val="00850844"/>
    <w:rsid w:val="00851E16"/>
    <w:rsid w:val="0085269F"/>
    <w:rsid w:val="0085309D"/>
    <w:rsid w:val="00853CE9"/>
    <w:rsid w:val="00854131"/>
    <w:rsid w:val="0085460A"/>
    <w:rsid w:val="00854E4B"/>
    <w:rsid w:val="008556E2"/>
    <w:rsid w:val="0085583B"/>
    <w:rsid w:val="00855D44"/>
    <w:rsid w:val="00856654"/>
    <w:rsid w:val="00856897"/>
    <w:rsid w:val="00856E9A"/>
    <w:rsid w:val="008572AD"/>
    <w:rsid w:val="008579CE"/>
    <w:rsid w:val="00857ABF"/>
    <w:rsid w:val="0086075D"/>
    <w:rsid w:val="00860932"/>
    <w:rsid w:val="0086120B"/>
    <w:rsid w:val="0086160E"/>
    <w:rsid w:val="00861AB2"/>
    <w:rsid w:val="00862502"/>
    <w:rsid w:val="00862800"/>
    <w:rsid w:val="00862A63"/>
    <w:rsid w:val="00862CC1"/>
    <w:rsid w:val="00862FCB"/>
    <w:rsid w:val="00863456"/>
    <w:rsid w:val="00863912"/>
    <w:rsid w:val="00863C41"/>
    <w:rsid w:val="00864032"/>
    <w:rsid w:val="008642A7"/>
    <w:rsid w:val="008643E7"/>
    <w:rsid w:val="00864481"/>
    <w:rsid w:val="00864C56"/>
    <w:rsid w:val="00864EAF"/>
    <w:rsid w:val="00865AD8"/>
    <w:rsid w:val="00865B72"/>
    <w:rsid w:val="00865FDD"/>
    <w:rsid w:val="008660D4"/>
    <w:rsid w:val="00866A1F"/>
    <w:rsid w:val="00866F8C"/>
    <w:rsid w:val="0086707A"/>
    <w:rsid w:val="008671E2"/>
    <w:rsid w:val="00867F62"/>
    <w:rsid w:val="00870401"/>
    <w:rsid w:val="00870522"/>
    <w:rsid w:val="00870BCB"/>
    <w:rsid w:val="00870FCF"/>
    <w:rsid w:val="00871FA9"/>
    <w:rsid w:val="00872098"/>
    <w:rsid w:val="008728E9"/>
    <w:rsid w:val="00872CD0"/>
    <w:rsid w:val="00872E9C"/>
    <w:rsid w:val="00872F44"/>
    <w:rsid w:val="00873072"/>
    <w:rsid w:val="00873137"/>
    <w:rsid w:val="0087320E"/>
    <w:rsid w:val="008746DF"/>
    <w:rsid w:val="008747C1"/>
    <w:rsid w:val="00875055"/>
    <w:rsid w:val="00875359"/>
    <w:rsid w:val="00875789"/>
    <w:rsid w:val="00875D32"/>
    <w:rsid w:val="00876829"/>
    <w:rsid w:val="008768E9"/>
    <w:rsid w:val="00876C44"/>
    <w:rsid w:val="00876F03"/>
    <w:rsid w:val="00876F87"/>
    <w:rsid w:val="00876FFF"/>
    <w:rsid w:val="0087756F"/>
    <w:rsid w:val="008811E1"/>
    <w:rsid w:val="0088190A"/>
    <w:rsid w:val="008821ED"/>
    <w:rsid w:val="00882814"/>
    <w:rsid w:val="00882874"/>
    <w:rsid w:val="00882C86"/>
    <w:rsid w:val="00882E3C"/>
    <w:rsid w:val="0088308A"/>
    <w:rsid w:val="008833FF"/>
    <w:rsid w:val="00883787"/>
    <w:rsid w:val="00883FAE"/>
    <w:rsid w:val="00884294"/>
    <w:rsid w:val="00884337"/>
    <w:rsid w:val="0088481B"/>
    <w:rsid w:val="008848A3"/>
    <w:rsid w:val="00885181"/>
    <w:rsid w:val="0088549F"/>
    <w:rsid w:val="008855E4"/>
    <w:rsid w:val="0088581B"/>
    <w:rsid w:val="00885831"/>
    <w:rsid w:val="00885C56"/>
    <w:rsid w:val="00885D1A"/>
    <w:rsid w:val="008868BB"/>
    <w:rsid w:val="008869A4"/>
    <w:rsid w:val="00886CD2"/>
    <w:rsid w:val="00886D98"/>
    <w:rsid w:val="0089000A"/>
    <w:rsid w:val="008910C3"/>
    <w:rsid w:val="008913E8"/>
    <w:rsid w:val="0089193F"/>
    <w:rsid w:val="00891E6F"/>
    <w:rsid w:val="00892011"/>
    <w:rsid w:val="00892208"/>
    <w:rsid w:val="0089241E"/>
    <w:rsid w:val="0089275D"/>
    <w:rsid w:val="00892A36"/>
    <w:rsid w:val="00893239"/>
    <w:rsid w:val="0089384B"/>
    <w:rsid w:val="0089395B"/>
    <w:rsid w:val="0089420E"/>
    <w:rsid w:val="00894489"/>
    <w:rsid w:val="00894861"/>
    <w:rsid w:val="0089492D"/>
    <w:rsid w:val="00894BFD"/>
    <w:rsid w:val="00894C90"/>
    <w:rsid w:val="00894CD6"/>
    <w:rsid w:val="0089544F"/>
    <w:rsid w:val="008959B6"/>
    <w:rsid w:val="00895DDB"/>
    <w:rsid w:val="008963A5"/>
    <w:rsid w:val="008965E3"/>
    <w:rsid w:val="00896D5D"/>
    <w:rsid w:val="008976DB"/>
    <w:rsid w:val="008A00F2"/>
    <w:rsid w:val="008A053B"/>
    <w:rsid w:val="008A142D"/>
    <w:rsid w:val="008A1835"/>
    <w:rsid w:val="008A18C7"/>
    <w:rsid w:val="008A1DB8"/>
    <w:rsid w:val="008A284C"/>
    <w:rsid w:val="008A30A8"/>
    <w:rsid w:val="008A3158"/>
    <w:rsid w:val="008A3162"/>
    <w:rsid w:val="008A3201"/>
    <w:rsid w:val="008A3363"/>
    <w:rsid w:val="008A3371"/>
    <w:rsid w:val="008A3C3E"/>
    <w:rsid w:val="008A3C7E"/>
    <w:rsid w:val="008A4A48"/>
    <w:rsid w:val="008A4FC2"/>
    <w:rsid w:val="008A50E5"/>
    <w:rsid w:val="008A54F1"/>
    <w:rsid w:val="008A5A1B"/>
    <w:rsid w:val="008A5E74"/>
    <w:rsid w:val="008A60B0"/>
    <w:rsid w:val="008A612F"/>
    <w:rsid w:val="008A6206"/>
    <w:rsid w:val="008A672E"/>
    <w:rsid w:val="008A6AB6"/>
    <w:rsid w:val="008A73D1"/>
    <w:rsid w:val="008A79DE"/>
    <w:rsid w:val="008A7BCF"/>
    <w:rsid w:val="008B0136"/>
    <w:rsid w:val="008B042D"/>
    <w:rsid w:val="008B0AE4"/>
    <w:rsid w:val="008B0C6D"/>
    <w:rsid w:val="008B0DF7"/>
    <w:rsid w:val="008B1495"/>
    <w:rsid w:val="008B1757"/>
    <w:rsid w:val="008B1832"/>
    <w:rsid w:val="008B1C33"/>
    <w:rsid w:val="008B1DEA"/>
    <w:rsid w:val="008B229D"/>
    <w:rsid w:val="008B273A"/>
    <w:rsid w:val="008B2A79"/>
    <w:rsid w:val="008B2B51"/>
    <w:rsid w:val="008B2CB7"/>
    <w:rsid w:val="008B34E7"/>
    <w:rsid w:val="008B3B88"/>
    <w:rsid w:val="008B3E02"/>
    <w:rsid w:val="008B41DB"/>
    <w:rsid w:val="008B441E"/>
    <w:rsid w:val="008B4B6F"/>
    <w:rsid w:val="008B4D6F"/>
    <w:rsid w:val="008B628C"/>
    <w:rsid w:val="008B6E75"/>
    <w:rsid w:val="008B7277"/>
    <w:rsid w:val="008B7992"/>
    <w:rsid w:val="008B7D7E"/>
    <w:rsid w:val="008B7DF4"/>
    <w:rsid w:val="008C04DD"/>
    <w:rsid w:val="008C0A0B"/>
    <w:rsid w:val="008C0A41"/>
    <w:rsid w:val="008C0FCB"/>
    <w:rsid w:val="008C12F3"/>
    <w:rsid w:val="008C1310"/>
    <w:rsid w:val="008C1C0C"/>
    <w:rsid w:val="008C20B0"/>
    <w:rsid w:val="008C24A8"/>
    <w:rsid w:val="008C257D"/>
    <w:rsid w:val="008C276C"/>
    <w:rsid w:val="008C28C3"/>
    <w:rsid w:val="008C31B2"/>
    <w:rsid w:val="008C34F8"/>
    <w:rsid w:val="008C3EE9"/>
    <w:rsid w:val="008C46C4"/>
    <w:rsid w:val="008C47E0"/>
    <w:rsid w:val="008C4B45"/>
    <w:rsid w:val="008C4E50"/>
    <w:rsid w:val="008C5610"/>
    <w:rsid w:val="008C5739"/>
    <w:rsid w:val="008C6170"/>
    <w:rsid w:val="008C6394"/>
    <w:rsid w:val="008C63F5"/>
    <w:rsid w:val="008C66F1"/>
    <w:rsid w:val="008C6CFD"/>
    <w:rsid w:val="008C6FBB"/>
    <w:rsid w:val="008C6FC5"/>
    <w:rsid w:val="008C7282"/>
    <w:rsid w:val="008C743B"/>
    <w:rsid w:val="008C7ECB"/>
    <w:rsid w:val="008D1612"/>
    <w:rsid w:val="008D1623"/>
    <w:rsid w:val="008D1A1A"/>
    <w:rsid w:val="008D1B70"/>
    <w:rsid w:val="008D1CDC"/>
    <w:rsid w:val="008D2320"/>
    <w:rsid w:val="008D28BB"/>
    <w:rsid w:val="008D2FF7"/>
    <w:rsid w:val="008D317D"/>
    <w:rsid w:val="008D3193"/>
    <w:rsid w:val="008D3B86"/>
    <w:rsid w:val="008D40D6"/>
    <w:rsid w:val="008D4139"/>
    <w:rsid w:val="008D43FD"/>
    <w:rsid w:val="008D4573"/>
    <w:rsid w:val="008D474B"/>
    <w:rsid w:val="008D4755"/>
    <w:rsid w:val="008D4C3D"/>
    <w:rsid w:val="008D4CA4"/>
    <w:rsid w:val="008D5551"/>
    <w:rsid w:val="008D6C46"/>
    <w:rsid w:val="008D6D69"/>
    <w:rsid w:val="008D6E30"/>
    <w:rsid w:val="008D743C"/>
    <w:rsid w:val="008D7A3D"/>
    <w:rsid w:val="008D7DDF"/>
    <w:rsid w:val="008D7EC8"/>
    <w:rsid w:val="008E0263"/>
    <w:rsid w:val="008E06BF"/>
    <w:rsid w:val="008E0D3C"/>
    <w:rsid w:val="008E0EDD"/>
    <w:rsid w:val="008E1239"/>
    <w:rsid w:val="008E1B9E"/>
    <w:rsid w:val="008E24C0"/>
    <w:rsid w:val="008E2F7F"/>
    <w:rsid w:val="008E3066"/>
    <w:rsid w:val="008E30FB"/>
    <w:rsid w:val="008E35EB"/>
    <w:rsid w:val="008E3B52"/>
    <w:rsid w:val="008E3BB1"/>
    <w:rsid w:val="008E3E03"/>
    <w:rsid w:val="008E44EE"/>
    <w:rsid w:val="008E4A4D"/>
    <w:rsid w:val="008E50FA"/>
    <w:rsid w:val="008E5525"/>
    <w:rsid w:val="008E55AB"/>
    <w:rsid w:val="008E5AAA"/>
    <w:rsid w:val="008E62CB"/>
    <w:rsid w:val="008E6B6F"/>
    <w:rsid w:val="008E77F3"/>
    <w:rsid w:val="008F00F5"/>
    <w:rsid w:val="008F07D7"/>
    <w:rsid w:val="008F0D12"/>
    <w:rsid w:val="008F10AD"/>
    <w:rsid w:val="008F120A"/>
    <w:rsid w:val="008F1A82"/>
    <w:rsid w:val="008F27E0"/>
    <w:rsid w:val="008F286E"/>
    <w:rsid w:val="008F29D0"/>
    <w:rsid w:val="008F2AA8"/>
    <w:rsid w:val="008F3427"/>
    <w:rsid w:val="008F3C30"/>
    <w:rsid w:val="008F3F2B"/>
    <w:rsid w:val="008F465D"/>
    <w:rsid w:val="008F48EB"/>
    <w:rsid w:val="008F49A4"/>
    <w:rsid w:val="008F4F0B"/>
    <w:rsid w:val="008F53D1"/>
    <w:rsid w:val="008F589E"/>
    <w:rsid w:val="008F64AB"/>
    <w:rsid w:val="008F6980"/>
    <w:rsid w:val="00900945"/>
    <w:rsid w:val="00900DFC"/>
    <w:rsid w:val="0090146B"/>
    <w:rsid w:val="009028A3"/>
    <w:rsid w:val="00902C28"/>
    <w:rsid w:val="00903930"/>
    <w:rsid w:val="00903E00"/>
    <w:rsid w:val="00903EBC"/>
    <w:rsid w:val="0090435A"/>
    <w:rsid w:val="009043D8"/>
    <w:rsid w:val="0090442A"/>
    <w:rsid w:val="009046C4"/>
    <w:rsid w:val="0090529A"/>
    <w:rsid w:val="00905FCA"/>
    <w:rsid w:val="009062A5"/>
    <w:rsid w:val="00906D2B"/>
    <w:rsid w:val="00907699"/>
    <w:rsid w:val="00907EC7"/>
    <w:rsid w:val="00910473"/>
    <w:rsid w:val="00910B5A"/>
    <w:rsid w:val="00910FA7"/>
    <w:rsid w:val="00911272"/>
    <w:rsid w:val="00911339"/>
    <w:rsid w:val="009117E5"/>
    <w:rsid w:val="00911B2C"/>
    <w:rsid w:val="00911F80"/>
    <w:rsid w:val="00911FC0"/>
    <w:rsid w:val="00912059"/>
    <w:rsid w:val="00912172"/>
    <w:rsid w:val="009122A4"/>
    <w:rsid w:val="00912825"/>
    <w:rsid w:val="00912C31"/>
    <w:rsid w:val="009135D6"/>
    <w:rsid w:val="009142F0"/>
    <w:rsid w:val="0091499C"/>
    <w:rsid w:val="009149D5"/>
    <w:rsid w:val="00914C77"/>
    <w:rsid w:val="00914DC0"/>
    <w:rsid w:val="00914E1F"/>
    <w:rsid w:val="0091518B"/>
    <w:rsid w:val="0091530E"/>
    <w:rsid w:val="00915396"/>
    <w:rsid w:val="00915538"/>
    <w:rsid w:val="00915872"/>
    <w:rsid w:val="009158ED"/>
    <w:rsid w:val="00915CD9"/>
    <w:rsid w:val="00915D67"/>
    <w:rsid w:val="009166B4"/>
    <w:rsid w:val="0091692B"/>
    <w:rsid w:val="00916EC3"/>
    <w:rsid w:val="009170D7"/>
    <w:rsid w:val="00917151"/>
    <w:rsid w:val="0091716B"/>
    <w:rsid w:val="0091742D"/>
    <w:rsid w:val="009175FF"/>
    <w:rsid w:val="00920456"/>
    <w:rsid w:val="00920946"/>
    <w:rsid w:val="00920A16"/>
    <w:rsid w:val="0092108F"/>
    <w:rsid w:val="009214FE"/>
    <w:rsid w:val="00921A6E"/>
    <w:rsid w:val="00921ACB"/>
    <w:rsid w:val="00922B85"/>
    <w:rsid w:val="00923247"/>
    <w:rsid w:val="009235C6"/>
    <w:rsid w:val="0092369B"/>
    <w:rsid w:val="00923966"/>
    <w:rsid w:val="00923A6D"/>
    <w:rsid w:val="00923B26"/>
    <w:rsid w:val="00923B61"/>
    <w:rsid w:val="009241A7"/>
    <w:rsid w:val="009243F8"/>
    <w:rsid w:val="009244AB"/>
    <w:rsid w:val="009248A0"/>
    <w:rsid w:val="00925A6E"/>
    <w:rsid w:val="00925BB1"/>
    <w:rsid w:val="00925D6E"/>
    <w:rsid w:val="009260EC"/>
    <w:rsid w:val="0092638A"/>
    <w:rsid w:val="00926B1E"/>
    <w:rsid w:val="00926D45"/>
    <w:rsid w:val="00926F47"/>
    <w:rsid w:val="00927EBF"/>
    <w:rsid w:val="00930EA8"/>
    <w:rsid w:val="00931B7E"/>
    <w:rsid w:val="00931D39"/>
    <w:rsid w:val="00931FE4"/>
    <w:rsid w:val="009321CF"/>
    <w:rsid w:val="00932230"/>
    <w:rsid w:val="0093245C"/>
    <w:rsid w:val="00932588"/>
    <w:rsid w:val="009328F4"/>
    <w:rsid w:val="00932C0A"/>
    <w:rsid w:val="00933269"/>
    <w:rsid w:val="009338A4"/>
    <w:rsid w:val="00933939"/>
    <w:rsid w:val="00933D5F"/>
    <w:rsid w:val="00933DB6"/>
    <w:rsid w:val="00933EE0"/>
    <w:rsid w:val="00934052"/>
    <w:rsid w:val="00934218"/>
    <w:rsid w:val="00934988"/>
    <w:rsid w:val="00935423"/>
    <w:rsid w:val="00935483"/>
    <w:rsid w:val="00935660"/>
    <w:rsid w:val="0093585E"/>
    <w:rsid w:val="00935AEC"/>
    <w:rsid w:val="0093656F"/>
    <w:rsid w:val="00936CB5"/>
    <w:rsid w:val="00937089"/>
    <w:rsid w:val="00937333"/>
    <w:rsid w:val="00937EDA"/>
    <w:rsid w:val="009404BA"/>
    <w:rsid w:val="00940DFC"/>
    <w:rsid w:val="00941E5D"/>
    <w:rsid w:val="00942028"/>
    <w:rsid w:val="009423A8"/>
    <w:rsid w:val="00942ABF"/>
    <w:rsid w:val="009432E7"/>
    <w:rsid w:val="009438AC"/>
    <w:rsid w:val="00943A91"/>
    <w:rsid w:val="00944311"/>
    <w:rsid w:val="0094437F"/>
    <w:rsid w:val="00944B3E"/>
    <w:rsid w:val="00944CE7"/>
    <w:rsid w:val="00944F8A"/>
    <w:rsid w:val="00945070"/>
    <w:rsid w:val="00945AA6"/>
    <w:rsid w:val="00945B10"/>
    <w:rsid w:val="00945DCD"/>
    <w:rsid w:val="00946840"/>
    <w:rsid w:val="00946BC1"/>
    <w:rsid w:val="00946CFC"/>
    <w:rsid w:val="00946D40"/>
    <w:rsid w:val="00946E12"/>
    <w:rsid w:val="0094781E"/>
    <w:rsid w:val="00947DEE"/>
    <w:rsid w:val="00950573"/>
    <w:rsid w:val="009510A2"/>
    <w:rsid w:val="0095139C"/>
    <w:rsid w:val="00951AB5"/>
    <w:rsid w:val="00952BC8"/>
    <w:rsid w:val="00953257"/>
    <w:rsid w:val="009536CE"/>
    <w:rsid w:val="00953C57"/>
    <w:rsid w:val="0095474C"/>
    <w:rsid w:val="009547CC"/>
    <w:rsid w:val="00954DD2"/>
    <w:rsid w:val="00954F02"/>
    <w:rsid w:val="00955B41"/>
    <w:rsid w:val="00956201"/>
    <w:rsid w:val="00956766"/>
    <w:rsid w:val="00956A00"/>
    <w:rsid w:val="009579D1"/>
    <w:rsid w:val="00957CDE"/>
    <w:rsid w:val="00957D92"/>
    <w:rsid w:val="00960C44"/>
    <w:rsid w:val="00961566"/>
    <w:rsid w:val="0096261E"/>
    <w:rsid w:val="009627D4"/>
    <w:rsid w:val="00962B9D"/>
    <w:rsid w:val="00962CB9"/>
    <w:rsid w:val="00962EC7"/>
    <w:rsid w:val="0096309C"/>
    <w:rsid w:val="009632F2"/>
    <w:rsid w:val="00963603"/>
    <w:rsid w:val="00963773"/>
    <w:rsid w:val="00963E20"/>
    <w:rsid w:val="00964312"/>
    <w:rsid w:val="009644E4"/>
    <w:rsid w:val="00964769"/>
    <w:rsid w:val="0096478E"/>
    <w:rsid w:val="00964AEE"/>
    <w:rsid w:val="009657A4"/>
    <w:rsid w:val="00965B8A"/>
    <w:rsid w:val="00965D43"/>
    <w:rsid w:val="00965FAA"/>
    <w:rsid w:val="0096608A"/>
    <w:rsid w:val="0096661B"/>
    <w:rsid w:val="009667CB"/>
    <w:rsid w:val="009671F3"/>
    <w:rsid w:val="009673C8"/>
    <w:rsid w:val="00967909"/>
    <w:rsid w:val="00967F24"/>
    <w:rsid w:val="0097041F"/>
    <w:rsid w:val="0097071F"/>
    <w:rsid w:val="00970786"/>
    <w:rsid w:val="00970816"/>
    <w:rsid w:val="00971292"/>
    <w:rsid w:val="009713E5"/>
    <w:rsid w:val="00971445"/>
    <w:rsid w:val="00971764"/>
    <w:rsid w:val="009717AC"/>
    <w:rsid w:val="0097205C"/>
    <w:rsid w:val="009720B9"/>
    <w:rsid w:val="009725F6"/>
    <w:rsid w:val="00972A63"/>
    <w:rsid w:val="009731C6"/>
    <w:rsid w:val="009732A4"/>
    <w:rsid w:val="00973DAA"/>
    <w:rsid w:val="00974189"/>
    <w:rsid w:val="009742C9"/>
    <w:rsid w:val="0097468B"/>
    <w:rsid w:val="009751C1"/>
    <w:rsid w:val="009751E9"/>
    <w:rsid w:val="009755D3"/>
    <w:rsid w:val="009755D6"/>
    <w:rsid w:val="00975787"/>
    <w:rsid w:val="00976085"/>
    <w:rsid w:val="00976328"/>
    <w:rsid w:val="00976698"/>
    <w:rsid w:val="009766F4"/>
    <w:rsid w:val="00976CE9"/>
    <w:rsid w:val="0097755C"/>
    <w:rsid w:val="00977A24"/>
    <w:rsid w:val="00977A8B"/>
    <w:rsid w:val="00980C01"/>
    <w:rsid w:val="00980EF8"/>
    <w:rsid w:val="0098104A"/>
    <w:rsid w:val="009811F1"/>
    <w:rsid w:val="0098155D"/>
    <w:rsid w:val="00981BBC"/>
    <w:rsid w:val="00981E72"/>
    <w:rsid w:val="00982510"/>
    <w:rsid w:val="0098262F"/>
    <w:rsid w:val="00982D89"/>
    <w:rsid w:val="009832D7"/>
    <w:rsid w:val="00983378"/>
    <w:rsid w:val="00983E57"/>
    <w:rsid w:val="009848B1"/>
    <w:rsid w:val="00984CC1"/>
    <w:rsid w:val="00984DAE"/>
    <w:rsid w:val="0098526B"/>
    <w:rsid w:val="009852FF"/>
    <w:rsid w:val="009859AB"/>
    <w:rsid w:val="00985B4C"/>
    <w:rsid w:val="00985C9F"/>
    <w:rsid w:val="00985D34"/>
    <w:rsid w:val="00985D50"/>
    <w:rsid w:val="00985DE2"/>
    <w:rsid w:val="00985E3F"/>
    <w:rsid w:val="0098675D"/>
    <w:rsid w:val="00987247"/>
    <w:rsid w:val="00987712"/>
    <w:rsid w:val="00987BA4"/>
    <w:rsid w:val="009904E6"/>
    <w:rsid w:val="0099228A"/>
    <w:rsid w:val="009926E0"/>
    <w:rsid w:val="00992944"/>
    <w:rsid w:val="0099393A"/>
    <w:rsid w:val="00993B36"/>
    <w:rsid w:val="0099451E"/>
    <w:rsid w:val="00994666"/>
    <w:rsid w:val="0099498C"/>
    <w:rsid w:val="00994B4F"/>
    <w:rsid w:val="00994CDE"/>
    <w:rsid w:val="00994D0D"/>
    <w:rsid w:val="00994DAA"/>
    <w:rsid w:val="00994F80"/>
    <w:rsid w:val="009952B7"/>
    <w:rsid w:val="0099544B"/>
    <w:rsid w:val="00995557"/>
    <w:rsid w:val="0099647F"/>
    <w:rsid w:val="00996861"/>
    <w:rsid w:val="009969F3"/>
    <w:rsid w:val="00996B1A"/>
    <w:rsid w:val="00996B2C"/>
    <w:rsid w:val="00996D32"/>
    <w:rsid w:val="00996EC4"/>
    <w:rsid w:val="00996EED"/>
    <w:rsid w:val="009978A0"/>
    <w:rsid w:val="00997AAA"/>
    <w:rsid w:val="00997E6F"/>
    <w:rsid w:val="009A072B"/>
    <w:rsid w:val="009A13B8"/>
    <w:rsid w:val="009A15EA"/>
    <w:rsid w:val="009A18F6"/>
    <w:rsid w:val="009A18FA"/>
    <w:rsid w:val="009A2DCC"/>
    <w:rsid w:val="009A3533"/>
    <w:rsid w:val="009A3544"/>
    <w:rsid w:val="009A35F0"/>
    <w:rsid w:val="009A38B2"/>
    <w:rsid w:val="009A3A99"/>
    <w:rsid w:val="009A3E28"/>
    <w:rsid w:val="009A4E76"/>
    <w:rsid w:val="009A598F"/>
    <w:rsid w:val="009A5ABC"/>
    <w:rsid w:val="009A5B51"/>
    <w:rsid w:val="009A5C7A"/>
    <w:rsid w:val="009A5FA9"/>
    <w:rsid w:val="009A68D9"/>
    <w:rsid w:val="009A6CBB"/>
    <w:rsid w:val="009A6D15"/>
    <w:rsid w:val="009A6EFB"/>
    <w:rsid w:val="009A7888"/>
    <w:rsid w:val="009A7CC3"/>
    <w:rsid w:val="009A7F10"/>
    <w:rsid w:val="009B0325"/>
    <w:rsid w:val="009B0A5B"/>
    <w:rsid w:val="009B13A2"/>
    <w:rsid w:val="009B186A"/>
    <w:rsid w:val="009B2635"/>
    <w:rsid w:val="009B34B6"/>
    <w:rsid w:val="009B3728"/>
    <w:rsid w:val="009B3748"/>
    <w:rsid w:val="009B3E26"/>
    <w:rsid w:val="009B42BA"/>
    <w:rsid w:val="009B4A0B"/>
    <w:rsid w:val="009B55B1"/>
    <w:rsid w:val="009B70E5"/>
    <w:rsid w:val="009B7263"/>
    <w:rsid w:val="009B7318"/>
    <w:rsid w:val="009B76E5"/>
    <w:rsid w:val="009B7C86"/>
    <w:rsid w:val="009C0D2E"/>
    <w:rsid w:val="009C1271"/>
    <w:rsid w:val="009C12D5"/>
    <w:rsid w:val="009C1652"/>
    <w:rsid w:val="009C22BA"/>
    <w:rsid w:val="009C2479"/>
    <w:rsid w:val="009C2578"/>
    <w:rsid w:val="009C25EE"/>
    <w:rsid w:val="009C2834"/>
    <w:rsid w:val="009C338C"/>
    <w:rsid w:val="009C3706"/>
    <w:rsid w:val="009C3A3A"/>
    <w:rsid w:val="009C3EF6"/>
    <w:rsid w:val="009C3F1A"/>
    <w:rsid w:val="009C426B"/>
    <w:rsid w:val="009C48AB"/>
    <w:rsid w:val="009C4BD2"/>
    <w:rsid w:val="009C4D22"/>
    <w:rsid w:val="009C4DB7"/>
    <w:rsid w:val="009C5376"/>
    <w:rsid w:val="009C54E2"/>
    <w:rsid w:val="009C64E1"/>
    <w:rsid w:val="009C6CEA"/>
    <w:rsid w:val="009C76D8"/>
    <w:rsid w:val="009C7B85"/>
    <w:rsid w:val="009C7C11"/>
    <w:rsid w:val="009D0254"/>
    <w:rsid w:val="009D0915"/>
    <w:rsid w:val="009D0E92"/>
    <w:rsid w:val="009D1131"/>
    <w:rsid w:val="009D1A64"/>
    <w:rsid w:val="009D1BE2"/>
    <w:rsid w:val="009D1E60"/>
    <w:rsid w:val="009D1F6E"/>
    <w:rsid w:val="009D217C"/>
    <w:rsid w:val="009D21C3"/>
    <w:rsid w:val="009D2B7B"/>
    <w:rsid w:val="009D2FCE"/>
    <w:rsid w:val="009D2FDF"/>
    <w:rsid w:val="009D35AE"/>
    <w:rsid w:val="009D36AA"/>
    <w:rsid w:val="009D3AF3"/>
    <w:rsid w:val="009D4286"/>
    <w:rsid w:val="009D462B"/>
    <w:rsid w:val="009D49A8"/>
    <w:rsid w:val="009D551B"/>
    <w:rsid w:val="009D5B91"/>
    <w:rsid w:val="009D5C42"/>
    <w:rsid w:val="009D5DC6"/>
    <w:rsid w:val="009D65EE"/>
    <w:rsid w:val="009D672A"/>
    <w:rsid w:val="009D67F6"/>
    <w:rsid w:val="009D6C92"/>
    <w:rsid w:val="009D792E"/>
    <w:rsid w:val="009D7DB4"/>
    <w:rsid w:val="009D7E7B"/>
    <w:rsid w:val="009E044F"/>
    <w:rsid w:val="009E0BED"/>
    <w:rsid w:val="009E0DFE"/>
    <w:rsid w:val="009E0F7D"/>
    <w:rsid w:val="009E13FF"/>
    <w:rsid w:val="009E14C1"/>
    <w:rsid w:val="009E1941"/>
    <w:rsid w:val="009E1D88"/>
    <w:rsid w:val="009E214A"/>
    <w:rsid w:val="009E2187"/>
    <w:rsid w:val="009E2936"/>
    <w:rsid w:val="009E2A2A"/>
    <w:rsid w:val="009E301A"/>
    <w:rsid w:val="009E30C9"/>
    <w:rsid w:val="009E31F6"/>
    <w:rsid w:val="009E3B23"/>
    <w:rsid w:val="009E437E"/>
    <w:rsid w:val="009E4679"/>
    <w:rsid w:val="009E48E1"/>
    <w:rsid w:val="009E4C07"/>
    <w:rsid w:val="009E51AF"/>
    <w:rsid w:val="009E5B88"/>
    <w:rsid w:val="009E5CED"/>
    <w:rsid w:val="009E5D25"/>
    <w:rsid w:val="009E5EAA"/>
    <w:rsid w:val="009E6638"/>
    <w:rsid w:val="009E6E50"/>
    <w:rsid w:val="009E777F"/>
    <w:rsid w:val="009F01A7"/>
    <w:rsid w:val="009F08BF"/>
    <w:rsid w:val="009F0A07"/>
    <w:rsid w:val="009F0AD4"/>
    <w:rsid w:val="009F13DC"/>
    <w:rsid w:val="009F23AC"/>
    <w:rsid w:val="009F279A"/>
    <w:rsid w:val="009F27D9"/>
    <w:rsid w:val="009F2B2B"/>
    <w:rsid w:val="009F2DBA"/>
    <w:rsid w:val="009F2EE7"/>
    <w:rsid w:val="009F2FA1"/>
    <w:rsid w:val="009F310B"/>
    <w:rsid w:val="009F37FE"/>
    <w:rsid w:val="009F3A95"/>
    <w:rsid w:val="009F5057"/>
    <w:rsid w:val="009F5337"/>
    <w:rsid w:val="009F5A83"/>
    <w:rsid w:val="009F5B7D"/>
    <w:rsid w:val="009F5BE8"/>
    <w:rsid w:val="009F5DF6"/>
    <w:rsid w:val="009F6120"/>
    <w:rsid w:val="009F66DF"/>
    <w:rsid w:val="009F6864"/>
    <w:rsid w:val="009F690B"/>
    <w:rsid w:val="009F6992"/>
    <w:rsid w:val="009F6C85"/>
    <w:rsid w:val="009F72C4"/>
    <w:rsid w:val="009F78DC"/>
    <w:rsid w:val="009F7E3A"/>
    <w:rsid w:val="00A0075B"/>
    <w:rsid w:val="00A00842"/>
    <w:rsid w:val="00A00D76"/>
    <w:rsid w:val="00A01184"/>
    <w:rsid w:val="00A01449"/>
    <w:rsid w:val="00A01529"/>
    <w:rsid w:val="00A019FB"/>
    <w:rsid w:val="00A01A20"/>
    <w:rsid w:val="00A01BE7"/>
    <w:rsid w:val="00A037C2"/>
    <w:rsid w:val="00A0390D"/>
    <w:rsid w:val="00A03A0A"/>
    <w:rsid w:val="00A03D43"/>
    <w:rsid w:val="00A03F6E"/>
    <w:rsid w:val="00A04037"/>
    <w:rsid w:val="00A04380"/>
    <w:rsid w:val="00A043B0"/>
    <w:rsid w:val="00A045B5"/>
    <w:rsid w:val="00A046C4"/>
    <w:rsid w:val="00A04786"/>
    <w:rsid w:val="00A04F6E"/>
    <w:rsid w:val="00A05138"/>
    <w:rsid w:val="00A05472"/>
    <w:rsid w:val="00A05619"/>
    <w:rsid w:val="00A05A2C"/>
    <w:rsid w:val="00A05C32"/>
    <w:rsid w:val="00A05CDC"/>
    <w:rsid w:val="00A0653F"/>
    <w:rsid w:val="00A06A6A"/>
    <w:rsid w:val="00A06E1C"/>
    <w:rsid w:val="00A07308"/>
    <w:rsid w:val="00A0730A"/>
    <w:rsid w:val="00A07339"/>
    <w:rsid w:val="00A07D29"/>
    <w:rsid w:val="00A07DB9"/>
    <w:rsid w:val="00A07E87"/>
    <w:rsid w:val="00A1025A"/>
    <w:rsid w:val="00A1079B"/>
    <w:rsid w:val="00A10A72"/>
    <w:rsid w:val="00A10BD2"/>
    <w:rsid w:val="00A11446"/>
    <w:rsid w:val="00A11830"/>
    <w:rsid w:val="00A11CD0"/>
    <w:rsid w:val="00A13948"/>
    <w:rsid w:val="00A13AC0"/>
    <w:rsid w:val="00A13E6E"/>
    <w:rsid w:val="00A143D3"/>
    <w:rsid w:val="00A148E9"/>
    <w:rsid w:val="00A1491A"/>
    <w:rsid w:val="00A15448"/>
    <w:rsid w:val="00A1555B"/>
    <w:rsid w:val="00A155C5"/>
    <w:rsid w:val="00A159CB"/>
    <w:rsid w:val="00A16AD8"/>
    <w:rsid w:val="00A16C7D"/>
    <w:rsid w:val="00A17033"/>
    <w:rsid w:val="00A17360"/>
    <w:rsid w:val="00A17D31"/>
    <w:rsid w:val="00A20189"/>
    <w:rsid w:val="00A2021E"/>
    <w:rsid w:val="00A20237"/>
    <w:rsid w:val="00A2086C"/>
    <w:rsid w:val="00A21C95"/>
    <w:rsid w:val="00A21CF3"/>
    <w:rsid w:val="00A234A4"/>
    <w:rsid w:val="00A239EA"/>
    <w:rsid w:val="00A244BD"/>
    <w:rsid w:val="00A24521"/>
    <w:rsid w:val="00A2472C"/>
    <w:rsid w:val="00A24813"/>
    <w:rsid w:val="00A2511D"/>
    <w:rsid w:val="00A25646"/>
    <w:rsid w:val="00A26596"/>
    <w:rsid w:val="00A27900"/>
    <w:rsid w:val="00A27960"/>
    <w:rsid w:val="00A27AEC"/>
    <w:rsid w:val="00A27D5C"/>
    <w:rsid w:val="00A27FA9"/>
    <w:rsid w:val="00A300AD"/>
    <w:rsid w:val="00A30139"/>
    <w:rsid w:val="00A302AA"/>
    <w:rsid w:val="00A31191"/>
    <w:rsid w:val="00A31376"/>
    <w:rsid w:val="00A31744"/>
    <w:rsid w:val="00A320DB"/>
    <w:rsid w:val="00A327E7"/>
    <w:rsid w:val="00A3295F"/>
    <w:rsid w:val="00A334BB"/>
    <w:rsid w:val="00A335A3"/>
    <w:rsid w:val="00A3383E"/>
    <w:rsid w:val="00A34086"/>
    <w:rsid w:val="00A34297"/>
    <w:rsid w:val="00A343BC"/>
    <w:rsid w:val="00A34CF6"/>
    <w:rsid w:val="00A350D0"/>
    <w:rsid w:val="00A35A02"/>
    <w:rsid w:val="00A35A35"/>
    <w:rsid w:val="00A35D16"/>
    <w:rsid w:val="00A35D4B"/>
    <w:rsid w:val="00A36087"/>
    <w:rsid w:val="00A36091"/>
    <w:rsid w:val="00A361B6"/>
    <w:rsid w:val="00A37BCD"/>
    <w:rsid w:val="00A37D04"/>
    <w:rsid w:val="00A37DBC"/>
    <w:rsid w:val="00A4037B"/>
    <w:rsid w:val="00A4078D"/>
    <w:rsid w:val="00A40A3D"/>
    <w:rsid w:val="00A41689"/>
    <w:rsid w:val="00A41960"/>
    <w:rsid w:val="00A424E1"/>
    <w:rsid w:val="00A42592"/>
    <w:rsid w:val="00A42676"/>
    <w:rsid w:val="00A42AE3"/>
    <w:rsid w:val="00A42E6B"/>
    <w:rsid w:val="00A433A2"/>
    <w:rsid w:val="00A43BBA"/>
    <w:rsid w:val="00A43C59"/>
    <w:rsid w:val="00A43EA0"/>
    <w:rsid w:val="00A44BEA"/>
    <w:rsid w:val="00A45D5D"/>
    <w:rsid w:val="00A45DC3"/>
    <w:rsid w:val="00A46033"/>
    <w:rsid w:val="00A46811"/>
    <w:rsid w:val="00A46AA8"/>
    <w:rsid w:val="00A46ACC"/>
    <w:rsid w:val="00A46D82"/>
    <w:rsid w:val="00A470E2"/>
    <w:rsid w:val="00A47109"/>
    <w:rsid w:val="00A4718E"/>
    <w:rsid w:val="00A5004E"/>
    <w:rsid w:val="00A505AF"/>
    <w:rsid w:val="00A506A4"/>
    <w:rsid w:val="00A50A46"/>
    <w:rsid w:val="00A50ECD"/>
    <w:rsid w:val="00A515E7"/>
    <w:rsid w:val="00A518F3"/>
    <w:rsid w:val="00A51E41"/>
    <w:rsid w:val="00A52729"/>
    <w:rsid w:val="00A5278B"/>
    <w:rsid w:val="00A52A5B"/>
    <w:rsid w:val="00A52D2B"/>
    <w:rsid w:val="00A53049"/>
    <w:rsid w:val="00A53658"/>
    <w:rsid w:val="00A53675"/>
    <w:rsid w:val="00A5408C"/>
    <w:rsid w:val="00A54102"/>
    <w:rsid w:val="00A541ED"/>
    <w:rsid w:val="00A543A8"/>
    <w:rsid w:val="00A5452B"/>
    <w:rsid w:val="00A545C5"/>
    <w:rsid w:val="00A54894"/>
    <w:rsid w:val="00A55D45"/>
    <w:rsid w:val="00A55F68"/>
    <w:rsid w:val="00A5601A"/>
    <w:rsid w:val="00A564D7"/>
    <w:rsid w:val="00A56818"/>
    <w:rsid w:val="00A56B6A"/>
    <w:rsid w:val="00A56C2D"/>
    <w:rsid w:val="00A56EB8"/>
    <w:rsid w:val="00A5713C"/>
    <w:rsid w:val="00A57883"/>
    <w:rsid w:val="00A578DC"/>
    <w:rsid w:val="00A57AC1"/>
    <w:rsid w:val="00A57E7F"/>
    <w:rsid w:val="00A6039B"/>
    <w:rsid w:val="00A60E32"/>
    <w:rsid w:val="00A60E4A"/>
    <w:rsid w:val="00A61E97"/>
    <w:rsid w:val="00A622B8"/>
    <w:rsid w:val="00A63192"/>
    <w:rsid w:val="00A63982"/>
    <w:rsid w:val="00A63BD8"/>
    <w:rsid w:val="00A63D7F"/>
    <w:rsid w:val="00A640E2"/>
    <w:rsid w:val="00A64D65"/>
    <w:rsid w:val="00A65343"/>
    <w:rsid w:val="00A6595B"/>
    <w:rsid w:val="00A66226"/>
    <w:rsid w:val="00A6714D"/>
    <w:rsid w:val="00A6725B"/>
    <w:rsid w:val="00A6766B"/>
    <w:rsid w:val="00A67931"/>
    <w:rsid w:val="00A67E0D"/>
    <w:rsid w:val="00A70061"/>
    <w:rsid w:val="00A7030C"/>
    <w:rsid w:val="00A704E1"/>
    <w:rsid w:val="00A70605"/>
    <w:rsid w:val="00A70FA8"/>
    <w:rsid w:val="00A71995"/>
    <w:rsid w:val="00A721C7"/>
    <w:rsid w:val="00A72435"/>
    <w:rsid w:val="00A72786"/>
    <w:rsid w:val="00A73134"/>
    <w:rsid w:val="00A733D7"/>
    <w:rsid w:val="00A7365A"/>
    <w:rsid w:val="00A736C1"/>
    <w:rsid w:val="00A73BE8"/>
    <w:rsid w:val="00A74E81"/>
    <w:rsid w:val="00A750EB"/>
    <w:rsid w:val="00A7521B"/>
    <w:rsid w:val="00A76001"/>
    <w:rsid w:val="00A7613A"/>
    <w:rsid w:val="00A767ED"/>
    <w:rsid w:val="00A76D00"/>
    <w:rsid w:val="00A76E70"/>
    <w:rsid w:val="00A77685"/>
    <w:rsid w:val="00A777B2"/>
    <w:rsid w:val="00A77FA5"/>
    <w:rsid w:val="00A80465"/>
    <w:rsid w:val="00A81F95"/>
    <w:rsid w:val="00A8213E"/>
    <w:rsid w:val="00A82282"/>
    <w:rsid w:val="00A825D4"/>
    <w:rsid w:val="00A828F6"/>
    <w:rsid w:val="00A82B73"/>
    <w:rsid w:val="00A836ED"/>
    <w:rsid w:val="00A83AE1"/>
    <w:rsid w:val="00A84F5A"/>
    <w:rsid w:val="00A858BD"/>
    <w:rsid w:val="00A85CD7"/>
    <w:rsid w:val="00A85FAE"/>
    <w:rsid w:val="00A86274"/>
    <w:rsid w:val="00A8631A"/>
    <w:rsid w:val="00A8663B"/>
    <w:rsid w:val="00A86E8B"/>
    <w:rsid w:val="00A87164"/>
    <w:rsid w:val="00A871A9"/>
    <w:rsid w:val="00A87CDD"/>
    <w:rsid w:val="00A90258"/>
    <w:rsid w:val="00A91140"/>
    <w:rsid w:val="00A92212"/>
    <w:rsid w:val="00A923A7"/>
    <w:rsid w:val="00A92C87"/>
    <w:rsid w:val="00A92CA8"/>
    <w:rsid w:val="00A93072"/>
    <w:rsid w:val="00A932FA"/>
    <w:rsid w:val="00A935BC"/>
    <w:rsid w:val="00A93885"/>
    <w:rsid w:val="00A938BD"/>
    <w:rsid w:val="00A93953"/>
    <w:rsid w:val="00A93A13"/>
    <w:rsid w:val="00A93C70"/>
    <w:rsid w:val="00A943BF"/>
    <w:rsid w:val="00A944C6"/>
    <w:rsid w:val="00A94C43"/>
    <w:rsid w:val="00A94CDB"/>
    <w:rsid w:val="00A95153"/>
    <w:rsid w:val="00A95188"/>
    <w:rsid w:val="00A9522E"/>
    <w:rsid w:val="00A957CD"/>
    <w:rsid w:val="00A959D8"/>
    <w:rsid w:val="00A95A49"/>
    <w:rsid w:val="00A96B1F"/>
    <w:rsid w:val="00A9736E"/>
    <w:rsid w:val="00A97A58"/>
    <w:rsid w:val="00A97E34"/>
    <w:rsid w:val="00AA0AA2"/>
    <w:rsid w:val="00AA113D"/>
    <w:rsid w:val="00AA1FA6"/>
    <w:rsid w:val="00AA26D5"/>
    <w:rsid w:val="00AA2BFC"/>
    <w:rsid w:val="00AA336C"/>
    <w:rsid w:val="00AA3444"/>
    <w:rsid w:val="00AA36ED"/>
    <w:rsid w:val="00AA3DC1"/>
    <w:rsid w:val="00AA436F"/>
    <w:rsid w:val="00AA44AD"/>
    <w:rsid w:val="00AA48FF"/>
    <w:rsid w:val="00AA6416"/>
    <w:rsid w:val="00AA6AD2"/>
    <w:rsid w:val="00AA6BD5"/>
    <w:rsid w:val="00AA6BD8"/>
    <w:rsid w:val="00AA6C7D"/>
    <w:rsid w:val="00AA6F64"/>
    <w:rsid w:val="00AA704E"/>
    <w:rsid w:val="00AA7815"/>
    <w:rsid w:val="00AA7A5C"/>
    <w:rsid w:val="00AA7DA9"/>
    <w:rsid w:val="00AA7FD6"/>
    <w:rsid w:val="00AA7FD8"/>
    <w:rsid w:val="00AB042A"/>
    <w:rsid w:val="00AB065E"/>
    <w:rsid w:val="00AB0A92"/>
    <w:rsid w:val="00AB11AD"/>
    <w:rsid w:val="00AB19EF"/>
    <w:rsid w:val="00AB2495"/>
    <w:rsid w:val="00AB29BE"/>
    <w:rsid w:val="00AB2D34"/>
    <w:rsid w:val="00AB2F28"/>
    <w:rsid w:val="00AB2FA5"/>
    <w:rsid w:val="00AB30D7"/>
    <w:rsid w:val="00AB32AD"/>
    <w:rsid w:val="00AB3430"/>
    <w:rsid w:val="00AB37B9"/>
    <w:rsid w:val="00AB3A8B"/>
    <w:rsid w:val="00AB3B2E"/>
    <w:rsid w:val="00AB3E1C"/>
    <w:rsid w:val="00AB3FBE"/>
    <w:rsid w:val="00AB4637"/>
    <w:rsid w:val="00AB4AD1"/>
    <w:rsid w:val="00AB536B"/>
    <w:rsid w:val="00AB571B"/>
    <w:rsid w:val="00AB5722"/>
    <w:rsid w:val="00AB5E07"/>
    <w:rsid w:val="00AB6157"/>
    <w:rsid w:val="00AB69F7"/>
    <w:rsid w:val="00AB6C9C"/>
    <w:rsid w:val="00AB7036"/>
    <w:rsid w:val="00AB76F7"/>
    <w:rsid w:val="00AB7C29"/>
    <w:rsid w:val="00AB7CFA"/>
    <w:rsid w:val="00AC01E7"/>
    <w:rsid w:val="00AC07B1"/>
    <w:rsid w:val="00AC081C"/>
    <w:rsid w:val="00AC1315"/>
    <w:rsid w:val="00AC1890"/>
    <w:rsid w:val="00AC1D60"/>
    <w:rsid w:val="00AC1E18"/>
    <w:rsid w:val="00AC214F"/>
    <w:rsid w:val="00AC351F"/>
    <w:rsid w:val="00AC3623"/>
    <w:rsid w:val="00AC3C61"/>
    <w:rsid w:val="00AC3DC5"/>
    <w:rsid w:val="00AC3DE7"/>
    <w:rsid w:val="00AC420C"/>
    <w:rsid w:val="00AC4CC4"/>
    <w:rsid w:val="00AC4FCE"/>
    <w:rsid w:val="00AC51EB"/>
    <w:rsid w:val="00AC59AB"/>
    <w:rsid w:val="00AC5B42"/>
    <w:rsid w:val="00AC5B48"/>
    <w:rsid w:val="00AC6BC6"/>
    <w:rsid w:val="00AC757C"/>
    <w:rsid w:val="00AC757F"/>
    <w:rsid w:val="00AC77F3"/>
    <w:rsid w:val="00AD06A2"/>
    <w:rsid w:val="00AD09FB"/>
    <w:rsid w:val="00AD0EBC"/>
    <w:rsid w:val="00AD108A"/>
    <w:rsid w:val="00AD1450"/>
    <w:rsid w:val="00AD14A1"/>
    <w:rsid w:val="00AD15E8"/>
    <w:rsid w:val="00AD181F"/>
    <w:rsid w:val="00AD2476"/>
    <w:rsid w:val="00AD2AF5"/>
    <w:rsid w:val="00AD31A1"/>
    <w:rsid w:val="00AD356D"/>
    <w:rsid w:val="00AD4095"/>
    <w:rsid w:val="00AD44CC"/>
    <w:rsid w:val="00AD4A04"/>
    <w:rsid w:val="00AD520A"/>
    <w:rsid w:val="00AD5330"/>
    <w:rsid w:val="00AD5593"/>
    <w:rsid w:val="00AD573D"/>
    <w:rsid w:val="00AD629B"/>
    <w:rsid w:val="00AD64D1"/>
    <w:rsid w:val="00AD6502"/>
    <w:rsid w:val="00AD6D59"/>
    <w:rsid w:val="00AD7097"/>
    <w:rsid w:val="00AD7CED"/>
    <w:rsid w:val="00AD7DC9"/>
    <w:rsid w:val="00AD7DDE"/>
    <w:rsid w:val="00AD7FB7"/>
    <w:rsid w:val="00AE046D"/>
    <w:rsid w:val="00AE0695"/>
    <w:rsid w:val="00AE0B9C"/>
    <w:rsid w:val="00AE0EBF"/>
    <w:rsid w:val="00AE11D5"/>
    <w:rsid w:val="00AE169B"/>
    <w:rsid w:val="00AE1E38"/>
    <w:rsid w:val="00AE205F"/>
    <w:rsid w:val="00AE25C7"/>
    <w:rsid w:val="00AE2601"/>
    <w:rsid w:val="00AE293C"/>
    <w:rsid w:val="00AE2B3F"/>
    <w:rsid w:val="00AE3059"/>
    <w:rsid w:val="00AE35E2"/>
    <w:rsid w:val="00AE37FE"/>
    <w:rsid w:val="00AE3E61"/>
    <w:rsid w:val="00AE3E7E"/>
    <w:rsid w:val="00AE518E"/>
    <w:rsid w:val="00AE5205"/>
    <w:rsid w:val="00AE5834"/>
    <w:rsid w:val="00AE61C0"/>
    <w:rsid w:val="00AE722C"/>
    <w:rsid w:val="00AE7E53"/>
    <w:rsid w:val="00AF09C9"/>
    <w:rsid w:val="00AF0B92"/>
    <w:rsid w:val="00AF10D5"/>
    <w:rsid w:val="00AF117B"/>
    <w:rsid w:val="00AF1315"/>
    <w:rsid w:val="00AF137E"/>
    <w:rsid w:val="00AF166D"/>
    <w:rsid w:val="00AF18C7"/>
    <w:rsid w:val="00AF19BF"/>
    <w:rsid w:val="00AF2467"/>
    <w:rsid w:val="00AF2661"/>
    <w:rsid w:val="00AF29DC"/>
    <w:rsid w:val="00AF2DC3"/>
    <w:rsid w:val="00AF357F"/>
    <w:rsid w:val="00AF3D35"/>
    <w:rsid w:val="00AF3DC2"/>
    <w:rsid w:val="00AF47F8"/>
    <w:rsid w:val="00AF575F"/>
    <w:rsid w:val="00AF57C0"/>
    <w:rsid w:val="00AF5BD7"/>
    <w:rsid w:val="00AF5E09"/>
    <w:rsid w:val="00AF665C"/>
    <w:rsid w:val="00AF73B4"/>
    <w:rsid w:val="00AF7548"/>
    <w:rsid w:val="00AF76F8"/>
    <w:rsid w:val="00AF7C64"/>
    <w:rsid w:val="00B002B1"/>
    <w:rsid w:val="00B0051A"/>
    <w:rsid w:val="00B00960"/>
    <w:rsid w:val="00B017D1"/>
    <w:rsid w:val="00B01A43"/>
    <w:rsid w:val="00B02998"/>
    <w:rsid w:val="00B02ED0"/>
    <w:rsid w:val="00B033E5"/>
    <w:rsid w:val="00B036B2"/>
    <w:rsid w:val="00B03782"/>
    <w:rsid w:val="00B038CC"/>
    <w:rsid w:val="00B03A63"/>
    <w:rsid w:val="00B0517E"/>
    <w:rsid w:val="00B05228"/>
    <w:rsid w:val="00B052CD"/>
    <w:rsid w:val="00B05957"/>
    <w:rsid w:val="00B05C95"/>
    <w:rsid w:val="00B0615D"/>
    <w:rsid w:val="00B07256"/>
    <w:rsid w:val="00B07913"/>
    <w:rsid w:val="00B07F29"/>
    <w:rsid w:val="00B1019A"/>
    <w:rsid w:val="00B10F9A"/>
    <w:rsid w:val="00B11861"/>
    <w:rsid w:val="00B11D52"/>
    <w:rsid w:val="00B11F2C"/>
    <w:rsid w:val="00B126A6"/>
    <w:rsid w:val="00B12960"/>
    <w:rsid w:val="00B129A4"/>
    <w:rsid w:val="00B13433"/>
    <w:rsid w:val="00B1377D"/>
    <w:rsid w:val="00B13799"/>
    <w:rsid w:val="00B13A15"/>
    <w:rsid w:val="00B14048"/>
    <w:rsid w:val="00B14184"/>
    <w:rsid w:val="00B14A94"/>
    <w:rsid w:val="00B152E9"/>
    <w:rsid w:val="00B16129"/>
    <w:rsid w:val="00B167DB"/>
    <w:rsid w:val="00B1686F"/>
    <w:rsid w:val="00B16891"/>
    <w:rsid w:val="00B16939"/>
    <w:rsid w:val="00B16EA2"/>
    <w:rsid w:val="00B170F9"/>
    <w:rsid w:val="00B1776A"/>
    <w:rsid w:val="00B201A4"/>
    <w:rsid w:val="00B201D1"/>
    <w:rsid w:val="00B20AB9"/>
    <w:rsid w:val="00B20BCC"/>
    <w:rsid w:val="00B20D06"/>
    <w:rsid w:val="00B20E31"/>
    <w:rsid w:val="00B21079"/>
    <w:rsid w:val="00B21213"/>
    <w:rsid w:val="00B213A6"/>
    <w:rsid w:val="00B21501"/>
    <w:rsid w:val="00B21E9C"/>
    <w:rsid w:val="00B2203F"/>
    <w:rsid w:val="00B220DC"/>
    <w:rsid w:val="00B2337B"/>
    <w:rsid w:val="00B233ED"/>
    <w:rsid w:val="00B23579"/>
    <w:rsid w:val="00B235B0"/>
    <w:rsid w:val="00B23E1A"/>
    <w:rsid w:val="00B23F36"/>
    <w:rsid w:val="00B2432D"/>
    <w:rsid w:val="00B2437D"/>
    <w:rsid w:val="00B24DF6"/>
    <w:rsid w:val="00B259D3"/>
    <w:rsid w:val="00B25E18"/>
    <w:rsid w:val="00B26080"/>
    <w:rsid w:val="00B26457"/>
    <w:rsid w:val="00B26521"/>
    <w:rsid w:val="00B26586"/>
    <w:rsid w:val="00B267A5"/>
    <w:rsid w:val="00B273C4"/>
    <w:rsid w:val="00B27A61"/>
    <w:rsid w:val="00B27EA1"/>
    <w:rsid w:val="00B303B0"/>
    <w:rsid w:val="00B303DF"/>
    <w:rsid w:val="00B30455"/>
    <w:rsid w:val="00B305C9"/>
    <w:rsid w:val="00B3074B"/>
    <w:rsid w:val="00B30873"/>
    <w:rsid w:val="00B30916"/>
    <w:rsid w:val="00B30AE7"/>
    <w:rsid w:val="00B30BE9"/>
    <w:rsid w:val="00B317E4"/>
    <w:rsid w:val="00B318CC"/>
    <w:rsid w:val="00B3281A"/>
    <w:rsid w:val="00B32B38"/>
    <w:rsid w:val="00B32DA8"/>
    <w:rsid w:val="00B33A22"/>
    <w:rsid w:val="00B33EAA"/>
    <w:rsid w:val="00B34D29"/>
    <w:rsid w:val="00B34D44"/>
    <w:rsid w:val="00B34FE2"/>
    <w:rsid w:val="00B35166"/>
    <w:rsid w:val="00B357D8"/>
    <w:rsid w:val="00B35E43"/>
    <w:rsid w:val="00B360F4"/>
    <w:rsid w:val="00B368B9"/>
    <w:rsid w:val="00B36A00"/>
    <w:rsid w:val="00B36E02"/>
    <w:rsid w:val="00B37502"/>
    <w:rsid w:val="00B378FF"/>
    <w:rsid w:val="00B3792B"/>
    <w:rsid w:val="00B37B86"/>
    <w:rsid w:val="00B37BFC"/>
    <w:rsid w:val="00B40358"/>
    <w:rsid w:val="00B40C67"/>
    <w:rsid w:val="00B40CF5"/>
    <w:rsid w:val="00B40DC2"/>
    <w:rsid w:val="00B40F1D"/>
    <w:rsid w:val="00B41614"/>
    <w:rsid w:val="00B418F8"/>
    <w:rsid w:val="00B41D5C"/>
    <w:rsid w:val="00B41FD9"/>
    <w:rsid w:val="00B42851"/>
    <w:rsid w:val="00B428C3"/>
    <w:rsid w:val="00B42F80"/>
    <w:rsid w:val="00B43308"/>
    <w:rsid w:val="00B435CB"/>
    <w:rsid w:val="00B43BE7"/>
    <w:rsid w:val="00B43C0F"/>
    <w:rsid w:val="00B43F05"/>
    <w:rsid w:val="00B44396"/>
    <w:rsid w:val="00B44914"/>
    <w:rsid w:val="00B44DB0"/>
    <w:rsid w:val="00B458DB"/>
    <w:rsid w:val="00B45D1E"/>
    <w:rsid w:val="00B45E01"/>
    <w:rsid w:val="00B465EC"/>
    <w:rsid w:val="00B46A77"/>
    <w:rsid w:val="00B46E05"/>
    <w:rsid w:val="00B46EA6"/>
    <w:rsid w:val="00B47124"/>
    <w:rsid w:val="00B47E8E"/>
    <w:rsid w:val="00B50123"/>
    <w:rsid w:val="00B501E7"/>
    <w:rsid w:val="00B5059D"/>
    <w:rsid w:val="00B505C8"/>
    <w:rsid w:val="00B50DB8"/>
    <w:rsid w:val="00B50E23"/>
    <w:rsid w:val="00B5125F"/>
    <w:rsid w:val="00B51C46"/>
    <w:rsid w:val="00B51F38"/>
    <w:rsid w:val="00B522B0"/>
    <w:rsid w:val="00B52AD6"/>
    <w:rsid w:val="00B52C8F"/>
    <w:rsid w:val="00B5341E"/>
    <w:rsid w:val="00B53654"/>
    <w:rsid w:val="00B538E7"/>
    <w:rsid w:val="00B53905"/>
    <w:rsid w:val="00B53FD4"/>
    <w:rsid w:val="00B53FDF"/>
    <w:rsid w:val="00B54162"/>
    <w:rsid w:val="00B546DB"/>
    <w:rsid w:val="00B54727"/>
    <w:rsid w:val="00B54B5B"/>
    <w:rsid w:val="00B54B77"/>
    <w:rsid w:val="00B5562E"/>
    <w:rsid w:val="00B55862"/>
    <w:rsid w:val="00B55A8C"/>
    <w:rsid w:val="00B55AEE"/>
    <w:rsid w:val="00B55D65"/>
    <w:rsid w:val="00B55DA5"/>
    <w:rsid w:val="00B5623C"/>
    <w:rsid w:val="00B56305"/>
    <w:rsid w:val="00B57000"/>
    <w:rsid w:val="00B5754B"/>
    <w:rsid w:val="00B60151"/>
    <w:rsid w:val="00B60281"/>
    <w:rsid w:val="00B60939"/>
    <w:rsid w:val="00B60AFD"/>
    <w:rsid w:val="00B610DE"/>
    <w:rsid w:val="00B61719"/>
    <w:rsid w:val="00B61D07"/>
    <w:rsid w:val="00B620EE"/>
    <w:rsid w:val="00B62107"/>
    <w:rsid w:val="00B6230E"/>
    <w:rsid w:val="00B62715"/>
    <w:rsid w:val="00B628E1"/>
    <w:rsid w:val="00B62B27"/>
    <w:rsid w:val="00B62B9A"/>
    <w:rsid w:val="00B63183"/>
    <w:rsid w:val="00B63590"/>
    <w:rsid w:val="00B637B0"/>
    <w:rsid w:val="00B642B1"/>
    <w:rsid w:val="00B64384"/>
    <w:rsid w:val="00B64C01"/>
    <w:rsid w:val="00B6546A"/>
    <w:rsid w:val="00B65611"/>
    <w:rsid w:val="00B65847"/>
    <w:rsid w:val="00B65B79"/>
    <w:rsid w:val="00B66167"/>
    <w:rsid w:val="00B66680"/>
    <w:rsid w:val="00B66717"/>
    <w:rsid w:val="00B66939"/>
    <w:rsid w:val="00B66BF4"/>
    <w:rsid w:val="00B66E6D"/>
    <w:rsid w:val="00B67337"/>
    <w:rsid w:val="00B67710"/>
    <w:rsid w:val="00B6784A"/>
    <w:rsid w:val="00B67C69"/>
    <w:rsid w:val="00B67D43"/>
    <w:rsid w:val="00B7022B"/>
    <w:rsid w:val="00B70296"/>
    <w:rsid w:val="00B70756"/>
    <w:rsid w:val="00B70E19"/>
    <w:rsid w:val="00B70E8E"/>
    <w:rsid w:val="00B70F68"/>
    <w:rsid w:val="00B71030"/>
    <w:rsid w:val="00B72050"/>
    <w:rsid w:val="00B72ADD"/>
    <w:rsid w:val="00B73034"/>
    <w:rsid w:val="00B73048"/>
    <w:rsid w:val="00B733F6"/>
    <w:rsid w:val="00B7366D"/>
    <w:rsid w:val="00B738BA"/>
    <w:rsid w:val="00B75B7A"/>
    <w:rsid w:val="00B76358"/>
    <w:rsid w:val="00B763BD"/>
    <w:rsid w:val="00B76C92"/>
    <w:rsid w:val="00B7718C"/>
    <w:rsid w:val="00B771ED"/>
    <w:rsid w:val="00B77A2E"/>
    <w:rsid w:val="00B77ABF"/>
    <w:rsid w:val="00B77F67"/>
    <w:rsid w:val="00B805FE"/>
    <w:rsid w:val="00B80B82"/>
    <w:rsid w:val="00B80C3C"/>
    <w:rsid w:val="00B80D17"/>
    <w:rsid w:val="00B80DFF"/>
    <w:rsid w:val="00B80EFD"/>
    <w:rsid w:val="00B80F89"/>
    <w:rsid w:val="00B810CB"/>
    <w:rsid w:val="00B811A5"/>
    <w:rsid w:val="00B812E2"/>
    <w:rsid w:val="00B8177D"/>
    <w:rsid w:val="00B818A4"/>
    <w:rsid w:val="00B8239A"/>
    <w:rsid w:val="00B82B62"/>
    <w:rsid w:val="00B835B0"/>
    <w:rsid w:val="00B83739"/>
    <w:rsid w:val="00B839EC"/>
    <w:rsid w:val="00B83EB3"/>
    <w:rsid w:val="00B84117"/>
    <w:rsid w:val="00B84839"/>
    <w:rsid w:val="00B84C45"/>
    <w:rsid w:val="00B84FB4"/>
    <w:rsid w:val="00B85844"/>
    <w:rsid w:val="00B858F0"/>
    <w:rsid w:val="00B85AA2"/>
    <w:rsid w:val="00B85E5F"/>
    <w:rsid w:val="00B8649C"/>
    <w:rsid w:val="00B8695D"/>
    <w:rsid w:val="00B86D46"/>
    <w:rsid w:val="00B86D6F"/>
    <w:rsid w:val="00B86DBC"/>
    <w:rsid w:val="00B86E61"/>
    <w:rsid w:val="00B87AEE"/>
    <w:rsid w:val="00B87D19"/>
    <w:rsid w:val="00B87F0A"/>
    <w:rsid w:val="00B90577"/>
    <w:rsid w:val="00B906BD"/>
    <w:rsid w:val="00B90A3A"/>
    <w:rsid w:val="00B90C50"/>
    <w:rsid w:val="00B91149"/>
    <w:rsid w:val="00B9189D"/>
    <w:rsid w:val="00B91A3F"/>
    <w:rsid w:val="00B925D7"/>
    <w:rsid w:val="00B9267A"/>
    <w:rsid w:val="00B92BEE"/>
    <w:rsid w:val="00B92C38"/>
    <w:rsid w:val="00B92CD6"/>
    <w:rsid w:val="00B92D0B"/>
    <w:rsid w:val="00B935C4"/>
    <w:rsid w:val="00B935D4"/>
    <w:rsid w:val="00B93885"/>
    <w:rsid w:val="00B93F7A"/>
    <w:rsid w:val="00B94945"/>
    <w:rsid w:val="00B94DD6"/>
    <w:rsid w:val="00B95297"/>
    <w:rsid w:val="00B953FE"/>
    <w:rsid w:val="00B95C26"/>
    <w:rsid w:val="00B95D20"/>
    <w:rsid w:val="00B95E37"/>
    <w:rsid w:val="00B9610C"/>
    <w:rsid w:val="00B96A94"/>
    <w:rsid w:val="00B96AAA"/>
    <w:rsid w:val="00B96EB7"/>
    <w:rsid w:val="00B96F47"/>
    <w:rsid w:val="00B97513"/>
    <w:rsid w:val="00BA072A"/>
    <w:rsid w:val="00BA09AB"/>
    <w:rsid w:val="00BA09E6"/>
    <w:rsid w:val="00BA0CBF"/>
    <w:rsid w:val="00BA0F9A"/>
    <w:rsid w:val="00BA12E0"/>
    <w:rsid w:val="00BA131E"/>
    <w:rsid w:val="00BA18E9"/>
    <w:rsid w:val="00BA1A27"/>
    <w:rsid w:val="00BA1C09"/>
    <w:rsid w:val="00BA29DB"/>
    <w:rsid w:val="00BA2DC4"/>
    <w:rsid w:val="00BA322D"/>
    <w:rsid w:val="00BA3508"/>
    <w:rsid w:val="00BA3AEE"/>
    <w:rsid w:val="00BA3E04"/>
    <w:rsid w:val="00BA427C"/>
    <w:rsid w:val="00BA42C5"/>
    <w:rsid w:val="00BA541C"/>
    <w:rsid w:val="00BA5639"/>
    <w:rsid w:val="00BA5D38"/>
    <w:rsid w:val="00BA5EE2"/>
    <w:rsid w:val="00BA63FA"/>
    <w:rsid w:val="00BA64A2"/>
    <w:rsid w:val="00BA6E55"/>
    <w:rsid w:val="00BA7446"/>
    <w:rsid w:val="00BB00B3"/>
    <w:rsid w:val="00BB0406"/>
    <w:rsid w:val="00BB07DD"/>
    <w:rsid w:val="00BB0BDD"/>
    <w:rsid w:val="00BB14CF"/>
    <w:rsid w:val="00BB15E5"/>
    <w:rsid w:val="00BB176C"/>
    <w:rsid w:val="00BB1831"/>
    <w:rsid w:val="00BB1AFD"/>
    <w:rsid w:val="00BB214E"/>
    <w:rsid w:val="00BB24CB"/>
    <w:rsid w:val="00BB2A73"/>
    <w:rsid w:val="00BB2BCF"/>
    <w:rsid w:val="00BB3060"/>
    <w:rsid w:val="00BB32E5"/>
    <w:rsid w:val="00BB34C6"/>
    <w:rsid w:val="00BB35E6"/>
    <w:rsid w:val="00BB37E2"/>
    <w:rsid w:val="00BB3A45"/>
    <w:rsid w:val="00BB40D8"/>
    <w:rsid w:val="00BB42D6"/>
    <w:rsid w:val="00BB4ACC"/>
    <w:rsid w:val="00BB5A73"/>
    <w:rsid w:val="00BB5DBA"/>
    <w:rsid w:val="00BB606C"/>
    <w:rsid w:val="00BB63C2"/>
    <w:rsid w:val="00BB6CFE"/>
    <w:rsid w:val="00BB6DDE"/>
    <w:rsid w:val="00BB703E"/>
    <w:rsid w:val="00BB704B"/>
    <w:rsid w:val="00BB732D"/>
    <w:rsid w:val="00BB7405"/>
    <w:rsid w:val="00BB7BDE"/>
    <w:rsid w:val="00BB7F72"/>
    <w:rsid w:val="00BC0079"/>
    <w:rsid w:val="00BC073A"/>
    <w:rsid w:val="00BC0AB3"/>
    <w:rsid w:val="00BC0AB5"/>
    <w:rsid w:val="00BC0BBC"/>
    <w:rsid w:val="00BC10DA"/>
    <w:rsid w:val="00BC14F9"/>
    <w:rsid w:val="00BC15F3"/>
    <w:rsid w:val="00BC1A28"/>
    <w:rsid w:val="00BC1E59"/>
    <w:rsid w:val="00BC1EFA"/>
    <w:rsid w:val="00BC26F5"/>
    <w:rsid w:val="00BC2E66"/>
    <w:rsid w:val="00BC35BF"/>
    <w:rsid w:val="00BC3631"/>
    <w:rsid w:val="00BC41F3"/>
    <w:rsid w:val="00BC4973"/>
    <w:rsid w:val="00BC4BD6"/>
    <w:rsid w:val="00BC50BE"/>
    <w:rsid w:val="00BC5144"/>
    <w:rsid w:val="00BC591F"/>
    <w:rsid w:val="00BC5C6B"/>
    <w:rsid w:val="00BC5C77"/>
    <w:rsid w:val="00BC5E7E"/>
    <w:rsid w:val="00BC6159"/>
    <w:rsid w:val="00BC622B"/>
    <w:rsid w:val="00BC63D7"/>
    <w:rsid w:val="00BC7B2C"/>
    <w:rsid w:val="00BC7D6D"/>
    <w:rsid w:val="00BD0CF1"/>
    <w:rsid w:val="00BD0E0B"/>
    <w:rsid w:val="00BD105F"/>
    <w:rsid w:val="00BD1181"/>
    <w:rsid w:val="00BD1B3A"/>
    <w:rsid w:val="00BD2108"/>
    <w:rsid w:val="00BD221B"/>
    <w:rsid w:val="00BD2544"/>
    <w:rsid w:val="00BD2797"/>
    <w:rsid w:val="00BD2929"/>
    <w:rsid w:val="00BD2AD5"/>
    <w:rsid w:val="00BD2CD5"/>
    <w:rsid w:val="00BD3BD3"/>
    <w:rsid w:val="00BD4F9A"/>
    <w:rsid w:val="00BD51A8"/>
    <w:rsid w:val="00BD5398"/>
    <w:rsid w:val="00BD53DE"/>
    <w:rsid w:val="00BD5B01"/>
    <w:rsid w:val="00BD5D24"/>
    <w:rsid w:val="00BD5D7A"/>
    <w:rsid w:val="00BD68A3"/>
    <w:rsid w:val="00BD6938"/>
    <w:rsid w:val="00BD6CF3"/>
    <w:rsid w:val="00BD6D54"/>
    <w:rsid w:val="00BD7198"/>
    <w:rsid w:val="00BD7CEF"/>
    <w:rsid w:val="00BD7F72"/>
    <w:rsid w:val="00BE036F"/>
    <w:rsid w:val="00BE08C1"/>
    <w:rsid w:val="00BE0B1F"/>
    <w:rsid w:val="00BE0ECA"/>
    <w:rsid w:val="00BE17D1"/>
    <w:rsid w:val="00BE1AEB"/>
    <w:rsid w:val="00BE2180"/>
    <w:rsid w:val="00BE21F2"/>
    <w:rsid w:val="00BE2833"/>
    <w:rsid w:val="00BE293A"/>
    <w:rsid w:val="00BE304A"/>
    <w:rsid w:val="00BE32E8"/>
    <w:rsid w:val="00BE4275"/>
    <w:rsid w:val="00BE4A37"/>
    <w:rsid w:val="00BE4EA8"/>
    <w:rsid w:val="00BE583F"/>
    <w:rsid w:val="00BE5954"/>
    <w:rsid w:val="00BE5A7A"/>
    <w:rsid w:val="00BE5B68"/>
    <w:rsid w:val="00BE5CAC"/>
    <w:rsid w:val="00BE5DA8"/>
    <w:rsid w:val="00BE6BAC"/>
    <w:rsid w:val="00BE6C31"/>
    <w:rsid w:val="00BE6EDC"/>
    <w:rsid w:val="00BE7037"/>
    <w:rsid w:val="00BE733D"/>
    <w:rsid w:val="00BE7A42"/>
    <w:rsid w:val="00BF0370"/>
    <w:rsid w:val="00BF06AE"/>
    <w:rsid w:val="00BF0F95"/>
    <w:rsid w:val="00BF10DB"/>
    <w:rsid w:val="00BF1884"/>
    <w:rsid w:val="00BF193A"/>
    <w:rsid w:val="00BF2433"/>
    <w:rsid w:val="00BF2E6E"/>
    <w:rsid w:val="00BF3684"/>
    <w:rsid w:val="00BF3A96"/>
    <w:rsid w:val="00BF3F3D"/>
    <w:rsid w:val="00BF3F5F"/>
    <w:rsid w:val="00BF42A8"/>
    <w:rsid w:val="00BF4C40"/>
    <w:rsid w:val="00BF4D23"/>
    <w:rsid w:val="00BF511F"/>
    <w:rsid w:val="00BF53C9"/>
    <w:rsid w:val="00BF542F"/>
    <w:rsid w:val="00BF61C9"/>
    <w:rsid w:val="00BF6794"/>
    <w:rsid w:val="00BF679F"/>
    <w:rsid w:val="00BF6C94"/>
    <w:rsid w:val="00C00424"/>
    <w:rsid w:val="00C00512"/>
    <w:rsid w:val="00C00A23"/>
    <w:rsid w:val="00C00BB0"/>
    <w:rsid w:val="00C0117F"/>
    <w:rsid w:val="00C01243"/>
    <w:rsid w:val="00C0128D"/>
    <w:rsid w:val="00C0184F"/>
    <w:rsid w:val="00C01AD7"/>
    <w:rsid w:val="00C01C00"/>
    <w:rsid w:val="00C01CC9"/>
    <w:rsid w:val="00C01F58"/>
    <w:rsid w:val="00C02D90"/>
    <w:rsid w:val="00C035AE"/>
    <w:rsid w:val="00C04CA7"/>
    <w:rsid w:val="00C04FF6"/>
    <w:rsid w:val="00C05369"/>
    <w:rsid w:val="00C05D57"/>
    <w:rsid w:val="00C06041"/>
    <w:rsid w:val="00C06335"/>
    <w:rsid w:val="00C06410"/>
    <w:rsid w:val="00C0699E"/>
    <w:rsid w:val="00C06B15"/>
    <w:rsid w:val="00C0739F"/>
    <w:rsid w:val="00C1010B"/>
    <w:rsid w:val="00C10184"/>
    <w:rsid w:val="00C102A5"/>
    <w:rsid w:val="00C1040E"/>
    <w:rsid w:val="00C10D92"/>
    <w:rsid w:val="00C11045"/>
    <w:rsid w:val="00C11118"/>
    <w:rsid w:val="00C1116C"/>
    <w:rsid w:val="00C11258"/>
    <w:rsid w:val="00C11396"/>
    <w:rsid w:val="00C114D3"/>
    <w:rsid w:val="00C11715"/>
    <w:rsid w:val="00C1179F"/>
    <w:rsid w:val="00C11B1B"/>
    <w:rsid w:val="00C11CCD"/>
    <w:rsid w:val="00C11DD6"/>
    <w:rsid w:val="00C11FE5"/>
    <w:rsid w:val="00C120D3"/>
    <w:rsid w:val="00C12240"/>
    <w:rsid w:val="00C127B9"/>
    <w:rsid w:val="00C128FA"/>
    <w:rsid w:val="00C12C14"/>
    <w:rsid w:val="00C136AC"/>
    <w:rsid w:val="00C14047"/>
    <w:rsid w:val="00C145EE"/>
    <w:rsid w:val="00C1543A"/>
    <w:rsid w:val="00C159FC"/>
    <w:rsid w:val="00C15F04"/>
    <w:rsid w:val="00C16023"/>
    <w:rsid w:val="00C1623C"/>
    <w:rsid w:val="00C16C32"/>
    <w:rsid w:val="00C16D73"/>
    <w:rsid w:val="00C1730E"/>
    <w:rsid w:val="00C17626"/>
    <w:rsid w:val="00C179B3"/>
    <w:rsid w:val="00C17E3F"/>
    <w:rsid w:val="00C200AA"/>
    <w:rsid w:val="00C20771"/>
    <w:rsid w:val="00C20DF0"/>
    <w:rsid w:val="00C20EB6"/>
    <w:rsid w:val="00C20F49"/>
    <w:rsid w:val="00C2212B"/>
    <w:rsid w:val="00C22283"/>
    <w:rsid w:val="00C22D85"/>
    <w:rsid w:val="00C23144"/>
    <w:rsid w:val="00C231B8"/>
    <w:rsid w:val="00C23612"/>
    <w:rsid w:val="00C237ED"/>
    <w:rsid w:val="00C238DB"/>
    <w:rsid w:val="00C240D2"/>
    <w:rsid w:val="00C24632"/>
    <w:rsid w:val="00C2477A"/>
    <w:rsid w:val="00C247F3"/>
    <w:rsid w:val="00C24A50"/>
    <w:rsid w:val="00C25418"/>
    <w:rsid w:val="00C256A2"/>
    <w:rsid w:val="00C25B8F"/>
    <w:rsid w:val="00C25D9C"/>
    <w:rsid w:val="00C25FFA"/>
    <w:rsid w:val="00C26685"/>
    <w:rsid w:val="00C26A27"/>
    <w:rsid w:val="00C27292"/>
    <w:rsid w:val="00C2778B"/>
    <w:rsid w:val="00C27FBA"/>
    <w:rsid w:val="00C30739"/>
    <w:rsid w:val="00C30803"/>
    <w:rsid w:val="00C30997"/>
    <w:rsid w:val="00C31108"/>
    <w:rsid w:val="00C312CA"/>
    <w:rsid w:val="00C3130B"/>
    <w:rsid w:val="00C31472"/>
    <w:rsid w:val="00C31649"/>
    <w:rsid w:val="00C32AE7"/>
    <w:rsid w:val="00C3434C"/>
    <w:rsid w:val="00C3466A"/>
    <w:rsid w:val="00C34FBC"/>
    <w:rsid w:val="00C3539B"/>
    <w:rsid w:val="00C353A2"/>
    <w:rsid w:val="00C35485"/>
    <w:rsid w:val="00C355BB"/>
    <w:rsid w:val="00C3567A"/>
    <w:rsid w:val="00C35F82"/>
    <w:rsid w:val="00C35FE4"/>
    <w:rsid w:val="00C36825"/>
    <w:rsid w:val="00C36D3B"/>
    <w:rsid w:val="00C37229"/>
    <w:rsid w:val="00C377E1"/>
    <w:rsid w:val="00C37FB0"/>
    <w:rsid w:val="00C40207"/>
    <w:rsid w:val="00C40385"/>
    <w:rsid w:val="00C40444"/>
    <w:rsid w:val="00C40A6D"/>
    <w:rsid w:val="00C4129E"/>
    <w:rsid w:val="00C4166C"/>
    <w:rsid w:val="00C416CA"/>
    <w:rsid w:val="00C41768"/>
    <w:rsid w:val="00C41C7E"/>
    <w:rsid w:val="00C41F99"/>
    <w:rsid w:val="00C42614"/>
    <w:rsid w:val="00C42678"/>
    <w:rsid w:val="00C4320E"/>
    <w:rsid w:val="00C4436D"/>
    <w:rsid w:val="00C446CB"/>
    <w:rsid w:val="00C447FE"/>
    <w:rsid w:val="00C449EA"/>
    <w:rsid w:val="00C44B6D"/>
    <w:rsid w:val="00C44DF9"/>
    <w:rsid w:val="00C4552A"/>
    <w:rsid w:val="00C45956"/>
    <w:rsid w:val="00C45E10"/>
    <w:rsid w:val="00C468AC"/>
    <w:rsid w:val="00C470D0"/>
    <w:rsid w:val="00C475AA"/>
    <w:rsid w:val="00C475D2"/>
    <w:rsid w:val="00C478D0"/>
    <w:rsid w:val="00C478F5"/>
    <w:rsid w:val="00C5053F"/>
    <w:rsid w:val="00C5060E"/>
    <w:rsid w:val="00C506FA"/>
    <w:rsid w:val="00C50D99"/>
    <w:rsid w:val="00C50EC8"/>
    <w:rsid w:val="00C51296"/>
    <w:rsid w:val="00C51594"/>
    <w:rsid w:val="00C515CC"/>
    <w:rsid w:val="00C51C2F"/>
    <w:rsid w:val="00C51CB4"/>
    <w:rsid w:val="00C51CC8"/>
    <w:rsid w:val="00C51EFF"/>
    <w:rsid w:val="00C522DA"/>
    <w:rsid w:val="00C527C7"/>
    <w:rsid w:val="00C53067"/>
    <w:rsid w:val="00C53313"/>
    <w:rsid w:val="00C53782"/>
    <w:rsid w:val="00C53C98"/>
    <w:rsid w:val="00C5434C"/>
    <w:rsid w:val="00C5451C"/>
    <w:rsid w:val="00C54F24"/>
    <w:rsid w:val="00C55234"/>
    <w:rsid w:val="00C554E6"/>
    <w:rsid w:val="00C555E4"/>
    <w:rsid w:val="00C559B3"/>
    <w:rsid w:val="00C55B7A"/>
    <w:rsid w:val="00C55D03"/>
    <w:rsid w:val="00C55D53"/>
    <w:rsid w:val="00C56007"/>
    <w:rsid w:val="00C56301"/>
    <w:rsid w:val="00C56961"/>
    <w:rsid w:val="00C56B5C"/>
    <w:rsid w:val="00C56FCF"/>
    <w:rsid w:val="00C572C4"/>
    <w:rsid w:val="00C572F6"/>
    <w:rsid w:val="00C572FA"/>
    <w:rsid w:val="00C57475"/>
    <w:rsid w:val="00C57B6C"/>
    <w:rsid w:val="00C60563"/>
    <w:rsid w:val="00C60B7B"/>
    <w:rsid w:val="00C61A59"/>
    <w:rsid w:val="00C61E5A"/>
    <w:rsid w:val="00C62616"/>
    <w:rsid w:val="00C628A6"/>
    <w:rsid w:val="00C628EE"/>
    <w:rsid w:val="00C62F9C"/>
    <w:rsid w:val="00C630A4"/>
    <w:rsid w:val="00C63655"/>
    <w:rsid w:val="00C636AB"/>
    <w:rsid w:val="00C6374C"/>
    <w:rsid w:val="00C63C78"/>
    <w:rsid w:val="00C64250"/>
    <w:rsid w:val="00C64344"/>
    <w:rsid w:val="00C649A2"/>
    <w:rsid w:val="00C649F7"/>
    <w:rsid w:val="00C64B98"/>
    <w:rsid w:val="00C65108"/>
    <w:rsid w:val="00C65145"/>
    <w:rsid w:val="00C6550A"/>
    <w:rsid w:val="00C65576"/>
    <w:rsid w:val="00C66165"/>
    <w:rsid w:val="00C66A45"/>
    <w:rsid w:val="00C670F4"/>
    <w:rsid w:val="00C678D6"/>
    <w:rsid w:val="00C7060A"/>
    <w:rsid w:val="00C70FE5"/>
    <w:rsid w:val="00C7143D"/>
    <w:rsid w:val="00C714BF"/>
    <w:rsid w:val="00C7151A"/>
    <w:rsid w:val="00C717E3"/>
    <w:rsid w:val="00C71F60"/>
    <w:rsid w:val="00C72241"/>
    <w:rsid w:val="00C72551"/>
    <w:rsid w:val="00C73ED9"/>
    <w:rsid w:val="00C7439F"/>
    <w:rsid w:val="00C74400"/>
    <w:rsid w:val="00C750C8"/>
    <w:rsid w:val="00C7560F"/>
    <w:rsid w:val="00C76447"/>
    <w:rsid w:val="00C765A4"/>
    <w:rsid w:val="00C76624"/>
    <w:rsid w:val="00C76902"/>
    <w:rsid w:val="00C76CA7"/>
    <w:rsid w:val="00C76CE9"/>
    <w:rsid w:val="00C76D6A"/>
    <w:rsid w:val="00C76E14"/>
    <w:rsid w:val="00C76EAE"/>
    <w:rsid w:val="00C77163"/>
    <w:rsid w:val="00C77A86"/>
    <w:rsid w:val="00C80143"/>
    <w:rsid w:val="00C80A0E"/>
    <w:rsid w:val="00C80A6E"/>
    <w:rsid w:val="00C80B59"/>
    <w:rsid w:val="00C80E38"/>
    <w:rsid w:val="00C81BDB"/>
    <w:rsid w:val="00C81EBB"/>
    <w:rsid w:val="00C8213F"/>
    <w:rsid w:val="00C82235"/>
    <w:rsid w:val="00C82881"/>
    <w:rsid w:val="00C82C85"/>
    <w:rsid w:val="00C8303F"/>
    <w:rsid w:val="00C83E6E"/>
    <w:rsid w:val="00C83FEC"/>
    <w:rsid w:val="00C85154"/>
    <w:rsid w:val="00C851AB"/>
    <w:rsid w:val="00C855F2"/>
    <w:rsid w:val="00C856CF"/>
    <w:rsid w:val="00C85A70"/>
    <w:rsid w:val="00C860FA"/>
    <w:rsid w:val="00C861A4"/>
    <w:rsid w:val="00C86960"/>
    <w:rsid w:val="00C8797A"/>
    <w:rsid w:val="00C87C46"/>
    <w:rsid w:val="00C900B8"/>
    <w:rsid w:val="00C90197"/>
    <w:rsid w:val="00C909B3"/>
    <w:rsid w:val="00C90C71"/>
    <w:rsid w:val="00C90DDA"/>
    <w:rsid w:val="00C91300"/>
    <w:rsid w:val="00C914F9"/>
    <w:rsid w:val="00C9166E"/>
    <w:rsid w:val="00C918D6"/>
    <w:rsid w:val="00C919DE"/>
    <w:rsid w:val="00C91A2F"/>
    <w:rsid w:val="00C91BF1"/>
    <w:rsid w:val="00C91EA5"/>
    <w:rsid w:val="00C91FD1"/>
    <w:rsid w:val="00C92CDF"/>
    <w:rsid w:val="00C931CF"/>
    <w:rsid w:val="00C93768"/>
    <w:rsid w:val="00C938CF"/>
    <w:rsid w:val="00C93997"/>
    <w:rsid w:val="00C93E13"/>
    <w:rsid w:val="00C94053"/>
    <w:rsid w:val="00C94206"/>
    <w:rsid w:val="00C947E4"/>
    <w:rsid w:val="00C95027"/>
    <w:rsid w:val="00C9567A"/>
    <w:rsid w:val="00C958E6"/>
    <w:rsid w:val="00C959C6"/>
    <w:rsid w:val="00C95C33"/>
    <w:rsid w:val="00C9624D"/>
    <w:rsid w:val="00C96811"/>
    <w:rsid w:val="00C969DA"/>
    <w:rsid w:val="00C96DD2"/>
    <w:rsid w:val="00C96F2D"/>
    <w:rsid w:val="00C973EA"/>
    <w:rsid w:val="00CA017A"/>
    <w:rsid w:val="00CA0660"/>
    <w:rsid w:val="00CA101F"/>
    <w:rsid w:val="00CA14C0"/>
    <w:rsid w:val="00CA1789"/>
    <w:rsid w:val="00CA2629"/>
    <w:rsid w:val="00CA29C7"/>
    <w:rsid w:val="00CA2A77"/>
    <w:rsid w:val="00CA2C77"/>
    <w:rsid w:val="00CA2D3A"/>
    <w:rsid w:val="00CA3190"/>
    <w:rsid w:val="00CA3497"/>
    <w:rsid w:val="00CA38D8"/>
    <w:rsid w:val="00CA3F8D"/>
    <w:rsid w:val="00CA4244"/>
    <w:rsid w:val="00CA42E5"/>
    <w:rsid w:val="00CA4427"/>
    <w:rsid w:val="00CA444F"/>
    <w:rsid w:val="00CA447C"/>
    <w:rsid w:val="00CA44ED"/>
    <w:rsid w:val="00CA45B2"/>
    <w:rsid w:val="00CA4603"/>
    <w:rsid w:val="00CA5245"/>
    <w:rsid w:val="00CA537F"/>
    <w:rsid w:val="00CA5B1D"/>
    <w:rsid w:val="00CA61C3"/>
    <w:rsid w:val="00CA6F2A"/>
    <w:rsid w:val="00CA7060"/>
    <w:rsid w:val="00CA71F4"/>
    <w:rsid w:val="00CA764F"/>
    <w:rsid w:val="00CA7683"/>
    <w:rsid w:val="00CA7B09"/>
    <w:rsid w:val="00CA7C34"/>
    <w:rsid w:val="00CA7E68"/>
    <w:rsid w:val="00CB0735"/>
    <w:rsid w:val="00CB0962"/>
    <w:rsid w:val="00CB09E1"/>
    <w:rsid w:val="00CB0B93"/>
    <w:rsid w:val="00CB12A5"/>
    <w:rsid w:val="00CB1528"/>
    <w:rsid w:val="00CB1CAC"/>
    <w:rsid w:val="00CB287D"/>
    <w:rsid w:val="00CB28C8"/>
    <w:rsid w:val="00CB2957"/>
    <w:rsid w:val="00CB2F2A"/>
    <w:rsid w:val="00CB358C"/>
    <w:rsid w:val="00CB3882"/>
    <w:rsid w:val="00CB3B16"/>
    <w:rsid w:val="00CB4055"/>
    <w:rsid w:val="00CB470B"/>
    <w:rsid w:val="00CB4A2F"/>
    <w:rsid w:val="00CB4E2B"/>
    <w:rsid w:val="00CB51BC"/>
    <w:rsid w:val="00CB55A0"/>
    <w:rsid w:val="00CB56DF"/>
    <w:rsid w:val="00CB5770"/>
    <w:rsid w:val="00CB5B1A"/>
    <w:rsid w:val="00CB6380"/>
    <w:rsid w:val="00CB664C"/>
    <w:rsid w:val="00CB668F"/>
    <w:rsid w:val="00CB68EA"/>
    <w:rsid w:val="00CB6B22"/>
    <w:rsid w:val="00CB7A4E"/>
    <w:rsid w:val="00CB7F5F"/>
    <w:rsid w:val="00CC0177"/>
    <w:rsid w:val="00CC0644"/>
    <w:rsid w:val="00CC0E6F"/>
    <w:rsid w:val="00CC0E7D"/>
    <w:rsid w:val="00CC1239"/>
    <w:rsid w:val="00CC150C"/>
    <w:rsid w:val="00CC162A"/>
    <w:rsid w:val="00CC1B39"/>
    <w:rsid w:val="00CC1BFA"/>
    <w:rsid w:val="00CC2299"/>
    <w:rsid w:val="00CC24D8"/>
    <w:rsid w:val="00CC2E9F"/>
    <w:rsid w:val="00CC3188"/>
    <w:rsid w:val="00CC3201"/>
    <w:rsid w:val="00CC35EA"/>
    <w:rsid w:val="00CC3848"/>
    <w:rsid w:val="00CC3ABE"/>
    <w:rsid w:val="00CC3B8E"/>
    <w:rsid w:val="00CC46B8"/>
    <w:rsid w:val="00CC4BA3"/>
    <w:rsid w:val="00CC513A"/>
    <w:rsid w:val="00CC5F2E"/>
    <w:rsid w:val="00CC641F"/>
    <w:rsid w:val="00CC67EE"/>
    <w:rsid w:val="00CC6D5E"/>
    <w:rsid w:val="00CC7014"/>
    <w:rsid w:val="00CC724E"/>
    <w:rsid w:val="00CC72D5"/>
    <w:rsid w:val="00CC74C4"/>
    <w:rsid w:val="00CC7534"/>
    <w:rsid w:val="00CC789F"/>
    <w:rsid w:val="00CD0200"/>
    <w:rsid w:val="00CD041D"/>
    <w:rsid w:val="00CD04F4"/>
    <w:rsid w:val="00CD0750"/>
    <w:rsid w:val="00CD0EA1"/>
    <w:rsid w:val="00CD1D17"/>
    <w:rsid w:val="00CD1DDD"/>
    <w:rsid w:val="00CD2EBD"/>
    <w:rsid w:val="00CD3636"/>
    <w:rsid w:val="00CD3F49"/>
    <w:rsid w:val="00CD3F77"/>
    <w:rsid w:val="00CD4199"/>
    <w:rsid w:val="00CD464E"/>
    <w:rsid w:val="00CD4ABE"/>
    <w:rsid w:val="00CD4B7A"/>
    <w:rsid w:val="00CD4E2E"/>
    <w:rsid w:val="00CD4E80"/>
    <w:rsid w:val="00CD50D4"/>
    <w:rsid w:val="00CD5A4A"/>
    <w:rsid w:val="00CD5B85"/>
    <w:rsid w:val="00CD5E4E"/>
    <w:rsid w:val="00CD5EBB"/>
    <w:rsid w:val="00CD6379"/>
    <w:rsid w:val="00CD691D"/>
    <w:rsid w:val="00CD6ADC"/>
    <w:rsid w:val="00CD6CFE"/>
    <w:rsid w:val="00CD6FCA"/>
    <w:rsid w:val="00CD7193"/>
    <w:rsid w:val="00CD7F20"/>
    <w:rsid w:val="00CE1077"/>
    <w:rsid w:val="00CE11A4"/>
    <w:rsid w:val="00CE19E9"/>
    <w:rsid w:val="00CE22C4"/>
    <w:rsid w:val="00CE235D"/>
    <w:rsid w:val="00CE2554"/>
    <w:rsid w:val="00CE2671"/>
    <w:rsid w:val="00CE2AE4"/>
    <w:rsid w:val="00CE3094"/>
    <w:rsid w:val="00CE38C8"/>
    <w:rsid w:val="00CE45D4"/>
    <w:rsid w:val="00CE4A60"/>
    <w:rsid w:val="00CE524F"/>
    <w:rsid w:val="00CE56E1"/>
    <w:rsid w:val="00CE56EC"/>
    <w:rsid w:val="00CE58CC"/>
    <w:rsid w:val="00CE5DE9"/>
    <w:rsid w:val="00CE5F61"/>
    <w:rsid w:val="00CE6274"/>
    <w:rsid w:val="00CE64BE"/>
    <w:rsid w:val="00CE64DE"/>
    <w:rsid w:val="00CE6950"/>
    <w:rsid w:val="00CE77B6"/>
    <w:rsid w:val="00CF095D"/>
    <w:rsid w:val="00CF15C5"/>
    <w:rsid w:val="00CF1CF3"/>
    <w:rsid w:val="00CF26B5"/>
    <w:rsid w:val="00CF2B8D"/>
    <w:rsid w:val="00CF2CD5"/>
    <w:rsid w:val="00CF333D"/>
    <w:rsid w:val="00CF35CA"/>
    <w:rsid w:val="00CF3A1B"/>
    <w:rsid w:val="00CF3AF7"/>
    <w:rsid w:val="00CF4241"/>
    <w:rsid w:val="00CF456B"/>
    <w:rsid w:val="00CF53B2"/>
    <w:rsid w:val="00CF571D"/>
    <w:rsid w:val="00CF57C1"/>
    <w:rsid w:val="00CF5A22"/>
    <w:rsid w:val="00CF5C2D"/>
    <w:rsid w:val="00CF5F98"/>
    <w:rsid w:val="00CF6392"/>
    <w:rsid w:val="00CF7215"/>
    <w:rsid w:val="00CF7C9A"/>
    <w:rsid w:val="00D000BA"/>
    <w:rsid w:val="00D00420"/>
    <w:rsid w:val="00D00F4C"/>
    <w:rsid w:val="00D01791"/>
    <w:rsid w:val="00D018AF"/>
    <w:rsid w:val="00D018CA"/>
    <w:rsid w:val="00D01962"/>
    <w:rsid w:val="00D01D15"/>
    <w:rsid w:val="00D02001"/>
    <w:rsid w:val="00D0262E"/>
    <w:rsid w:val="00D02C06"/>
    <w:rsid w:val="00D0322D"/>
    <w:rsid w:val="00D03679"/>
    <w:rsid w:val="00D0437E"/>
    <w:rsid w:val="00D04885"/>
    <w:rsid w:val="00D0515A"/>
    <w:rsid w:val="00D05426"/>
    <w:rsid w:val="00D055F5"/>
    <w:rsid w:val="00D05E3D"/>
    <w:rsid w:val="00D06139"/>
    <w:rsid w:val="00D0689A"/>
    <w:rsid w:val="00D06D71"/>
    <w:rsid w:val="00D0719E"/>
    <w:rsid w:val="00D0741B"/>
    <w:rsid w:val="00D07BF1"/>
    <w:rsid w:val="00D104EF"/>
    <w:rsid w:val="00D10DCD"/>
    <w:rsid w:val="00D10F9A"/>
    <w:rsid w:val="00D110BD"/>
    <w:rsid w:val="00D115EF"/>
    <w:rsid w:val="00D1174E"/>
    <w:rsid w:val="00D11A21"/>
    <w:rsid w:val="00D11E92"/>
    <w:rsid w:val="00D12566"/>
    <w:rsid w:val="00D12A8A"/>
    <w:rsid w:val="00D1311D"/>
    <w:rsid w:val="00D1323E"/>
    <w:rsid w:val="00D13675"/>
    <w:rsid w:val="00D141E1"/>
    <w:rsid w:val="00D1524B"/>
    <w:rsid w:val="00D15314"/>
    <w:rsid w:val="00D15320"/>
    <w:rsid w:val="00D15B48"/>
    <w:rsid w:val="00D15C3B"/>
    <w:rsid w:val="00D16020"/>
    <w:rsid w:val="00D161C4"/>
    <w:rsid w:val="00D16769"/>
    <w:rsid w:val="00D168CB"/>
    <w:rsid w:val="00D169A9"/>
    <w:rsid w:val="00D16A73"/>
    <w:rsid w:val="00D16BD1"/>
    <w:rsid w:val="00D16EE5"/>
    <w:rsid w:val="00D1759B"/>
    <w:rsid w:val="00D179A6"/>
    <w:rsid w:val="00D17A65"/>
    <w:rsid w:val="00D17C63"/>
    <w:rsid w:val="00D17D6C"/>
    <w:rsid w:val="00D20712"/>
    <w:rsid w:val="00D20803"/>
    <w:rsid w:val="00D2134E"/>
    <w:rsid w:val="00D2155B"/>
    <w:rsid w:val="00D2156C"/>
    <w:rsid w:val="00D2183E"/>
    <w:rsid w:val="00D2186C"/>
    <w:rsid w:val="00D22C1D"/>
    <w:rsid w:val="00D23A14"/>
    <w:rsid w:val="00D23A1E"/>
    <w:rsid w:val="00D23D11"/>
    <w:rsid w:val="00D244B6"/>
    <w:rsid w:val="00D24C62"/>
    <w:rsid w:val="00D24CCA"/>
    <w:rsid w:val="00D25220"/>
    <w:rsid w:val="00D2618A"/>
    <w:rsid w:val="00D269D9"/>
    <w:rsid w:val="00D26CFB"/>
    <w:rsid w:val="00D2754D"/>
    <w:rsid w:val="00D27B27"/>
    <w:rsid w:val="00D27B36"/>
    <w:rsid w:val="00D27C04"/>
    <w:rsid w:val="00D30D5B"/>
    <w:rsid w:val="00D31167"/>
    <w:rsid w:val="00D3117D"/>
    <w:rsid w:val="00D331CF"/>
    <w:rsid w:val="00D331D7"/>
    <w:rsid w:val="00D331E2"/>
    <w:rsid w:val="00D3321D"/>
    <w:rsid w:val="00D339BF"/>
    <w:rsid w:val="00D33BE9"/>
    <w:rsid w:val="00D33C94"/>
    <w:rsid w:val="00D33F93"/>
    <w:rsid w:val="00D340F6"/>
    <w:rsid w:val="00D344D8"/>
    <w:rsid w:val="00D3562C"/>
    <w:rsid w:val="00D357FF"/>
    <w:rsid w:val="00D35E0D"/>
    <w:rsid w:val="00D35E2B"/>
    <w:rsid w:val="00D35E46"/>
    <w:rsid w:val="00D36A7C"/>
    <w:rsid w:val="00D36D7F"/>
    <w:rsid w:val="00D3766A"/>
    <w:rsid w:val="00D377F6"/>
    <w:rsid w:val="00D37AEC"/>
    <w:rsid w:val="00D40351"/>
    <w:rsid w:val="00D40711"/>
    <w:rsid w:val="00D40D1B"/>
    <w:rsid w:val="00D41A43"/>
    <w:rsid w:val="00D41B4C"/>
    <w:rsid w:val="00D422B6"/>
    <w:rsid w:val="00D424C7"/>
    <w:rsid w:val="00D42697"/>
    <w:rsid w:val="00D439D6"/>
    <w:rsid w:val="00D43AC1"/>
    <w:rsid w:val="00D43B2A"/>
    <w:rsid w:val="00D43CF1"/>
    <w:rsid w:val="00D43D0D"/>
    <w:rsid w:val="00D43D83"/>
    <w:rsid w:val="00D441EB"/>
    <w:rsid w:val="00D44261"/>
    <w:rsid w:val="00D4442C"/>
    <w:rsid w:val="00D450C0"/>
    <w:rsid w:val="00D4635A"/>
    <w:rsid w:val="00D47575"/>
    <w:rsid w:val="00D47F20"/>
    <w:rsid w:val="00D47F5C"/>
    <w:rsid w:val="00D47FBD"/>
    <w:rsid w:val="00D5017B"/>
    <w:rsid w:val="00D50272"/>
    <w:rsid w:val="00D50C5A"/>
    <w:rsid w:val="00D510E7"/>
    <w:rsid w:val="00D51D69"/>
    <w:rsid w:val="00D5226B"/>
    <w:rsid w:val="00D5243B"/>
    <w:rsid w:val="00D5253A"/>
    <w:rsid w:val="00D526CA"/>
    <w:rsid w:val="00D52EC7"/>
    <w:rsid w:val="00D533EC"/>
    <w:rsid w:val="00D54629"/>
    <w:rsid w:val="00D54AE5"/>
    <w:rsid w:val="00D54B69"/>
    <w:rsid w:val="00D5539E"/>
    <w:rsid w:val="00D555DC"/>
    <w:rsid w:val="00D55B39"/>
    <w:rsid w:val="00D563A1"/>
    <w:rsid w:val="00D56A95"/>
    <w:rsid w:val="00D60213"/>
    <w:rsid w:val="00D605D4"/>
    <w:rsid w:val="00D6076E"/>
    <w:rsid w:val="00D6097C"/>
    <w:rsid w:val="00D61164"/>
    <w:rsid w:val="00D61A9D"/>
    <w:rsid w:val="00D61CF9"/>
    <w:rsid w:val="00D62BFB"/>
    <w:rsid w:val="00D63863"/>
    <w:rsid w:val="00D644CA"/>
    <w:rsid w:val="00D646DA"/>
    <w:rsid w:val="00D64CE1"/>
    <w:rsid w:val="00D64ECF"/>
    <w:rsid w:val="00D65388"/>
    <w:rsid w:val="00D655C5"/>
    <w:rsid w:val="00D66769"/>
    <w:rsid w:val="00D6678A"/>
    <w:rsid w:val="00D669BB"/>
    <w:rsid w:val="00D669F1"/>
    <w:rsid w:val="00D66BC1"/>
    <w:rsid w:val="00D66D0A"/>
    <w:rsid w:val="00D67034"/>
    <w:rsid w:val="00D672B8"/>
    <w:rsid w:val="00D67371"/>
    <w:rsid w:val="00D67468"/>
    <w:rsid w:val="00D676C5"/>
    <w:rsid w:val="00D7092F"/>
    <w:rsid w:val="00D70F16"/>
    <w:rsid w:val="00D71C8E"/>
    <w:rsid w:val="00D71E9E"/>
    <w:rsid w:val="00D723AE"/>
    <w:rsid w:val="00D72617"/>
    <w:rsid w:val="00D72B64"/>
    <w:rsid w:val="00D72EDB"/>
    <w:rsid w:val="00D72F57"/>
    <w:rsid w:val="00D73009"/>
    <w:rsid w:val="00D73114"/>
    <w:rsid w:val="00D73740"/>
    <w:rsid w:val="00D73772"/>
    <w:rsid w:val="00D73DA4"/>
    <w:rsid w:val="00D740AC"/>
    <w:rsid w:val="00D74366"/>
    <w:rsid w:val="00D756CA"/>
    <w:rsid w:val="00D759DF"/>
    <w:rsid w:val="00D76418"/>
    <w:rsid w:val="00D76A44"/>
    <w:rsid w:val="00D76A96"/>
    <w:rsid w:val="00D770FE"/>
    <w:rsid w:val="00D774AF"/>
    <w:rsid w:val="00D8046F"/>
    <w:rsid w:val="00D80536"/>
    <w:rsid w:val="00D809D3"/>
    <w:rsid w:val="00D80A8F"/>
    <w:rsid w:val="00D80F9D"/>
    <w:rsid w:val="00D815EF"/>
    <w:rsid w:val="00D81949"/>
    <w:rsid w:val="00D81AF3"/>
    <w:rsid w:val="00D81F26"/>
    <w:rsid w:val="00D81FB8"/>
    <w:rsid w:val="00D822E2"/>
    <w:rsid w:val="00D82500"/>
    <w:rsid w:val="00D833B2"/>
    <w:rsid w:val="00D838FF"/>
    <w:rsid w:val="00D843F2"/>
    <w:rsid w:val="00D84B28"/>
    <w:rsid w:val="00D85D0C"/>
    <w:rsid w:val="00D8612D"/>
    <w:rsid w:val="00D86231"/>
    <w:rsid w:val="00D8719F"/>
    <w:rsid w:val="00D87319"/>
    <w:rsid w:val="00D87D26"/>
    <w:rsid w:val="00D87D97"/>
    <w:rsid w:val="00D9097C"/>
    <w:rsid w:val="00D912AB"/>
    <w:rsid w:val="00D91653"/>
    <w:rsid w:val="00D91923"/>
    <w:rsid w:val="00D91960"/>
    <w:rsid w:val="00D919B0"/>
    <w:rsid w:val="00D91DBB"/>
    <w:rsid w:val="00D92154"/>
    <w:rsid w:val="00D927A5"/>
    <w:rsid w:val="00D92D9D"/>
    <w:rsid w:val="00D92E6F"/>
    <w:rsid w:val="00D93753"/>
    <w:rsid w:val="00D93BA9"/>
    <w:rsid w:val="00D94137"/>
    <w:rsid w:val="00D94AC9"/>
    <w:rsid w:val="00D94C52"/>
    <w:rsid w:val="00D94E2D"/>
    <w:rsid w:val="00D94E58"/>
    <w:rsid w:val="00D950AA"/>
    <w:rsid w:val="00D95283"/>
    <w:rsid w:val="00D95912"/>
    <w:rsid w:val="00D959CA"/>
    <w:rsid w:val="00D96022"/>
    <w:rsid w:val="00D964D0"/>
    <w:rsid w:val="00D964F7"/>
    <w:rsid w:val="00D9675C"/>
    <w:rsid w:val="00D96A52"/>
    <w:rsid w:val="00D9713E"/>
    <w:rsid w:val="00D97423"/>
    <w:rsid w:val="00DA0EA9"/>
    <w:rsid w:val="00DA14E0"/>
    <w:rsid w:val="00DA2042"/>
    <w:rsid w:val="00DA2B8B"/>
    <w:rsid w:val="00DA2C76"/>
    <w:rsid w:val="00DA2E0D"/>
    <w:rsid w:val="00DA3167"/>
    <w:rsid w:val="00DA43E5"/>
    <w:rsid w:val="00DA4CA9"/>
    <w:rsid w:val="00DA4CB0"/>
    <w:rsid w:val="00DA4DC3"/>
    <w:rsid w:val="00DA4FE4"/>
    <w:rsid w:val="00DA634F"/>
    <w:rsid w:val="00DA644A"/>
    <w:rsid w:val="00DA687B"/>
    <w:rsid w:val="00DA6939"/>
    <w:rsid w:val="00DA6ED3"/>
    <w:rsid w:val="00DA7616"/>
    <w:rsid w:val="00DA77A5"/>
    <w:rsid w:val="00DB019A"/>
    <w:rsid w:val="00DB01AA"/>
    <w:rsid w:val="00DB03C3"/>
    <w:rsid w:val="00DB03D5"/>
    <w:rsid w:val="00DB0565"/>
    <w:rsid w:val="00DB0628"/>
    <w:rsid w:val="00DB0DAA"/>
    <w:rsid w:val="00DB0E36"/>
    <w:rsid w:val="00DB16EE"/>
    <w:rsid w:val="00DB1C5C"/>
    <w:rsid w:val="00DB26E0"/>
    <w:rsid w:val="00DB2723"/>
    <w:rsid w:val="00DB28A3"/>
    <w:rsid w:val="00DB2A12"/>
    <w:rsid w:val="00DB2D94"/>
    <w:rsid w:val="00DB333F"/>
    <w:rsid w:val="00DB3883"/>
    <w:rsid w:val="00DB3DBF"/>
    <w:rsid w:val="00DB3E52"/>
    <w:rsid w:val="00DB406D"/>
    <w:rsid w:val="00DB484F"/>
    <w:rsid w:val="00DB4A40"/>
    <w:rsid w:val="00DB5A7A"/>
    <w:rsid w:val="00DB6171"/>
    <w:rsid w:val="00DB6E90"/>
    <w:rsid w:val="00DB6EDD"/>
    <w:rsid w:val="00DB7F0B"/>
    <w:rsid w:val="00DC0010"/>
    <w:rsid w:val="00DC0079"/>
    <w:rsid w:val="00DC0089"/>
    <w:rsid w:val="00DC04F6"/>
    <w:rsid w:val="00DC0690"/>
    <w:rsid w:val="00DC0C90"/>
    <w:rsid w:val="00DC0FEC"/>
    <w:rsid w:val="00DC1C1B"/>
    <w:rsid w:val="00DC1D65"/>
    <w:rsid w:val="00DC221A"/>
    <w:rsid w:val="00DC239B"/>
    <w:rsid w:val="00DC2427"/>
    <w:rsid w:val="00DC2E46"/>
    <w:rsid w:val="00DC3A9E"/>
    <w:rsid w:val="00DC3C57"/>
    <w:rsid w:val="00DC3EB6"/>
    <w:rsid w:val="00DC4F31"/>
    <w:rsid w:val="00DC5287"/>
    <w:rsid w:val="00DC5501"/>
    <w:rsid w:val="00DC5CD7"/>
    <w:rsid w:val="00DC5DE4"/>
    <w:rsid w:val="00DC6107"/>
    <w:rsid w:val="00DC6377"/>
    <w:rsid w:val="00DC64A4"/>
    <w:rsid w:val="00DC7154"/>
    <w:rsid w:val="00DC75CF"/>
    <w:rsid w:val="00DC77E3"/>
    <w:rsid w:val="00DC79B8"/>
    <w:rsid w:val="00DC7C85"/>
    <w:rsid w:val="00DC7E8A"/>
    <w:rsid w:val="00DD023E"/>
    <w:rsid w:val="00DD02AD"/>
    <w:rsid w:val="00DD09FC"/>
    <w:rsid w:val="00DD0F78"/>
    <w:rsid w:val="00DD1162"/>
    <w:rsid w:val="00DD1870"/>
    <w:rsid w:val="00DD1FD2"/>
    <w:rsid w:val="00DD210C"/>
    <w:rsid w:val="00DD26C9"/>
    <w:rsid w:val="00DD2734"/>
    <w:rsid w:val="00DD273C"/>
    <w:rsid w:val="00DD2BE6"/>
    <w:rsid w:val="00DD3338"/>
    <w:rsid w:val="00DD376C"/>
    <w:rsid w:val="00DD3F28"/>
    <w:rsid w:val="00DD4446"/>
    <w:rsid w:val="00DD44FD"/>
    <w:rsid w:val="00DD4537"/>
    <w:rsid w:val="00DD4779"/>
    <w:rsid w:val="00DD4E15"/>
    <w:rsid w:val="00DD52D6"/>
    <w:rsid w:val="00DD55FC"/>
    <w:rsid w:val="00DD63D2"/>
    <w:rsid w:val="00DD66CA"/>
    <w:rsid w:val="00DD6A22"/>
    <w:rsid w:val="00DD6D5A"/>
    <w:rsid w:val="00DD7ED0"/>
    <w:rsid w:val="00DE0010"/>
    <w:rsid w:val="00DE0728"/>
    <w:rsid w:val="00DE0D60"/>
    <w:rsid w:val="00DE126C"/>
    <w:rsid w:val="00DE1789"/>
    <w:rsid w:val="00DE1FEA"/>
    <w:rsid w:val="00DE2304"/>
    <w:rsid w:val="00DE2577"/>
    <w:rsid w:val="00DE25B9"/>
    <w:rsid w:val="00DE2629"/>
    <w:rsid w:val="00DE2B1B"/>
    <w:rsid w:val="00DE2DCE"/>
    <w:rsid w:val="00DE3138"/>
    <w:rsid w:val="00DE37F8"/>
    <w:rsid w:val="00DE4106"/>
    <w:rsid w:val="00DE4131"/>
    <w:rsid w:val="00DE4273"/>
    <w:rsid w:val="00DE4532"/>
    <w:rsid w:val="00DE4FCB"/>
    <w:rsid w:val="00DE552D"/>
    <w:rsid w:val="00DE5D07"/>
    <w:rsid w:val="00DE6605"/>
    <w:rsid w:val="00DE6781"/>
    <w:rsid w:val="00DE6EA8"/>
    <w:rsid w:val="00DE6FB3"/>
    <w:rsid w:val="00DE72A7"/>
    <w:rsid w:val="00DE740D"/>
    <w:rsid w:val="00DE7832"/>
    <w:rsid w:val="00DE7BBD"/>
    <w:rsid w:val="00DE7BEE"/>
    <w:rsid w:val="00DE7E48"/>
    <w:rsid w:val="00DF00AB"/>
    <w:rsid w:val="00DF0339"/>
    <w:rsid w:val="00DF068C"/>
    <w:rsid w:val="00DF09B9"/>
    <w:rsid w:val="00DF122C"/>
    <w:rsid w:val="00DF163F"/>
    <w:rsid w:val="00DF18FC"/>
    <w:rsid w:val="00DF1D7C"/>
    <w:rsid w:val="00DF2064"/>
    <w:rsid w:val="00DF2636"/>
    <w:rsid w:val="00DF2DF0"/>
    <w:rsid w:val="00DF3080"/>
    <w:rsid w:val="00DF4BDB"/>
    <w:rsid w:val="00DF4D94"/>
    <w:rsid w:val="00DF5198"/>
    <w:rsid w:val="00DF5D2B"/>
    <w:rsid w:val="00DF5DCB"/>
    <w:rsid w:val="00DF5E45"/>
    <w:rsid w:val="00DF6341"/>
    <w:rsid w:val="00DF682B"/>
    <w:rsid w:val="00DF6A5E"/>
    <w:rsid w:val="00DF6B9B"/>
    <w:rsid w:val="00DF723F"/>
    <w:rsid w:val="00DF73F9"/>
    <w:rsid w:val="00DF76D1"/>
    <w:rsid w:val="00E00119"/>
    <w:rsid w:val="00E00278"/>
    <w:rsid w:val="00E00595"/>
    <w:rsid w:val="00E00E8E"/>
    <w:rsid w:val="00E011D7"/>
    <w:rsid w:val="00E014DF"/>
    <w:rsid w:val="00E01533"/>
    <w:rsid w:val="00E015B3"/>
    <w:rsid w:val="00E01739"/>
    <w:rsid w:val="00E01C84"/>
    <w:rsid w:val="00E028B4"/>
    <w:rsid w:val="00E029D7"/>
    <w:rsid w:val="00E030D5"/>
    <w:rsid w:val="00E03447"/>
    <w:rsid w:val="00E04415"/>
    <w:rsid w:val="00E0445F"/>
    <w:rsid w:val="00E04736"/>
    <w:rsid w:val="00E05630"/>
    <w:rsid w:val="00E06073"/>
    <w:rsid w:val="00E067E4"/>
    <w:rsid w:val="00E068AA"/>
    <w:rsid w:val="00E06BE3"/>
    <w:rsid w:val="00E06DBB"/>
    <w:rsid w:val="00E06DD1"/>
    <w:rsid w:val="00E07333"/>
    <w:rsid w:val="00E073B3"/>
    <w:rsid w:val="00E07897"/>
    <w:rsid w:val="00E07ADB"/>
    <w:rsid w:val="00E10149"/>
    <w:rsid w:val="00E10936"/>
    <w:rsid w:val="00E112E2"/>
    <w:rsid w:val="00E11340"/>
    <w:rsid w:val="00E11759"/>
    <w:rsid w:val="00E1178A"/>
    <w:rsid w:val="00E11833"/>
    <w:rsid w:val="00E122A1"/>
    <w:rsid w:val="00E1230B"/>
    <w:rsid w:val="00E12383"/>
    <w:rsid w:val="00E1317A"/>
    <w:rsid w:val="00E13269"/>
    <w:rsid w:val="00E132B2"/>
    <w:rsid w:val="00E13A53"/>
    <w:rsid w:val="00E14031"/>
    <w:rsid w:val="00E14313"/>
    <w:rsid w:val="00E143E5"/>
    <w:rsid w:val="00E14DCE"/>
    <w:rsid w:val="00E14DD8"/>
    <w:rsid w:val="00E14F02"/>
    <w:rsid w:val="00E156A0"/>
    <w:rsid w:val="00E159E2"/>
    <w:rsid w:val="00E16190"/>
    <w:rsid w:val="00E16372"/>
    <w:rsid w:val="00E16413"/>
    <w:rsid w:val="00E1696B"/>
    <w:rsid w:val="00E16AD8"/>
    <w:rsid w:val="00E17826"/>
    <w:rsid w:val="00E1796E"/>
    <w:rsid w:val="00E17FFA"/>
    <w:rsid w:val="00E20A39"/>
    <w:rsid w:val="00E20E03"/>
    <w:rsid w:val="00E20E4D"/>
    <w:rsid w:val="00E20ED6"/>
    <w:rsid w:val="00E21358"/>
    <w:rsid w:val="00E21BD3"/>
    <w:rsid w:val="00E21D94"/>
    <w:rsid w:val="00E220F1"/>
    <w:rsid w:val="00E22139"/>
    <w:rsid w:val="00E2249B"/>
    <w:rsid w:val="00E224E6"/>
    <w:rsid w:val="00E22A0D"/>
    <w:rsid w:val="00E23EB8"/>
    <w:rsid w:val="00E24475"/>
    <w:rsid w:val="00E244F6"/>
    <w:rsid w:val="00E2484C"/>
    <w:rsid w:val="00E24B8A"/>
    <w:rsid w:val="00E24D2F"/>
    <w:rsid w:val="00E25118"/>
    <w:rsid w:val="00E251BA"/>
    <w:rsid w:val="00E258DB"/>
    <w:rsid w:val="00E26890"/>
    <w:rsid w:val="00E26A4C"/>
    <w:rsid w:val="00E26B60"/>
    <w:rsid w:val="00E26E77"/>
    <w:rsid w:val="00E26EEA"/>
    <w:rsid w:val="00E271F5"/>
    <w:rsid w:val="00E2771E"/>
    <w:rsid w:val="00E30240"/>
    <w:rsid w:val="00E311EF"/>
    <w:rsid w:val="00E31D29"/>
    <w:rsid w:val="00E32018"/>
    <w:rsid w:val="00E32180"/>
    <w:rsid w:val="00E32FB4"/>
    <w:rsid w:val="00E339B3"/>
    <w:rsid w:val="00E341BE"/>
    <w:rsid w:val="00E34948"/>
    <w:rsid w:val="00E3499B"/>
    <w:rsid w:val="00E3593C"/>
    <w:rsid w:val="00E36361"/>
    <w:rsid w:val="00E36966"/>
    <w:rsid w:val="00E36F93"/>
    <w:rsid w:val="00E37105"/>
    <w:rsid w:val="00E37149"/>
    <w:rsid w:val="00E37569"/>
    <w:rsid w:val="00E37E21"/>
    <w:rsid w:val="00E37FA4"/>
    <w:rsid w:val="00E400A4"/>
    <w:rsid w:val="00E401B2"/>
    <w:rsid w:val="00E407B5"/>
    <w:rsid w:val="00E41B46"/>
    <w:rsid w:val="00E41E30"/>
    <w:rsid w:val="00E41EA8"/>
    <w:rsid w:val="00E42074"/>
    <w:rsid w:val="00E424C6"/>
    <w:rsid w:val="00E4276F"/>
    <w:rsid w:val="00E42A9D"/>
    <w:rsid w:val="00E42F73"/>
    <w:rsid w:val="00E43D70"/>
    <w:rsid w:val="00E44F69"/>
    <w:rsid w:val="00E45098"/>
    <w:rsid w:val="00E45771"/>
    <w:rsid w:val="00E466F3"/>
    <w:rsid w:val="00E46D20"/>
    <w:rsid w:val="00E47515"/>
    <w:rsid w:val="00E4781E"/>
    <w:rsid w:val="00E47B2C"/>
    <w:rsid w:val="00E47DC0"/>
    <w:rsid w:val="00E5079B"/>
    <w:rsid w:val="00E51357"/>
    <w:rsid w:val="00E51560"/>
    <w:rsid w:val="00E51821"/>
    <w:rsid w:val="00E52419"/>
    <w:rsid w:val="00E53AD9"/>
    <w:rsid w:val="00E53FC8"/>
    <w:rsid w:val="00E5416A"/>
    <w:rsid w:val="00E54347"/>
    <w:rsid w:val="00E54872"/>
    <w:rsid w:val="00E54ADD"/>
    <w:rsid w:val="00E54DE7"/>
    <w:rsid w:val="00E55419"/>
    <w:rsid w:val="00E55424"/>
    <w:rsid w:val="00E5566C"/>
    <w:rsid w:val="00E55915"/>
    <w:rsid w:val="00E55BB5"/>
    <w:rsid w:val="00E55D1F"/>
    <w:rsid w:val="00E56384"/>
    <w:rsid w:val="00E56419"/>
    <w:rsid w:val="00E56F07"/>
    <w:rsid w:val="00E57B89"/>
    <w:rsid w:val="00E57EC5"/>
    <w:rsid w:val="00E60478"/>
    <w:rsid w:val="00E60852"/>
    <w:rsid w:val="00E60889"/>
    <w:rsid w:val="00E60A0B"/>
    <w:rsid w:val="00E60C67"/>
    <w:rsid w:val="00E60E71"/>
    <w:rsid w:val="00E610C6"/>
    <w:rsid w:val="00E611DF"/>
    <w:rsid w:val="00E61741"/>
    <w:rsid w:val="00E61D0A"/>
    <w:rsid w:val="00E61FD6"/>
    <w:rsid w:val="00E61FF2"/>
    <w:rsid w:val="00E6237C"/>
    <w:rsid w:val="00E62DB7"/>
    <w:rsid w:val="00E62DD4"/>
    <w:rsid w:val="00E63461"/>
    <w:rsid w:val="00E6354E"/>
    <w:rsid w:val="00E63F43"/>
    <w:rsid w:val="00E6432A"/>
    <w:rsid w:val="00E64336"/>
    <w:rsid w:val="00E65E79"/>
    <w:rsid w:val="00E660AD"/>
    <w:rsid w:val="00E6639A"/>
    <w:rsid w:val="00E664EC"/>
    <w:rsid w:val="00E66708"/>
    <w:rsid w:val="00E667EA"/>
    <w:rsid w:val="00E66BA2"/>
    <w:rsid w:val="00E66CB1"/>
    <w:rsid w:val="00E670FC"/>
    <w:rsid w:val="00E67416"/>
    <w:rsid w:val="00E67A0E"/>
    <w:rsid w:val="00E67F7A"/>
    <w:rsid w:val="00E701BA"/>
    <w:rsid w:val="00E7094D"/>
    <w:rsid w:val="00E70EF4"/>
    <w:rsid w:val="00E713AE"/>
    <w:rsid w:val="00E718B6"/>
    <w:rsid w:val="00E72342"/>
    <w:rsid w:val="00E723BA"/>
    <w:rsid w:val="00E72A00"/>
    <w:rsid w:val="00E72AB6"/>
    <w:rsid w:val="00E72E0D"/>
    <w:rsid w:val="00E73001"/>
    <w:rsid w:val="00E7344C"/>
    <w:rsid w:val="00E73581"/>
    <w:rsid w:val="00E73D6B"/>
    <w:rsid w:val="00E73F95"/>
    <w:rsid w:val="00E746A6"/>
    <w:rsid w:val="00E746E1"/>
    <w:rsid w:val="00E7520A"/>
    <w:rsid w:val="00E75570"/>
    <w:rsid w:val="00E75FEB"/>
    <w:rsid w:val="00E7649C"/>
    <w:rsid w:val="00E76610"/>
    <w:rsid w:val="00E769AC"/>
    <w:rsid w:val="00E76BCB"/>
    <w:rsid w:val="00E77035"/>
    <w:rsid w:val="00E77267"/>
    <w:rsid w:val="00E805E9"/>
    <w:rsid w:val="00E8083B"/>
    <w:rsid w:val="00E811D9"/>
    <w:rsid w:val="00E81B2D"/>
    <w:rsid w:val="00E81C27"/>
    <w:rsid w:val="00E81DBB"/>
    <w:rsid w:val="00E82EF4"/>
    <w:rsid w:val="00E82F40"/>
    <w:rsid w:val="00E833F7"/>
    <w:rsid w:val="00E83BDF"/>
    <w:rsid w:val="00E83DFA"/>
    <w:rsid w:val="00E84CDA"/>
    <w:rsid w:val="00E85091"/>
    <w:rsid w:val="00E855E9"/>
    <w:rsid w:val="00E8582B"/>
    <w:rsid w:val="00E868A5"/>
    <w:rsid w:val="00E869DB"/>
    <w:rsid w:val="00E86FCC"/>
    <w:rsid w:val="00E871C4"/>
    <w:rsid w:val="00E87A1D"/>
    <w:rsid w:val="00E87B29"/>
    <w:rsid w:val="00E87C40"/>
    <w:rsid w:val="00E90599"/>
    <w:rsid w:val="00E908FC"/>
    <w:rsid w:val="00E9094A"/>
    <w:rsid w:val="00E90A39"/>
    <w:rsid w:val="00E90EC4"/>
    <w:rsid w:val="00E91923"/>
    <w:rsid w:val="00E91BFD"/>
    <w:rsid w:val="00E91D35"/>
    <w:rsid w:val="00E92083"/>
    <w:rsid w:val="00E926A5"/>
    <w:rsid w:val="00E9299D"/>
    <w:rsid w:val="00E9333E"/>
    <w:rsid w:val="00E93743"/>
    <w:rsid w:val="00E93B58"/>
    <w:rsid w:val="00E9461B"/>
    <w:rsid w:val="00E94A33"/>
    <w:rsid w:val="00E94B1E"/>
    <w:rsid w:val="00E94C52"/>
    <w:rsid w:val="00E952DB"/>
    <w:rsid w:val="00E9578F"/>
    <w:rsid w:val="00E958C6"/>
    <w:rsid w:val="00E95AB1"/>
    <w:rsid w:val="00E95BBB"/>
    <w:rsid w:val="00E95E9C"/>
    <w:rsid w:val="00E96194"/>
    <w:rsid w:val="00E962CC"/>
    <w:rsid w:val="00E963B6"/>
    <w:rsid w:val="00E96688"/>
    <w:rsid w:val="00E96785"/>
    <w:rsid w:val="00E96FF0"/>
    <w:rsid w:val="00E9750E"/>
    <w:rsid w:val="00E9775A"/>
    <w:rsid w:val="00E9799E"/>
    <w:rsid w:val="00EA0169"/>
    <w:rsid w:val="00EA0309"/>
    <w:rsid w:val="00EA0A0C"/>
    <w:rsid w:val="00EA0C06"/>
    <w:rsid w:val="00EA0EBD"/>
    <w:rsid w:val="00EA1211"/>
    <w:rsid w:val="00EA17C3"/>
    <w:rsid w:val="00EA19AB"/>
    <w:rsid w:val="00EA1BF8"/>
    <w:rsid w:val="00EA1CB6"/>
    <w:rsid w:val="00EA1E0E"/>
    <w:rsid w:val="00EA2CAA"/>
    <w:rsid w:val="00EA335E"/>
    <w:rsid w:val="00EA3457"/>
    <w:rsid w:val="00EA37ED"/>
    <w:rsid w:val="00EA3864"/>
    <w:rsid w:val="00EA3992"/>
    <w:rsid w:val="00EA4346"/>
    <w:rsid w:val="00EA539B"/>
    <w:rsid w:val="00EA5762"/>
    <w:rsid w:val="00EA5B4C"/>
    <w:rsid w:val="00EA5DEA"/>
    <w:rsid w:val="00EA66AA"/>
    <w:rsid w:val="00EA6CC7"/>
    <w:rsid w:val="00EA7047"/>
    <w:rsid w:val="00EA7F1C"/>
    <w:rsid w:val="00EB0696"/>
    <w:rsid w:val="00EB0AC9"/>
    <w:rsid w:val="00EB11F6"/>
    <w:rsid w:val="00EB15B6"/>
    <w:rsid w:val="00EB189C"/>
    <w:rsid w:val="00EB1EB8"/>
    <w:rsid w:val="00EB2AE9"/>
    <w:rsid w:val="00EB2DBE"/>
    <w:rsid w:val="00EB2DC3"/>
    <w:rsid w:val="00EB3465"/>
    <w:rsid w:val="00EB364B"/>
    <w:rsid w:val="00EB3D06"/>
    <w:rsid w:val="00EB4081"/>
    <w:rsid w:val="00EB4134"/>
    <w:rsid w:val="00EB440A"/>
    <w:rsid w:val="00EB46B3"/>
    <w:rsid w:val="00EB4916"/>
    <w:rsid w:val="00EB502F"/>
    <w:rsid w:val="00EB52D6"/>
    <w:rsid w:val="00EB54A8"/>
    <w:rsid w:val="00EB565A"/>
    <w:rsid w:val="00EB6138"/>
    <w:rsid w:val="00EB6EB7"/>
    <w:rsid w:val="00EB7288"/>
    <w:rsid w:val="00EB7CBE"/>
    <w:rsid w:val="00EC00C9"/>
    <w:rsid w:val="00EC0DD9"/>
    <w:rsid w:val="00EC0E69"/>
    <w:rsid w:val="00EC10BE"/>
    <w:rsid w:val="00EC12E7"/>
    <w:rsid w:val="00EC1783"/>
    <w:rsid w:val="00EC2017"/>
    <w:rsid w:val="00EC2649"/>
    <w:rsid w:val="00EC2E33"/>
    <w:rsid w:val="00EC31ED"/>
    <w:rsid w:val="00EC3610"/>
    <w:rsid w:val="00EC37B7"/>
    <w:rsid w:val="00EC3CA0"/>
    <w:rsid w:val="00EC40A8"/>
    <w:rsid w:val="00EC4522"/>
    <w:rsid w:val="00EC4B5B"/>
    <w:rsid w:val="00EC507A"/>
    <w:rsid w:val="00EC5836"/>
    <w:rsid w:val="00EC5A43"/>
    <w:rsid w:val="00EC6292"/>
    <w:rsid w:val="00EC62A3"/>
    <w:rsid w:val="00EC6810"/>
    <w:rsid w:val="00EC6821"/>
    <w:rsid w:val="00EC688C"/>
    <w:rsid w:val="00EC6E88"/>
    <w:rsid w:val="00EC7D5D"/>
    <w:rsid w:val="00EC7E60"/>
    <w:rsid w:val="00ED01B9"/>
    <w:rsid w:val="00ED0C55"/>
    <w:rsid w:val="00ED0CBB"/>
    <w:rsid w:val="00ED12E3"/>
    <w:rsid w:val="00ED133A"/>
    <w:rsid w:val="00ED140D"/>
    <w:rsid w:val="00ED1422"/>
    <w:rsid w:val="00ED1474"/>
    <w:rsid w:val="00ED1A13"/>
    <w:rsid w:val="00ED2EF5"/>
    <w:rsid w:val="00ED3A0C"/>
    <w:rsid w:val="00ED493F"/>
    <w:rsid w:val="00ED49F2"/>
    <w:rsid w:val="00ED4B04"/>
    <w:rsid w:val="00ED4CE5"/>
    <w:rsid w:val="00ED4DA6"/>
    <w:rsid w:val="00ED4E2C"/>
    <w:rsid w:val="00ED512D"/>
    <w:rsid w:val="00ED57EA"/>
    <w:rsid w:val="00ED58F5"/>
    <w:rsid w:val="00ED5BD4"/>
    <w:rsid w:val="00ED6B12"/>
    <w:rsid w:val="00ED6BDE"/>
    <w:rsid w:val="00ED72AC"/>
    <w:rsid w:val="00ED7819"/>
    <w:rsid w:val="00ED7934"/>
    <w:rsid w:val="00EE027B"/>
    <w:rsid w:val="00EE02DA"/>
    <w:rsid w:val="00EE07D3"/>
    <w:rsid w:val="00EE0A16"/>
    <w:rsid w:val="00EE0C4A"/>
    <w:rsid w:val="00EE135C"/>
    <w:rsid w:val="00EE1599"/>
    <w:rsid w:val="00EE1721"/>
    <w:rsid w:val="00EE1893"/>
    <w:rsid w:val="00EE1996"/>
    <w:rsid w:val="00EE1C01"/>
    <w:rsid w:val="00EE22AF"/>
    <w:rsid w:val="00EE22C2"/>
    <w:rsid w:val="00EE2556"/>
    <w:rsid w:val="00EE27E6"/>
    <w:rsid w:val="00EE28B9"/>
    <w:rsid w:val="00EE2DA9"/>
    <w:rsid w:val="00EE2EF0"/>
    <w:rsid w:val="00EE3777"/>
    <w:rsid w:val="00EE37F2"/>
    <w:rsid w:val="00EE3BBA"/>
    <w:rsid w:val="00EE3DDA"/>
    <w:rsid w:val="00EE4102"/>
    <w:rsid w:val="00EE42FD"/>
    <w:rsid w:val="00EE4C00"/>
    <w:rsid w:val="00EE50C2"/>
    <w:rsid w:val="00EE53CE"/>
    <w:rsid w:val="00EE5BE0"/>
    <w:rsid w:val="00EE6579"/>
    <w:rsid w:val="00EE6650"/>
    <w:rsid w:val="00EE672C"/>
    <w:rsid w:val="00EE682A"/>
    <w:rsid w:val="00EE6B35"/>
    <w:rsid w:val="00EE6EBB"/>
    <w:rsid w:val="00EE7517"/>
    <w:rsid w:val="00EE7718"/>
    <w:rsid w:val="00EE79D1"/>
    <w:rsid w:val="00EF0171"/>
    <w:rsid w:val="00EF058E"/>
    <w:rsid w:val="00EF058F"/>
    <w:rsid w:val="00EF07D9"/>
    <w:rsid w:val="00EF14BC"/>
    <w:rsid w:val="00EF1B25"/>
    <w:rsid w:val="00EF1CE3"/>
    <w:rsid w:val="00EF1DA0"/>
    <w:rsid w:val="00EF1E4F"/>
    <w:rsid w:val="00EF1F0D"/>
    <w:rsid w:val="00EF2F6D"/>
    <w:rsid w:val="00EF3238"/>
    <w:rsid w:val="00EF3353"/>
    <w:rsid w:val="00EF339E"/>
    <w:rsid w:val="00EF3DB3"/>
    <w:rsid w:val="00EF4555"/>
    <w:rsid w:val="00EF4747"/>
    <w:rsid w:val="00EF4ABE"/>
    <w:rsid w:val="00EF4BF8"/>
    <w:rsid w:val="00EF6225"/>
    <w:rsid w:val="00EF628C"/>
    <w:rsid w:val="00EF6586"/>
    <w:rsid w:val="00EF68D3"/>
    <w:rsid w:val="00EF6969"/>
    <w:rsid w:val="00EF6D3D"/>
    <w:rsid w:val="00EF70DF"/>
    <w:rsid w:val="00EF756D"/>
    <w:rsid w:val="00EF79EA"/>
    <w:rsid w:val="00EF7C3D"/>
    <w:rsid w:val="00EF7DEA"/>
    <w:rsid w:val="00F00958"/>
    <w:rsid w:val="00F00B44"/>
    <w:rsid w:val="00F01C5C"/>
    <w:rsid w:val="00F02007"/>
    <w:rsid w:val="00F02253"/>
    <w:rsid w:val="00F02B9E"/>
    <w:rsid w:val="00F0370B"/>
    <w:rsid w:val="00F03C2E"/>
    <w:rsid w:val="00F03DC6"/>
    <w:rsid w:val="00F043F5"/>
    <w:rsid w:val="00F04A66"/>
    <w:rsid w:val="00F04B4B"/>
    <w:rsid w:val="00F04EBA"/>
    <w:rsid w:val="00F0516C"/>
    <w:rsid w:val="00F05499"/>
    <w:rsid w:val="00F05605"/>
    <w:rsid w:val="00F05C46"/>
    <w:rsid w:val="00F05FEC"/>
    <w:rsid w:val="00F06437"/>
    <w:rsid w:val="00F0652F"/>
    <w:rsid w:val="00F067A2"/>
    <w:rsid w:val="00F06A40"/>
    <w:rsid w:val="00F07B38"/>
    <w:rsid w:val="00F07B9E"/>
    <w:rsid w:val="00F07C93"/>
    <w:rsid w:val="00F10278"/>
    <w:rsid w:val="00F10968"/>
    <w:rsid w:val="00F1116F"/>
    <w:rsid w:val="00F1254D"/>
    <w:rsid w:val="00F1263A"/>
    <w:rsid w:val="00F128C4"/>
    <w:rsid w:val="00F136E0"/>
    <w:rsid w:val="00F139C5"/>
    <w:rsid w:val="00F13BD7"/>
    <w:rsid w:val="00F13DC6"/>
    <w:rsid w:val="00F14337"/>
    <w:rsid w:val="00F14D6A"/>
    <w:rsid w:val="00F154D9"/>
    <w:rsid w:val="00F15B77"/>
    <w:rsid w:val="00F160E2"/>
    <w:rsid w:val="00F162CD"/>
    <w:rsid w:val="00F170A3"/>
    <w:rsid w:val="00F172E1"/>
    <w:rsid w:val="00F17737"/>
    <w:rsid w:val="00F17D71"/>
    <w:rsid w:val="00F201E8"/>
    <w:rsid w:val="00F20B89"/>
    <w:rsid w:val="00F20CA8"/>
    <w:rsid w:val="00F21236"/>
    <w:rsid w:val="00F21A85"/>
    <w:rsid w:val="00F21FF8"/>
    <w:rsid w:val="00F227EF"/>
    <w:rsid w:val="00F2351A"/>
    <w:rsid w:val="00F23554"/>
    <w:rsid w:val="00F239DF"/>
    <w:rsid w:val="00F24837"/>
    <w:rsid w:val="00F24C7D"/>
    <w:rsid w:val="00F24D4B"/>
    <w:rsid w:val="00F24F65"/>
    <w:rsid w:val="00F25078"/>
    <w:rsid w:val="00F2575F"/>
    <w:rsid w:val="00F25B05"/>
    <w:rsid w:val="00F25D50"/>
    <w:rsid w:val="00F25D5B"/>
    <w:rsid w:val="00F2642E"/>
    <w:rsid w:val="00F26650"/>
    <w:rsid w:val="00F267A0"/>
    <w:rsid w:val="00F26BDD"/>
    <w:rsid w:val="00F27478"/>
    <w:rsid w:val="00F27565"/>
    <w:rsid w:val="00F27F42"/>
    <w:rsid w:val="00F30817"/>
    <w:rsid w:val="00F310D4"/>
    <w:rsid w:val="00F31A43"/>
    <w:rsid w:val="00F31B42"/>
    <w:rsid w:val="00F31B5D"/>
    <w:rsid w:val="00F31D5A"/>
    <w:rsid w:val="00F32189"/>
    <w:rsid w:val="00F32473"/>
    <w:rsid w:val="00F326F3"/>
    <w:rsid w:val="00F32BC4"/>
    <w:rsid w:val="00F335EC"/>
    <w:rsid w:val="00F33975"/>
    <w:rsid w:val="00F33DE9"/>
    <w:rsid w:val="00F3407B"/>
    <w:rsid w:val="00F34DA0"/>
    <w:rsid w:val="00F35214"/>
    <w:rsid w:val="00F35905"/>
    <w:rsid w:val="00F35A6A"/>
    <w:rsid w:val="00F35C9C"/>
    <w:rsid w:val="00F35D22"/>
    <w:rsid w:val="00F35E6D"/>
    <w:rsid w:val="00F3619A"/>
    <w:rsid w:val="00F3644D"/>
    <w:rsid w:val="00F36992"/>
    <w:rsid w:val="00F36AB4"/>
    <w:rsid w:val="00F37B66"/>
    <w:rsid w:val="00F37CDA"/>
    <w:rsid w:val="00F3B6B3"/>
    <w:rsid w:val="00F40093"/>
    <w:rsid w:val="00F4061C"/>
    <w:rsid w:val="00F40AAA"/>
    <w:rsid w:val="00F40BA7"/>
    <w:rsid w:val="00F40F9D"/>
    <w:rsid w:val="00F411F8"/>
    <w:rsid w:val="00F4175E"/>
    <w:rsid w:val="00F418B9"/>
    <w:rsid w:val="00F41ACD"/>
    <w:rsid w:val="00F42270"/>
    <w:rsid w:val="00F428A1"/>
    <w:rsid w:val="00F436CD"/>
    <w:rsid w:val="00F43BB1"/>
    <w:rsid w:val="00F43C72"/>
    <w:rsid w:val="00F44BDF"/>
    <w:rsid w:val="00F452D8"/>
    <w:rsid w:val="00F45575"/>
    <w:rsid w:val="00F456E0"/>
    <w:rsid w:val="00F45881"/>
    <w:rsid w:val="00F45CBA"/>
    <w:rsid w:val="00F461A4"/>
    <w:rsid w:val="00F466E3"/>
    <w:rsid w:val="00F46CB6"/>
    <w:rsid w:val="00F46DF0"/>
    <w:rsid w:val="00F4737E"/>
    <w:rsid w:val="00F4756D"/>
    <w:rsid w:val="00F476EF"/>
    <w:rsid w:val="00F47DE8"/>
    <w:rsid w:val="00F504FF"/>
    <w:rsid w:val="00F505B9"/>
    <w:rsid w:val="00F5064B"/>
    <w:rsid w:val="00F510B5"/>
    <w:rsid w:val="00F512D1"/>
    <w:rsid w:val="00F530D3"/>
    <w:rsid w:val="00F53253"/>
    <w:rsid w:val="00F53458"/>
    <w:rsid w:val="00F53E16"/>
    <w:rsid w:val="00F53F4E"/>
    <w:rsid w:val="00F542C1"/>
    <w:rsid w:val="00F550E3"/>
    <w:rsid w:val="00F553B1"/>
    <w:rsid w:val="00F55477"/>
    <w:rsid w:val="00F558A1"/>
    <w:rsid w:val="00F558EA"/>
    <w:rsid w:val="00F55E07"/>
    <w:rsid w:val="00F55E73"/>
    <w:rsid w:val="00F55EDA"/>
    <w:rsid w:val="00F560C9"/>
    <w:rsid w:val="00F5666F"/>
    <w:rsid w:val="00F56747"/>
    <w:rsid w:val="00F56C80"/>
    <w:rsid w:val="00F571BA"/>
    <w:rsid w:val="00F5767B"/>
    <w:rsid w:val="00F57875"/>
    <w:rsid w:val="00F57DF3"/>
    <w:rsid w:val="00F57EBB"/>
    <w:rsid w:val="00F57F01"/>
    <w:rsid w:val="00F60092"/>
    <w:rsid w:val="00F6022C"/>
    <w:rsid w:val="00F60516"/>
    <w:rsid w:val="00F60D0D"/>
    <w:rsid w:val="00F60EE0"/>
    <w:rsid w:val="00F61106"/>
    <w:rsid w:val="00F6165F"/>
    <w:rsid w:val="00F617D9"/>
    <w:rsid w:val="00F61C18"/>
    <w:rsid w:val="00F61D36"/>
    <w:rsid w:val="00F6253B"/>
    <w:rsid w:val="00F628E3"/>
    <w:rsid w:val="00F62E3F"/>
    <w:rsid w:val="00F6387F"/>
    <w:rsid w:val="00F63A7C"/>
    <w:rsid w:val="00F64438"/>
    <w:rsid w:val="00F64E5B"/>
    <w:rsid w:val="00F6522D"/>
    <w:rsid w:val="00F655BE"/>
    <w:rsid w:val="00F65D94"/>
    <w:rsid w:val="00F65F0A"/>
    <w:rsid w:val="00F65F4B"/>
    <w:rsid w:val="00F65F74"/>
    <w:rsid w:val="00F66335"/>
    <w:rsid w:val="00F669E2"/>
    <w:rsid w:val="00F669F9"/>
    <w:rsid w:val="00F66DCD"/>
    <w:rsid w:val="00F66F35"/>
    <w:rsid w:val="00F67995"/>
    <w:rsid w:val="00F67A42"/>
    <w:rsid w:val="00F67A69"/>
    <w:rsid w:val="00F707E2"/>
    <w:rsid w:val="00F70A64"/>
    <w:rsid w:val="00F70BFF"/>
    <w:rsid w:val="00F70C9D"/>
    <w:rsid w:val="00F7141A"/>
    <w:rsid w:val="00F71A26"/>
    <w:rsid w:val="00F71B30"/>
    <w:rsid w:val="00F71E72"/>
    <w:rsid w:val="00F72418"/>
    <w:rsid w:val="00F72504"/>
    <w:rsid w:val="00F725CE"/>
    <w:rsid w:val="00F72C60"/>
    <w:rsid w:val="00F73E08"/>
    <w:rsid w:val="00F73EE3"/>
    <w:rsid w:val="00F743C1"/>
    <w:rsid w:val="00F74CD9"/>
    <w:rsid w:val="00F761C5"/>
    <w:rsid w:val="00F76549"/>
    <w:rsid w:val="00F76E21"/>
    <w:rsid w:val="00F77667"/>
    <w:rsid w:val="00F77806"/>
    <w:rsid w:val="00F77BF3"/>
    <w:rsid w:val="00F77CF3"/>
    <w:rsid w:val="00F804FD"/>
    <w:rsid w:val="00F80A7B"/>
    <w:rsid w:val="00F80C3D"/>
    <w:rsid w:val="00F80E5D"/>
    <w:rsid w:val="00F816A3"/>
    <w:rsid w:val="00F81E78"/>
    <w:rsid w:val="00F82E3A"/>
    <w:rsid w:val="00F83916"/>
    <w:rsid w:val="00F83D48"/>
    <w:rsid w:val="00F841BE"/>
    <w:rsid w:val="00F851CE"/>
    <w:rsid w:val="00F852A7"/>
    <w:rsid w:val="00F855DD"/>
    <w:rsid w:val="00F85764"/>
    <w:rsid w:val="00F857A5"/>
    <w:rsid w:val="00F85D13"/>
    <w:rsid w:val="00F87844"/>
    <w:rsid w:val="00F87D40"/>
    <w:rsid w:val="00F9075F"/>
    <w:rsid w:val="00F90D93"/>
    <w:rsid w:val="00F91219"/>
    <w:rsid w:val="00F91E7B"/>
    <w:rsid w:val="00F9211F"/>
    <w:rsid w:val="00F92444"/>
    <w:rsid w:val="00F92D18"/>
    <w:rsid w:val="00F9346C"/>
    <w:rsid w:val="00F9393E"/>
    <w:rsid w:val="00F939E8"/>
    <w:rsid w:val="00F93AA1"/>
    <w:rsid w:val="00F93E14"/>
    <w:rsid w:val="00F94739"/>
    <w:rsid w:val="00F948FE"/>
    <w:rsid w:val="00F94C87"/>
    <w:rsid w:val="00F95EC7"/>
    <w:rsid w:val="00F96904"/>
    <w:rsid w:val="00F96D75"/>
    <w:rsid w:val="00F96FD0"/>
    <w:rsid w:val="00F97040"/>
    <w:rsid w:val="00F972B9"/>
    <w:rsid w:val="00F979DA"/>
    <w:rsid w:val="00F97A78"/>
    <w:rsid w:val="00F97F65"/>
    <w:rsid w:val="00F97F70"/>
    <w:rsid w:val="00FA0390"/>
    <w:rsid w:val="00FA0624"/>
    <w:rsid w:val="00FA09C7"/>
    <w:rsid w:val="00FA0B20"/>
    <w:rsid w:val="00FA1197"/>
    <w:rsid w:val="00FA1378"/>
    <w:rsid w:val="00FA148F"/>
    <w:rsid w:val="00FA19B0"/>
    <w:rsid w:val="00FA1A71"/>
    <w:rsid w:val="00FA1FC9"/>
    <w:rsid w:val="00FA204D"/>
    <w:rsid w:val="00FA2184"/>
    <w:rsid w:val="00FA2263"/>
    <w:rsid w:val="00FA24E7"/>
    <w:rsid w:val="00FA271D"/>
    <w:rsid w:val="00FA2DF3"/>
    <w:rsid w:val="00FA3D8A"/>
    <w:rsid w:val="00FA4215"/>
    <w:rsid w:val="00FA4C33"/>
    <w:rsid w:val="00FA52C9"/>
    <w:rsid w:val="00FA5554"/>
    <w:rsid w:val="00FA55FB"/>
    <w:rsid w:val="00FA5EE6"/>
    <w:rsid w:val="00FA61AD"/>
    <w:rsid w:val="00FA6854"/>
    <w:rsid w:val="00FA68BE"/>
    <w:rsid w:val="00FA6E0B"/>
    <w:rsid w:val="00FA74C8"/>
    <w:rsid w:val="00FA7956"/>
    <w:rsid w:val="00FA7A35"/>
    <w:rsid w:val="00FB0537"/>
    <w:rsid w:val="00FB0824"/>
    <w:rsid w:val="00FB0C76"/>
    <w:rsid w:val="00FB0CC3"/>
    <w:rsid w:val="00FB105A"/>
    <w:rsid w:val="00FB1264"/>
    <w:rsid w:val="00FB1BC1"/>
    <w:rsid w:val="00FB1C21"/>
    <w:rsid w:val="00FB1E2D"/>
    <w:rsid w:val="00FB2773"/>
    <w:rsid w:val="00FB2FCB"/>
    <w:rsid w:val="00FB3176"/>
    <w:rsid w:val="00FB45E5"/>
    <w:rsid w:val="00FB49CB"/>
    <w:rsid w:val="00FB4C9C"/>
    <w:rsid w:val="00FB4ED7"/>
    <w:rsid w:val="00FB503E"/>
    <w:rsid w:val="00FB56F2"/>
    <w:rsid w:val="00FB5D84"/>
    <w:rsid w:val="00FB62FB"/>
    <w:rsid w:val="00FB662B"/>
    <w:rsid w:val="00FB6972"/>
    <w:rsid w:val="00FB74A4"/>
    <w:rsid w:val="00FB7557"/>
    <w:rsid w:val="00FB771F"/>
    <w:rsid w:val="00FB789B"/>
    <w:rsid w:val="00FB7C55"/>
    <w:rsid w:val="00FB7DB7"/>
    <w:rsid w:val="00FC0969"/>
    <w:rsid w:val="00FC1074"/>
    <w:rsid w:val="00FC1414"/>
    <w:rsid w:val="00FC15B3"/>
    <w:rsid w:val="00FC1884"/>
    <w:rsid w:val="00FC249D"/>
    <w:rsid w:val="00FC2BA2"/>
    <w:rsid w:val="00FC2FEF"/>
    <w:rsid w:val="00FC371D"/>
    <w:rsid w:val="00FC42C3"/>
    <w:rsid w:val="00FC48CD"/>
    <w:rsid w:val="00FC4AAE"/>
    <w:rsid w:val="00FC4E96"/>
    <w:rsid w:val="00FC4F07"/>
    <w:rsid w:val="00FC52C4"/>
    <w:rsid w:val="00FC5926"/>
    <w:rsid w:val="00FC5CF8"/>
    <w:rsid w:val="00FC5EB6"/>
    <w:rsid w:val="00FC5F0B"/>
    <w:rsid w:val="00FC637A"/>
    <w:rsid w:val="00FC668F"/>
    <w:rsid w:val="00FC7384"/>
    <w:rsid w:val="00FC73DD"/>
    <w:rsid w:val="00FC767E"/>
    <w:rsid w:val="00FC76A6"/>
    <w:rsid w:val="00FC7BC4"/>
    <w:rsid w:val="00FC7FA5"/>
    <w:rsid w:val="00FD1A2D"/>
    <w:rsid w:val="00FD1DB1"/>
    <w:rsid w:val="00FD2100"/>
    <w:rsid w:val="00FD232C"/>
    <w:rsid w:val="00FD24CD"/>
    <w:rsid w:val="00FD26B2"/>
    <w:rsid w:val="00FD379A"/>
    <w:rsid w:val="00FD436C"/>
    <w:rsid w:val="00FD446D"/>
    <w:rsid w:val="00FD477C"/>
    <w:rsid w:val="00FD4F2C"/>
    <w:rsid w:val="00FD51F6"/>
    <w:rsid w:val="00FD5431"/>
    <w:rsid w:val="00FD5717"/>
    <w:rsid w:val="00FD6394"/>
    <w:rsid w:val="00FD6955"/>
    <w:rsid w:val="00FD6B4F"/>
    <w:rsid w:val="00FD7116"/>
    <w:rsid w:val="00FD714E"/>
    <w:rsid w:val="00FD7A2A"/>
    <w:rsid w:val="00FE03B3"/>
    <w:rsid w:val="00FE09F5"/>
    <w:rsid w:val="00FE0E6C"/>
    <w:rsid w:val="00FE183A"/>
    <w:rsid w:val="00FE1846"/>
    <w:rsid w:val="00FE1CDC"/>
    <w:rsid w:val="00FE281D"/>
    <w:rsid w:val="00FE2CEA"/>
    <w:rsid w:val="00FE3145"/>
    <w:rsid w:val="00FE329C"/>
    <w:rsid w:val="00FE32D4"/>
    <w:rsid w:val="00FE343A"/>
    <w:rsid w:val="00FE3ADF"/>
    <w:rsid w:val="00FE3BA4"/>
    <w:rsid w:val="00FE3FDB"/>
    <w:rsid w:val="00FE411D"/>
    <w:rsid w:val="00FE4411"/>
    <w:rsid w:val="00FE47C9"/>
    <w:rsid w:val="00FE4D9A"/>
    <w:rsid w:val="00FE505E"/>
    <w:rsid w:val="00FE50BB"/>
    <w:rsid w:val="00FE53A3"/>
    <w:rsid w:val="00FE6185"/>
    <w:rsid w:val="00FE63DA"/>
    <w:rsid w:val="00FE66F1"/>
    <w:rsid w:val="00FE6BAE"/>
    <w:rsid w:val="00FE6DFE"/>
    <w:rsid w:val="00FE70C3"/>
    <w:rsid w:val="00FE75E6"/>
    <w:rsid w:val="00FE76E1"/>
    <w:rsid w:val="00FE7CE3"/>
    <w:rsid w:val="00FE7E87"/>
    <w:rsid w:val="00FF0290"/>
    <w:rsid w:val="00FF07F0"/>
    <w:rsid w:val="00FF0897"/>
    <w:rsid w:val="00FF0CD6"/>
    <w:rsid w:val="00FF0E99"/>
    <w:rsid w:val="00FF138E"/>
    <w:rsid w:val="00FF148C"/>
    <w:rsid w:val="00FF15E7"/>
    <w:rsid w:val="00FF1A8B"/>
    <w:rsid w:val="00FF2A27"/>
    <w:rsid w:val="00FF2AD9"/>
    <w:rsid w:val="00FF2C03"/>
    <w:rsid w:val="00FF3272"/>
    <w:rsid w:val="00FF359F"/>
    <w:rsid w:val="00FF3CE2"/>
    <w:rsid w:val="00FF3DCF"/>
    <w:rsid w:val="00FF413E"/>
    <w:rsid w:val="00FF42A2"/>
    <w:rsid w:val="00FF456F"/>
    <w:rsid w:val="00FF492C"/>
    <w:rsid w:val="00FF4A21"/>
    <w:rsid w:val="00FF4E50"/>
    <w:rsid w:val="00FF50D5"/>
    <w:rsid w:val="00FF5AA3"/>
    <w:rsid w:val="00FF5AD8"/>
    <w:rsid w:val="00FF6616"/>
    <w:rsid w:val="00FF7A94"/>
    <w:rsid w:val="016012A0"/>
    <w:rsid w:val="025F362E"/>
    <w:rsid w:val="028D7044"/>
    <w:rsid w:val="02DE7483"/>
    <w:rsid w:val="03700EDE"/>
    <w:rsid w:val="04E16A2D"/>
    <w:rsid w:val="0507A864"/>
    <w:rsid w:val="05DBF7B8"/>
    <w:rsid w:val="061604F3"/>
    <w:rsid w:val="07A6E63F"/>
    <w:rsid w:val="084EBDE6"/>
    <w:rsid w:val="088F0B5F"/>
    <w:rsid w:val="0A3C2B62"/>
    <w:rsid w:val="0A6450D8"/>
    <w:rsid w:val="0A7361CB"/>
    <w:rsid w:val="0B5238DD"/>
    <w:rsid w:val="0B59B1F6"/>
    <w:rsid w:val="0D2CF463"/>
    <w:rsid w:val="0EABF2DE"/>
    <w:rsid w:val="0F907FFC"/>
    <w:rsid w:val="101EB548"/>
    <w:rsid w:val="111EF7E9"/>
    <w:rsid w:val="12EA5264"/>
    <w:rsid w:val="138FACFE"/>
    <w:rsid w:val="14CB66B4"/>
    <w:rsid w:val="14E2FF95"/>
    <w:rsid w:val="17CBD19E"/>
    <w:rsid w:val="1818F8D2"/>
    <w:rsid w:val="1828B196"/>
    <w:rsid w:val="19DE82BC"/>
    <w:rsid w:val="1A4C6784"/>
    <w:rsid w:val="1B1A9022"/>
    <w:rsid w:val="1B3B1C29"/>
    <w:rsid w:val="1B71EFF9"/>
    <w:rsid w:val="1BD4AEB9"/>
    <w:rsid w:val="1C68656A"/>
    <w:rsid w:val="1DBE3A4D"/>
    <w:rsid w:val="1E3460B1"/>
    <w:rsid w:val="1E55D433"/>
    <w:rsid w:val="2009638D"/>
    <w:rsid w:val="20A0B79E"/>
    <w:rsid w:val="240BB21E"/>
    <w:rsid w:val="2448BB0F"/>
    <w:rsid w:val="26224411"/>
    <w:rsid w:val="26F166F0"/>
    <w:rsid w:val="27906DB2"/>
    <w:rsid w:val="2821404C"/>
    <w:rsid w:val="298841C2"/>
    <w:rsid w:val="29C12B13"/>
    <w:rsid w:val="29D4700D"/>
    <w:rsid w:val="2A5F4E34"/>
    <w:rsid w:val="2CB0D35A"/>
    <w:rsid w:val="2E356EDD"/>
    <w:rsid w:val="2E917B38"/>
    <w:rsid w:val="2F1A828A"/>
    <w:rsid w:val="3012AD00"/>
    <w:rsid w:val="314C1D70"/>
    <w:rsid w:val="31C441AF"/>
    <w:rsid w:val="3621E586"/>
    <w:rsid w:val="37494988"/>
    <w:rsid w:val="385D6B88"/>
    <w:rsid w:val="39462414"/>
    <w:rsid w:val="39EBEB88"/>
    <w:rsid w:val="3C32FE96"/>
    <w:rsid w:val="3D264D6F"/>
    <w:rsid w:val="3D65E2E4"/>
    <w:rsid w:val="3E550440"/>
    <w:rsid w:val="3EC272A8"/>
    <w:rsid w:val="3F449CEA"/>
    <w:rsid w:val="4010482B"/>
    <w:rsid w:val="40CA804F"/>
    <w:rsid w:val="41632E09"/>
    <w:rsid w:val="41A56EFB"/>
    <w:rsid w:val="424353D5"/>
    <w:rsid w:val="42D1FA4E"/>
    <w:rsid w:val="444E06FF"/>
    <w:rsid w:val="4462DFD8"/>
    <w:rsid w:val="44C211A0"/>
    <w:rsid w:val="44DDB029"/>
    <w:rsid w:val="47C8F8C7"/>
    <w:rsid w:val="4842FF59"/>
    <w:rsid w:val="495CEE47"/>
    <w:rsid w:val="4964A42E"/>
    <w:rsid w:val="49F693FD"/>
    <w:rsid w:val="4A99E19B"/>
    <w:rsid w:val="4BD20565"/>
    <w:rsid w:val="4DDE6315"/>
    <w:rsid w:val="5068F4F4"/>
    <w:rsid w:val="5354E822"/>
    <w:rsid w:val="53714E29"/>
    <w:rsid w:val="53CDE97F"/>
    <w:rsid w:val="5492176A"/>
    <w:rsid w:val="5528E45A"/>
    <w:rsid w:val="55A46918"/>
    <w:rsid w:val="5743150C"/>
    <w:rsid w:val="57503A44"/>
    <w:rsid w:val="58A0698B"/>
    <w:rsid w:val="5A31CED7"/>
    <w:rsid w:val="5AB5845A"/>
    <w:rsid w:val="5AFA4F64"/>
    <w:rsid w:val="5B2CE2B3"/>
    <w:rsid w:val="619C77F4"/>
    <w:rsid w:val="63D5DE4C"/>
    <w:rsid w:val="64144BFC"/>
    <w:rsid w:val="64714E15"/>
    <w:rsid w:val="64FEAAA1"/>
    <w:rsid w:val="652AE014"/>
    <w:rsid w:val="65AC944E"/>
    <w:rsid w:val="66483D3C"/>
    <w:rsid w:val="6A6F2061"/>
    <w:rsid w:val="6B95C899"/>
    <w:rsid w:val="6BAD701A"/>
    <w:rsid w:val="6C7F71DC"/>
    <w:rsid w:val="6CA4C5ED"/>
    <w:rsid w:val="6CC03C12"/>
    <w:rsid w:val="6CED08C1"/>
    <w:rsid w:val="6DA3EAC2"/>
    <w:rsid w:val="6DFA38BC"/>
    <w:rsid w:val="6E756F4D"/>
    <w:rsid w:val="6EAD0A34"/>
    <w:rsid w:val="711F133E"/>
    <w:rsid w:val="71AF7C94"/>
    <w:rsid w:val="71C477E5"/>
    <w:rsid w:val="71EE40EB"/>
    <w:rsid w:val="72237DF4"/>
    <w:rsid w:val="748510A1"/>
    <w:rsid w:val="74D35FDB"/>
    <w:rsid w:val="75D45B9E"/>
    <w:rsid w:val="7687B013"/>
    <w:rsid w:val="76AE5112"/>
    <w:rsid w:val="77E1EC28"/>
    <w:rsid w:val="7A037B6A"/>
    <w:rsid w:val="7A079773"/>
    <w:rsid w:val="7B6BCD3A"/>
    <w:rsid w:val="7BFBCF8B"/>
    <w:rsid w:val="7DA8745A"/>
    <w:rsid w:val="7EE24840"/>
    <w:rsid w:val="7EFB4D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3" w:uiPriority="9"/>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E21"/>
    <w:pPr>
      <w:jc w:val="both"/>
    </w:pPr>
    <w:rPr>
      <w:rFonts w:ascii="Calibri" w:hAnsi="Calibri" w:cs="Arial"/>
      <w:sz w:val="24"/>
      <w:szCs w:val="24"/>
    </w:rPr>
  </w:style>
  <w:style w:type="paragraph" w:styleId="Heading1">
    <w:name w:val="heading 1"/>
    <w:basedOn w:val="Normal"/>
    <w:next w:val="Normal"/>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uiPriority w:val="9"/>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Fig caption,Caption Char1 Char,Caption Char Char Char,Caption Char1 Char Char Char,Caption Char Char Char Char Char,Caption Char Char1 Char,Caption Char1 Char1,Caption Char Char Char1,Caption Char1,Caption Char Char,Caption Char2 Char,Bullet"/>
    <w:basedOn w:val="Normal"/>
    <w:next w:val="Normal"/>
    <w:link w:val="CaptionChar"/>
    <w:uiPriority w:val="35"/>
    <w:unhideWhenUsed/>
    <w:qFormat/>
    <w:rsid w:val="005D02AD"/>
    <w:pPr>
      <w:keepNext/>
      <w:keepLines/>
      <w:spacing w:before="120"/>
    </w:pPr>
    <w:rPr>
      <w:rFonts w:ascii="Arial Narrow" w:hAnsi="Arial Narrow"/>
      <w:b/>
      <w:bCs/>
      <w:sz w:val="20"/>
      <w:szCs w:val="18"/>
    </w:rPr>
  </w:style>
  <w:style w:type="character" w:customStyle="1" w:styleId="CaptionChar">
    <w:name w:val="Caption Char"/>
    <w:aliases w:val="TabFig caption Char,Caption Char1 Char Char,Caption Char Char Char Char,Caption Char1 Char Char Char Char,Caption Char Char Char Char Char Char,Caption Char Char1 Char Char,Caption Char1 Char1 Char,Caption Char Char Char1 Char,Bullet Char"/>
    <w:link w:val="Caption"/>
    <w:uiPriority w:val="35"/>
    <w:rsid w:val="005D02AD"/>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TOC styl"/>
    <w:link w:val="ListParagraphChar"/>
    <w:uiPriority w:val="34"/>
    <w:qFormat/>
    <w:rsid w:val="004C3B02"/>
    <w:pPr>
      <w:numPr>
        <w:numId w:val="5"/>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TAtableplain,PBAC table,new style,MSD Table Grid,RTI AMCP Table,Dossier table,Summary Table,PHE Table Grid,Lash Style Table,Section 3- footnotes,Table Grid nm,HealthConsult,Header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Table HEADER PBAC"/>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4F37AF"/>
    <w:pPr>
      <w:keepNext/>
      <w:keepLines/>
      <w:widowControl w:val="0"/>
    </w:pPr>
    <w:rPr>
      <w:rFonts w:ascii="Arial Narrow" w:eastAsiaTheme="majorEastAsia" w:hAnsi="Arial Narrow" w:cstheme="majorBidi"/>
      <w:iCs/>
      <w:sz w:val="22"/>
      <w:szCs w:val="24"/>
      <w:lang w:eastAsia="en-US"/>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2447EA"/>
    <w:pPr>
      <w:keepNext/>
      <w:keepLines/>
      <w:widowControl w:val="0"/>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A96B1F"/>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A96B1F"/>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3E40A2"/>
    <w:pPr>
      <w:keepNext/>
      <w:spacing w:before="120"/>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3E40A2"/>
    <w:rPr>
      <w:rFonts w:ascii="Arial Narrow" w:eastAsiaTheme="majorEastAsia" w:hAnsi="Arial Narrow" w:cstheme="majorBidi"/>
      <w:b/>
      <w:bCs/>
      <w:szCs w:val="24"/>
    </w:rPr>
  </w:style>
  <w:style w:type="paragraph" w:customStyle="1" w:styleId="3-BodyText">
    <w:name w:val="3-Body Text"/>
    <w:link w:val="3-BodyTextChar"/>
    <w:qFormat/>
    <w:rsid w:val="00CF5F98"/>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CF5F9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4F37AF"/>
    <w:rPr>
      <w:rFonts w:ascii="Arial Narrow" w:eastAsiaTheme="majorEastAsia" w:hAnsi="Arial Narrow" w:cstheme="majorBidi"/>
      <w:iCs/>
      <w:sz w:val="22"/>
      <w:szCs w:val="24"/>
      <w:lang w:eastAsia="en-US"/>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D17A65"/>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D17A65"/>
    <w:rPr>
      <w:rFonts w:ascii="Arial Narrow" w:hAnsi="Arial Narrow" w:cs="Arial"/>
      <w:snapToGrid w:val="0"/>
      <w:sz w:val="18"/>
      <w:szCs w:val="22"/>
    </w:rPr>
  </w:style>
  <w:style w:type="paragraph" w:customStyle="1" w:styleId="SummaryBoxHeading">
    <w:name w:val="Summary Box Heading"/>
    <w:basedOn w:val="TableText0"/>
    <w:rsid w:val="001E43DB"/>
    <w:pPr>
      <w:spacing w:before="20" w:after="20" w:line="276" w:lineRule="auto"/>
    </w:pPr>
    <w:rPr>
      <w:rFonts w:cs="Arial"/>
      <w:b/>
      <w:bCs/>
      <w:szCs w:val="22"/>
      <w:lang w:bidi="en-US"/>
    </w:rPr>
  </w:style>
  <w:style w:type="table" w:customStyle="1" w:styleId="AZTable1">
    <w:name w:val="AZ Table1"/>
    <w:basedOn w:val="TableNormal"/>
    <w:uiPriority w:val="99"/>
    <w:rsid w:val="003D7C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Sources">
    <w:name w:val="Sources"/>
    <w:basedOn w:val="Normal"/>
    <w:rsid w:val="00ED49F2"/>
    <w:pPr>
      <w:spacing w:before="120" w:after="120"/>
      <w:jc w:val="left"/>
    </w:pPr>
    <w:rPr>
      <w:rFonts w:ascii="Arial" w:eastAsiaTheme="minorHAnsi" w:hAnsi="Arial" w:cstheme="minorBidi"/>
      <w:sz w:val="16"/>
      <w:szCs w:val="22"/>
      <w:lang w:eastAsia="en-US"/>
    </w:rPr>
  </w:style>
  <w:style w:type="paragraph" w:customStyle="1" w:styleId="TableHeading0">
    <w:name w:val="Table Heading"/>
    <w:basedOn w:val="TableText0"/>
    <w:link w:val="TableHeadingChar"/>
    <w:qFormat/>
    <w:rsid w:val="00BF3684"/>
    <w:pPr>
      <w:spacing w:before="20" w:after="20" w:line="276" w:lineRule="auto"/>
    </w:pPr>
    <w:rPr>
      <w:rFonts w:cs="Arial"/>
      <w:b/>
      <w:bCs/>
      <w:szCs w:val="20"/>
      <w:lang w:bidi="en-US"/>
    </w:rPr>
  </w:style>
  <w:style w:type="table" w:customStyle="1" w:styleId="AZTable">
    <w:name w:val="AZ Table"/>
    <w:basedOn w:val="TableNormal"/>
    <w:uiPriority w:val="99"/>
    <w:rsid w:val="00BF3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HeadingChar">
    <w:name w:val="Table Heading Char"/>
    <w:basedOn w:val="DefaultParagraphFont"/>
    <w:link w:val="TableHeading0"/>
    <w:locked/>
    <w:rsid w:val="00BF3684"/>
    <w:rPr>
      <w:rFonts w:ascii="Arial Narrow" w:eastAsiaTheme="majorEastAsia" w:hAnsi="Arial Narrow" w:cs="Arial"/>
      <w:b/>
      <w:lang w:bidi="en-US"/>
    </w:rPr>
  </w:style>
  <w:style w:type="paragraph" w:customStyle="1" w:styleId="TableBullet">
    <w:name w:val="Table Bullet"/>
    <w:basedOn w:val="TableText0"/>
    <w:rsid w:val="003B562E"/>
    <w:pPr>
      <w:widowControl/>
      <w:numPr>
        <w:numId w:val="7"/>
      </w:numPr>
      <w:tabs>
        <w:tab w:val="num" w:pos="360"/>
      </w:tabs>
      <w:spacing w:before="20" w:after="20" w:line="276" w:lineRule="auto"/>
      <w:ind w:left="284" w:hanging="284"/>
    </w:pPr>
    <w:rPr>
      <w:rFonts w:cs="Arial"/>
      <w:bCs/>
      <w:szCs w:val="20"/>
      <w:lang w:bidi="en-US"/>
    </w:rPr>
  </w:style>
  <w:style w:type="character" w:customStyle="1" w:styleId="cf01">
    <w:name w:val="cf01"/>
    <w:basedOn w:val="DefaultParagraphFont"/>
    <w:rsid w:val="00090BDB"/>
    <w:rPr>
      <w:rFonts w:ascii="Segoe UI" w:hAnsi="Segoe UI" w:cs="Segoe UI" w:hint="default"/>
      <w:sz w:val="18"/>
      <w:szCs w:val="18"/>
    </w:rPr>
  </w:style>
  <w:style w:type="table" w:customStyle="1" w:styleId="Submissionstandard">
    <w:name w:val="Submission standard"/>
    <w:basedOn w:val="TableNormal"/>
    <w:uiPriority w:val="99"/>
    <w:qFormat/>
    <w:rsid w:val="00356414"/>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Italic" w:hAnsi="Arial Narrow Italic" w:cstheme="majorBidi"/>
        <w:b/>
        <w:sz w:val="20"/>
      </w:rPr>
      <w:tblPr/>
      <w:tcPr>
        <w:shd w:val="clear" w:color="auto" w:fill="BFBFBF" w:themeFill="background1" w:themeFillShade="BF"/>
      </w:tcPr>
    </w:tblStylePr>
  </w:style>
  <w:style w:type="table" w:customStyle="1" w:styleId="SummaryTable1">
    <w:name w:val="Summary Table1"/>
    <w:basedOn w:val="TableNormal"/>
    <w:uiPriority w:val="59"/>
    <w:rsid w:val="00276924"/>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399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645590"/>
    <w:rPr>
      <w:sz w:val="20"/>
      <w:szCs w:val="20"/>
    </w:rPr>
  </w:style>
  <w:style w:type="character" w:customStyle="1" w:styleId="FootnoteTextChar">
    <w:name w:val="Footnote Text Char"/>
    <w:basedOn w:val="DefaultParagraphFont"/>
    <w:link w:val="FootnoteText"/>
    <w:semiHidden/>
    <w:rsid w:val="00645590"/>
    <w:rPr>
      <w:rFonts w:ascii="Calibri" w:hAnsi="Calibri" w:cs="Arial"/>
    </w:rPr>
  </w:style>
  <w:style w:type="character" w:styleId="FootnoteReference">
    <w:name w:val="footnote reference"/>
    <w:basedOn w:val="DefaultParagraphFont"/>
    <w:semiHidden/>
    <w:unhideWhenUsed/>
    <w:rsid w:val="00645590"/>
    <w:rPr>
      <w:vertAlign w:val="superscript"/>
    </w:rPr>
  </w:style>
  <w:style w:type="character" w:styleId="UnresolvedMention">
    <w:name w:val="Unresolved Mention"/>
    <w:basedOn w:val="DefaultParagraphFont"/>
    <w:uiPriority w:val="99"/>
    <w:unhideWhenUsed/>
    <w:rsid w:val="00645590"/>
    <w:rPr>
      <w:color w:val="605E5C"/>
      <w:shd w:val="clear" w:color="auto" w:fill="E1DFDD"/>
    </w:rPr>
  </w:style>
  <w:style w:type="paragraph" w:customStyle="1" w:styleId="TableFigNotes0">
    <w:name w:val="TableFigNotes+0"/>
    <w:basedOn w:val="Normal"/>
    <w:uiPriority w:val="4"/>
    <w:rsid w:val="006236BF"/>
    <w:pPr>
      <w:keepNext/>
      <w:keepLines/>
      <w:spacing w:after="360"/>
      <w:contextualSpacing/>
      <w:jc w:val="left"/>
    </w:pPr>
    <w:rPr>
      <w:rFonts w:cs="Tahoma"/>
      <w:color w:val="000000"/>
      <w:sz w:val="16"/>
      <w:szCs w:val="18"/>
      <w:lang w:val="en-US"/>
    </w:rPr>
  </w:style>
  <w:style w:type="numbering" w:customStyle="1" w:styleId="HeadingListStyle">
    <w:name w:val="Heading List Style"/>
    <w:uiPriority w:val="99"/>
    <w:rsid w:val="006236BF"/>
    <w:pPr>
      <w:numPr>
        <w:numId w:val="8"/>
      </w:numPr>
    </w:pPr>
  </w:style>
  <w:style w:type="paragraph" w:customStyle="1" w:styleId="Heading1Alt">
    <w:name w:val="Heading 1 Alt"/>
    <w:basedOn w:val="Heading1"/>
    <w:rsid w:val="006236BF"/>
    <w:pPr>
      <w:keepNext/>
      <w:keepLines/>
      <w:tabs>
        <w:tab w:val="left" w:pos="1134"/>
      </w:tabs>
      <w:spacing w:before="240" w:after="240" w:line="360" w:lineRule="auto"/>
      <w:ind w:left="2268" w:hanging="2268"/>
      <w:jc w:val="left"/>
    </w:pPr>
    <w:rPr>
      <w:rFonts w:ascii="Arial" w:eastAsiaTheme="majorEastAsia" w:hAnsi="Arial" w:cstheme="majorBidi"/>
      <w:caps w:val="0"/>
      <w:smallCaps/>
      <w:color w:val="000000" w:themeColor="text1"/>
      <w:sz w:val="36"/>
      <w:szCs w:val="32"/>
      <w:lang w:eastAsia="en-US"/>
    </w:rPr>
  </w:style>
  <w:style w:type="paragraph" w:customStyle="1" w:styleId="Heading2Alt">
    <w:name w:val="Heading 2 Alt"/>
    <w:basedOn w:val="Heading2"/>
    <w:rsid w:val="006236BF"/>
    <w:pPr>
      <w:keepNext/>
      <w:keepLines/>
      <w:spacing w:line="360" w:lineRule="auto"/>
      <w:ind w:left="1134" w:hanging="1134"/>
      <w:jc w:val="left"/>
    </w:pPr>
    <w:rPr>
      <w:rFonts w:ascii="Arial" w:eastAsiaTheme="majorEastAsia" w:hAnsi="Arial" w:cstheme="majorBidi"/>
      <w:i w:val="0"/>
      <w:color w:val="000000" w:themeColor="text1"/>
      <w:sz w:val="32"/>
      <w:szCs w:val="26"/>
      <w:lang w:eastAsia="en-US"/>
    </w:rPr>
  </w:style>
  <w:style w:type="paragraph" w:customStyle="1" w:styleId="Heading3Alt">
    <w:name w:val="Heading 3 Alt"/>
    <w:basedOn w:val="Heading3"/>
    <w:rsid w:val="006236BF"/>
    <w:pPr>
      <w:keepNext/>
      <w:keepLines/>
      <w:spacing w:before="40" w:line="360" w:lineRule="auto"/>
      <w:ind w:left="1134" w:hanging="1134"/>
      <w:jc w:val="left"/>
    </w:pPr>
    <w:rPr>
      <w:rFonts w:ascii="Arial" w:eastAsiaTheme="majorEastAsia" w:hAnsi="Arial" w:cstheme="majorBidi"/>
      <w:b/>
      <w:color w:val="000000" w:themeColor="text1"/>
      <w:sz w:val="28"/>
      <w:u w:val="none"/>
      <w:lang w:eastAsia="en-US"/>
    </w:rPr>
  </w:style>
  <w:style w:type="paragraph" w:customStyle="1" w:styleId="FirstParagraph">
    <w:name w:val="First Paragraph"/>
    <w:basedOn w:val="BodyText"/>
    <w:next w:val="BodyText"/>
    <w:rsid w:val="006236BF"/>
    <w:pPr>
      <w:spacing w:before="180" w:after="180"/>
    </w:pPr>
    <w:rPr>
      <w:rFonts w:asciiTheme="minorHAnsi" w:eastAsiaTheme="minorHAnsi" w:hAnsiTheme="minorHAnsi" w:cstheme="minorBidi"/>
      <w:lang w:val="en-US" w:eastAsia="en-US"/>
    </w:rPr>
  </w:style>
  <w:style w:type="table" w:customStyle="1" w:styleId="HTATableshaded">
    <w:name w:val="HTA Table shaded"/>
    <w:basedOn w:val="TableNormal"/>
    <w:rsid w:val="006236BF"/>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Heading4-Nonumber">
    <w:name w:val="Heading 4 - No number"/>
    <w:basedOn w:val="Heading4"/>
    <w:rsid w:val="006236BF"/>
    <w:pPr>
      <w:keepLines/>
      <w:spacing w:before="40" w:after="0" w:line="360" w:lineRule="auto"/>
    </w:pPr>
    <w:rPr>
      <w:rFonts w:ascii="Arial" w:eastAsiaTheme="majorEastAsia" w:hAnsi="Arial" w:cstheme="majorBidi"/>
      <w:bCs w:val="0"/>
      <w:i w:val="0"/>
      <w:iCs/>
      <w:color w:val="000000" w:themeColor="text1"/>
      <w:sz w:val="24"/>
      <w:szCs w:val="22"/>
      <w:lang w:eastAsia="en-US"/>
    </w:rPr>
  </w:style>
  <w:style w:type="table" w:styleId="ListTable4-Accent2">
    <w:name w:val="List Table 4 Accent 2"/>
    <w:basedOn w:val="TableNormal"/>
    <w:uiPriority w:val="49"/>
    <w:rsid w:val="006236BF"/>
    <w:rPr>
      <w:rFonts w:asciiTheme="minorHAnsi" w:eastAsiaTheme="minorHAnsi" w:hAnsiTheme="minorHAnsi" w:cstheme="minorBidi"/>
      <w:sz w:val="22"/>
      <w:szCs w:val="22"/>
      <w:lang w:val="en-GB" w:eastAsia="en-US"/>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MtAProposalListBullet1">
    <w:name w:val="MtA Proposal List Bullet 1"/>
    <w:basedOn w:val="Normal"/>
    <w:uiPriority w:val="1"/>
    <w:rsid w:val="006236BF"/>
    <w:pPr>
      <w:numPr>
        <w:numId w:val="9"/>
      </w:numPr>
      <w:spacing w:line="276" w:lineRule="auto"/>
      <w:contextualSpacing/>
      <w:jc w:val="left"/>
    </w:pPr>
    <w:rPr>
      <w:rFonts w:eastAsiaTheme="minorHAnsi" w:cs="Calibri"/>
      <w:color w:val="404040" w:themeColor="text1" w:themeTint="BF"/>
      <w:sz w:val="22"/>
      <w:szCs w:val="22"/>
      <w:lang w:val="en-GB" w:eastAsia="en-US"/>
    </w:rPr>
  </w:style>
  <w:style w:type="paragraph" w:customStyle="1" w:styleId="MtAProposalListBullet2">
    <w:name w:val="MtA Proposal List Bullet 2"/>
    <w:basedOn w:val="MtAProposalListBullet1"/>
    <w:uiPriority w:val="1"/>
    <w:rsid w:val="006236BF"/>
    <w:pPr>
      <w:numPr>
        <w:ilvl w:val="1"/>
      </w:numPr>
      <w:ind w:left="1440" w:hanging="476"/>
    </w:pPr>
  </w:style>
  <w:style w:type="paragraph" w:customStyle="1" w:styleId="MtAProposalListBullet3">
    <w:name w:val="MtA Proposal List Bullet 3"/>
    <w:basedOn w:val="MtAProposalListBullet1"/>
    <w:uiPriority w:val="1"/>
    <w:rsid w:val="006236BF"/>
    <w:pPr>
      <w:numPr>
        <w:ilvl w:val="2"/>
      </w:numPr>
      <w:ind w:left="2160" w:hanging="360"/>
    </w:pPr>
  </w:style>
  <w:style w:type="paragraph" w:customStyle="1" w:styleId="MtAProposalListBullet4">
    <w:name w:val="MtA Proposal List Bullet 4"/>
    <w:basedOn w:val="MtAProposalListBullet1"/>
    <w:uiPriority w:val="1"/>
    <w:rsid w:val="006236BF"/>
    <w:pPr>
      <w:numPr>
        <w:ilvl w:val="3"/>
      </w:numPr>
      <w:ind w:left="2880" w:hanging="360"/>
    </w:pPr>
  </w:style>
  <w:style w:type="paragraph" w:customStyle="1" w:styleId="MtAProposalListBullet5">
    <w:name w:val="MtA Proposal List Bullet 5"/>
    <w:basedOn w:val="MtAProposalListBullet1"/>
    <w:uiPriority w:val="1"/>
    <w:rsid w:val="006236BF"/>
    <w:pPr>
      <w:numPr>
        <w:ilvl w:val="4"/>
      </w:numPr>
      <w:ind w:left="3600" w:hanging="360"/>
    </w:pPr>
  </w:style>
  <w:style w:type="paragraph" w:customStyle="1" w:styleId="Tablenotes">
    <w:name w:val="Tablenotes"/>
    <w:basedOn w:val="Normal"/>
    <w:link w:val="TablenotesChar"/>
    <w:rsid w:val="00C55D03"/>
    <w:pPr>
      <w:widowControl w:val="0"/>
      <w:spacing w:after="360" w:line="269" w:lineRule="auto"/>
      <w:contextualSpacing/>
      <w:jc w:val="left"/>
    </w:pPr>
    <w:rPr>
      <w:rFonts w:ascii="Arial Narrow" w:hAnsi="Arial Narrow"/>
      <w:snapToGrid w:val="0"/>
      <w:sz w:val="18"/>
      <w:szCs w:val="20"/>
      <w:lang w:eastAsia="en-US"/>
    </w:rPr>
  </w:style>
  <w:style w:type="character" w:customStyle="1" w:styleId="TablenotesChar">
    <w:name w:val="Tablenotes Char"/>
    <w:basedOn w:val="DefaultParagraphFont"/>
    <w:link w:val="Tablenotes"/>
    <w:rsid w:val="00C55D03"/>
    <w:rPr>
      <w:rFonts w:ascii="Arial Narrow" w:hAnsi="Arial Narrow" w:cs="Arial"/>
      <w:snapToGrid w:val="0"/>
      <w:sz w:val="18"/>
      <w:lang w:eastAsia="en-US"/>
    </w:rPr>
  </w:style>
  <w:style w:type="character" w:customStyle="1" w:styleId="ui-provider">
    <w:name w:val="ui-provider"/>
    <w:basedOn w:val="DefaultParagraphFont"/>
    <w:rsid w:val="0020213F"/>
  </w:style>
  <w:style w:type="paragraph" w:customStyle="1" w:styleId="3-SubsectionHeading">
    <w:name w:val="3-Subsection Heading"/>
    <w:basedOn w:val="Heading2"/>
    <w:next w:val="Normal"/>
    <w:link w:val="3-SubsectionHeadingChar"/>
    <w:qFormat/>
    <w:rsid w:val="00A92C87"/>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A92C87"/>
    <w:rPr>
      <w:rFonts w:asciiTheme="minorHAnsi" w:eastAsiaTheme="majorEastAsia" w:hAnsiTheme="minorHAnsi" w:cstheme="majorBidi"/>
      <w:b/>
      <w:i/>
      <w:snapToGrid/>
      <w:spacing w:val="5"/>
      <w:kern w:val="28"/>
      <w:sz w:val="28"/>
      <w:szCs w:val="36"/>
      <w:lang w:eastAsia="en-US"/>
    </w:rPr>
  </w:style>
  <w:style w:type="character" w:styleId="Mention">
    <w:name w:val="Mention"/>
    <w:basedOn w:val="DefaultParagraphFont"/>
    <w:uiPriority w:val="99"/>
    <w:unhideWhenUsed/>
    <w:rsid w:val="004066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2777">
      <w:bodyDiv w:val="1"/>
      <w:marLeft w:val="0"/>
      <w:marRight w:val="0"/>
      <w:marTop w:val="0"/>
      <w:marBottom w:val="0"/>
      <w:divBdr>
        <w:top w:val="none" w:sz="0" w:space="0" w:color="auto"/>
        <w:left w:val="none" w:sz="0" w:space="0" w:color="auto"/>
        <w:bottom w:val="none" w:sz="0" w:space="0" w:color="auto"/>
        <w:right w:val="none" w:sz="0" w:space="0" w:color="auto"/>
      </w:divBdr>
    </w:div>
    <w:div w:id="81414443">
      <w:bodyDiv w:val="1"/>
      <w:marLeft w:val="0"/>
      <w:marRight w:val="0"/>
      <w:marTop w:val="0"/>
      <w:marBottom w:val="0"/>
      <w:divBdr>
        <w:top w:val="none" w:sz="0" w:space="0" w:color="auto"/>
        <w:left w:val="none" w:sz="0" w:space="0" w:color="auto"/>
        <w:bottom w:val="none" w:sz="0" w:space="0" w:color="auto"/>
        <w:right w:val="none" w:sz="0" w:space="0" w:color="auto"/>
      </w:divBdr>
    </w:div>
    <w:div w:id="8789606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368507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3506749">
      <w:bodyDiv w:val="1"/>
      <w:marLeft w:val="0"/>
      <w:marRight w:val="0"/>
      <w:marTop w:val="0"/>
      <w:marBottom w:val="0"/>
      <w:divBdr>
        <w:top w:val="none" w:sz="0" w:space="0" w:color="auto"/>
        <w:left w:val="none" w:sz="0" w:space="0" w:color="auto"/>
        <w:bottom w:val="none" w:sz="0" w:space="0" w:color="auto"/>
        <w:right w:val="none" w:sz="0" w:space="0" w:color="auto"/>
      </w:divBdr>
    </w:div>
    <w:div w:id="360864586">
      <w:bodyDiv w:val="1"/>
      <w:marLeft w:val="0"/>
      <w:marRight w:val="0"/>
      <w:marTop w:val="0"/>
      <w:marBottom w:val="0"/>
      <w:divBdr>
        <w:top w:val="none" w:sz="0" w:space="0" w:color="auto"/>
        <w:left w:val="none" w:sz="0" w:space="0" w:color="auto"/>
        <w:bottom w:val="none" w:sz="0" w:space="0" w:color="auto"/>
        <w:right w:val="none" w:sz="0" w:space="0" w:color="auto"/>
      </w:divBdr>
    </w:div>
    <w:div w:id="376245749">
      <w:bodyDiv w:val="1"/>
      <w:marLeft w:val="0"/>
      <w:marRight w:val="0"/>
      <w:marTop w:val="0"/>
      <w:marBottom w:val="0"/>
      <w:divBdr>
        <w:top w:val="none" w:sz="0" w:space="0" w:color="auto"/>
        <w:left w:val="none" w:sz="0" w:space="0" w:color="auto"/>
        <w:bottom w:val="none" w:sz="0" w:space="0" w:color="auto"/>
        <w:right w:val="none" w:sz="0" w:space="0" w:color="auto"/>
      </w:divBdr>
    </w:div>
    <w:div w:id="395202389">
      <w:bodyDiv w:val="1"/>
      <w:marLeft w:val="0"/>
      <w:marRight w:val="0"/>
      <w:marTop w:val="0"/>
      <w:marBottom w:val="0"/>
      <w:divBdr>
        <w:top w:val="none" w:sz="0" w:space="0" w:color="auto"/>
        <w:left w:val="none" w:sz="0" w:space="0" w:color="auto"/>
        <w:bottom w:val="none" w:sz="0" w:space="0" w:color="auto"/>
        <w:right w:val="none" w:sz="0" w:space="0" w:color="auto"/>
      </w:divBdr>
    </w:div>
    <w:div w:id="399905007">
      <w:bodyDiv w:val="1"/>
      <w:marLeft w:val="0"/>
      <w:marRight w:val="0"/>
      <w:marTop w:val="0"/>
      <w:marBottom w:val="0"/>
      <w:divBdr>
        <w:top w:val="none" w:sz="0" w:space="0" w:color="auto"/>
        <w:left w:val="none" w:sz="0" w:space="0" w:color="auto"/>
        <w:bottom w:val="none" w:sz="0" w:space="0" w:color="auto"/>
        <w:right w:val="none" w:sz="0" w:space="0" w:color="auto"/>
      </w:divBdr>
    </w:div>
    <w:div w:id="428353881">
      <w:bodyDiv w:val="1"/>
      <w:marLeft w:val="0"/>
      <w:marRight w:val="0"/>
      <w:marTop w:val="0"/>
      <w:marBottom w:val="0"/>
      <w:divBdr>
        <w:top w:val="none" w:sz="0" w:space="0" w:color="auto"/>
        <w:left w:val="none" w:sz="0" w:space="0" w:color="auto"/>
        <w:bottom w:val="none" w:sz="0" w:space="0" w:color="auto"/>
        <w:right w:val="none" w:sz="0" w:space="0" w:color="auto"/>
      </w:divBdr>
    </w:div>
    <w:div w:id="556745081">
      <w:bodyDiv w:val="1"/>
      <w:marLeft w:val="0"/>
      <w:marRight w:val="0"/>
      <w:marTop w:val="0"/>
      <w:marBottom w:val="0"/>
      <w:divBdr>
        <w:top w:val="none" w:sz="0" w:space="0" w:color="auto"/>
        <w:left w:val="none" w:sz="0" w:space="0" w:color="auto"/>
        <w:bottom w:val="none" w:sz="0" w:space="0" w:color="auto"/>
        <w:right w:val="none" w:sz="0" w:space="0" w:color="auto"/>
      </w:divBdr>
    </w:div>
    <w:div w:id="563102881">
      <w:bodyDiv w:val="1"/>
      <w:marLeft w:val="0"/>
      <w:marRight w:val="0"/>
      <w:marTop w:val="0"/>
      <w:marBottom w:val="0"/>
      <w:divBdr>
        <w:top w:val="none" w:sz="0" w:space="0" w:color="auto"/>
        <w:left w:val="none" w:sz="0" w:space="0" w:color="auto"/>
        <w:bottom w:val="none" w:sz="0" w:space="0" w:color="auto"/>
        <w:right w:val="none" w:sz="0" w:space="0" w:color="auto"/>
      </w:divBdr>
    </w:div>
    <w:div w:id="58152414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2529337">
      <w:bodyDiv w:val="1"/>
      <w:marLeft w:val="0"/>
      <w:marRight w:val="0"/>
      <w:marTop w:val="0"/>
      <w:marBottom w:val="0"/>
      <w:divBdr>
        <w:top w:val="none" w:sz="0" w:space="0" w:color="auto"/>
        <w:left w:val="none" w:sz="0" w:space="0" w:color="auto"/>
        <w:bottom w:val="none" w:sz="0" w:space="0" w:color="auto"/>
        <w:right w:val="none" w:sz="0" w:space="0" w:color="auto"/>
      </w:divBdr>
    </w:div>
    <w:div w:id="875192715">
      <w:bodyDiv w:val="1"/>
      <w:marLeft w:val="0"/>
      <w:marRight w:val="0"/>
      <w:marTop w:val="0"/>
      <w:marBottom w:val="0"/>
      <w:divBdr>
        <w:top w:val="none" w:sz="0" w:space="0" w:color="auto"/>
        <w:left w:val="none" w:sz="0" w:space="0" w:color="auto"/>
        <w:bottom w:val="none" w:sz="0" w:space="0" w:color="auto"/>
        <w:right w:val="none" w:sz="0" w:space="0" w:color="auto"/>
      </w:divBdr>
    </w:div>
    <w:div w:id="1017731739">
      <w:bodyDiv w:val="1"/>
      <w:marLeft w:val="0"/>
      <w:marRight w:val="0"/>
      <w:marTop w:val="0"/>
      <w:marBottom w:val="0"/>
      <w:divBdr>
        <w:top w:val="none" w:sz="0" w:space="0" w:color="auto"/>
        <w:left w:val="none" w:sz="0" w:space="0" w:color="auto"/>
        <w:bottom w:val="none" w:sz="0" w:space="0" w:color="auto"/>
        <w:right w:val="none" w:sz="0" w:space="0" w:color="auto"/>
      </w:divBdr>
    </w:div>
    <w:div w:id="1030692279">
      <w:bodyDiv w:val="1"/>
      <w:marLeft w:val="0"/>
      <w:marRight w:val="0"/>
      <w:marTop w:val="0"/>
      <w:marBottom w:val="0"/>
      <w:divBdr>
        <w:top w:val="none" w:sz="0" w:space="0" w:color="auto"/>
        <w:left w:val="none" w:sz="0" w:space="0" w:color="auto"/>
        <w:bottom w:val="none" w:sz="0" w:space="0" w:color="auto"/>
        <w:right w:val="none" w:sz="0" w:space="0" w:color="auto"/>
      </w:divBdr>
    </w:div>
    <w:div w:id="105115335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06997722">
      <w:bodyDiv w:val="1"/>
      <w:marLeft w:val="0"/>
      <w:marRight w:val="0"/>
      <w:marTop w:val="0"/>
      <w:marBottom w:val="0"/>
      <w:divBdr>
        <w:top w:val="none" w:sz="0" w:space="0" w:color="auto"/>
        <w:left w:val="none" w:sz="0" w:space="0" w:color="auto"/>
        <w:bottom w:val="none" w:sz="0" w:space="0" w:color="auto"/>
        <w:right w:val="none" w:sz="0" w:space="0" w:color="auto"/>
      </w:divBdr>
    </w:div>
    <w:div w:id="1443961078">
      <w:bodyDiv w:val="1"/>
      <w:marLeft w:val="0"/>
      <w:marRight w:val="0"/>
      <w:marTop w:val="0"/>
      <w:marBottom w:val="0"/>
      <w:divBdr>
        <w:top w:val="none" w:sz="0" w:space="0" w:color="auto"/>
        <w:left w:val="none" w:sz="0" w:space="0" w:color="auto"/>
        <w:bottom w:val="none" w:sz="0" w:space="0" w:color="auto"/>
        <w:right w:val="none" w:sz="0" w:space="0" w:color="auto"/>
      </w:divBdr>
    </w:div>
    <w:div w:id="1447777757">
      <w:bodyDiv w:val="1"/>
      <w:marLeft w:val="0"/>
      <w:marRight w:val="0"/>
      <w:marTop w:val="0"/>
      <w:marBottom w:val="0"/>
      <w:divBdr>
        <w:top w:val="none" w:sz="0" w:space="0" w:color="auto"/>
        <w:left w:val="none" w:sz="0" w:space="0" w:color="auto"/>
        <w:bottom w:val="none" w:sz="0" w:space="0" w:color="auto"/>
        <w:right w:val="none" w:sz="0" w:space="0" w:color="auto"/>
      </w:divBdr>
    </w:div>
    <w:div w:id="1581252967">
      <w:bodyDiv w:val="1"/>
      <w:marLeft w:val="0"/>
      <w:marRight w:val="0"/>
      <w:marTop w:val="0"/>
      <w:marBottom w:val="0"/>
      <w:divBdr>
        <w:top w:val="none" w:sz="0" w:space="0" w:color="auto"/>
        <w:left w:val="none" w:sz="0" w:space="0" w:color="auto"/>
        <w:bottom w:val="none" w:sz="0" w:space="0" w:color="auto"/>
        <w:right w:val="none" w:sz="0" w:space="0" w:color="auto"/>
      </w:divBdr>
    </w:div>
    <w:div w:id="1583755324">
      <w:bodyDiv w:val="1"/>
      <w:marLeft w:val="0"/>
      <w:marRight w:val="0"/>
      <w:marTop w:val="0"/>
      <w:marBottom w:val="0"/>
      <w:divBdr>
        <w:top w:val="none" w:sz="0" w:space="0" w:color="auto"/>
        <w:left w:val="none" w:sz="0" w:space="0" w:color="auto"/>
        <w:bottom w:val="none" w:sz="0" w:space="0" w:color="auto"/>
        <w:right w:val="none" w:sz="0" w:space="0" w:color="auto"/>
      </w:divBdr>
    </w:div>
    <w:div w:id="186424307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3993635">
      <w:bodyDiv w:val="1"/>
      <w:marLeft w:val="0"/>
      <w:marRight w:val="0"/>
      <w:marTop w:val="0"/>
      <w:marBottom w:val="0"/>
      <w:divBdr>
        <w:top w:val="none" w:sz="0" w:space="0" w:color="auto"/>
        <w:left w:val="none" w:sz="0" w:space="0" w:color="auto"/>
        <w:bottom w:val="none" w:sz="0" w:space="0" w:color="auto"/>
        <w:right w:val="none" w:sz="0" w:space="0" w:color="auto"/>
      </w:divBdr>
    </w:div>
    <w:div w:id="2002346991">
      <w:bodyDiv w:val="1"/>
      <w:marLeft w:val="0"/>
      <w:marRight w:val="0"/>
      <w:marTop w:val="0"/>
      <w:marBottom w:val="0"/>
      <w:divBdr>
        <w:top w:val="none" w:sz="0" w:space="0" w:color="auto"/>
        <w:left w:val="none" w:sz="0" w:space="0" w:color="auto"/>
        <w:bottom w:val="none" w:sz="0" w:space="0" w:color="auto"/>
        <w:right w:val="none" w:sz="0" w:space="0" w:color="auto"/>
      </w:divBdr>
    </w:div>
    <w:div w:id="2025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tga.gov.au/resources/auspar" TargetMode="External"/><Relationship Id="rId2" Type="http://schemas.openxmlformats.org/officeDocument/2006/relationships/hyperlink" Target="http://www.tga.gov.au/resources/auspar" TargetMode="External"/><Relationship Id="rId1" Type="http://schemas.openxmlformats.org/officeDocument/2006/relationships/hyperlink" Target="https://www.ncbi.nlm.nih.gov/pmc/articles/PMC10824389/" TargetMode="External"/><Relationship Id="rId5" Type="http://schemas.openxmlformats.org/officeDocument/2006/relationships/hyperlink" Target="http://www.tga.gov.au/resources/auspar" TargetMode="External"/><Relationship Id="rId4" Type="http://schemas.openxmlformats.org/officeDocument/2006/relationships/hyperlink" Target="http://www.tga.gov.au/resources/aus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3FC9D9B6-2CD0-4408-B26E-AE831772E7EC}"/>
</file>

<file path=customXml/itemProps3.xml><?xml version="1.0" encoding="utf-8"?>
<ds:datastoreItem xmlns:ds="http://schemas.openxmlformats.org/officeDocument/2006/customXml" ds:itemID="{B667F012-2A57-4EC0-8BC8-28FFFF97138F}"/>
</file>

<file path=customXml/itemProps4.xml><?xml version="1.0" encoding="utf-8"?>
<ds:datastoreItem xmlns:ds="http://schemas.openxmlformats.org/officeDocument/2006/customXml" ds:itemID="{AC5FE1F9-C461-42E8-9A87-496393910A83}"/>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55</Pages>
  <Words>20058</Words>
  <Characters>114336</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2025-05-09T01:24:00Z</dcterms:created>
  <dcterms:modified xsi:type="dcterms:W3CDTF">2025-05-09T01:26:00Z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412900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