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EECC8" w14:textId="24D90570" w:rsidR="00732F7D" w:rsidRPr="0023146D" w:rsidRDefault="008D7AC8" w:rsidP="00732F7D">
      <w:pPr>
        <w:pStyle w:val="1-MainHeading"/>
      </w:pPr>
      <w:bookmarkStart w:id="0" w:name="_Toc177482501"/>
      <w:r>
        <w:t>7</w:t>
      </w:r>
      <w:r w:rsidR="00732F7D" w:rsidRPr="0023146D">
        <w:t>.</w:t>
      </w:r>
      <w:r>
        <w:t>03</w:t>
      </w:r>
      <w:r w:rsidR="00732F7D" w:rsidRPr="0023146D">
        <w:tab/>
      </w:r>
      <w:r w:rsidR="001E6F7B" w:rsidRPr="0023146D">
        <w:t>MARIBAVIR</w:t>
      </w:r>
      <w:r w:rsidR="00732F7D" w:rsidRPr="0023146D">
        <w:t>,</w:t>
      </w:r>
      <w:r w:rsidR="00732F7D" w:rsidRPr="0023146D">
        <w:br/>
      </w:r>
      <w:r w:rsidR="000402A3" w:rsidRPr="0023146D">
        <w:t xml:space="preserve">Tablet </w:t>
      </w:r>
      <w:r w:rsidR="00D45C77" w:rsidRPr="0023146D">
        <w:t>200 mg</w:t>
      </w:r>
      <w:r w:rsidR="00732F7D" w:rsidRPr="0023146D">
        <w:t>,</w:t>
      </w:r>
      <w:r w:rsidR="00732F7D" w:rsidRPr="0023146D">
        <w:br/>
      </w:r>
      <w:proofErr w:type="spellStart"/>
      <w:r w:rsidR="00406B87" w:rsidRPr="0023146D">
        <w:t>Livtencity</w:t>
      </w:r>
      <w:proofErr w:type="spellEnd"/>
      <w:r w:rsidR="00732F7D" w:rsidRPr="0023146D">
        <w:rPr>
          <w:vertAlign w:val="superscript"/>
        </w:rPr>
        <w:t>®</w:t>
      </w:r>
      <w:r w:rsidR="00732F7D" w:rsidRPr="0023146D">
        <w:t>,</w:t>
      </w:r>
      <w:r w:rsidR="00732F7D" w:rsidRPr="0023146D">
        <w:br/>
      </w:r>
      <w:r w:rsidR="005E7CF6" w:rsidRPr="0023146D">
        <w:t>TAKEDA PHARMACEUTICALS AUSTRALIA PTY. LTD</w:t>
      </w:r>
      <w:r w:rsidR="00732F7D" w:rsidRPr="0023146D">
        <w:t>.</w:t>
      </w:r>
      <w:bookmarkEnd w:id="0"/>
    </w:p>
    <w:p w14:paraId="39496821" w14:textId="2EEA9292" w:rsidR="00732F7D" w:rsidRPr="0023146D" w:rsidRDefault="00732F7D" w:rsidP="00732F7D">
      <w:pPr>
        <w:pStyle w:val="2-SectionHeading"/>
      </w:pPr>
      <w:bookmarkStart w:id="1" w:name="_Toc177482503"/>
      <w:r w:rsidRPr="0023146D">
        <w:t>Purpose of submission</w:t>
      </w:r>
      <w:bookmarkEnd w:id="1"/>
    </w:p>
    <w:p w14:paraId="502C8AC3" w14:textId="015C22E0" w:rsidR="00732F7D" w:rsidRPr="0023146D" w:rsidRDefault="00732F7D" w:rsidP="00732F7D">
      <w:pPr>
        <w:pStyle w:val="3-BodyText"/>
      </w:pPr>
      <w:r w:rsidRPr="0023146D">
        <w:t xml:space="preserve">The Standard Re-entry submission requested Section 100 (Highly Specialised Drugs Program) Authority Required (STREAMLINED) listing for maribavir for treatment of post-transplant </w:t>
      </w:r>
      <w:r w:rsidR="0080028A" w:rsidRPr="0023146D">
        <w:t>cytomegalovirus</w:t>
      </w:r>
      <w:r w:rsidRPr="0023146D">
        <w:t xml:space="preserve"> </w:t>
      </w:r>
      <w:r w:rsidR="0080028A" w:rsidRPr="0023146D">
        <w:t>(</w:t>
      </w:r>
      <w:r w:rsidRPr="0023146D">
        <w:t>CMV</w:t>
      </w:r>
      <w:r w:rsidR="0080028A" w:rsidRPr="0023146D">
        <w:t>)</w:t>
      </w:r>
      <w:r w:rsidRPr="0023146D">
        <w:t xml:space="preserve"> infection and disease that is refractory, resistant or intolerant to one or more prior therapies.</w:t>
      </w:r>
    </w:p>
    <w:p w14:paraId="57D42D56" w14:textId="33CF40BD" w:rsidR="00732F7D" w:rsidRPr="0023146D" w:rsidRDefault="00732F7D" w:rsidP="00732F7D">
      <w:pPr>
        <w:pStyle w:val="3-BodyText"/>
      </w:pPr>
      <w:r w:rsidRPr="0023146D">
        <w:t xml:space="preserve">Listing was requested </w:t>
      </w:r>
      <w:proofErr w:type="gramStart"/>
      <w:r w:rsidRPr="0023146D">
        <w:t>on the basis of</w:t>
      </w:r>
      <w:proofErr w:type="gramEnd"/>
      <w:r w:rsidRPr="0023146D">
        <w:t xml:space="preserve"> a cost-effectiveness analysis versus the current standard of care (SoC), stated to be oral valganciclovir, </w:t>
      </w:r>
      <w:r w:rsidR="00980C03" w:rsidRPr="0023146D">
        <w:t>intravenous (</w:t>
      </w:r>
      <w:r w:rsidRPr="0023146D">
        <w:t>IV</w:t>
      </w:r>
      <w:r w:rsidR="00980C03" w:rsidRPr="0023146D">
        <w:t>)</w:t>
      </w:r>
      <w:r w:rsidRPr="0023146D">
        <w:t xml:space="preserve"> ganciclovir, IV foscarnet and/or IV cidofovir. </w:t>
      </w:r>
    </w:p>
    <w:p w14:paraId="01DC1590" w14:textId="1FB07F97" w:rsidR="00732F7D" w:rsidRPr="0023146D" w:rsidRDefault="00732F7D" w:rsidP="00732F7D">
      <w:pPr>
        <w:pStyle w:val="TableFigureHeading"/>
        <w:rPr>
          <w:rStyle w:val="CommentReference"/>
          <w:b/>
          <w:szCs w:val="24"/>
        </w:rPr>
      </w:pPr>
      <w:r w:rsidRPr="0023146D">
        <w:t xml:space="preserve">Table </w:t>
      </w:r>
      <w:r w:rsidR="008A7014">
        <w:fldChar w:fldCharType="begin" w:fldLock="1"/>
      </w:r>
      <w:r w:rsidR="008A7014">
        <w:instrText xml:space="preserve"> SEQ Table \* ARABIC </w:instrText>
      </w:r>
      <w:r w:rsidR="008A7014">
        <w:fldChar w:fldCharType="separate"/>
      </w:r>
      <w:r w:rsidR="008854AA">
        <w:rPr>
          <w:noProof/>
        </w:rPr>
        <w:t>1</w:t>
      </w:r>
      <w:r w:rsidR="008A7014">
        <w:rPr>
          <w:noProof/>
        </w:rPr>
        <w:fldChar w:fldCharType="end"/>
      </w:r>
      <w:r w:rsidRPr="0023146D">
        <w:t>:</w:t>
      </w:r>
      <w:r w:rsidRPr="0023146D">
        <w:rPr>
          <w:rStyle w:val="CommentReference"/>
          <w:b/>
          <w:szCs w:val="24"/>
        </w:rPr>
        <w:t xml:space="preserve"> Key components of the clinical issue addressed by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315"/>
        <w:gridCol w:w="7702"/>
      </w:tblGrid>
      <w:tr w:rsidR="00732F7D" w:rsidRPr="0023146D" w14:paraId="68F2F7AB" w14:textId="77777777" w:rsidTr="00AA10BF">
        <w:trPr>
          <w:cantSplit/>
          <w:tblHeader/>
        </w:trPr>
        <w:tc>
          <w:tcPr>
            <w:tcW w:w="729"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333D634" w14:textId="77777777" w:rsidR="00732F7D" w:rsidRPr="0023146D" w:rsidRDefault="00732F7D" w:rsidP="00F57F1D">
            <w:pPr>
              <w:pStyle w:val="In-tableHeading"/>
              <w:rPr>
                <w:szCs w:val="20"/>
              </w:rPr>
            </w:pPr>
            <w:r w:rsidRPr="0023146D">
              <w:t>Component</w:t>
            </w:r>
          </w:p>
        </w:tc>
        <w:tc>
          <w:tcPr>
            <w:tcW w:w="4271"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6AD7F22" w14:textId="77777777" w:rsidR="00732F7D" w:rsidRPr="0023146D" w:rsidRDefault="00732F7D" w:rsidP="00F57F1D">
            <w:pPr>
              <w:pStyle w:val="In-tableHeading"/>
            </w:pPr>
            <w:r w:rsidRPr="0023146D">
              <w:t>Description</w:t>
            </w:r>
          </w:p>
        </w:tc>
      </w:tr>
      <w:tr w:rsidR="00732F7D" w:rsidRPr="0023146D" w14:paraId="7B6A7DAA" w14:textId="77777777" w:rsidTr="00AA10BF">
        <w:trPr>
          <w:cantSplit/>
        </w:trPr>
        <w:tc>
          <w:tcPr>
            <w:tcW w:w="72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C143D6D" w14:textId="77777777" w:rsidR="00732F7D" w:rsidRPr="0023146D" w:rsidRDefault="00732F7D">
            <w:pPr>
              <w:pStyle w:val="TableText0"/>
            </w:pPr>
            <w:r w:rsidRPr="0023146D">
              <w:t>Population</w:t>
            </w:r>
          </w:p>
        </w:tc>
        <w:tc>
          <w:tcPr>
            <w:tcW w:w="4271"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F85646D" w14:textId="77777777" w:rsidR="00732F7D" w:rsidRPr="0023146D" w:rsidRDefault="00732F7D">
            <w:pPr>
              <w:pStyle w:val="TableText0"/>
            </w:pPr>
            <w:r w:rsidRPr="0023146D">
              <w:t>Adults with post-transplant (HSCT and SOT) CMV infection and disease resistant, refractory, or intolerant to one or more prior therapies</w:t>
            </w:r>
          </w:p>
        </w:tc>
      </w:tr>
      <w:tr w:rsidR="00732F7D" w:rsidRPr="0023146D" w14:paraId="0D500D0C" w14:textId="77777777" w:rsidTr="00AA10BF">
        <w:trPr>
          <w:cantSplit/>
        </w:trPr>
        <w:tc>
          <w:tcPr>
            <w:tcW w:w="72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F63DB51" w14:textId="77777777" w:rsidR="00732F7D" w:rsidRPr="0023146D" w:rsidRDefault="00732F7D">
            <w:pPr>
              <w:pStyle w:val="TableText0"/>
              <w:rPr>
                <w:szCs w:val="24"/>
              </w:rPr>
            </w:pPr>
            <w:r w:rsidRPr="0023146D">
              <w:t>Intervention</w:t>
            </w:r>
          </w:p>
        </w:tc>
        <w:tc>
          <w:tcPr>
            <w:tcW w:w="4271"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4E1964D" w14:textId="77777777" w:rsidR="00732F7D" w:rsidRPr="0023146D" w:rsidRDefault="00732F7D">
            <w:pPr>
              <w:pStyle w:val="TableText0"/>
            </w:pPr>
            <w:r w:rsidRPr="0023146D">
              <w:t>Maribavir 400 mg (two 200 mg tablets) twice daily (total daily dose 800 mg)</w:t>
            </w:r>
          </w:p>
        </w:tc>
      </w:tr>
      <w:tr w:rsidR="00732F7D" w:rsidRPr="0023146D" w14:paraId="7E81A418" w14:textId="77777777" w:rsidTr="00AA10BF">
        <w:trPr>
          <w:cantSplit/>
        </w:trPr>
        <w:tc>
          <w:tcPr>
            <w:tcW w:w="72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3114F9D" w14:textId="77777777" w:rsidR="00732F7D" w:rsidRPr="0023146D" w:rsidRDefault="00732F7D">
            <w:pPr>
              <w:pStyle w:val="TableText0"/>
            </w:pPr>
            <w:r w:rsidRPr="0023146D">
              <w:t>Comparator</w:t>
            </w:r>
          </w:p>
        </w:tc>
        <w:tc>
          <w:tcPr>
            <w:tcW w:w="4271"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A281419" w14:textId="77777777" w:rsidR="00732F7D" w:rsidRPr="0023146D" w:rsidRDefault="00732F7D">
            <w:pPr>
              <w:pStyle w:val="TableText0"/>
            </w:pPr>
            <w:r w:rsidRPr="0023146D">
              <w:t>Current standard of care which includes:</w:t>
            </w:r>
          </w:p>
          <w:p w14:paraId="4E97E9A9" w14:textId="77777777" w:rsidR="00732F7D" w:rsidRPr="0023146D" w:rsidRDefault="00732F7D" w:rsidP="00294EFE">
            <w:pPr>
              <w:pStyle w:val="TableText0"/>
              <w:numPr>
                <w:ilvl w:val="1"/>
                <w:numId w:val="9"/>
              </w:numPr>
              <w:ind w:left="460"/>
            </w:pPr>
            <w:r w:rsidRPr="0023146D">
              <w:t>Ganciclovir</w:t>
            </w:r>
          </w:p>
          <w:p w14:paraId="34EBC56C" w14:textId="77777777" w:rsidR="00732F7D" w:rsidRPr="0023146D" w:rsidRDefault="00732F7D" w:rsidP="00294EFE">
            <w:pPr>
              <w:pStyle w:val="TableText0"/>
              <w:numPr>
                <w:ilvl w:val="1"/>
                <w:numId w:val="9"/>
              </w:numPr>
              <w:ind w:left="460"/>
            </w:pPr>
            <w:r w:rsidRPr="0023146D">
              <w:t xml:space="preserve">Valganciclovir </w:t>
            </w:r>
          </w:p>
          <w:p w14:paraId="54018F95" w14:textId="77777777" w:rsidR="00732F7D" w:rsidRPr="0023146D" w:rsidRDefault="00732F7D" w:rsidP="00294EFE">
            <w:pPr>
              <w:pStyle w:val="TableText0"/>
              <w:numPr>
                <w:ilvl w:val="1"/>
                <w:numId w:val="9"/>
              </w:numPr>
              <w:ind w:left="460"/>
            </w:pPr>
            <w:r w:rsidRPr="0023146D">
              <w:t xml:space="preserve">Foscarnet </w:t>
            </w:r>
          </w:p>
          <w:p w14:paraId="5AEE2EAE" w14:textId="77777777" w:rsidR="00732F7D" w:rsidRPr="0023146D" w:rsidRDefault="00732F7D" w:rsidP="00294EFE">
            <w:pPr>
              <w:pStyle w:val="TableText0"/>
              <w:numPr>
                <w:ilvl w:val="1"/>
                <w:numId w:val="9"/>
              </w:numPr>
              <w:ind w:left="460"/>
            </w:pPr>
            <w:r w:rsidRPr="0023146D">
              <w:t>Cidofovir</w:t>
            </w:r>
          </w:p>
        </w:tc>
      </w:tr>
      <w:tr w:rsidR="00732F7D" w:rsidRPr="0023146D" w14:paraId="128ED8C2" w14:textId="77777777" w:rsidTr="00AA10BF">
        <w:trPr>
          <w:cantSplit/>
        </w:trPr>
        <w:tc>
          <w:tcPr>
            <w:tcW w:w="72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E813995" w14:textId="77777777" w:rsidR="00732F7D" w:rsidRPr="0023146D" w:rsidRDefault="00732F7D">
            <w:pPr>
              <w:pStyle w:val="TableText0"/>
            </w:pPr>
            <w:r w:rsidRPr="0023146D">
              <w:t>Outcomes</w:t>
            </w:r>
          </w:p>
        </w:tc>
        <w:tc>
          <w:tcPr>
            <w:tcW w:w="4271"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E8AF58D" w14:textId="77777777" w:rsidR="00732F7D" w:rsidRPr="0023146D" w:rsidRDefault="00732F7D" w:rsidP="00294EFE">
            <w:pPr>
              <w:pStyle w:val="TableText0"/>
              <w:numPr>
                <w:ilvl w:val="1"/>
                <w:numId w:val="9"/>
              </w:numPr>
              <w:ind w:left="460"/>
            </w:pPr>
            <w:r w:rsidRPr="0023146D">
              <w:t>CMV viremia clearance (&lt;137 IU/mL)</w:t>
            </w:r>
          </w:p>
          <w:p w14:paraId="43FAF5B1" w14:textId="77777777" w:rsidR="00732F7D" w:rsidRPr="0023146D" w:rsidRDefault="00732F7D" w:rsidP="00294EFE">
            <w:pPr>
              <w:pStyle w:val="TableText0"/>
              <w:numPr>
                <w:ilvl w:val="1"/>
                <w:numId w:val="9"/>
              </w:numPr>
              <w:ind w:left="460"/>
            </w:pPr>
            <w:r w:rsidRPr="0023146D">
              <w:t>Symptom control (resolution/improvement of CMV disease/syndrome or absence of the development of CMV disease/syndrome)</w:t>
            </w:r>
          </w:p>
          <w:p w14:paraId="0DB06E7B" w14:textId="77777777" w:rsidR="00732F7D" w:rsidRPr="0023146D" w:rsidRDefault="00732F7D" w:rsidP="00294EFE">
            <w:pPr>
              <w:pStyle w:val="TableText0"/>
              <w:numPr>
                <w:ilvl w:val="1"/>
                <w:numId w:val="9"/>
              </w:numPr>
              <w:ind w:left="460"/>
            </w:pPr>
            <w:r w:rsidRPr="0023146D">
              <w:t>Treatment-emergent adverse events</w:t>
            </w:r>
          </w:p>
          <w:p w14:paraId="448B1CBB" w14:textId="77777777" w:rsidR="00732F7D" w:rsidRPr="0023146D" w:rsidRDefault="00732F7D" w:rsidP="00294EFE">
            <w:pPr>
              <w:pStyle w:val="TableText0"/>
              <w:numPr>
                <w:ilvl w:val="1"/>
                <w:numId w:val="9"/>
              </w:numPr>
              <w:ind w:left="460"/>
            </w:pPr>
            <w:r w:rsidRPr="0023146D">
              <w:t>Treatment-emergent adverse events leading to discontinuation</w:t>
            </w:r>
          </w:p>
          <w:p w14:paraId="27DA06AE" w14:textId="77777777" w:rsidR="00732F7D" w:rsidRPr="0023146D" w:rsidRDefault="00732F7D" w:rsidP="00294EFE">
            <w:pPr>
              <w:pStyle w:val="TableText0"/>
              <w:numPr>
                <w:ilvl w:val="1"/>
                <w:numId w:val="9"/>
              </w:numPr>
              <w:ind w:left="460"/>
            </w:pPr>
            <w:r w:rsidRPr="0023146D">
              <w:t>Health-related quality of life</w:t>
            </w:r>
          </w:p>
          <w:p w14:paraId="723F0565" w14:textId="77777777" w:rsidR="00732F7D" w:rsidRPr="0023146D" w:rsidRDefault="00732F7D" w:rsidP="00294EFE">
            <w:pPr>
              <w:pStyle w:val="TableText0"/>
              <w:numPr>
                <w:ilvl w:val="1"/>
                <w:numId w:val="9"/>
              </w:numPr>
              <w:ind w:left="460"/>
            </w:pPr>
            <w:r w:rsidRPr="0023146D">
              <w:t xml:space="preserve">Maribavir resistance profile </w:t>
            </w:r>
          </w:p>
          <w:p w14:paraId="76BED8C4" w14:textId="77777777" w:rsidR="00732F7D" w:rsidRPr="0023146D" w:rsidRDefault="00732F7D" w:rsidP="00294EFE">
            <w:pPr>
              <w:pStyle w:val="TableText0"/>
              <w:numPr>
                <w:ilvl w:val="1"/>
                <w:numId w:val="9"/>
              </w:numPr>
              <w:ind w:left="460"/>
            </w:pPr>
            <w:r w:rsidRPr="0023146D">
              <w:t>Mortality</w:t>
            </w:r>
          </w:p>
        </w:tc>
      </w:tr>
      <w:tr w:rsidR="00732F7D" w:rsidRPr="0023146D" w14:paraId="5F9CBE2C" w14:textId="77777777" w:rsidTr="00AA10BF">
        <w:trPr>
          <w:cantSplit/>
        </w:trPr>
        <w:tc>
          <w:tcPr>
            <w:tcW w:w="72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D1E4034" w14:textId="77777777" w:rsidR="00732F7D" w:rsidRPr="0023146D" w:rsidRDefault="00732F7D">
            <w:pPr>
              <w:pStyle w:val="TableText0"/>
              <w:rPr>
                <w:szCs w:val="24"/>
              </w:rPr>
            </w:pPr>
            <w:r w:rsidRPr="0023146D">
              <w:t>Clinical claim</w:t>
            </w:r>
          </w:p>
        </w:tc>
        <w:tc>
          <w:tcPr>
            <w:tcW w:w="4271" w:type="pct"/>
            <w:tcBorders>
              <w:top w:val="single" w:sz="4" w:space="0" w:color="auto"/>
              <w:left w:val="single" w:sz="4" w:space="0" w:color="auto"/>
              <w:bottom w:val="single" w:sz="4" w:space="0" w:color="auto"/>
              <w:right w:val="single" w:sz="4" w:space="0" w:color="auto"/>
            </w:tcBorders>
            <w:hideMark/>
          </w:tcPr>
          <w:p w14:paraId="5C91C76E" w14:textId="77777777" w:rsidR="00732F7D" w:rsidRPr="0023146D" w:rsidRDefault="00732F7D">
            <w:pPr>
              <w:pStyle w:val="TableText0"/>
            </w:pPr>
            <w:r w:rsidRPr="0023146D">
              <w:rPr>
                <w:shd w:val="clear" w:color="auto" w:fill="C6D9F1" w:themeFill="text2" w:themeFillTint="33"/>
              </w:rPr>
              <w:t>Maribavir is more effective than current standard of care (ganciclovir, valganciclovir, foscarnet and cidofovir) in adults with post-transplant CMV infection and disease resistant, refractory, or intolerant to one or more prior therapies</w:t>
            </w:r>
            <w:r w:rsidRPr="0023146D">
              <w:t xml:space="preserve">. Maribavir has non-inferior safety compared to standard of care. </w:t>
            </w:r>
          </w:p>
        </w:tc>
      </w:tr>
    </w:tbl>
    <w:p w14:paraId="1B387774" w14:textId="77777777" w:rsidR="00732F7D" w:rsidRPr="0023146D" w:rsidRDefault="00732F7D" w:rsidP="00732F7D">
      <w:pPr>
        <w:pStyle w:val="FooterTableFigure"/>
      </w:pPr>
      <w:r w:rsidRPr="0023146D">
        <w:t xml:space="preserve">Source: Developed during the evaluation based on table 1.2, p27 of the resubmission. </w:t>
      </w:r>
    </w:p>
    <w:p w14:paraId="604B4BF8" w14:textId="77777777" w:rsidR="00732F7D" w:rsidRPr="0023146D" w:rsidRDefault="00732F7D" w:rsidP="00732F7D">
      <w:pPr>
        <w:pStyle w:val="FooterTableFigure"/>
      </w:pPr>
      <w:r w:rsidRPr="0023146D">
        <w:t xml:space="preserve">CMV = </w:t>
      </w:r>
      <w:bookmarkStart w:id="2" w:name="_Hlk176022184"/>
      <w:r w:rsidRPr="0023146D">
        <w:t>cytomegalovirus</w:t>
      </w:r>
      <w:bookmarkEnd w:id="2"/>
      <w:r w:rsidRPr="0023146D">
        <w:t>; HSCT = haematopoietic stem cell transplant; mg = milligram; mL= millilitre; IU = international unit; SOT = solid organ transplant.</w:t>
      </w:r>
    </w:p>
    <w:p w14:paraId="43AE5717" w14:textId="77777777" w:rsidR="00732F7D" w:rsidRPr="0023146D" w:rsidRDefault="00732F7D" w:rsidP="00732F7D">
      <w:pPr>
        <w:pStyle w:val="FooterTableFigure"/>
        <w:rPr>
          <w:sz w:val="16"/>
          <w:szCs w:val="20"/>
        </w:rPr>
      </w:pPr>
      <w:r w:rsidRPr="0023146D">
        <w:rPr>
          <w:szCs w:val="20"/>
        </w:rPr>
        <w:t>Data in blue-shade are those previously seen by the PBAC.</w:t>
      </w:r>
    </w:p>
    <w:p w14:paraId="124FD9B6" w14:textId="77777777" w:rsidR="00732F7D" w:rsidRPr="0023146D" w:rsidRDefault="00732F7D" w:rsidP="00732F7D">
      <w:pPr>
        <w:pStyle w:val="2-SectionHeading"/>
      </w:pPr>
      <w:bookmarkStart w:id="3" w:name="_Toc177482504"/>
      <w:r w:rsidRPr="0023146D">
        <w:t>Background</w:t>
      </w:r>
      <w:bookmarkEnd w:id="3"/>
    </w:p>
    <w:p w14:paraId="1C5FD21E" w14:textId="77777777" w:rsidR="00732F7D" w:rsidRPr="0023146D" w:rsidRDefault="00732F7D" w:rsidP="00732F7D">
      <w:pPr>
        <w:pStyle w:val="4-SubsectionHeading"/>
      </w:pPr>
      <w:bookmarkStart w:id="4" w:name="_Toc22897638"/>
      <w:bookmarkStart w:id="5" w:name="_Toc177482505"/>
      <w:r w:rsidRPr="0023146D">
        <w:t>Registration status</w:t>
      </w:r>
      <w:bookmarkEnd w:id="4"/>
      <w:bookmarkEnd w:id="5"/>
    </w:p>
    <w:p w14:paraId="230C88D0" w14:textId="2B463BFB" w:rsidR="00732F7D" w:rsidRPr="0023146D" w:rsidRDefault="00732F7D" w:rsidP="00732F7D">
      <w:pPr>
        <w:pStyle w:val="3-BodyText"/>
        <w:numPr>
          <w:ilvl w:val="1"/>
          <w:numId w:val="1"/>
        </w:numPr>
        <w:spacing w:before="0"/>
      </w:pPr>
      <w:r w:rsidRPr="0023146D">
        <w:t xml:space="preserve">Maribavir was </w:t>
      </w:r>
      <w:r w:rsidR="00133380" w:rsidRPr="0023146D">
        <w:t>Therapeutic Goods Administration (</w:t>
      </w:r>
      <w:r w:rsidRPr="0023146D">
        <w:t>TGA</w:t>
      </w:r>
      <w:r w:rsidR="00133380" w:rsidRPr="0023146D">
        <w:t>)</w:t>
      </w:r>
      <w:r w:rsidRPr="0023146D">
        <w:t xml:space="preserve"> registered on 7 October 2022 for the treatment of post-transplant CMV infection and disease refractory, resistant or intolerant to one or more prior therapies.</w:t>
      </w:r>
    </w:p>
    <w:p w14:paraId="3FBDBE19" w14:textId="356C90B9" w:rsidR="00732F7D" w:rsidRPr="0023146D" w:rsidRDefault="00732F7D">
      <w:pPr>
        <w:pStyle w:val="3-BodyText"/>
        <w:numPr>
          <w:ilvl w:val="1"/>
          <w:numId w:val="1"/>
        </w:numPr>
        <w:spacing w:before="0"/>
      </w:pPr>
      <w:r w:rsidRPr="0023146D">
        <w:lastRenderedPageBreak/>
        <w:t xml:space="preserve">The indication approved by the </w:t>
      </w:r>
      <w:r w:rsidR="00980C03" w:rsidRPr="0023146D">
        <w:t>United States</w:t>
      </w:r>
      <w:r w:rsidRPr="0023146D">
        <w:t xml:space="preserve"> F</w:t>
      </w:r>
      <w:r w:rsidR="00980C03" w:rsidRPr="0023146D">
        <w:t xml:space="preserve">ood and </w:t>
      </w:r>
      <w:r w:rsidRPr="0023146D">
        <w:t>D</w:t>
      </w:r>
      <w:r w:rsidR="00980C03" w:rsidRPr="0023146D">
        <w:t xml:space="preserve">rug </w:t>
      </w:r>
      <w:r w:rsidRPr="0023146D">
        <w:t>A</w:t>
      </w:r>
      <w:r w:rsidR="00980C03" w:rsidRPr="0023146D">
        <w:t>dministration</w:t>
      </w:r>
      <w:r w:rsidRPr="0023146D">
        <w:t xml:space="preserve"> </w:t>
      </w:r>
      <w:r w:rsidR="00980C03" w:rsidRPr="0023146D">
        <w:t>(FDA) is</w:t>
      </w:r>
      <w:r w:rsidRPr="0023146D">
        <w:t>: post-transplant CMV infection/disease that is refractory to treatment (with or without genotypic resistance) with ganciclovir, valganciclovir, cidofovir or foscarnet</w:t>
      </w:r>
      <w:r w:rsidR="00E50279" w:rsidRPr="0023146D">
        <w:t>.</w:t>
      </w:r>
      <w:r w:rsidR="00543669">
        <w:t xml:space="preserve"> </w:t>
      </w:r>
      <w:r w:rsidRPr="0023146D">
        <w:t xml:space="preserve">The indication approved by the European Medicines Agency </w:t>
      </w:r>
      <w:r w:rsidR="00980C03" w:rsidRPr="0023146D">
        <w:t xml:space="preserve">(EMA) </w:t>
      </w:r>
      <w:r w:rsidRPr="0023146D">
        <w:t xml:space="preserve">is: CMV infection and/or disease that </w:t>
      </w:r>
      <w:r w:rsidR="00455625" w:rsidRPr="0023146D">
        <w:t xml:space="preserve">is </w:t>
      </w:r>
      <w:r w:rsidRPr="0023146D">
        <w:t>refractory (with or without resistance) to one or more prior therapies, including ganciclovir, valganciclovir, cidofovir or foscarnet in adult patients who have undergone a haematopoietic stem cell transplant (HSCT) or solid organ transplant (SOT)</w:t>
      </w:r>
      <w:r w:rsidR="00E50279" w:rsidRPr="0023146D">
        <w:t>.</w:t>
      </w:r>
      <w:r w:rsidR="00980C03" w:rsidRPr="0023146D">
        <w:t xml:space="preserve"> </w:t>
      </w:r>
      <w:r w:rsidR="00980C03" w:rsidRPr="007E1351">
        <w:t>The indications approved by the FDA and EMA are more restrictive than that approved by the TGA in that they list the specific prior therapies, and the EMA also specifies the clinical conditions for use.</w:t>
      </w:r>
    </w:p>
    <w:p w14:paraId="6D32AB22" w14:textId="77777777" w:rsidR="00732F7D" w:rsidRPr="0023146D" w:rsidRDefault="00732F7D" w:rsidP="00732F7D">
      <w:pPr>
        <w:pStyle w:val="4-SubsectionHeading"/>
      </w:pPr>
      <w:bookmarkStart w:id="6" w:name="_Toc22897639"/>
      <w:bookmarkStart w:id="7" w:name="_Toc177482506"/>
      <w:r w:rsidRPr="0023146D">
        <w:t>Previous PBAC consideration</w:t>
      </w:r>
      <w:bookmarkEnd w:id="6"/>
      <w:bookmarkEnd w:id="7"/>
    </w:p>
    <w:p w14:paraId="4BDC2053" w14:textId="438E8F55" w:rsidR="00732F7D" w:rsidRPr="0023146D" w:rsidRDefault="00732F7D" w:rsidP="00732F7D">
      <w:pPr>
        <w:pStyle w:val="3-BodyText"/>
      </w:pPr>
      <w:r w:rsidRPr="0023146D">
        <w:t>A</w:t>
      </w:r>
      <w:r w:rsidR="000554A3" w:rsidRPr="0023146D">
        <w:t xml:space="preserve">n application for the listing of maribavir in the proposed population was considered, and not recommended for listing, by the </w:t>
      </w:r>
      <w:r w:rsidR="0039784A" w:rsidRPr="0023146D">
        <w:t>PBAC</w:t>
      </w:r>
      <w:r w:rsidR="000554A3" w:rsidRPr="0023146D">
        <w:t xml:space="preserve"> at its meeting in November 2023. A</w:t>
      </w:r>
      <w:r w:rsidRPr="0023146D">
        <w:t xml:space="preserve"> summary of the key </w:t>
      </w:r>
      <w:r w:rsidR="000554A3" w:rsidRPr="0023146D">
        <w:t xml:space="preserve">matters of concern </w:t>
      </w:r>
      <w:r w:rsidRPr="0023146D">
        <w:t xml:space="preserve">from the </w:t>
      </w:r>
      <w:r w:rsidR="000554A3" w:rsidRPr="0023146D">
        <w:t>November 2023</w:t>
      </w:r>
      <w:r w:rsidRPr="0023146D">
        <w:t xml:space="preserve"> consideration and how the resubmission addressed those concerns is presented in </w:t>
      </w:r>
      <w:r w:rsidRPr="0023146D">
        <w:fldChar w:fldCharType="begin" w:fldLock="1"/>
      </w:r>
      <w:r w:rsidRPr="0023146D">
        <w:instrText xml:space="preserve"> REF _Ref175318892 \h </w:instrText>
      </w:r>
      <w:r w:rsidRPr="0023146D">
        <w:fldChar w:fldCharType="separate"/>
      </w:r>
      <w:r w:rsidR="008854AA" w:rsidRPr="0023146D">
        <w:t xml:space="preserve">Table </w:t>
      </w:r>
      <w:r w:rsidR="008854AA">
        <w:rPr>
          <w:noProof/>
        </w:rPr>
        <w:t>2</w:t>
      </w:r>
      <w:r w:rsidRPr="0023146D">
        <w:fldChar w:fldCharType="end"/>
      </w:r>
      <w:r w:rsidRPr="0023146D">
        <w:t>.</w:t>
      </w:r>
    </w:p>
    <w:p w14:paraId="2EBF4F71" w14:textId="31DC571A" w:rsidR="00732F7D" w:rsidRPr="0023146D" w:rsidRDefault="00732F7D" w:rsidP="00732F7D">
      <w:pPr>
        <w:pStyle w:val="TableFigureHeading"/>
        <w:rPr>
          <w:rStyle w:val="CommentReference"/>
          <w:b/>
          <w:szCs w:val="24"/>
        </w:rPr>
      </w:pPr>
      <w:bookmarkStart w:id="8" w:name="_Ref175318892"/>
      <w:r w:rsidRPr="0023146D">
        <w:t xml:space="preserve">Table </w:t>
      </w:r>
      <w:r w:rsidR="008A7014">
        <w:fldChar w:fldCharType="begin" w:fldLock="1"/>
      </w:r>
      <w:r w:rsidR="008A7014">
        <w:instrText xml:space="preserve"> SEQ Table \* ARABIC </w:instrText>
      </w:r>
      <w:r w:rsidR="008A7014">
        <w:fldChar w:fldCharType="separate"/>
      </w:r>
      <w:r w:rsidR="008854AA">
        <w:rPr>
          <w:noProof/>
        </w:rPr>
        <w:t>2</w:t>
      </w:r>
      <w:r w:rsidR="008A7014">
        <w:rPr>
          <w:noProof/>
        </w:rPr>
        <w:fldChar w:fldCharType="end"/>
      </w:r>
      <w:bookmarkEnd w:id="8"/>
      <w:r w:rsidRPr="0023146D">
        <w:t>:</w:t>
      </w:r>
      <w:r w:rsidRPr="0023146D">
        <w:rPr>
          <w:rStyle w:val="CommentReference"/>
          <w:b/>
          <w:szCs w:val="24"/>
        </w:rPr>
        <w:t xml:space="preserve"> Summary of key matters of concern</w:t>
      </w:r>
    </w:p>
    <w:tbl>
      <w:tblPr>
        <w:tblStyle w:val="TableGrid"/>
        <w:tblW w:w="4950" w:type="pct"/>
        <w:tblLook w:val="04A0" w:firstRow="1" w:lastRow="0" w:firstColumn="1" w:lastColumn="0" w:noHBand="0" w:noVBand="1"/>
        <w:tblCaption w:val="Table 2: Summary of key matters of concern"/>
      </w:tblPr>
      <w:tblGrid>
        <w:gridCol w:w="1435"/>
        <w:gridCol w:w="3480"/>
        <w:gridCol w:w="4012"/>
      </w:tblGrid>
      <w:tr w:rsidR="00732F7D" w:rsidRPr="0023146D" w14:paraId="3F58EC53" w14:textId="77777777" w:rsidTr="00AA10BF">
        <w:trPr>
          <w:cantSplit/>
          <w:tblHeader/>
        </w:trPr>
        <w:tc>
          <w:tcPr>
            <w:tcW w:w="804" w:type="pct"/>
            <w:tcMar>
              <w:left w:w="40" w:type="dxa"/>
              <w:right w:w="40" w:type="dxa"/>
            </w:tcMar>
          </w:tcPr>
          <w:p w14:paraId="7C577DD6" w14:textId="77777777" w:rsidR="00732F7D" w:rsidRPr="0023146D" w:rsidRDefault="00732F7D">
            <w:pPr>
              <w:rPr>
                <w:rFonts w:ascii="Arial Narrow" w:hAnsi="Arial Narrow"/>
                <w:b/>
                <w:bCs/>
                <w:sz w:val="20"/>
                <w:szCs w:val="20"/>
              </w:rPr>
            </w:pPr>
            <w:r w:rsidRPr="0023146D">
              <w:rPr>
                <w:rFonts w:ascii="Arial Narrow" w:hAnsi="Arial Narrow"/>
                <w:b/>
                <w:bCs/>
                <w:sz w:val="20"/>
                <w:szCs w:val="20"/>
              </w:rPr>
              <w:t>Component</w:t>
            </w:r>
          </w:p>
        </w:tc>
        <w:tc>
          <w:tcPr>
            <w:tcW w:w="1949" w:type="pct"/>
            <w:tcMar>
              <w:left w:w="40" w:type="dxa"/>
              <w:right w:w="40" w:type="dxa"/>
            </w:tcMar>
          </w:tcPr>
          <w:p w14:paraId="43836823" w14:textId="77777777" w:rsidR="00732F7D" w:rsidRPr="0023146D" w:rsidRDefault="00732F7D">
            <w:pPr>
              <w:rPr>
                <w:rFonts w:ascii="Arial Narrow" w:hAnsi="Arial Narrow"/>
                <w:b/>
                <w:bCs/>
                <w:sz w:val="20"/>
                <w:szCs w:val="20"/>
              </w:rPr>
            </w:pPr>
            <w:r w:rsidRPr="0023146D">
              <w:rPr>
                <w:rFonts w:ascii="Arial Narrow" w:hAnsi="Arial Narrow"/>
                <w:b/>
                <w:bCs/>
                <w:sz w:val="20"/>
                <w:szCs w:val="20"/>
              </w:rPr>
              <w:t>Matter of concern</w:t>
            </w:r>
          </w:p>
        </w:tc>
        <w:tc>
          <w:tcPr>
            <w:tcW w:w="2247" w:type="pct"/>
            <w:tcMar>
              <w:left w:w="40" w:type="dxa"/>
              <w:right w:w="40" w:type="dxa"/>
            </w:tcMar>
          </w:tcPr>
          <w:p w14:paraId="233EE80C" w14:textId="77777777" w:rsidR="00732F7D" w:rsidRPr="007E1351" w:rsidRDefault="00732F7D">
            <w:pPr>
              <w:rPr>
                <w:rFonts w:ascii="Arial Narrow" w:hAnsi="Arial Narrow"/>
                <w:b/>
                <w:bCs/>
                <w:sz w:val="20"/>
                <w:szCs w:val="20"/>
              </w:rPr>
            </w:pPr>
            <w:r w:rsidRPr="007E1351">
              <w:rPr>
                <w:rFonts w:ascii="Arial Narrow" w:hAnsi="Arial Narrow"/>
                <w:b/>
                <w:bCs/>
                <w:sz w:val="20"/>
                <w:szCs w:val="20"/>
              </w:rPr>
              <w:t>How the resubmission addresses it</w:t>
            </w:r>
          </w:p>
        </w:tc>
      </w:tr>
      <w:tr w:rsidR="00732F7D" w:rsidRPr="0023146D" w14:paraId="2CAFE2A7" w14:textId="77777777" w:rsidTr="00AA10BF">
        <w:trPr>
          <w:cantSplit/>
        </w:trPr>
        <w:tc>
          <w:tcPr>
            <w:tcW w:w="5000" w:type="pct"/>
            <w:gridSpan w:val="3"/>
            <w:tcMar>
              <w:left w:w="40" w:type="dxa"/>
              <w:right w:w="40" w:type="dxa"/>
            </w:tcMar>
          </w:tcPr>
          <w:p w14:paraId="516F0F6E" w14:textId="16BFD3F7" w:rsidR="00732F7D" w:rsidRPr="007E1351" w:rsidRDefault="00732F7D">
            <w:pPr>
              <w:rPr>
                <w:rFonts w:ascii="Arial Narrow" w:hAnsi="Arial Narrow"/>
                <w:b/>
                <w:bCs/>
                <w:sz w:val="20"/>
                <w:szCs w:val="20"/>
              </w:rPr>
            </w:pPr>
            <w:r w:rsidRPr="007E1351">
              <w:rPr>
                <w:rFonts w:ascii="Arial Narrow" w:hAnsi="Arial Narrow"/>
                <w:b/>
                <w:bCs/>
                <w:sz w:val="20"/>
                <w:szCs w:val="20"/>
              </w:rPr>
              <w:t>Restrictions</w:t>
            </w:r>
          </w:p>
        </w:tc>
      </w:tr>
      <w:tr w:rsidR="00732F7D" w:rsidRPr="0023146D" w14:paraId="0B68794E" w14:textId="77777777" w:rsidTr="00AA10BF">
        <w:trPr>
          <w:cantSplit/>
        </w:trPr>
        <w:tc>
          <w:tcPr>
            <w:tcW w:w="804" w:type="pct"/>
            <w:tcMar>
              <w:left w:w="40" w:type="dxa"/>
              <w:right w:w="40" w:type="dxa"/>
            </w:tcMar>
          </w:tcPr>
          <w:p w14:paraId="7296E586" w14:textId="77777777" w:rsidR="00732F7D" w:rsidRPr="0023146D" w:rsidRDefault="00732F7D" w:rsidP="009A1867">
            <w:pPr>
              <w:jc w:val="left"/>
              <w:rPr>
                <w:rFonts w:ascii="Arial Narrow" w:hAnsi="Arial Narrow"/>
                <w:sz w:val="20"/>
                <w:szCs w:val="20"/>
              </w:rPr>
            </w:pPr>
            <w:r w:rsidRPr="0023146D">
              <w:rPr>
                <w:rFonts w:ascii="Arial Narrow" w:hAnsi="Arial Narrow"/>
                <w:sz w:val="20"/>
                <w:szCs w:val="20"/>
              </w:rPr>
              <w:t>Clinical place in therapy</w:t>
            </w:r>
          </w:p>
        </w:tc>
        <w:tc>
          <w:tcPr>
            <w:tcW w:w="1949" w:type="pct"/>
            <w:tcMar>
              <w:left w:w="40" w:type="dxa"/>
              <w:right w:w="40" w:type="dxa"/>
            </w:tcMar>
          </w:tcPr>
          <w:p w14:paraId="21F0431D" w14:textId="6B74BB80" w:rsidR="00732F7D" w:rsidRPr="0023146D" w:rsidRDefault="00732F7D" w:rsidP="00506B90">
            <w:pPr>
              <w:jc w:val="left"/>
              <w:rPr>
                <w:rFonts w:ascii="Arial Narrow" w:hAnsi="Arial Narrow"/>
                <w:sz w:val="20"/>
                <w:szCs w:val="20"/>
              </w:rPr>
            </w:pPr>
            <w:r w:rsidRPr="0023146D">
              <w:rPr>
                <w:rFonts w:ascii="Arial Narrow" w:hAnsi="Arial Narrow"/>
                <w:sz w:val="20"/>
                <w:szCs w:val="20"/>
              </w:rPr>
              <w:t>The proposed restriction did</w:t>
            </w:r>
            <w:r w:rsidR="001D48F9" w:rsidRPr="0023146D">
              <w:rPr>
                <w:rFonts w:ascii="Arial Narrow" w:hAnsi="Arial Narrow"/>
                <w:sz w:val="20"/>
                <w:szCs w:val="20"/>
              </w:rPr>
              <w:t xml:space="preserve"> not</w:t>
            </w:r>
            <w:r w:rsidRPr="0023146D">
              <w:rPr>
                <w:rFonts w:ascii="Arial Narrow" w:hAnsi="Arial Narrow"/>
                <w:sz w:val="20"/>
                <w:szCs w:val="20"/>
              </w:rPr>
              <w:t xml:space="preserve"> align with </w:t>
            </w:r>
            <w:r w:rsidR="00DB7F07" w:rsidRPr="0023146D">
              <w:rPr>
                <w:rFonts w:ascii="Arial Narrow" w:hAnsi="Arial Narrow"/>
                <w:sz w:val="20"/>
                <w:szCs w:val="20"/>
              </w:rPr>
              <w:t xml:space="preserve">the </w:t>
            </w:r>
            <w:r w:rsidRPr="0023146D">
              <w:rPr>
                <w:rFonts w:ascii="Arial Narrow" w:hAnsi="Arial Narrow"/>
                <w:sz w:val="20"/>
                <w:szCs w:val="20"/>
              </w:rPr>
              <w:t>SOLSTICE population requir</w:t>
            </w:r>
            <w:r w:rsidR="001B4FAE" w:rsidRPr="0023146D">
              <w:rPr>
                <w:rFonts w:ascii="Arial Narrow" w:hAnsi="Arial Narrow"/>
                <w:sz w:val="20"/>
                <w:szCs w:val="20"/>
              </w:rPr>
              <w:t>ing</w:t>
            </w:r>
            <w:r w:rsidRPr="0023146D">
              <w:rPr>
                <w:rFonts w:ascii="Arial Narrow" w:hAnsi="Arial Narrow"/>
                <w:sz w:val="20"/>
                <w:szCs w:val="20"/>
              </w:rPr>
              <w:t xml:space="preserve"> patients to be refractory to most recent treatment. PBAC’s suggested criterion: patients must have received at least two weeks of ganciclovir/valganciclovir with virological or clinical failure (</w:t>
            </w:r>
            <w:r w:rsidR="00C741D6" w:rsidRPr="0023146D">
              <w:rPr>
                <w:rFonts w:ascii="Arial Narrow" w:hAnsi="Arial Narrow"/>
                <w:sz w:val="20"/>
                <w:szCs w:val="20"/>
              </w:rPr>
              <w:t>p</w:t>
            </w:r>
            <w:r w:rsidRPr="0023146D">
              <w:rPr>
                <w:rFonts w:ascii="Arial Narrow" w:hAnsi="Arial Narrow"/>
                <w:sz w:val="20"/>
                <w:szCs w:val="20"/>
              </w:rPr>
              <w:t>ara 7.5, Nov 2023 PSD).</w:t>
            </w:r>
          </w:p>
        </w:tc>
        <w:tc>
          <w:tcPr>
            <w:tcW w:w="2247" w:type="pct"/>
            <w:tcMar>
              <w:left w:w="40" w:type="dxa"/>
              <w:right w:w="40" w:type="dxa"/>
            </w:tcMar>
          </w:tcPr>
          <w:p w14:paraId="508EA54E" w14:textId="2CCFBF1B" w:rsidR="00732F7D" w:rsidRPr="007E1351" w:rsidRDefault="0075770F" w:rsidP="00506B90">
            <w:pPr>
              <w:jc w:val="left"/>
              <w:rPr>
                <w:rFonts w:ascii="Arial Narrow" w:hAnsi="Arial Narrow"/>
                <w:sz w:val="20"/>
                <w:szCs w:val="20"/>
              </w:rPr>
            </w:pPr>
            <w:r w:rsidRPr="007E1351">
              <w:rPr>
                <w:rFonts w:ascii="Arial Narrow" w:hAnsi="Arial Narrow"/>
                <w:sz w:val="20"/>
                <w:szCs w:val="20"/>
              </w:rPr>
              <w:t xml:space="preserve">This criterion was not adopted as a clinical criterion in </w:t>
            </w:r>
            <w:r w:rsidR="00732F7D" w:rsidRPr="007E1351">
              <w:rPr>
                <w:rFonts w:ascii="Arial Narrow" w:hAnsi="Arial Narrow"/>
                <w:sz w:val="20"/>
                <w:szCs w:val="20"/>
              </w:rPr>
              <w:t xml:space="preserve">the </w:t>
            </w:r>
            <w:r w:rsidRPr="007E1351">
              <w:rPr>
                <w:rFonts w:ascii="Arial Narrow" w:hAnsi="Arial Narrow"/>
                <w:sz w:val="20"/>
                <w:szCs w:val="20"/>
              </w:rPr>
              <w:t xml:space="preserve">resubmission. Instead, the resubmission </w:t>
            </w:r>
            <w:r w:rsidR="00732F7D" w:rsidRPr="007E1351">
              <w:rPr>
                <w:rFonts w:ascii="Arial Narrow" w:hAnsi="Arial Narrow"/>
                <w:sz w:val="20"/>
                <w:szCs w:val="20"/>
              </w:rPr>
              <w:t xml:space="preserve">proposed </w:t>
            </w:r>
            <w:r w:rsidRPr="007E1351">
              <w:rPr>
                <w:rFonts w:ascii="Arial Narrow" w:hAnsi="Arial Narrow"/>
                <w:sz w:val="20"/>
                <w:szCs w:val="20"/>
              </w:rPr>
              <w:t xml:space="preserve">the following </w:t>
            </w:r>
            <w:r w:rsidR="006D6E15" w:rsidRPr="007E1351">
              <w:rPr>
                <w:rFonts w:ascii="Arial Narrow" w:hAnsi="Arial Narrow"/>
                <w:sz w:val="20"/>
                <w:szCs w:val="20"/>
              </w:rPr>
              <w:t xml:space="preserve">wording: </w:t>
            </w:r>
            <w:r w:rsidRPr="007E1351">
              <w:rPr>
                <w:rFonts w:ascii="Arial Narrow" w:hAnsi="Arial Narrow"/>
                <w:sz w:val="20"/>
                <w:szCs w:val="20"/>
              </w:rPr>
              <w:t xml:space="preserve">“Patient must have a CMV infection or CMV disease that is resistant or refractory to appropriately dosed ganciclovir, valganciclovir, cidofovir or foscarnet”. </w:t>
            </w:r>
            <w:r w:rsidR="002C63C4" w:rsidRPr="007E1351">
              <w:rPr>
                <w:rFonts w:ascii="Arial Narrow" w:hAnsi="Arial Narrow"/>
                <w:sz w:val="20"/>
                <w:szCs w:val="20"/>
              </w:rPr>
              <w:t>T</w:t>
            </w:r>
            <w:r w:rsidRPr="007E1351">
              <w:rPr>
                <w:rFonts w:ascii="Arial Narrow" w:hAnsi="Arial Narrow"/>
                <w:sz w:val="20"/>
                <w:szCs w:val="20"/>
              </w:rPr>
              <w:t xml:space="preserve">o reflect the suggested </w:t>
            </w:r>
            <w:r w:rsidR="00732F7D" w:rsidRPr="007E1351">
              <w:rPr>
                <w:rFonts w:ascii="Arial Narrow" w:hAnsi="Arial Narrow"/>
                <w:sz w:val="20"/>
                <w:szCs w:val="20"/>
              </w:rPr>
              <w:t xml:space="preserve">restriction </w:t>
            </w:r>
            <w:r w:rsidRPr="007E1351">
              <w:rPr>
                <w:rFonts w:ascii="Arial Narrow" w:hAnsi="Arial Narrow"/>
                <w:sz w:val="20"/>
                <w:szCs w:val="20"/>
              </w:rPr>
              <w:t xml:space="preserve">from the PBAC, the resubmission proposed </w:t>
            </w:r>
            <w:r w:rsidR="00980C03" w:rsidRPr="007E1351">
              <w:rPr>
                <w:rFonts w:ascii="Arial Narrow" w:hAnsi="Arial Narrow"/>
                <w:sz w:val="20"/>
                <w:szCs w:val="20"/>
              </w:rPr>
              <w:t>that</w:t>
            </w:r>
            <w:r w:rsidRPr="007E1351">
              <w:rPr>
                <w:rFonts w:ascii="Arial Narrow" w:hAnsi="Arial Narrow"/>
                <w:sz w:val="20"/>
                <w:szCs w:val="20"/>
              </w:rPr>
              <w:t xml:space="preserve"> the definition of refractory status in the prescribing instructions section </w:t>
            </w:r>
            <w:r w:rsidR="00980C03" w:rsidRPr="007E1351">
              <w:rPr>
                <w:rFonts w:ascii="Arial Narrow" w:hAnsi="Arial Narrow"/>
                <w:sz w:val="20"/>
                <w:szCs w:val="20"/>
              </w:rPr>
              <w:t>be</w:t>
            </w:r>
            <w:r w:rsidRPr="007E1351">
              <w:rPr>
                <w:rFonts w:ascii="Arial Narrow" w:hAnsi="Arial Narrow"/>
                <w:sz w:val="20"/>
                <w:szCs w:val="20"/>
              </w:rPr>
              <w:t xml:space="preserve"> “</w:t>
            </w:r>
            <w:r w:rsidR="00732F7D" w:rsidRPr="007E1351">
              <w:rPr>
                <w:rFonts w:ascii="Arial Narrow" w:hAnsi="Arial Narrow"/>
                <w:sz w:val="20"/>
                <w:szCs w:val="20"/>
              </w:rPr>
              <w:t>patients are determined to be refractory if after at least two weeks treatment of appropriately dosed ganciclovir, valganciclovir, cidofovir or foscarnet, they fail to achieve a &gt;</w:t>
            </w:r>
            <w:r w:rsidR="00980C03" w:rsidRPr="007E1351">
              <w:rPr>
                <w:rFonts w:ascii="Arial Narrow" w:hAnsi="Arial Narrow"/>
                <w:sz w:val="20"/>
                <w:szCs w:val="20"/>
              </w:rPr>
              <w:t xml:space="preserve"> </w:t>
            </w:r>
            <w:r w:rsidR="00732F7D" w:rsidRPr="007E1351">
              <w:rPr>
                <w:rFonts w:ascii="Arial Narrow" w:hAnsi="Arial Narrow"/>
                <w:sz w:val="20"/>
                <w:szCs w:val="20"/>
              </w:rPr>
              <w:t>1</w:t>
            </w:r>
            <w:r w:rsidR="00980C03" w:rsidRPr="007E1351">
              <w:rPr>
                <w:rFonts w:ascii="Arial Narrow" w:hAnsi="Arial Narrow"/>
                <w:sz w:val="20"/>
                <w:szCs w:val="20"/>
              </w:rPr>
              <w:t xml:space="preserve"> </w:t>
            </w:r>
            <w:r w:rsidR="00732F7D" w:rsidRPr="007E1351">
              <w:rPr>
                <w:rFonts w:ascii="Arial Narrow" w:hAnsi="Arial Narrow"/>
                <w:sz w:val="20"/>
                <w:szCs w:val="20"/>
              </w:rPr>
              <w:t>log10 decrease in CMV DNA level</w:t>
            </w:r>
            <w:r w:rsidRPr="007E1351">
              <w:rPr>
                <w:rFonts w:ascii="Arial Narrow" w:hAnsi="Arial Narrow"/>
                <w:sz w:val="20"/>
                <w:szCs w:val="20"/>
              </w:rPr>
              <w:t>”</w:t>
            </w:r>
            <w:r w:rsidR="00866032" w:rsidRPr="007E1351">
              <w:rPr>
                <w:rFonts w:ascii="Arial Narrow" w:hAnsi="Arial Narrow"/>
                <w:sz w:val="20"/>
                <w:szCs w:val="20"/>
              </w:rPr>
              <w:t>.</w:t>
            </w:r>
            <w:r w:rsidR="00980C03" w:rsidRPr="007E1351">
              <w:rPr>
                <w:rFonts w:ascii="Arial Narrow" w:hAnsi="Arial Narrow"/>
                <w:sz w:val="20"/>
                <w:szCs w:val="20"/>
              </w:rPr>
              <w:t xml:space="preserve"> </w:t>
            </w:r>
            <w:r w:rsidR="00543669">
              <w:rPr>
                <w:rFonts w:ascii="Arial Narrow" w:hAnsi="Arial Narrow"/>
                <w:sz w:val="20"/>
                <w:szCs w:val="20"/>
              </w:rPr>
              <w:t>The PBAC considered this was reasonable.</w:t>
            </w:r>
          </w:p>
        </w:tc>
      </w:tr>
      <w:tr w:rsidR="00732F7D" w:rsidRPr="0023146D" w14:paraId="312DEA6D" w14:textId="77777777" w:rsidTr="00AA10BF">
        <w:trPr>
          <w:cantSplit/>
        </w:trPr>
        <w:tc>
          <w:tcPr>
            <w:tcW w:w="804" w:type="pct"/>
            <w:tcMar>
              <w:left w:w="40" w:type="dxa"/>
              <w:right w:w="40" w:type="dxa"/>
            </w:tcMar>
          </w:tcPr>
          <w:p w14:paraId="42026241" w14:textId="71733533" w:rsidR="00732F7D" w:rsidRPr="0023146D" w:rsidRDefault="00FD7C25" w:rsidP="00506B90">
            <w:pPr>
              <w:jc w:val="left"/>
              <w:rPr>
                <w:rFonts w:ascii="Arial Narrow" w:hAnsi="Arial Narrow"/>
                <w:sz w:val="20"/>
                <w:szCs w:val="20"/>
              </w:rPr>
            </w:pPr>
            <w:r w:rsidRPr="0023146D">
              <w:rPr>
                <w:rFonts w:ascii="Arial Narrow" w:hAnsi="Arial Narrow"/>
                <w:sz w:val="20"/>
                <w:szCs w:val="20"/>
              </w:rPr>
              <w:t>Clinical place in therapy</w:t>
            </w:r>
          </w:p>
        </w:tc>
        <w:tc>
          <w:tcPr>
            <w:tcW w:w="1949" w:type="pct"/>
            <w:tcMar>
              <w:left w:w="40" w:type="dxa"/>
              <w:right w:w="40" w:type="dxa"/>
            </w:tcMar>
          </w:tcPr>
          <w:p w14:paraId="708024F0" w14:textId="12AF46B7" w:rsidR="00732F7D" w:rsidRPr="0023146D" w:rsidRDefault="00980C03" w:rsidP="00506B90">
            <w:pPr>
              <w:jc w:val="left"/>
              <w:rPr>
                <w:rFonts w:ascii="Arial Narrow" w:hAnsi="Arial Narrow"/>
                <w:b/>
                <w:sz w:val="20"/>
                <w:szCs w:val="20"/>
              </w:rPr>
            </w:pPr>
            <w:r w:rsidRPr="0023146D">
              <w:rPr>
                <w:rFonts w:ascii="Arial Narrow" w:hAnsi="Arial Narrow"/>
                <w:sz w:val="20"/>
                <w:szCs w:val="20"/>
              </w:rPr>
              <w:t>The p</w:t>
            </w:r>
            <w:r w:rsidR="00732F7D" w:rsidRPr="0023146D">
              <w:rPr>
                <w:rFonts w:ascii="Arial Narrow" w:hAnsi="Arial Narrow"/>
                <w:sz w:val="20"/>
                <w:szCs w:val="20"/>
              </w:rPr>
              <w:t>roposed wording could allow first-line use (as the prescribing instructions defining intolerance allow for ‘potential toxicity’) instead of intended second-line use. It would be appropriate to further define the patient population to ensure maribavir was not used in a first-line setting (</w:t>
            </w:r>
            <w:r w:rsidR="00C741D6" w:rsidRPr="0023146D">
              <w:rPr>
                <w:rFonts w:ascii="Arial Narrow" w:hAnsi="Arial Narrow"/>
                <w:sz w:val="20"/>
                <w:szCs w:val="20"/>
              </w:rPr>
              <w:t>p</w:t>
            </w:r>
            <w:r w:rsidR="00732F7D" w:rsidRPr="0023146D">
              <w:rPr>
                <w:rFonts w:ascii="Arial Narrow" w:hAnsi="Arial Narrow"/>
                <w:sz w:val="20"/>
                <w:szCs w:val="20"/>
              </w:rPr>
              <w:t>ara 7.4, Nov 2023 PSD).</w:t>
            </w:r>
          </w:p>
        </w:tc>
        <w:tc>
          <w:tcPr>
            <w:tcW w:w="2247" w:type="pct"/>
            <w:tcMar>
              <w:left w:w="40" w:type="dxa"/>
              <w:right w:w="40" w:type="dxa"/>
            </w:tcMar>
          </w:tcPr>
          <w:p w14:paraId="7010021C" w14:textId="11390CA4" w:rsidR="00732F7D" w:rsidRPr="007E1351" w:rsidRDefault="00571236" w:rsidP="00506B90">
            <w:pPr>
              <w:jc w:val="left"/>
              <w:rPr>
                <w:rFonts w:ascii="Arial Narrow" w:hAnsi="Arial Narrow"/>
                <w:sz w:val="20"/>
                <w:szCs w:val="20"/>
              </w:rPr>
            </w:pPr>
            <w:r w:rsidRPr="007E1351">
              <w:rPr>
                <w:rFonts w:ascii="Arial Narrow" w:hAnsi="Arial Narrow"/>
                <w:sz w:val="20"/>
                <w:szCs w:val="20"/>
              </w:rPr>
              <w:t>T</w:t>
            </w:r>
            <w:r w:rsidR="00D36D94" w:rsidRPr="007E1351">
              <w:rPr>
                <w:rFonts w:ascii="Arial Narrow" w:hAnsi="Arial Narrow"/>
                <w:sz w:val="20"/>
                <w:szCs w:val="20"/>
              </w:rPr>
              <w:t xml:space="preserve">he </w:t>
            </w:r>
            <w:r w:rsidR="00C0555F" w:rsidRPr="007E1351">
              <w:rPr>
                <w:rFonts w:ascii="Arial Narrow" w:hAnsi="Arial Narrow"/>
                <w:sz w:val="20"/>
                <w:szCs w:val="20"/>
              </w:rPr>
              <w:t xml:space="preserve">resubmission included a </w:t>
            </w:r>
            <w:r w:rsidR="00D36D94" w:rsidRPr="007E1351">
              <w:rPr>
                <w:rFonts w:ascii="Arial Narrow" w:hAnsi="Arial Narrow"/>
                <w:sz w:val="20"/>
                <w:szCs w:val="20"/>
              </w:rPr>
              <w:t>definition of</w:t>
            </w:r>
            <w:r w:rsidR="00732F7D" w:rsidRPr="007E1351">
              <w:rPr>
                <w:rFonts w:ascii="Arial Narrow" w:hAnsi="Arial Narrow"/>
                <w:sz w:val="20"/>
                <w:szCs w:val="20"/>
              </w:rPr>
              <w:t xml:space="preserve"> intolerance</w:t>
            </w:r>
            <w:r w:rsidR="00C0555F" w:rsidRPr="007E1351">
              <w:rPr>
                <w:rFonts w:ascii="Arial Narrow" w:hAnsi="Arial Narrow"/>
                <w:sz w:val="20"/>
                <w:szCs w:val="20"/>
              </w:rPr>
              <w:t>,</w:t>
            </w:r>
            <w:r w:rsidR="00732F7D" w:rsidRPr="007E1351">
              <w:rPr>
                <w:rFonts w:ascii="Arial Narrow" w:hAnsi="Arial Narrow"/>
                <w:sz w:val="20"/>
                <w:szCs w:val="20"/>
              </w:rPr>
              <w:t xml:space="preserve"> defined as Grade 3 neutropenia (absolute neutrophil count &lt; 1000/mm</w:t>
            </w:r>
            <w:r w:rsidR="00732F7D" w:rsidRPr="007E1351">
              <w:rPr>
                <w:rFonts w:ascii="Arial Narrow" w:hAnsi="Arial Narrow"/>
                <w:sz w:val="20"/>
                <w:szCs w:val="20"/>
                <w:vertAlign w:val="superscript"/>
              </w:rPr>
              <w:t>3</w:t>
            </w:r>
            <w:r w:rsidR="00732F7D" w:rsidRPr="007E1351">
              <w:rPr>
                <w:rFonts w:ascii="Arial Narrow" w:hAnsi="Arial Narrow"/>
                <w:sz w:val="20"/>
                <w:szCs w:val="20"/>
              </w:rPr>
              <w:t xml:space="preserve">) or impaired renal function (creatinine clearance &lt; </w:t>
            </w:r>
            <w:r w:rsidR="00D36D94" w:rsidRPr="007E1351">
              <w:rPr>
                <w:rFonts w:ascii="Arial Narrow" w:hAnsi="Arial Narrow"/>
                <w:sz w:val="20"/>
                <w:szCs w:val="20"/>
              </w:rPr>
              <w:t>50</w:t>
            </w:r>
            <w:r w:rsidR="00980C03" w:rsidRPr="007E1351">
              <w:rPr>
                <w:rFonts w:ascii="Arial Narrow" w:hAnsi="Arial Narrow"/>
                <w:sz w:val="20"/>
                <w:szCs w:val="20"/>
              </w:rPr>
              <w:t xml:space="preserve"> </w:t>
            </w:r>
            <w:r w:rsidR="00D36D94" w:rsidRPr="007E1351">
              <w:rPr>
                <w:rFonts w:ascii="Arial Narrow" w:hAnsi="Arial Narrow"/>
                <w:sz w:val="20"/>
                <w:szCs w:val="20"/>
              </w:rPr>
              <w:t>mL</w:t>
            </w:r>
            <w:r w:rsidR="00732F7D" w:rsidRPr="007E1351">
              <w:rPr>
                <w:rFonts w:ascii="Arial Narrow" w:hAnsi="Arial Narrow"/>
                <w:sz w:val="20"/>
                <w:szCs w:val="20"/>
              </w:rPr>
              <w:t>/min</w:t>
            </w:r>
            <w:r w:rsidR="00D36D94" w:rsidRPr="007E1351">
              <w:rPr>
                <w:rFonts w:ascii="Arial Narrow" w:hAnsi="Arial Narrow"/>
                <w:sz w:val="20"/>
                <w:szCs w:val="20"/>
              </w:rPr>
              <w:t xml:space="preserve">). </w:t>
            </w:r>
            <w:r w:rsidR="00543669">
              <w:rPr>
                <w:rFonts w:ascii="Arial Narrow" w:hAnsi="Arial Narrow"/>
                <w:sz w:val="20"/>
                <w:szCs w:val="20"/>
              </w:rPr>
              <w:t>The PBAC considered this was reasonable.</w:t>
            </w:r>
          </w:p>
        </w:tc>
      </w:tr>
      <w:tr w:rsidR="00732F7D" w:rsidRPr="0023146D" w14:paraId="3A0DE123" w14:textId="77777777" w:rsidTr="00AA10BF">
        <w:trPr>
          <w:cantSplit/>
        </w:trPr>
        <w:tc>
          <w:tcPr>
            <w:tcW w:w="804" w:type="pct"/>
            <w:tcMar>
              <w:left w:w="40" w:type="dxa"/>
              <w:right w:w="40" w:type="dxa"/>
            </w:tcMar>
          </w:tcPr>
          <w:p w14:paraId="498733FC" w14:textId="344154DD" w:rsidR="00732F7D" w:rsidRPr="0023146D" w:rsidRDefault="00975D8B" w:rsidP="00506B90">
            <w:pPr>
              <w:jc w:val="left"/>
              <w:rPr>
                <w:rFonts w:ascii="Arial Narrow" w:hAnsi="Arial Narrow"/>
                <w:sz w:val="20"/>
                <w:szCs w:val="20"/>
              </w:rPr>
            </w:pPr>
            <w:r w:rsidRPr="0023146D">
              <w:rPr>
                <w:rFonts w:ascii="Arial Narrow" w:hAnsi="Arial Narrow"/>
                <w:sz w:val="20"/>
                <w:szCs w:val="20"/>
              </w:rPr>
              <w:t xml:space="preserve">Resistance </w:t>
            </w:r>
          </w:p>
        </w:tc>
        <w:tc>
          <w:tcPr>
            <w:tcW w:w="1949" w:type="pct"/>
            <w:tcMar>
              <w:left w:w="40" w:type="dxa"/>
              <w:right w:w="40" w:type="dxa"/>
            </w:tcMar>
          </w:tcPr>
          <w:p w14:paraId="62E222F6" w14:textId="47F3ABDF" w:rsidR="00732F7D" w:rsidRPr="0023146D" w:rsidRDefault="00732F7D" w:rsidP="00506B90">
            <w:pPr>
              <w:jc w:val="left"/>
              <w:rPr>
                <w:rFonts w:ascii="Arial Narrow" w:hAnsi="Arial Narrow"/>
                <w:b/>
                <w:sz w:val="20"/>
                <w:szCs w:val="20"/>
              </w:rPr>
            </w:pPr>
            <w:r w:rsidRPr="0023146D">
              <w:rPr>
                <w:rFonts w:ascii="Arial Narrow" w:hAnsi="Arial Narrow"/>
                <w:sz w:val="20"/>
                <w:szCs w:val="20"/>
              </w:rPr>
              <w:t>The restriction should exclude treatment with maribavir where there is evidence of genotypic resistance to maribavir (</w:t>
            </w:r>
            <w:r w:rsidR="00C741D6" w:rsidRPr="0023146D">
              <w:rPr>
                <w:rFonts w:ascii="Arial Narrow" w:hAnsi="Arial Narrow"/>
                <w:sz w:val="20"/>
                <w:szCs w:val="20"/>
              </w:rPr>
              <w:t>p</w:t>
            </w:r>
            <w:r w:rsidRPr="0023146D">
              <w:rPr>
                <w:rFonts w:ascii="Arial Narrow" w:hAnsi="Arial Narrow"/>
                <w:sz w:val="20"/>
                <w:szCs w:val="20"/>
              </w:rPr>
              <w:t>ara 7.6, Nov 2023 PSD).</w:t>
            </w:r>
          </w:p>
        </w:tc>
        <w:tc>
          <w:tcPr>
            <w:tcW w:w="2247" w:type="pct"/>
            <w:tcMar>
              <w:left w:w="40" w:type="dxa"/>
              <w:right w:w="40" w:type="dxa"/>
            </w:tcMar>
          </w:tcPr>
          <w:p w14:paraId="3A5DC2FB" w14:textId="7B42D4B9" w:rsidR="00732F7D" w:rsidRPr="007E1351" w:rsidRDefault="00980C03" w:rsidP="00506B90">
            <w:pPr>
              <w:jc w:val="left"/>
              <w:rPr>
                <w:rFonts w:ascii="Arial Narrow" w:hAnsi="Arial Narrow"/>
                <w:sz w:val="20"/>
                <w:szCs w:val="20"/>
              </w:rPr>
            </w:pPr>
            <w:r w:rsidRPr="007E1351">
              <w:rPr>
                <w:rFonts w:ascii="Arial Narrow" w:hAnsi="Arial Narrow"/>
                <w:sz w:val="20"/>
                <w:szCs w:val="20"/>
              </w:rPr>
              <w:t>The f</w:t>
            </w:r>
            <w:r w:rsidR="00297E38" w:rsidRPr="007E1351">
              <w:rPr>
                <w:rFonts w:ascii="Arial Narrow" w:hAnsi="Arial Narrow"/>
                <w:sz w:val="20"/>
                <w:szCs w:val="20"/>
              </w:rPr>
              <w:t>ollowing</w:t>
            </w:r>
            <w:r w:rsidR="00732F7D" w:rsidRPr="007E1351">
              <w:rPr>
                <w:rFonts w:ascii="Arial Narrow" w:hAnsi="Arial Narrow"/>
                <w:sz w:val="20"/>
                <w:szCs w:val="20"/>
              </w:rPr>
              <w:t xml:space="preserve"> wording “Maribavir should not be used in patients with demonstrated resistance to maribavir” </w:t>
            </w:r>
            <w:r w:rsidRPr="007E1351">
              <w:rPr>
                <w:rFonts w:ascii="Arial Narrow" w:hAnsi="Arial Narrow"/>
                <w:sz w:val="20"/>
                <w:szCs w:val="20"/>
              </w:rPr>
              <w:t>wa</w:t>
            </w:r>
            <w:r w:rsidR="001B186B" w:rsidRPr="007E1351">
              <w:rPr>
                <w:rFonts w:ascii="Arial Narrow" w:hAnsi="Arial Narrow"/>
                <w:sz w:val="20"/>
                <w:szCs w:val="20"/>
              </w:rPr>
              <w:t xml:space="preserve">s included </w:t>
            </w:r>
            <w:r w:rsidR="00297E38" w:rsidRPr="007E1351">
              <w:rPr>
                <w:rFonts w:ascii="Arial Narrow" w:hAnsi="Arial Narrow"/>
                <w:sz w:val="20"/>
                <w:szCs w:val="20"/>
              </w:rPr>
              <w:t>under the prescribing instructions.</w:t>
            </w:r>
          </w:p>
        </w:tc>
      </w:tr>
      <w:tr w:rsidR="00732F7D" w:rsidRPr="0023146D" w14:paraId="583D245E" w14:textId="77777777" w:rsidTr="00AA10BF">
        <w:trPr>
          <w:cantSplit/>
        </w:trPr>
        <w:tc>
          <w:tcPr>
            <w:tcW w:w="804" w:type="pct"/>
            <w:tcMar>
              <w:left w:w="40" w:type="dxa"/>
              <w:right w:w="40" w:type="dxa"/>
            </w:tcMar>
          </w:tcPr>
          <w:p w14:paraId="4182E045" w14:textId="52247922" w:rsidR="00732F7D" w:rsidRPr="0023146D" w:rsidRDefault="00975D8B" w:rsidP="00506B90">
            <w:pPr>
              <w:jc w:val="left"/>
              <w:rPr>
                <w:rFonts w:ascii="Arial Narrow" w:hAnsi="Arial Narrow"/>
                <w:sz w:val="20"/>
                <w:szCs w:val="20"/>
              </w:rPr>
            </w:pPr>
            <w:r w:rsidRPr="0023146D">
              <w:rPr>
                <w:rFonts w:ascii="Arial Narrow" w:hAnsi="Arial Narrow"/>
                <w:sz w:val="20"/>
                <w:szCs w:val="20"/>
              </w:rPr>
              <w:t xml:space="preserve">Age </w:t>
            </w:r>
          </w:p>
        </w:tc>
        <w:tc>
          <w:tcPr>
            <w:tcW w:w="1949" w:type="pct"/>
            <w:tcMar>
              <w:left w:w="40" w:type="dxa"/>
              <w:right w:w="40" w:type="dxa"/>
            </w:tcMar>
          </w:tcPr>
          <w:p w14:paraId="54E287C3" w14:textId="2A68837D" w:rsidR="00732F7D" w:rsidRPr="0023146D" w:rsidRDefault="00732F7D" w:rsidP="00506B90">
            <w:pPr>
              <w:jc w:val="left"/>
              <w:rPr>
                <w:rFonts w:ascii="Arial Narrow" w:hAnsi="Arial Narrow"/>
                <w:b/>
                <w:sz w:val="20"/>
                <w:szCs w:val="20"/>
              </w:rPr>
            </w:pPr>
            <w:r w:rsidRPr="0023146D">
              <w:rPr>
                <w:rFonts w:ascii="Arial Narrow" w:hAnsi="Arial Narrow"/>
                <w:sz w:val="20"/>
                <w:szCs w:val="20"/>
              </w:rPr>
              <w:t>The restriction should be age-agnostic (</w:t>
            </w:r>
            <w:r w:rsidR="00C741D6" w:rsidRPr="0023146D">
              <w:rPr>
                <w:rFonts w:ascii="Arial Narrow" w:hAnsi="Arial Narrow"/>
                <w:sz w:val="20"/>
                <w:szCs w:val="20"/>
              </w:rPr>
              <w:t>p</w:t>
            </w:r>
            <w:r w:rsidRPr="0023146D">
              <w:rPr>
                <w:rFonts w:ascii="Arial Narrow" w:hAnsi="Arial Narrow"/>
                <w:sz w:val="20"/>
                <w:szCs w:val="20"/>
              </w:rPr>
              <w:t>ara 7.7, Nov 2023 PSD).</w:t>
            </w:r>
          </w:p>
        </w:tc>
        <w:tc>
          <w:tcPr>
            <w:tcW w:w="2247" w:type="pct"/>
            <w:tcMar>
              <w:left w:w="40" w:type="dxa"/>
              <w:right w:w="40" w:type="dxa"/>
            </w:tcMar>
          </w:tcPr>
          <w:p w14:paraId="117F35BC" w14:textId="77777777" w:rsidR="00732F7D" w:rsidRPr="007E1351" w:rsidRDefault="00732F7D" w:rsidP="00506B90">
            <w:pPr>
              <w:jc w:val="left"/>
              <w:rPr>
                <w:rFonts w:ascii="Arial Narrow" w:hAnsi="Arial Narrow"/>
                <w:b/>
                <w:sz w:val="20"/>
                <w:szCs w:val="20"/>
              </w:rPr>
            </w:pPr>
            <w:r w:rsidRPr="007E1351">
              <w:rPr>
                <w:rFonts w:ascii="Arial Narrow" w:hAnsi="Arial Narrow"/>
                <w:sz w:val="20"/>
                <w:szCs w:val="20"/>
              </w:rPr>
              <w:t xml:space="preserve">Addressed, the age restriction has been removed. </w:t>
            </w:r>
          </w:p>
        </w:tc>
      </w:tr>
      <w:tr w:rsidR="00732F7D" w:rsidRPr="0023146D" w14:paraId="0C541C10" w14:textId="77777777" w:rsidTr="00AA10BF">
        <w:trPr>
          <w:cantSplit/>
        </w:trPr>
        <w:tc>
          <w:tcPr>
            <w:tcW w:w="804" w:type="pct"/>
            <w:tcMar>
              <w:left w:w="40" w:type="dxa"/>
              <w:right w:w="40" w:type="dxa"/>
            </w:tcMar>
          </w:tcPr>
          <w:p w14:paraId="3CA91765" w14:textId="7CDDC29A" w:rsidR="00732F7D" w:rsidRPr="0023146D" w:rsidRDefault="0028005C" w:rsidP="00506B90">
            <w:pPr>
              <w:jc w:val="left"/>
              <w:rPr>
                <w:rFonts w:ascii="Arial Narrow" w:hAnsi="Arial Narrow"/>
                <w:sz w:val="20"/>
                <w:szCs w:val="20"/>
              </w:rPr>
            </w:pPr>
            <w:r w:rsidRPr="0023146D">
              <w:rPr>
                <w:rFonts w:ascii="Arial Narrow" w:hAnsi="Arial Narrow"/>
                <w:sz w:val="20"/>
                <w:szCs w:val="20"/>
              </w:rPr>
              <w:t>Use beyond 8 weeks</w:t>
            </w:r>
          </w:p>
        </w:tc>
        <w:tc>
          <w:tcPr>
            <w:tcW w:w="1949" w:type="pct"/>
            <w:tcMar>
              <w:left w:w="40" w:type="dxa"/>
              <w:right w:w="40" w:type="dxa"/>
            </w:tcMar>
          </w:tcPr>
          <w:p w14:paraId="3DF35116" w14:textId="29D7399A" w:rsidR="00732F7D" w:rsidRPr="0023146D" w:rsidRDefault="00732F7D" w:rsidP="00506B90">
            <w:pPr>
              <w:jc w:val="left"/>
              <w:rPr>
                <w:rFonts w:ascii="Arial Narrow" w:hAnsi="Arial Narrow"/>
                <w:b/>
                <w:sz w:val="20"/>
                <w:szCs w:val="20"/>
              </w:rPr>
            </w:pPr>
            <w:r w:rsidRPr="0023146D">
              <w:rPr>
                <w:rFonts w:ascii="Arial Narrow" w:hAnsi="Arial Narrow"/>
                <w:sz w:val="20"/>
                <w:szCs w:val="20"/>
              </w:rPr>
              <w:t>The restriction should allow treatment beyond 8 weeks if clinically required, aligning with CMV treatment guidelines (</w:t>
            </w:r>
            <w:r w:rsidR="00C741D6" w:rsidRPr="0023146D">
              <w:rPr>
                <w:rFonts w:ascii="Arial Narrow" w:hAnsi="Arial Narrow"/>
                <w:sz w:val="20"/>
                <w:szCs w:val="20"/>
              </w:rPr>
              <w:t>p</w:t>
            </w:r>
            <w:r w:rsidRPr="0023146D">
              <w:rPr>
                <w:rFonts w:ascii="Arial Narrow" w:hAnsi="Arial Narrow"/>
                <w:sz w:val="20"/>
                <w:szCs w:val="20"/>
              </w:rPr>
              <w:t>ara 7.8, Nov 2023 PSD).</w:t>
            </w:r>
          </w:p>
        </w:tc>
        <w:tc>
          <w:tcPr>
            <w:tcW w:w="2247" w:type="pct"/>
            <w:tcMar>
              <w:left w:w="40" w:type="dxa"/>
              <w:right w:w="40" w:type="dxa"/>
            </w:tcMar>
          </w:tcPr>
          <w:p w14:paraId="3A7A9933" w14:textId="0EDC9F37" w:rsidR="00732F7D" w:rsidRPr="007E1351" w:rsidRDefault="001B3019" w:rsidP="00506B90">
            <w:pPr>
              <w:jc w:val="left"/>
              <w:rPr>
                <w:rFonts w:ascii="Arial Narrow" w:hAnsi="Arial Narrow"/>
                <w:b/>
                <w:sz w:val="20"/>
                <w:szCs w:val="20"/>
              </w:rPr>
            </w:pPr>
            <w:r w:rsidRPr="007E1351">
              <w:rPr>
                <w:rFonts w:ascii="Arial Narrow" w:hAnsi="Arial Narrow"/>
                <w:sz w:val="20"/>
                <w:szCs w:val="20"/>
              </w:rPr>
              <w:t xml:space="preserve">The </w:t>
            </w:r>
            <w:r w:rsidR="00D1774D">
              <w:rPr>
                <w:rFonts w:ascii="Arial Narrow" w:hAnsi="Arial Narrow"/>
                <w:sz w:val="20"/>
                <w:szCs w:val="20"/>
              </w:rPr>
              <w:t>proposed</w:t>
            </w:r>
            <w:r w:rsidRPr="007E1351">
              <w:rPr>
                <w:rFonts w:ascii="Arial Narrow" w:hAnsi="Arial Narrow"/>
                <w:sz w:val="20"/>
                <w:szCs w:val="20"/>
              </w:rPr>
              <w:t xml:space="preserve"> restriction </w:t>
            </w:r>
            <w:r w:rsidR="00D1774D">
              <w:rPr>
                <w:rFonts w:ascii="Arial Narrow" w:hAnsi="Arial Narrow"/>
                <w:sz w:val="20"/>
                <w:szCs w:val="20"/>
              </w:rPr>
              <w:t>would</w:t>
            </w:r>
            <w:r w:rsidR="00D1774D" w:rsidRPr="007E1351">
              <w:rPr>
                <w:rFonts w:ascii="Arial Narrow" w:hAnsi="Arial Narrow"/>
                <w:sz w:val="20"/>
                <w:szCs w:val="20"/>
              </w:rPr>
              <w:t xml:space="preserve"> </w:t>
            </w:r>
            <w:r w:rsidRPr="007E1351">
              <w:rPr>
                <w:rFonts w:ascii="Arial Narrow" w:hAnsi="Arial Narrow"/>
                <w:sz w:val="20"/>
                <w:szCs w:val="20"/>
              </w:rPr>
              <w:t>allow for ongoing treatment beyond 8 weeks</w:t>
            </w:r>
            <w:r w:rsidR="00D4240F" w:rsidRPr="007E1351">
              <w:rPr>
                <w:rFonts w:ascii="Arial Narrow" w:hAnsi="Arial Narrow"/>
                <w:sz w:val="20"/>
                <w:szCs w:val="20"/>
              </w:rPr>
              <w:t>.</w:t>
            </w:r>
          </w:p>
        </w:tc>
      </w:tr>
      <w:tr w:rsidR="00732F7D" w:rsidRPr="0023146D" w14:paraId="6D025E7D" w14:textId="77777777" w:rsidTr="00AA10BF">
        <w:trPr>
          <w:cantSplit/>
        </w:trPr>
        <w:tc>
          <w:tcPr>
            <w:tcW w:w="5000" w:type="pct"/>
            <w:gridSpan w:val="3"/>
            <w:tcMar>
              <w:left w:w="40" w:type="dxa"/>
              <w:right w:w="40" w:type="dxa"/>
            </w:tcMar>
          </w:tcPr>
          <w:p w14:paraId="5BA53C2D" w14:textId="77777777" w:rsidR="00732F7D" w:rsidRPr="007E1351" w:rsidRDefault="00732F7D">
            <w:pPr>
              <w:rPr>
                <w:rFonts w:ascii="Arial Narrow" w:hAnsi="Arial Narrow"/>
                <w:b/>
                <w:bCs/>
                <w:sz w:val="20"/>
                <w:szCs w:val="20"/>
              </w:rPr>
            </w:pPr>
            <w:r w:rsidRPr="007E1351">
              <w:rPr>
                <w:rFonts w:ascii="Arial Narrow" w:hAnsi="Arial Narrow"/>
                <w:b/>
                <w:bCs/>
                <w:sz w:val="20"/>
                <w:szCs w:val="20"/>
              </w:rPr>
              <w:lastRenderedPageBreak/>
              <w:t>Clinical evidence</w:t>
            </w:r>
          </w:p>
        </w:tc>
      </w:tr>
      <w:tr w:rsidR="00732F7D" w:rsidRPr="0023146D" w14:paraId="18644DA0" w14:textId="77777777" w:rsidTr="00AA10BF">
        <w:trPr>
          <w:cantSplit/>
        </w:trPr>
        <w:tc>
          <w:tcPr>
            <w:tcW w:w="804" w:type="pct"/>
            <w:tcMar>
              <w:left w:w="40" w:type="dxa"/>
              <w:right w:w="40" w:type="dxa"/>
            </w:tcMar>
          </w:tcPr>
          <w:p w14:paraId="0EEFE0F1" w14:textId="4978EAA9" w:rsidR="00732F7D" w:rsidRPr="0023146D" w:rsidRDefault="00483B2B" w:rsidP="00506B90">
            <w:pPr>
              <w:jc w:val="left"/>
              <w:rPr>
                <w:rFonts w:ascii="Arial Narrow" w:hAnsi="Arial Narrow"/>
                <w:sz w:val="20"/>
                <w:szCs w:val="20"/>
              </w:rPr>
            </w:pPr>
            <w:r w:rsidRPr="0023146D">
              <w:rPr>
                <w:rFonts w:ascii="Arial Narrow" w:hAnsi="Arial Narrow"/>
                <w:sz w:val="20"/>
                <w:szCs w:val="20"/>
              </w:rPr>
              <w:t>Biases in SOLSTICE’s design</w:t>
            </w:r>
          </w:p>
        </w:tc>
        <w:tc>
          <w:tcPr>
            <w:tcW w:w="1949" w:type="pct"/>
            <w:tcMar>
              <w:left w:w="40" w:type="dxa"/>
              <w:right w:w="40" w:type="dxa"/>
            </w:tcMar>
          </w:tcPr>
          <w:p w14:paraId="23953706" w14:textId="154BE8FB" w:rsidR="00732F7D" w:rsidRPr="0023146D" w:rsidRDefault="00732F7D">
            <w:pPr>
              <w:jc w:val="left"/>
              <w:rPr>
                <w:rFonts w:ascii="Arial Narrow" w:hAnsi="Arial Narrow"/>
                <w:b/>
                <w:sz w:val="20"/>
                <w:szCs w:val="20"/>
              </w:rPr>
            </w:pPr>
            <w:r w:rsidRPr="0023146D">
              <w:rPr>
                <w:rFonts w:ascii="Arial Narrow" w:hAnsi="Arial Narrow"/>
                <w:sz w:val="20"/>
                <w:szCs w:val="20"/>
              </w:rPr>
              <w:t>SOLSTICE</w:t>
            </w:r>
            <w:r w:rsidR="00C110D3" w:rsidRPr="0023146D">
              <w:rPr>
                <w:rFonts w:ascii="Arial Narrow" w:hAnsi="Arial Narrow"/>
                <w:sz w:val="20"/>
                <w:szCs w:val="20"/>
              </w:rPr>
              <w:t>’s design</w:t>
            </w:r>
            <w:r w:rsidRPr="0023146D">
              <w:rPr>
                <w:rFonts w:ascii="Arial Narrow" w:hAnsi="Arial Narrow"/>
                <w:sz w:val="20"/>
                <w:szCs w:val="20"/>
              </w:rPr>
              <w:t xml:space="preserve"> </w:t>
            </w:r>
            <w:r w:rsidR="009041DB" w:rsidRPr="0023146D">
              <w:rPr>
                <w:rFonts w:ascii="Arial Narrow" w:hAnsi="Arial Narrow"/>
                <w:sz w:val="20"/>
                <w:szCs w:val="20"/>
              </w:rPr>
              <w:t>had bias</w:t>
            </w:r>
            <w:r w:rsidR="00B2588B" w:rsidRPr="0023146D">
              <w:rPr>
                <w:rFonts w:ascii="Arial Narrow" w:hAnsi="Arial Narrow"/>
                <w:sz w:val="20"/>
                <w:szCs w:val="20"/>
              </w:rPr>
              <w:t>es</w:t>
            </w:r>
            <w:r w:rsidR="009041DB" w:rsidRPr="0023146D">
              <w:rPr>
                <w:rFonts w:ascii="Arial Narrow" w:hAnsi="Arial Narrow"/>
                <w:sz w:val="20"/>
                <w:szCs w:val="20"/>
              </w:rPr>
              <w:t xml:space="preserve"> in favour maribavir</w:t>
            </w:r>
            <w:r w:rsidR="00B2588B" w:rsidRPr="0023146D">
              <w:rPr>
                <w:rFonts w:ascii="Arial Narrow" w:hAnsi="Arial Narrow"/>
                <w:sz w:val="20"/>
                <w:szCs w:val="20"/>
              </w:rPr>
              <w:t>.</w:t>
            </w:r>
            <w:r w:rsidR="007E457E" w:rsidRPr="0023146D">
              <w:rPr>
                <w:rFonts w:ascii="Arial Narrow" w:hAnsi="Arial Narrow"/>
                <w:sz w:val="20"/>
                <w:szCs w:val="20"/>
              </w:rPr>
              <w:t xml:space="preserve"> </w:t>
            </w:r>
            <w:r w:rsidR="00BA60D7" w:rsidRPr="0023146D">
              <w:rPr>
                <w:rFonts w:ascii="Arial Narrow" w:hAnsi="Arial Narrow"/>
                <w:sz w:val="20"/>
                <w:szCs w:val="20"/>
              </w:rPr>
              <w:t>H</w:t>
            </w:r>
            <w:r w:rsidRPr="0023146D">
              <w:rPr>
                <w:rFonts w:ascii="Arial Narrow" w:hAnsi="Arial Narrow"/>
                <w:sz w:val="20"/>
                <w:szCs w:val="20"/>
              </w:rPr>
              <w:t>igh drop-out rate in the IAT arm and the extent of cross-over</w:t>
            </w:r>
            <w:r w:rsidR="00483B2B" w:rsidRPr="0023146D">
              <w:rPr>
                <w:rFonts w:ascii="Arial Narrow" w:hAnsi="Arial Narrow"/>
                <w:sz w:val="20"/>
                <w:szCs w:val="20"/>
              </w:rPr>
              <w:t xml:space="preserve"> confounded the trial results</w:t>
            </w:r>
            <w:r w:rsidR="00560C94" w:rsidRPr="0023146D">
              <w:rPr>
                <w:rFonts w:ascii="Arial Narrow" w:hAnsi="Arial Narrow"/>
                <w:sz w:val="20"/>
                <w:szCs w:val="20"/>
              </w:rPr>
              <w:t>.</w:t>
            </w:r>
            <w:r w:rsidRPr="0023146D">
              <w:rPr>
                <w:rFonts w:ascii="Arial Narrow" w:hAnsi="Arial Narrow"/>
                <w:sz w:val="20"/>
                <w:szCs w:val="20"/>
              </w:rPr>
              <w:t xml:space="preserve"> </w:t>
            </w:r>
            <w:r w:rsidR="00555FBE" w:rsidRPr="0023146D">
              <w:rPr>
                <w:rFonts w:ascii="Arial Narrow" w:hAnsi="Arial Narrow"/>
                <w:sz w:val="20"/>
                <w:szCs w:val="20"/>
              </w:rPr>
              <w:t>A</w:t>
            </w:r>
            <w:r w:rsidRPr="0023146D">
              <w:rPr>
                <w:rFonts w:ascii="Arial Narrow" w:hAnsi="Arial Narrow"/>
                <w:sz w:val="20"/>
                <w:szCs w:val="20"/>
              </w:rPr>
              <w:t xml:space="preserve">dditional data </w:t>
            </w:r>
            <w:r w:rsidR="00483B2B" w:rsidRPr="0023146D">
              <w:rPr>
                <w:rFonts w:ascii="Arial Narrow" w:hAnsi="Arial Narrow"/>
                <w:sz w:val="20"/>
                <w:szCs w:val="20"/>
              </w:rPr>
              <w:t>should be provide</w:t>
            </w:r>
            <w:r w:rsidR="003A692E" w:rsidRPr="0023146D">
              <w:rPr>
                <w:rFonts w:ascii="Arial Narrow" w:hAnsi="Arial Narrow"/>
                <w:sz w:val="20"/>
                <w:szCs w:val="20"/>
              </w:rPr>
              <w:t>d</w:t>
            </w:r>
            <w:r w:rsidR="00483B2B" w:rsidRPr="0023146D">
              <w:rPr>
                <w:rFonts w:ascii="Arial Narrow" w:hAnsi="Arial Narrow"/>
                <w:sz w:val="20"/>
                <w:szCs w:val="20"/>
              </w:rPr>
              <w:t xml:space="preserve"> to support a </w:t>
            </w:r>
            <w:r w:rsidRPr="0023146D">
              <w:rPr>
                <w:rFonts w:ascii="Arial Narrow" w:hAnsi="Arial Narrow"/>
                <w:sz w:val="20"/>
                <w:szCs w:val="20"/>
              </w:rPr>
              <w:t xml:space="preserve">clinical claim of superiority over </w:t>
            </w:r>
            <w:r w:rsidR="00483B2B" w:rsidRPr="0023146D">
              <w:rPr>
                <w:rFonts w:ascii="Arial Narrow" w:hAnsi="Arial Narrow"/>
                <w:sz w:val="20"/>
                <w:szCs w:val="20"/>
              </w:rPr>
              <w:t xml:space="preserve">SoC </w:t>
            </w:r>
            <w:r w:rsidRPr="0023146D">
              <w:rPr>
                <w:rFonts w:ascii="Arial Narrow" w:hAnsi="Arial Narrow"/>
                <w:sz w:val="20"/>
                <w:szCs w:val="20"/>
              </w:rPr>
              <w:t>(</w:t>
            </w:r>
            <w:r w:rsidR="00C741D6" w:rsidRPr="0023146D">
              <w:rPr>
                <w:rFonts w:ascii="Arial Narrow" w:hAnsi="Arial Narrow"/>
                <w:sz w:val="20"/>
                <w:szCs w:val="20"/>
              </w:rPr>
              <w:t>p</w:t>
            </w:r>
            <w:r w:rsidRPr="0023146D">
              <w:rPr>
                <w:rFonts w:ascii="Arial Narrow" w:hAnsi="Arial Narrow"/>
                <w:sz w:val="20"/>
                <w:szCs w:val="20"/>
              </w:rPr>
              <w:t xml:space="preserve">ara </w:t>
            </w:r>
            <w:r w:rsidR="00B660F3" w:rsidRPr="0023146D">
              <w:rPr>
                <w:rFonts w:ascii="Arial Narrow" w:hAnsi="Arial Narrow"/>
                <w:sz w:val="20"/>
                <w:szCs w:val="20"/>
              </w:rPr>
              <w:t xml:space="preserve">7.10, </w:t>
            </w:r>
            <w:r w:rsidR="00560C94" w:rsidRPr="0023146D">
              <w:rPr>
                <w:rFonts w:ascii="Arial Narrow" w:hAnsi="Arial Narrow"/>
                <w:sz w:val="20"/>
                <w:szCs w:val="20"/>
              </w:rPr>
              <w:t>7.13 &amp;</w:t>
            </w:r>
            <w:r w:rsidRPr="0023146D">
              <w:rPr>
                <w:rFonts w:ascii="Arial Narrow" w:hAnsi="Arial Narrow"/>
                <w:sz w:val="20"/>
                <w:szCs w:val="20"/>
              </w:rPr>
              <w:t xml:space="preserve"> 7.17, Nov 2023 PSD).</w:t>
            </w:r>
          </w:p>
        </w:tc>
        <w:tc>
          <w:tcPr>
            <w:tcW w:w="2247" w:type="pct"/>
            <w:tcMar>
              <w:left w:w="40" w:type="dxa"/>
              <w:right w:w="40" w:type="dxa"/>
            </w:tcMar>
          </w:tcPr>
          <w:p w14:paraId="2E6CA0DF" w14:textId="35DEB57D" w:rsidR="00732F7D" w:rsidRPr="007E1351" w:rsidRDefault="00732F7D">
            <w:pPr>
              <w:jc w:val="left"/>
              <w:rPr>
                <w:rFonts w:ascii="Arial Narrow" w:hAnsi="Arial Narrow"/>
                <w:sz w:val="20"/>
                <w:szCs w:val="20"/>
              </w:rPr>
            </w:pPr>
            <w:r w:rsidRPr="007E1351">
              <w:rPr>
                <w:rFonts w:ascii="Arial Narrow" w:hAnsi="Arial Narrow"/>
                <w:sz w:val="20"/>
                <w:szCs w:val="20"/>
              </w:rPr>
              <w:t xml:space="preserve">No additional data </w:t>
            </w:r>
            <w:r w:rsidR="00980C03" w:rsidRPr="007E1351">
              <w:rPr>
                <w:rFonts w:ascii="Arial Narrow" w:hAnsi="Arial Narrow"/>
                <w:sz w:val="20"/>
                <w:szCs w:val="20"/>
              </w:rPr>
              <w:t xml:space="preserve">were provided in the resubmission to address this specific concern from the PBAC. </w:t>
            </w:r>
            <w:r w:rsidRPr="007E1351">
              <w:rPr>
                <w:rFonts w:ascii="Arial Narrow" w:hAnsi="Arial Narrow"/>
                <w:sz w:val="20"/>
                <w:szCs w:val="20"/>
              </w:rPr>
              <w:t>The resubmission largely addresse</w:t>
            </w:r>
            <w:r w:rsidR="00980C03" w:rsidRPr="007E1351">
              <w:rPr>
                <w:rFonts w:ascii="Arial Narrow" w:hAnsi="Arial Narrow"/>
                <w:sz w:val="20"/>
                <w:szCs w:val="20"/>
              </w:rPr>
              <w:t>d</w:t>
            </w:r>
            <w:r w:rsidRPr="007E1351">
              <w:rPr>
                <w:rFonts w:ascii="Arial Narrow" w:hAnsi="Arial Narrow"/>
                <w:sz w:val="20"/>
                <w:szCs w:val="20"/>
              </w:rPr>
              <w:t xml:space="preserve"> this matter using similar justifications provided in the </w:t>
            </w:r>
            <w:r w:rsidR="008F644A">
              <w:rPr>
                <w:rFonts w:ascii="Arial Narrow" w:hAnsi="Arial Narrow"/>
                <w:sz w:val="20"/>
                <w:szCs w:val="20"/>
              </w:rPr>
              <w:t>P</w:t>
            </w:r>
            <w:r w:rsidR="008F644A" w:rsidRPr="007E1351">
              <w:rPr>
                <w:rFonts w:ascii="Arial Narrow" w:hAnsi="Arial Narrow"/>
                <w:sz w:val="20"/>
                <w:szCs w:val="20"/>
              </w:rPr>
              <w:t>re</w:t>
            </w:r>
            <w:r w:rsidR="00980C03" w:rsidRPr="007E1351">
              <w:rPr>
                <w:rFonts w:ascii="Arial Narrow" w:hAnsi="Arial Narrow"/>
                <w:sz w:val="20"/>
                <w:szCs w:val="20"/>
              </w:rPr>
              <w:t>-Sub</w:t>
            </w:r>
            <w:r w:rsidR="00AA10BF" w:rsidRPr="007E1351">
              <w:rPr>
                <w:rFonts w:ascii="Arial Narrow" w:hAnsi="Arial Narrow"/>
                <w:sz w:val="20"/>
                <w:szCs w:val="20"/>
              </w:rPr>
              <w:t>-</w:t>
            </w:r>
            <w:r w:rsidR="00980C03" w:rsidRPr="007E1351">
              <w:rPr>
                <w:rFonts w:ascii="Arial Narrow" w:hAnsi="Arial Narrow"/>
                <w:sz w:val="20"/>
                <w:szCs w:val="20"/>
              </w:rPr>
              <w:t>Committee Response (</w:t>
            </w:r>
            <w:r w:rsidRPr="007E1351">
              <w:rPr>
                <w:rFonts w:ascii="Arial Narrow" w:hAnsi="Arial Narrow"/>
                <w:sz w:val="20"/>
                <w:szCs w:val="20"/>
              </w:rPr>
              <w:t>PSCR</w:t>
            </w:r>
            <w:r w:rsidR="00980C03" w:rsidRPr="007E1351">
              <w:rPr>
                <w:rFonts w:ascii="Arial Narrow" w:hAnsi="Arial Narrow"/>
                <w:sz w:val="20"/>
                <w:szCs w:val="20"/>
              </w:rPr>
              <w:t>)</w:t>
            </w:r>
            <w:r w:rsidRPr="007E1351">
              <w:rPr>
                <w:rFonts w:ascii="Arial Narrow" w:hAnsi="Arial Narrow"/>
                <w:sz w:val="20"/>
                <w:szCs w:val="20"/>
              </w:rPr>
              <w:t xml:space="preserve"> and the </w:t>
            </w:r>
            <w:r w:rsidR="000A6504" w:rsidRPr="007E1351">
              <w:rPr>
                <w:rFonts w:ascii="Arial Narrow" w:hAnsi="Arial Narrow"/>
                <w:sz w:val="20"/>
                <w:szCs w:val="20"/>
              </w:rPr>
              <w:t>p</w:t>
            </w:r>
            <w:r w:rsidRPr="007E1351">
              <w:rPr>
                <w:rFonts w:ascii="Arial Narrow" w:hAnsi="Arial Narrow"/>
                <w:sz w:val="20"/>
                <w:szCs w:val="20"/>
              </w:rPr>
              <w:t>re-PBAC response submitted for the PBAC November 2023 meeting.</w:t>
            </w:r>
          </w:p>
        </w:tc>
      </w:tr>
      <w:tr w:rsidR="00732F7D" w:rsidRPr="0023146D" w14:paraId="60598E49" w14:textId="77777777" w:rsidTr="00AA10BF">
        <w:trPr>
          <w:cantSplit/>
        </w:trPr>
        <w:tc>
          <w:tcPr>
            <w:tcW w:w="804" w:type="pct"/>
            <w:tcMar>
              <w:left w:w="40" w:type="dxa"/>
              <w:right w:w="40" w:type="dxa"/>
            </w:tcMar>
          </w:tcPr>
          <w:p w14:paraId="5B02B8F5" w14:textId="19D915BD" w:rsidR="00732F7D" w:rsidRPr="0023146D" w:rsidRDefault="001870D9">
            <w:pPr>
              <w:rPr>
                <w:rFonts w:ascii="Arial Narrow" w:hAnsi="Arial Narrow"/>
                <w:sz w:val="20"/>
                <w:szCs w:val="20"/>
              </w:rPr>
            </w:pPr>
            <w:r w:rsidRPr="0023146D">
              <w:rPr>
                <w:rFonts w:ascii="Arial Narrow" w:hAnsi="Arial Narrow"/>
                <w:sz w:val="20"/>
                <w:szCs w:val="20"/>
              </w:rPr>
              <w:t>A safety claim</w:t>
            </w:r>
          </w:p>
        </w:tc>
        <w:tc>
          <w:tcPr>
            <w:tcW w:w="1949" w:type="pct"/>
            <w:tcMar>
              <w:left w:w="40" w:type="dxa"/>
              <w:right w:w="40" w:type="dxa"/>
            </w:tcMar>
          </w:tcPr>
          <w:p w14:paraId="127E73EF" w14:textId="65D3399D" w:rsidR="00732F7D" w:rsidRPr="0023146D" w:rsidRDefault="00A87683">
            <w:pPr>
              <w:jc w:val="left"/>
              <w:rPr>
                <w:rFonts w:ascii="Arial Narrow" w:hAnsi="Arial Narrow"/>
                <w:b/>
                <w:sz w:val="20"/>
                <w:szCs w:val="20"/>
              </w:rPr>
            </w:pPr>
            <w:r w:rsidRPr="0023146D">
              <w:rPr>
                <w:rFonts w:ascii="Arial Narrow" w:hAnsi="Arial Narrow"/>
                <w:sz w:val="20"/>
                <w:szCs w:val="20"/>
              </w:rPr>
              <w:t>M</w:t>
            </w:r>
            <w:r w:rsidR="00732F7D" w:rsidRPr="0023146D">
              <w:rPr>
                <w:rFonts w:ascii="Arial Narrow" w:hAnsi="Arial Narrow"/>
                <w:sz w:val="20"/>
                <w:szCs w:val="20"/>
              </w:rPr>
              <w:t>aribavir</w:t>
            </w:r>
            <w:r w:rsidR="00624471" w:rsidRPr="0023146D">
              <w:rPr>
                <w:rFonts w:ascii="Arial Narrow" w:hAnsi="Arial Narrow"/>
                <w:sz w:val="20"/>
                <w:szCs w:val="20"/>
              </w:rPr>
              <w:t xml:space="preserve"> had</w:t>
            </w:r>
            <w:r w:rsidR="00732F7D" w:rsidRPr="0023146D">
              <w:rPr>
                <w:rFonts w:ascii="Arial Narrow" w:hAnsi="Arial Narrow"/>
                <w:sz w:val="20"/>
                <w:szCs w:val="20"/>
              </w:rPr>
              <w:t xml:space="preserve"> </w:t>
            </w:r>
            <w:r w:rsidR="00456A28" w:rsidRPr="0023146D">
              <w:rPr>
                <w:rFonts w:ascii="Arial Narrow" w:hAnsi="Arial Narrow"/>
                <w:sz w:val="20"/>
                <w:szCs w:val="20"/>
              </w:rPr>
              <w:t xml:space="preserve">a </w:t>
            </w:r>
            <w:r w:rsidR="00732F7D" w:rsidRPr="0023146D">
              <w:rPr>
                <w:rFonts w:ascii="Arial Narrow" w:hAnsi="Arial Narrow"/>
                <w:sz w:val="20"/>
                <w:szCs w:val="20"/>
              </w:rPr>
              <w:t>different safety profile</w:t>
            </w:r>
            <w:r w:rsidR="00C74E15" w:rsidRPr="0023146D">
              <w:rPr>
                <w:rFonts w:ascii="Arial Narrow" w:hAnsi="Arial Narrow"/>
                <w:sz w:val="20"/>
                <w:szCs w:val="20"/>
              </w:rPr>
              <w:t xml:space="preserve">, </w:t>
            </w:r>
            <w:r w:rsidR="006B75AD" w:rsidRPr="0023146D">
              <w:rPr>
                <w:rFonts w:ascii="Arial Narrow" w:hAnsi="Arial Narrow"/>
                <w:sz w:val="20"/>
                <w:szCs w:val="20"/>
              </w:rPr>
              <w:t xml:space="preserve">and </w:t>
            </w:r>
            <w:r w:rsidR="00456A28" w:rsidRPr="0023146D">
              <w:rPr>
                <w:rFonts w:ascii="Arial Narrow" w:hAnsi="Arial Narrow"/>
                <w:sz w:val="20"/>
                <w:szCs w:val="20"/>
              </w:rPr>
              <w:t xml:space="preserve">was </w:t>
            </w:r>
            <w:r w:rsidR="006B75AD" w:rsidRPr="0023146D">
              <w:rPr>
                <w:rFonts w:ascii="Arial Narrow" w:hAnsi="Arial Narrow"/>
                <w:sz w:val="20"/>
                <w:szCs w:val="20"/>
              </w:rPr>
              <w:t>not</w:t>
            </w:r>
            <w:r w:rsidR="00732F7D" w:rsidRPr="0023146D">
              <w:rPr>
                <w:rFonts w:ascii="Arial Narrow" w:hAnsi="Arial Narrow"/>
                <w:sz w:val="20"/>
                <w:szCs w:val="20"/>
              </w:rPr>
              <w:t xml:space="preserve"> superior to SoC</w:t>
            </w:r>
            <w:r w:rsidR="006B75AD" w:rsidRPr="0023146D">
              <w:rPr>
                <w:rFonts w:ascii="Arial Narrow" w:hAnsi="Arial Narrow"/>
                <w:sz w:val="20"/>
                <w:szCs w:val="20"/>
              </w:rPr>
              <w:t>. A</w:t>
            </w:r>
            <w:r w:rsidR="00732F7D" w:rsidRPr="0023146D">
              <w:rPr>
                <w:rFonts w:ascii="Arial Narrow" w:hAnsi="Arial Narrow"/>
                <w:sz w:val="20"/>
                <w:szCs w:val="20"/>
              </w:rPr>
              <w:t xml:space="preserve"> claim of non-inferior safety is more reasonable (</w:t>
            </w:r>
            <w:r w:rsidR="00C741D6" w:rsidRPr="0023146D">
              <w:rPr>
                <w:rFonts w:ascii="Arial Narrow" w:hAnsi="Arial Narrow"/>
                <w:sz w:val="20"/>
                <w:szCs w:val="20"/>
              </w:rPr>
              <w:t>p</w:t>
            </w:r>
            <w:r w:rsidR="00732F7D" w:rsidRPr="0023146D">
              <w:rPr>
                <w:rFonts w:ascii="Arial Narrow" w:hAnsi="Arial Narrow"/>
                <w:sz w:val="20"/>
                <w:szCs w:val="20"/>
              </w:rPr>
              <w:t>ara 7.14, Nov 2023 PSD).</w:t>
            </w:r>
          </w:p>
        </w:tc>
        <w:tc>
          <w:tcPr>
            <w:tcW w:w="2247" w:type="pct"/>
            <w:tcMar>
              <w:left w:w="40" w:type="dxa"/>
              <w:right w:w="40" w:type="dxa"/>
            </w:tcMar>
          </w:tcPr>
          <w:p w14:paraId="18326501" w14:textId="3C15D2ED" w:rsidR="00732F7D" w:rsidRPr="007E1351" w:rsidRDefault="00732F7D">
            <w:pPr>
              <w:rPr>
                <w:rFonts w:ascii="Arial Narrow" w:hAnsi="Arial Narrow"/>
                <w:sz w:val="20"/>
                <w:szCs w:val="20"/>
              </w:rPr>
            </w:pPr>
            <w:r w:rsidRPr="007E1351">
              <w:rPr>
                <w:rFonts w:ascii="Arial Narrow" w:hAnsi="Arial Narrow"/>
                <w:sz w:val="20"/>
                <w:szCs w:val="20"/>
              </w:rPr>
              <w:t>The resubmission accepted the PBAC’s advice of non-inferior safety to SoC.</w:t>
            </w:r>
          </w:p>
        </w:tc>
      </w:tr>
      <w:tr w:rsidR="00732F7D" w:rsidRPr="0023146D" w14:paraId="6F91DC32" w14:textId="77777777" w:rsidTr="00AA10BF">
        <w:trPr>
          <w:cantSplit/>
        </w:trPr>
        <w:tc>
          <w:tcPr>
            <w:tcW w:w="804" w:type="pct"/>
            <w:tcMar>
              <w:left w:w="40" w:type="dxa"/>
              <w:right w:w="40" w:type="dxa"/>
            </w:tcMar>
          </w:tcPr>
          <w:p w14:paraId="66B465D4" w14:textId="714C64A4" w:rsidR="00732F7D" w:rsidRPr="0023146D" w:rsidRDefault="001870D9">
            <w:pPr>
              <w:rPr>
                <w:rFonts w:ascii="Arial Narrow" w:hAnsi="Arial Narrow"/>
                <w:sz w:val="20"/>
                <w:szCs w:val="20"/>
              </w:rPr>
            </w:pPr>
            <w:r w:rsidRPr="0023146D">
              <w:rPr>
                <w:rFonts w:ascii="Arial Narrow" w:hAnsi="Arial Narrow"/>
                <w:sz w:val="20"/>
                <w:szCs w:val="20"/>
              </w:rPr>
              <w:t>Maribavir resistance</w:t>
            </w:r>
          </w:p>
        </w:tc>
        <w:tc>
          <w:tcPr>
            <w:tcW w:w="1949" w:type="pct"/>
            <w:tcMar>
              <w:left w:w="40" w:type="dxa"/>
              <w:right w:w="40" w:type="dxa"/>
            </w:tcMar>
          </w:tcPr>
          <w:p w14:paraId="31B351A7" w14:textId="4D21A8EF" w:rsidR="00732F7D" w:rsidRPr="0023146D" w:rsidRDefault="00732F7D">
            <w:pPr>
              <w:jc w:val="left"/>
              <w:rPr>
                <w:rFonts w:ascii="Arial Narrow" w:hAnsi="Arial Narrow"/>
                <w:b/>
                <w:sz w:val="20"/>
                <w:szCs w:val="20"/>
              </w:rPr>
            </w:pPr>
            <w:r w:rsidRPr="0023146D">
              <w:rPr>
                <w:rFonts w:ascii="Arial Narrow" w:hAnsi="Arial Narrow"/>
                <w:sz w:val="20"/>
                <w:szCs w:val="20"/>
              </w:rPr>
              <w:t>Maribavir resistance developed during treatment in 42 patients treated with maribavir (17.9% of all patients) and this was associated with treatment failure.</w:t>
            </w:r>
            <w:r w:rsidRPr="0023146D">
              <w:rPr>
                <w:rFonts w:ascii="Arial Narrow" w:hAnsi="Arial Narrow"/>
                <w:b/>
                <w:sz w:val="20"/>
                <w:szCs w:val="20"/>
              </w:rPr>
              <w:t xml:space="preserve"> </w:t>
            </w:r>
            <w:r w:rsidRPr="0023146D">
              <w:rPr>
                <w:rFonts w:ascii="Arial Narrow" w:hAnsi="Arial Narrow"/>
                <w:sz w:val="20"/>
                <w:szCs w:val="20"/>
              </w:rPr>
              <w:t>Resistance to maribavir is a significant issue (</w:t>
            </w:r>
            <w:r w:rsidR="00C741D6" w:rsidRPr="0023146D">
              <w:rPr>
                <w:rFonts w:ascii="Arial Narrow" w:hAnsi="Arial Narrow"/>
                <w:sz w:val="20"/>
                <w:szCs w:val="20"/>
              </w:rPr>
              <w:t>p</w:t>
            </w:r>
            <w:r w:rsidRPr="0023146D">
              <w:rPr>
                <w:rFonts w:ascii="Arial Narrow" w:hAnsi="Arial Narrow"/>
                <w:sz w:val="20"/>
                <w:szCs w:val="20"/>
              </w:rPr>
              <w:t>ara 7.11 &amp; 7.14, Nov 2023 PSD).</w:t>
            </w:r>
          </w:p>
        </w:tc>
        <w:tc>
          <w:tcPr>
            <w:tcW w:w="2247" w:type="pct"/>
            <w:tcMar>
              <w:left w:w="40" w:type="dxa"/>
              <w:right w:w="40" w:type="dxa"/>
            </w:tcMar>
          </w:tcPr>
          <w:p w14:paraId="47505320" w14:textId="5C412508" w:rsidR="00857948" w:rsidRPr="007E1351" w:rsidRDefault="002356CE" w:rsidP="00456A28">
            <w:pPr>
              <w:jc w:val="left"/>
              <w:rPr>
                <w:rFonts w:ascii="Arial Narrow" w:hAnsi="Arial Narrow"/>
                <w:sz w:val="20"/>
                <w:szCs w:val="20"/>
              </w:rPr>
            </w:pPr>
            <w:r w:rsidRPr="007E1351">
              <w:rPr>
                <w:rFonts w:ascii="Arial Narrow" w:hAnsi="Arial Narrow"/>
                <w:sz w:val="20"/>
                <w:szCs w:val="20"/>
              </w:rPr>
              <w:t>A</w:t>
            </w:r>
            <w:r w:rsidR="00004439" w:rsidRPr="007E1351">
              <w:rPr>
                <w:rFonts w:ascii="Arial Narrow" w:hAnsi="Arial Narrow"/>
                <w:sz w:val="20"/>
                <w:szCs w:val="20"/>
              </w:rPr>
              <w:t>dditional</w:t>
            </w:r>
            <w:r w:rsidRPr="007E1351">
              <w:rPr>
                <w:rFonts w:ascii="Arial Narrow" w:hAnsi="Arial Narrow"/>
                <w:sz w:val="20"/>
                <w:szCs w:val="20"/>
              </w:rPr>
              <w:t xml:space="preserve"> data</w:t>
            </w:r>
            <w:r w:rsidR="00004439" w:rsidRPr="007E1351">
              <w:rPr>
                <w:rFonts w:ascii="Arial Narrow" w:hAnsi="Arial Narrow"/>
                <w:sz w:val="20"/>
                <w:szCs w:val="20"/>
              </w:rPr>
              <w:t xml:space="preserve"> from SOLSTICE </w:t>
            </w:r>
            <w:r w:rsidR="003C612D" w:rsidRPr="007E1351">
              <w:rPr>
                <w:rFonts w:ascii="Arial Narrow" w:hAnsi="Arial Narrow"/>
                <w:sz w:val="20"/>
                <w:szCs w:val="20"/>
              </w:rPr>
              <w:t xml:space="preserve">were </w:t>
            </w:r>
            <w:r w:rsidRPr="007E1351">
              <w:rPr>
                <w:rFonts w:ascii="Arial Narrow" w:hAnsi="Arial Narrow"/>
                <w:sz w:val="20"/>
                <w:szCs w:val="20"/>
              </w:rPr>
              <w:t>presented</w:t>
            </w:r>
            <w:r w:rsidR="00883A0F" w:rsidRPr="007E1351">
              <w:rPr>
                <w:rFonts w:ascii="Arial Narrow" w:hAnsi="Arial Narrow"/>
                <w:sz w:val="20"/>
                <w:szCs w:val="20"/>
              </w:rPr>
              <w:t xml:space="preserve"> (Chou et al., 2024)</w:t>
            </w:r>
            <w:r w:rsidRPr="007E1351">
              <w:rPr>
                <w:rFonts w:ascii="Arial Narrow" w:hAnsi="Arial Narrow"/>
                <w:sz w:val="20"/>
                <w:szCs w:val="20"/>
              </w:rPr>
              <w:t xml:space="preserve">, but </w:t>
            </w:r>
            <w:r w:rsidR="00760BB2" w:rsidRPr="007E1351">
              <w:rPr>
                <w:rFonts w:ascii="Arial Narrow" w:hAnsi="Arial Narrow"/>
                <w:sz w:val="20"/>
                <w:szCs w:val="20"/>
              </w:rPr>
              <w:t xml:space="preserve">do </w:t>
            </w:r>
            <w:r w:rsidRPr="007E1351">
              <w:rPr>
                <w:rFonts w:ascii="Arial Narrow" w:hAnsi="Arial Narrow"/>
                <w:sz w:val="20"/>
                <w:szCs w:val="20"/>
              </w:rPr>
              <w:t xml:space="preserve">not appear to </w:t>
            </w:r>
            <w:r w:rsidR="00165F32" w:rsidRPr="007E1351">
              <w:rPr>
                <w:rFonts w:ascii="Arial Narrow" w:hAnsi="Arial Narrow"/>
                <w:sz w:val="20"/>
                <w:szCs w:val="20"/>
              </w:rPr>
              <w:t>address</w:t>
            </w:r>
            <w:r w:rsidRPr="007E1351">
              <w:rPr>
                <w:rFonts w:ascii="Arial Narrow" w:hAnsi="Arial Narrow"/>
                <w:sz w:val="20"/>
                <w:szCs w:val="20"/>
              </w:rPr>
              <w:t xml:space="preserve"> the </w:t>
            </w:r>
            <w:r w:rsidR="003E513A" w:rsidRPr="007E1351">
              <w:rPr>
                <w:rFonts w:ascii="Arial Narrow" w:hAnsi="Arial Narrow"/>
                <w:sz w:val="20"/>
                <w:szCs w:val="20"/>
              </w:rPr>
              <w:t>matters</w:t>
            </w:r>
            <w:r w:rsidR="004A0CDF" w:rsidRPr="007E1351">
              <w:rPr>
                <w:rFonts w:ascii="Arial Narrow" w:hAnsi="Arial Narrow"/>
                <w:sz w:val="20"/>
                <w:szCs w:val="20"/>
              </w:rPr>
              <w:t xml:space="preserve"> </w:t>
            </w:r>
            <w:r w:rsidR="00883A0F" w:rsidRPr="007E1351">
              <w:rPr>
                <w:rFonts w:ascii="Arial Narrow" w:hAnsi="Arial Narrow"/>
                <w:sz w:val="20"/>
                <w:szCs w:val="20"/>
              </w:rPr>
              <w:t>raised</w:t>
            </w:r>
            <w:r w:rsidR="00004439" w:rsidRPr="007E1351">
              <w:rPr>
                <w:rFonts w:ascii="Arial Narrow" w:hAnsi="Arial Narrow"/>
                <w:sz w:val="20"/>
                <w:szCs w:val="20"/>
              </w:rPr>
              <w:t>.</w:t>
            </w:r>
            <w:r w:rsidR="00BF2467" w:rsidRPr="007E1351">
              <w:rPr>
                <w:rFonts w:ascii="Arial Narrow" w:hAnsi="Arial Narrow"/>
                <w:sz w:val="20"/>
                <w:szCs w:val="20"/>
              </w:rPr>
              <w:t xml:space="preserve"> </w:t>
            </w:r>
          </w:p>
        </w:tc>
      </w:tr>
      <w:tr w:rsidR="00732F7D" w:rsidRPr="0023146D" w14:paraId="4EFA01C8" w14:textId="77777777" w:rsidTr="00AA10BF">
        <w:trPr>
          <w:cantSplit/>
        </w:trPr>
        <w:tc>
          <w:tcPr>
            <w:tcW w:w="5000" w:type="pct"/>
            <w:gridSpan w:val="3"/>
            <w:tcMar>
              <w:left w:w="40" w:type="dxa"/>
              <w:right w:w="40" w:type="dxa"/>
            </w:tcMar>
          </w:tcPr>
          <w:p w14:paraId="6E83BD17" w14:textId="1E592855" w:rsidR="00732F7D" w:rsidRPr="007E1351" w:rsidRDefault="00732F7D">
            <w:pPr>
              <w:rPr>
                <w:rFonts w:ascii="Arial Narrow" w:hAnsi="Arial Narrow"/>
                <w:b/>
                <w:bCs/>
                <w:sz w:val="20"/>
                <w:szCs w:val="20"/>
              </w:rPr>
            </w:pPr>
            <w:r w:rsidRPr="007E1351">
              <w:rPr>
                <w:rFonts w:ascii="Arial Narrow" w:hAnsi="Arial Narrow"/>
                <w:b/>
                <w:bCs/>
                <w:sz w:val="20"/>
                <w:szCs w:val="20"/>
              </w:rPr>
              <w:t>Economic evidence</w:t>
            </w:r>
          </w:p>
        </w:tc>
      </w:tr>
      <w:tr w:rsidR="00732F7D" w:rsidRPr="0023146D" w14:paraId="782640B6" w14:textId="77777777" w:rsidTr="00AA10BF">
        <w:trPr>
          <w:cantSplit/>
        </w:trPr>
        <w:tc>
          <w:tcPr>
            <w:tcW w:w="804" w:type="pct"/>
            <w:tcMar>
              <w:left w:w="40" w:type="dxa"/>
              <w:right w:w="40" w:type="dxa"/>
            </w:tcMar>
          </w:tcPr>
          <w:p w14:paraId="68233B2F" w14:textId="55B08A2B" w:rsidR="00732F7D" w:rsidRPr="0023146D" w:rsidRDefault="00732F7D">
            <w:pPr>
              <w:jc w:val="left"/>
              <w:rPr>
                <w:rFonts w:ascii="Arial Narrow" w:hAnsi="Arial Narrow"/>
                <w:sz w:val="20"/>
                <w:szCs w:val="20"/>
              </w:rPr>
            </w:pPr>
            <w:r w:rsidRPr="0023146D">
              <w:rPr>
                <w:rFonts w:ascii="Arial Narrow" w:hAnsi="Arial Narrow"/>
                <w:sz w:val="20"/>
                <w:szCs w:val="20"/>
              </w:rPr>
              <w:t>Model structure</w:t>
            </w:r>
          </w:p>
        </w:tc>
        <w:tc>
          <w:tcPr>
            <w:tcW w:w="1949" w:type="pct"/>
            <w:tcMar>
              <w:left w:w="40" w:type="dxa"/>
              <w:right w:w="40" w:type="dxa"/>
            </w:tcMar>
          </w:tcPr>
          <w:p w14:paraId="2AA258A3" w14:textId="7D55B873" w:rsidR="00732F7D" w:rsidRPr="0023146D" w:rsidRDefault="00732F7D">
            <w:pPr>
              <w:jc w:val="left"/>
              <w:rPr>
                <w:rFonts w:ascii="Arial Narrow" w:hAnsi="Arial Narrow"/>
                <w:sz w:val="20"/>
                <w:szCs w:val="20"/>
              </w:rPr>
            </w:pPr>
            <w:r w:rsidRPr="0023146D">
              <w:rPr>
                <w:rFonts w:ascii="Arial Narrow" w:hAnsi="Arial Narrow"/>
                <w:sz w:val="20"/>
                <w:szCs w:val="20"/>
              </w:rPr>
              <w:t>The model had structural issues and the presentation of the model was unnecessarily complex</w:t>
            </w:r>
            <w:r w:rsidR="00C741D6" w:rsidRPr="0023146D">
              <w:rPr>
                <w:rFonts w:ascii="Arial Narrow" w:hAnsi="Arial Narrow"/>
                <w:sz w:val="20"/>
                <w:szCs w:val="20"/>
              </w:rPr>
              <w:t>.</w:t>
            </w:r>
            <w:r w:rsidRPr="0023146D">
              <w:rPr>
                <w:rFonts w:ascii="Arial Narrow" w:hAnsi="Arial Narrow"/>
                <w:sz w:val="20"/>
                <w:szCs w:val="20"/>
              </w:rPr>
              <w:t xml:space="preserve"> The model is not likely to be reliable for decision-making, as it was informed by selective data sources and unjustified assumptions, that favoured maribavir </w:t>
            </w:r>
            <w:r w:rsidR="00A60761" w:rsidRPr="0023146D">
              <w:rPr>
                <w:rFonts w:ascii="Arial Narrow" w:hAnsi="Arial Narrow"/>
                <w:sz w:val="20"/>
                <w:szCs w:val="20"/>
              </w:rPr>
              <w:t xml:space="preserve">(para 6.64, 6.51, </w:t>
            </w:r>
            <w:r w:rsidR="00875477" w:rsidRPr="0023146D">
              <w:rPr>
                <w:rFonts w:ascii="Arial Narrow" w:hAnsi="Arial Narrow"/>
                <w:sz w:val="20"/>
                <w:szCs w:val="20"/>
              </w:rPr>
              <w:t xml:space="preserve">&amp; </w:t>
            </w:r>
            <w:r w:rsidR="00A60761" w:rsidRPr="0023146D">
              <w:rPr>
                <w:rFonts w:ascii="Arial Narrow" w:hAnsi="Arial Narrow"/>
                <w:sz w:val="20"/>
                <w:szCs w:val="20"/>
              </w:rPr>
              <w:t>7.15 Nov 2023 PSD).</w:t>
            </w:r>
          </w:p>
        </w:tc>
        <w:tc>
          <w:tcPr>
            <w:tcW w:w="2247" w:type="pct"/>
            <w:tcMar>
              <w:left w:w="40" w:type="dxa"/>
              <w:right w:w="40" w:type="dxa"/>
            </w:tcMar>
          </w:tcPr>
          <w:p w14:paraId="312F2189" w14:textId="42D3C6CB" w:rsidR="00732F7D" w:rsidRPr="007E1351" w:rsidRDefault="0019177D">
            <w:pPr>
              <w:jc w:val="left"/>
              <w:rPr>
                <w:rFonts w:ascii="Arial Narrow" w:hAnsi="Arial Narrow"/>
                <w:sz w:val="20"/>
                <w:szCs w:val="20"/>
              </w:rPr>
            </w:pPr>
            <w:r w:rsidRPr="007E1351">
              <w:rPr>
                <w:rFonts w:ascii="Arial Narrow" w:hAnsi="Arial Narrow"/>
                <w:sz w:val="20"/>
                <w:szCs w:val="20"/>
              </w:rPr>
              <w:t>T</w:t>
            </w:r>
            <w:r w:rsidR="00732F7D" w:rsidRPr="007E1351">
              <w:rPr>
                <w:rFonts w:ascii="Arial Narrow" w:hAnsi="Arial Narrow"/>
                <w:sz w:val="20"/>
                <w:szCs w:val="20"/>
              </w:rPr>
              <w:t xml:space="preserve">he </w:t>
            </w:r>
            <w:r w:rsidR="00B771B3" w:rsidRPr="007E1351">
              <w:rPr>
                <w:rFonts w:ascii="Arial Narrow" w:hAnsi="Arial Narrow"/>
                <w:sz w:val="20"/>
                <w:szCs w:val="20"/>
              </w:rPr>
              <w:t>key structure of</w:t>
            </w:r>
            <w:r w:rsidR="00732F7D" w:rsidRPr="007E1351">
              <w:rPr>
                <w:rFonts w:ascii="Arial Narrow" w:hAnsi="Arial Narrow"/>
                <w:sz w:val="20"/>
                <w:szCs w:val="20"/>
              </w:rPr>
              <w:t xml:space="preserve"> the model remain</w:t>
            </w:r>
            <w:r w:rsidR="00456A28" w:rsidRPr="007E1351">
              <w:rPr>
                <w:rFonts w:ascii="Arial Narrow" w:hAnsi="Arial Narrow"/>
                <w:sz w:val="20"/>
                <w:szCs w:val="20"/>
              </w:rPr>
              <w:t>ed</w:t>
            </w:r>
            <w:r w:rsidR="00732F7D" w:rsidRPr="007E1351">
              <w:rPr>
                <w:rFonts w:ascii="Arial Narrow" w:hAnsi="Arial Narrow"/>
                <w:sz w:val="20"/>
                <w:szCs w:val="20"/>
              </w:rPr>
              <w:t xml:space="preserve"> largely unchanged from the </w:t>
            </w:r>
            <w:r w:rsidR="00D82FA9" w:rsidRPr="007E1351">
              <w:rPr>
                <w:rFonts w:ascii="Arial Narrow" w:hAnsi="Arial Narrow"/>
                <w:sz w:val="20"/>
                <w:szCs w:val="20"/>
              </w:rPr>
              <w:t xml:space="preserve">November 2023 </w:t>
            </w:r>
            <w:r w:rsidR="00732F7D" w:rsidRPr="007E1351">
              <w:rPr>
                <w:rFonts w:ascii="Arial Narrow" w:hAnsi="Arial Narrow"/>
                <w:sz w:val="20"/>
                <w:szCs w:val="20"/>
              </w:rPr>
              <w:t xml:space="preserve">submission. </w:t>
            </w:r>
          </w:p>
        </w:tc>
      </w:tr>
      <w:tr w:rsidR="00732F7D" w:rsidRPr="0023146D" w14:paraId="02D1ED98" w14:textId="77777777" w:rsidTr="00AA10BF">
        <w:trPr>
          <w:cantSplit/>
        </w:trPr>
        <w:tc>
          <w:tcPr>
            <w:tcW w:w="804" w:type="pct"/>
            <w:tcMar>
              <w:left w:w="40" w:type="dxa"/>
              <w:right w:w="40" w:type="dxa"/>
            </w:tcMar>
          </w:tcPr>
          <w:p w14:paraId="6E8D6BF1" w14:textId="77777777" w:rsidR="00732F7D" w:rsidRPr="0023146D" w:rsidRDefault="00732F7D">
            <w:pPr>
              <w:jc w:val="left"/>
              <w:rPr>
                <w:rFonts w:ascii="Arial Narrow" w:hAnsi="Arial Narrow"/>
                <w:sz w:val="20"/>
                <w:szCs w:val="20"/>
              </w:rPr>
            </w:pPr>
            <w:r w:rsidRPr="0023146D">
              <w:rPr>
                <w:rFonts w:ascii="Arial Narrow" w:hAnsi="Arial Narrow"/>
                <w:sz w:val="20"/>
                <w:szCs w:val="20"/>
              </w:rPr>
              <w:t>Time horizon</w:t>
            </w:r>
          </w:p>
        </w:tc>
        <w:tc>
          <w:tcPr>
            <w:tcW w:w="1949" w:type="pct"/>
            <w:tcMar>
              <w:left w:w="40" w:type="dxa"/>
              <w:right w:w="40" w:type="dxa"/>
            </w:tcMar>
          </w:tcPr>
          <w:p w14:paraId="4272F70F" w14:textId="1CF9278C" w:rsidR="00732F7D" w:rsidRPr="0023146D" w:rsidRDefault="00732F7D">
            <w:pPr>
              <w:jc w:val="left"/>
              <w:rPr>
                <w:rFonts w:ascii="Arial Narrow" w:hAnsi="Arial Narrow"/>
                <w:sz w:val="20"/>
                <w:szCs w:val="20"/>
              </w:rPr>
            </w:pPr>
            <w:r w:rsidRPr="0023146D">
              <w:rPr>
                <w:rFonts w:ascii="Arial Narrow" w:hAnsi="Arial Narrow"/>
                <w:sz w:val="20"/>
                <w:szCs w:val="20"/>
              </w:rPr>
              <w:t>10-year time horizon was not adequately justified, particularly given no CMV events were assumed to occur following 78 weeks or 1.5 years</w:t>
            </w:r>
            <w:r w:rsidR="00456A28" w:rsidRPr="0023146D">
              <w:rPr>
                <w:rFonts w:ascii="Arial Narrow" w:hAnsi="Arial Narrow"/>
                <w:sz w:val="20"/>
                <w:szCs w:val="20"/>
              </w:rPr>
              <w:t>; a</w:t>
            </w:r>
            <w:r w:rsidRPr="0023146D">
              <w:rPr>
                <w:rFonts w:ascii="Arial Narrow" w:hAnsi="Arial Narrow"/>
                <w:sz w:val="20"/>
                <w:szCs w:val="20"/>
              </w:rPr>
              <w:t xml:space="preserve"> 2-year time horizon</w:t>
            </w:r>
            <w:r w:rsidR="000B1013" w:rsidRPr="0023146D">
              <w:rPr>
                <w:rFonts w:ascii="Arial Narrow" w:hAnsi="Arial Narrow"/>
                <w:sz w:val="20"/>
                <w:szCs w:val="20"/>
              </w:rPr>
              <w:t xml:space="preserve"> would be more reasonable</w:t>
            </w:r>
            <w:r w:rsidRPr="0023146D">
              <w:rPr>
                <w:rFonts w:ascii="Arial Narrow" w:hAnsi="Arial Narrow"/>
                <w:sz w:val="20"/>
                <w:szCs w:val="20"/>
              </w:rPr>
              <w:t xml:space="preserve"> (</w:t>
            </w:r>
            <w:r w:rsidR="00D6597A" w:rsidRPr="0023146D">
              <w:rPr>
                <w:rFonts w:ascii="Arial Narrow" w:hAnsi="Arial Narrow"/>
                <w:sz w:val="20"/>
                <w:szCs w:val="20"/>
              </w:rPr>
              <w:t>p</w:t>
            </w:r>
            <w:r w:rsidRPr="0023146D">
              <w:rPr>
                <w:rFonts w:ascii="Arial Narrow" w:hAnsi="Arial Narrow"/>
                <w:sz w:val="20"/>
                <w:szCs w:val="20"/>
              </w:rPr>
              <w:t>ara</w:t>
            </w:r>
            <w:r w:rsidR="00383D9A" w:rsidRPr="0023146D">
              <w:rPr>
                <w:rFonts w:ascii="Arial Narrow" w:hAnsi="Arial Narrow"/>
                <w:sz w:val="20"/>
                <w:szCs w:val="20"/>
              </w:rPr>
              <w:t xml:space="preserve"> 6.64, </w:t>
            </w:r>
            <w:r w:rsidR="00960121" w:rsidRPr="0023146D">
              <w:rPr>
                <w:rFonts w:ascii="Arial Narrow" w:hAnsi="Arial Narrow"/>
                <w:sz w:val="20"/>
                <w:szCs w:val="20"/>
              </w:rPr>
              <w:t>Table 14 &amp;</w:t>
            </w:r>
            <w:r w:rsidRPr="0023146D">
              <w:rPr>
                <w:rFonts w:ascii="Arial Narrow" w:hAnsi="Arial Narrow"/>
                <w:sz w:val="20"/>
                <w:szCs w:val="20"/>
              </w:rPr>
              <w:t xml:space="preserve"> 7.15, Nov</w:t>
            </w:r>
            <w:r w:rsidR="00960121" w:rsidRPr="0023146D">
              <w:rPr>
                <w:rFonts w:ascii="Arial Narrow" w:hAnsi="Arial Narrow"/>
                <w:sz w:val="20"/>
                <w:szCs w:val="20"/>
              </w:rPr>
              <w:t xml:space="preserve"> </w:t>
            </w:r>
            <w:r w:rsidRPr="0023146D">
              <w:rPr>
                <w:rFonts w:ascii="Arial Narrow" w:hAnsi="Arial Narrow"/>
                <w:sz w:val="20"/>
                <w:szCs w:val="20"/>
              </w:rPr>
              <w:t>2023 PSD).</w:t>
            </w:r>
          </w:p>
        </w:tc>
        <w:tc>
          <w:tcPr>
            <w:tcW w:w="2247" w:type="pct"/>
            <w:tcMar>
              <w:left w:w="40" w:type="dxa"/>
              <w:right w:w="40" w:type="dxa"/>
            </w:tcMar>
          </w:tcPr>
          <w:p w14:paraId="4F7CD3B0" w14:textId="4A623ADA" w:rsidR="00732F7D" w:rsidRPr="007E1351" w:rsidRDefault="00456A28">
            <w:pPr>
              <w:jc w:val="left"/>
              <w:rPr>
                <w:rFonts w:ascii="Arial Narrow" w:hAnsi="Arial Narrow"/>
                <w:sz w:val="20"/>
                <w:szCs w:val="20"/>
              </w:rPr>
            </w:pPr>
            <w:r w:rsidRPr="007E1351">
              <w:rPr>
                <w:rFonts w:ascii="Arial Narrow" w:hAnsi="Arial Narrow"/>
                <w:sz w:val="20"/>
              </w:rPr>
              <w:t>The resubmission maintained the use of 10-year time horizon</w:t>
            </w:r>
            <w:r w:rsidR="00D41B75" w:rsidRPr="007E1351">
              <w:rPr>
                <w:rFonts w:ascii="Arial Narrow" w:hAnsi="Arial Narrow"/>
                <w:sz w:val="20"/>
              </w:rPr>
              <w:t xml:space="preserve"> while presenting 2-year time horizon as a sensitivity analysis</w:t>
            </w:r>
            <w:r w:rsidRPr="007E1351">
              <w:rPr>
                <w:rFonts w:ascii="Arial Narrow" w:hAnsi="Arial Narrow"/>
                <w:sz w:val="20"/>
              </w:rPr>
              <w:t xml:space="preserve">. </w:t>
            </w:r>
            <w:r w:rsidR="00732F7D" w:rsidRPr="007E1351">
              <w:rPr>
                <w:rFonts w:ascii="Arial Narrow" w:hAnsi="Arial Narrow"/>
                <w:sz w:val="20"/>
              </w:rPr>
              <w:t xml:space="preserve">The resubmission argued that </w:t>
            </w:r>
            <w:r w:rsidRPr="007E1351">
              <w:rPr>
                <w:rFonts w:ascii="Arial Narrow" w:hAnsi="Arial Narrow"/>
                <w:sz w:val="20"/>
              </w:rPr>
              <w:t>the</w:t>
            </w:r>
            <w:r w:rsidR="00732F7D" w:rsidRPr="007E1351">
              <w:rPr>
                <w:rFonts w:ascii="Arial Narrow" w:hAnsi="Arial Narrow"/>
                <w:sz w:val="20"/>
              </w:rPr>
              <w:t xml:space="preserve"> 10-year time horizon is conservative referring </w:t>
            </w:r>
            <w:r w:rsidRPr="007E1351">
              <w:rPr>
                <w:rFonts w:ascii="Arial Narrow" w:hAnsi="Arial Narrow"/>
                <w:sz w:val="20"/>
              </w:rPr>
              <w:t xml:space="preserve">to </w:t>
            </w:r>
            <w:r w:rsidR="00732F7D" w:rsidRPr="007E1351">
              <w:rPr>
                <w:rFonts w:ascii="Arial Narrow" w:hAnsi="Arial Narrow"/>
                <w:sz w:val="20"/>
              </w:rPr>
              <w:t xml:space="preserve">other HTA agencies </w:t>
            </w:r>
            <w:r w:rsidRPr="007E1351">
              <w:rPr>
                <w:rFonts w:ascii="Arial Narrow" w:hAnsi="Arial Narrow"/>
                <w:sz w:val="20"/>
              </w:rPr>
              <w:t xml:space="preserve">which </w:t>
            </w:r>
            <w:r w:rsidR="00732F7D" w:rsidRPr="007E1351">
              <w:rPr>
                <w:rFonts w:ascii="Arial Narrow" w:hAnsi="Arial Narrow"/>
                <w:sz w:val="20"/>
              </w:rPr>
              <w:t>have accepted a lifetime time horizon (47 years).</w:t>
            </w:r>
          </w:p>
        </w:tc>
      </w:tr>
      <w:tr w:rsidR="00732F7D" w:rsidRPr="0023146D" w14:paraId="745F368E" w14:textId="77777777" w:rsidTr="00AA10BF">
        <w:trPr>
          <w:cantSplit/>
        </w:trPr>
        <w:tc>
          <w:tcPr>
            <w:tcW w:w="804" w:type="pct"/>
            <w:tcMar>
              <w:left w:w="40" w:type="dxa"/>
              <w:right w:w="40" w:type="dxa"/>
            </w:tcMar>
          </w:tcPr>
          <w:p w14:paraId="4A948DDA" w14:textId="77777777" w:rsidR="00732F7D" w:rsidRPr="0023146D" w:rsidRDefault="00732F7D">
            <w:pPr>
              <w:jc w:val="left"/>
              <w:rPr>
                <w:rFonts w:ascii="Arial Narrow" w:hAnsi="Arial Narrow"/>
                <w:sz w:val="20"/>
                <w:szCs w:val="20"/>
              </w:rPr>
            </w:pPr>
            <w:r w:rsidRPr="0023146D">
              <w:rPr>
                <w:rFonts w:ascii="Arial Narrow" w:hAnsi="Arial Narrow"/>
                <w:sz w:val="20"/>
                <w:szCs w:val="20"/>
              </w:rPr>
              <w:t>Duration of stage 1 model</w:t>
            </w:r>
          </w:p>
        </w:tc>
        <w:tc>
          <w:tcPr>
            <w:tcW w:w="1949" w:type="pct"/>
            <w:tcMar>
              <w:left w:w="40" w:type="dxa"/>
              <w:right w:w="40" w:type="dxa"/>
            </w:tcMar>
          </w:tcPr>
          <w:p w14:paraId="4012AF6D" w14:textId="61597204" w:rsidR="00732F7D" w:rsidRPr="0023146D" w:rsidRDefault="00732F7D">
            <w:pPr>
              <w:jc w:val="left"/>
              <w:rPr>
                <w:rFonts w:ascii="Arial Narrow" w:hAnsi="Arial Narrow"/>
                <w:sz w:val="20"/>
                <w:szCs w:val="20"/>
              </w:rPr>
            </w:pPr>
            <w:r w:rsidRPr="0023146D">
              <w:rPr>
                <w:rFonts w:ascii="Arial Narrow" w:hAnsi="Arial Narrow"/>
                <w:sz w:val="20"/>
                <w:szCs w:val="20"/>
              </w:rPr>
              <w:t>The PBAC considered that a stage 1 length of 39.2 weeks (as used for the NICE submission) would be more appropriate as it was based on more robust data (</w:t>
            </w:r>
            <w:r w:rsidR="00D6597A" w:rsidRPr="0023146D">
              <w:rPr>
                <w:rFonts w:ascii="Arial Narrow" w:hAnsi="Arial Narrow"/>
                <w:sz w:val="20"/>
                <w:szCs w:val="20"/>
              </w:rPr>
              <w:t>p</w:t>
            </w:r>
            <w:r w:rsidRPr="0023146D">
              <w:rPr>
                <w:rFonts w:ascii="Arial Narrow" w:hAnsi="Arial Narrow"/>
                <w:sz w:val="20"/>
                <w:szCs w:val="20"/>
              </w:rPr>
              <w:t>ara 7.15, November 2023 PSD).</w:t>
            </w:r>
          </w:p>
        </w:tc>
        <w:tc>
          <w:tcPr>
            <w:tcW w:w="2247" w:type="pct"/>
            <w:tcMar>
              <w:left w:w="40" w:type="dxa"/>
              <w:right w:w="40" w:type="dxa"/>
            </w:tcMar>
          </w:tcPr>
          <w:p w14:paraId="27E0C12A" w14:textId="77777777" w:rsidR="00732F7D" w:rsidRPr="007E1351" w:rsidRDefault="00732F7D">
            <w:pPr>
              <w:jc w:val="left"/>
              <w:rPr>
                <w:rFonts w:ascii="Arial Narrow" w:hAnsi="Arial Narrow"/>
                <w:sz w:val="20"/>
                <w:szCs w:val="20"/>
              </w:rPr>
            </w:pPr>
            <w:r w:rsidRPr="007E1351">
              <w:rPr>
                <w:rFonts w:ascii="Arial Narrow" w:hAnsi="Arial Narrow"/>
                <w:sz w:val="20"/>
                <w:szCs w:val="20"/>
              </w:rPr>
              <w:t>Addressed.</w:t>
            </w:r>
            <w:r w:rsidRPr="007E1351">
              <w:rPr>
                <w:rFonts w:ascii="Arial Narrow" w:hAnsi="Arial Narrow"/>
                <w:sz w:val="20"/>
              </w:rPr>
              <w:t xml:space="preserve"> The duration of the stage 1 model has been reduced from 78 weeks to 39.2 weeks. </w:t>
            </w:r>
          </w:p>
        </w:tc>
      </w:tr>
      <w:tr w:rsidR="00732F7D" w:rsidRPr="0023146D" w14:paraId="02911775" w14:textId="77777777" w:rsidTr="00AA10BF">
        <w:trPr>
          <w:cantSplit/>
        </w:trPr>
        <w:tc>
          <w:tcPr>
            <w:tcW w:w="804" w:type="pct"/>
            <w:tcMar>
              <w:left w:w="40" w:type="dxa"/>
              <w:right w:w="40" w:type="dxa"/>
            </w:tcMar>
          </w:tcPr>
          <w:p w14:paraId="4696024C" w14:textId="77777777" w:rsidR="00732F7D" w:rsidRPr="0023146D" w:rsidRDefault="00732F7D">
            <w:pPr>
              <w:jc w:val="left"/>
              <w:rPr>
                <w:rFonts w:ascii="Arial Narrow" w:hAnsi="Arial Narrow"/>
                <w:sz w:val="20"/>
                <w:szCs w:val="20"/>
              </w:rPr>
            </w:pPr>
            <w:r w:rsidRPr="0023146D">
              <w:rPr>
                <w:rFonts w:ascii="Arial Narrow" w:hAnsi="Arial Narrow"/>
                <w:sz w:val="20"/>
                <w:szCs w:val="20"/>
              </w:rPr>
              <w:t>Recurrence rates</w:t>
            </w:r>
          </w:p>
        </w:tc>
        <w:tc>
          <w:tcPr>
            <w:tcW w:w="1949" w:type="pct"/>
            <w:tcMar>
              <w:left w:w="40" w:type="dxa"/>
              <w:right w:w="40" w:type="dxa"/>
            </w:tcMar>
          </w:tcPr>
          <w:p w14:paraId="03E308B0" w14:textId="174F897C" w:rsidR="00732F7D" w:rsidRPr="0023146D" w:rsidRDefault="00732F7D">
            <w:pPr>
              <w:jc w:val="left"/>
              <w:rPr>
                <w:rFonts w:ascii="Arial Narrow" w:hAnsi="Arial Narrow"/>
                <w:sz w:val="20"/>
                <w:szCs w:val="20"/>
              </w:rPr>
            </w:pPr>
            <w:r w:rsidRPr="0023146D">
              <w:rPr>
                <w:rFonts w:ascii="Arial Narrow" w:hAnsi="Arial Narrow"/>
                <w:sz w:val="20"/>
                <w:szCs w:val="20"/>
              </w:rPr>
              <w:t>Rates of recurrence between week 8 and week 20 were treatment-specific and were sourced from SOLSTICE. This differed from the model accepted by NICE, where recurrence was assumed to be treatment independent for the model duration (</w:t>
            </w:r>
            <w:r w:rsidR="0090140A" w:rsidRPr="0023146D">
              <w:rPr>
                <w:rFonts w:ascii="Arial Narrow" w:hAnsi="Arial Narrow"/>
                <w:sz w:val="20"/>
                <w:szCs w:val="20"/>
              </w:rPr>
              <w:t>p</w:t>
            </w:r>
            <w:r w:rsidRPr="0023146D">
              <w:rPr>
                <w:rFonts w:ascii="Arial Narrow" w:hAnsi="Arial Narrow"/>
                <w:sz w:val="20"/>
                <w:szCs w:val="20"/>
              </w:rPr>
              <w:t>ara 6.58, Nov 2023 PSD).</w:t>
            </w:r>
          </w:p>
        </w:tc>
        <w:tc>
          <w:tcPr>
            <w:tcW w:w="2247" w:type="pct"/>
            <w:tcMar>
              <w:left w:w="40" w:type="dxa"/>
              <w:right w:w="40" w:type="dxa"/>
            </w:tcMar>
          </w:tcPr>
          <w:p w14:paraId="0946F77C" w14:textId="60BAFDEB" w:rsidR="00732F7D" w:rsidRPr="007E1351" w:rsidRDefault="00732F7D">
            <w:pPr>
              <w:jc w:val="left"/>
              <w:rPr>
                <w:rFonts w:ascii="Arial Narrow" w:hAnsi="Arial Narrow"/>
                <w:sz w:val="20"/>
                <w:szCs w:val="20"/>
              </w:rPr>
            </w:pPr>
            <w:r w:rsidRPr="007E1351">
              <w:rPr>
                <w:rFonts w:ascii="Arial Narrow" w:hAnsi="Arial Narrow"/>
                <w:sz w:val="20"/>
                <w:szCs w:val="20"/>
              </w:rPr>
              <w:t>The resubmission maintain</w:t>
            </w:r>
            <w:r w:rsidR="00456A28" w:rsidRPr="007E1351">
              <w:rPr>
                <w:rFonts w:ascii="Arial Narrow" w:hAnsi="Arial Narrow"/>
                <w:sz w:val="20"/>
                <w:szCs w:val="20"/>
              </w:rPr>
              <w:t>ed</w:t>
            </w:r>
            <w:r w:rsidRPr="007E1351">
              <w:rPr>
                <w:rFonts w:ascii="Arial Narrow" w:hAnsi="Arial Narrow"/>
                <w:sz w:val="20"/>
                <w:szCs w:val="20"/>
              </w:rPr>
              <w:t xml:space="preserve"> the use of treatment-specific recurrence. This </w:t>
            </w:r>
            <w:r w:rsidR="00456A28" w:rsidRPr="007E1351">
              <w:rPr>
                <w:rFonts w:ascii="Arial Narrow" w:hAnsi="Arial Narrow"/>
                <w:sz w:val="20"/>
                <w:szCs w:val="20"/>
              </w:rPr>
              <w:t>wa</w:t>
            </w:r>
            <w:r w:rsidRPr="007E1351">
              <w:rPr>
                <w:rFonts w:ascii="Arial Narrow" w:hAnsi="Arial Narrow"/>
                <w:sz w:val="20"/>
                <w:szCs w:val="20"/>
              </w:rPr>
              <w:t xml:space="preserve">s not justified by the </w:t>
            </w:r>
            <w:r w:rsidR="00456A28" w:rsidRPr="007E1351">
              <w:rPr>
                <w:rFonts w:ascii="Arial Narrow" w:hAnsi="Arial Narrow"/>
                <w:sz w:val="20"/>
                <w:szCs w:val="20"/>
              </w:rPr>
              <w:t xml:space="preserve">evidence </w:t>
            </w:r>
            <w:r w:rsidRPr="007E1351">
              <w:rPr>
                <w:rFonts w:ascii="Arial Narrow" w:hAnsi="Arial Narrow"/>
                <w:sz w:val="20"/>
                <w:szCs w:val="20"/>
              </w:rPr>
              <w:t>presented.</w:t>
            </w:r>
          </w:p>
        </w:tc>
      </w:tr>
      <w:tr w:rsidR="00732F7D" w:rsidRPr="0023146D" w14:paraId="7A17C539" w14:textId="77777777" w:rsidTr="00AA10BF">
        <w:trPr>
          <w:cantSplit/>
        </w:trPr>
        <w:tc>
          <w:tcPr>
            <w:tcW w:w="804" w:type="pct"/>
            <w:tcMar>
              <w:left w:w="40" w:type="dxa"/>
              <w:right w:w="40" w:type="dxa"/>
            </w:tcMar>
          </w:tcPr>
          <w:p w14:paraId="133D9AF4" w14:textId="2C9A413E" w:rsidR="00732F7D" w:rsidRPr="0023146D" w:rsidRDefault="00732F7D">
            <w:pPr>
              <w:jc w:val="left"/>
              <w:rPr>
                <w:rFonts w:ascii="Arial Narrow" w:hAnsi="Arial Narrow"/>
                <w:sz w:val="20"/>
                <w:szCs w:val="20"/>
              </w:rPr>
            </w:pPr>
            <w:r w:rsidRPr="0023146D">
              <w:rPr>
                <w:rFonts w:ascii="Arial Narrow" w:hAnsi="Arial Narrow"/>
                <w:sz w:val="20"/>
                <w:szCs w:val="20"/>
              </w:rPr>
              <w:t>Retreatment</w:t>
            </w:r>
            <w:r w:rsidR="00846087" w:rsidRPr="0023146D">
              <w:rPr>
                <w:rFonts w:ascii="Arial Narrow" w:hAnsi="Arial Narrow"/>
                <w:sz w:val="20"/>
                <w:szCs w:val="20"/>
              </w:rPr>
              <w:t xml:space="preserve"> </w:t>
            </w:r>
            <w:r w:rsidRPr="0023146D">
              <w:rPr>
                <w:rFonts w:ascii="Arial Narrow" w:hAnsi="Arial Narrow"/>
                <w:sz w:val="20"/>
                <w:szCs w:val="20"/>
              </w:rPr>
              <w:t>duration</w:t>
            </w:r>
          </w:p>
        </w:tc>
        <w:tc>
          <w:tcPr>
            <w:tcW w:w="1949" w:type="pct"/>
            <w:tcMar>
              <w:left w:w="40" w:type="dxa"/>
              <w:right w:w="40" w:type="dxa"/>
            </w:tcMar>
          </w:tcPr>
          <w:p w14:paraId="3D6E4601" w14:textId="75ED3802" w:rsidR="00732F7D" w:rsidRPr="0023146D" w:rsidRDefault="00732F7D">
            <w:pPr>
              <w:jc w:val="left"/>
              <w:rPr>
                <w:rFonts w:ascii="Arial Narrow" w:hAnsi="Arial Narrow"/>
                <w:sz w:val="20"/>
                <w:szCs w:val="20"/>
              </w:rPr>
            </w:pPr>
            <w:r w:rsidRPr="0023146D">
              <w:rPr>
                <w:rFonts w:ascii="Arial Narrow" w:hAnsi="Arial Narrow"/>
                <w:sz w:val="20"/>
                <w:szCs w:val="20"/>
              </w:rPr>
              <w:t>Assuming the IAT treatment duration from SOLSTICE of 35.98 days would apply across all recurrences is not likely to represent actual treatment duration as treatment duration may vary across recurrences (</w:t>
            </w:r>
            <w:r w:rsidR="0090140A" w:rsidRPr="0023146D">
              <w:rPr>
                <w:rFonts w:ascii="Arial Narrow" w:hAnsi="Arial Narrow"/>
                <w:sz w:val="20"/>
                <w:szCs w:val="20"/>
              </w:rPr>
              <w:t>p</w:t>
            </w:r>
            <w:r w:rsidRPr="0023146D">
              <w:rPr>
                <w:rFonts w:ascii="Arial Narrow" w:hAnsi="Arial Narrow"/>
                <w:sz w:val="20"/>
                <w:szCs w:val="20"/>
              </w:rPr>
              <w:t>ara 6.56, Nov 2023 PSD).</w:t>
            </w:r>
          </w:p>
        </w:tc>
        <w:tc>
          <w:tcPr>
            <w:tcW w:w="2247" w:type="pct"/>
            <w:tcMar>
              <w:left w:w="40" w:type="dxa"/>
              <w:right w:w="40" w:type="dxa"/>
            </w:tcMar>
          </w:tcPr>
          <w:p w14:paraId="338B17AB" w14:textId="04963696" w:rsidR="00732F7D" w:rsidRPr="007E1351" w:rsidRDefault="00732F7D">
            <w:pPr>
              <w:jc w:val="left"/>
              <w:rPr>
                <w:rFonts w:ascii="Arial Narrow" w:hAnsi="Arial Narrow"/>
                <w:sz w:val="20"/>
                <w:szCs w:val="20"/>
              </w:rPr>
            </w:pPr>
            <w:r w:rsidRPr="007E1351">
              <w:rPr>
                <w:rFonts w:ascii="Arial Narrow" w:hAnsi="Arial Narrow"/>
                <w:sz w:val="20"/>
                <w:szCs w:val="20"/>
              </w:rPr>
              <w:t>The retreatment duration remain</w:t>
            </w:r>
            <w:r w:rsidR="00456A28" w:rsidRPr="007E1351">
              <w:rPr>
                <w:rFonts w:ascii="Arial Narrow" w:hAnsi="Arial Narrow"/>
                <w:sz w:val="20"/>
                <w:szCs w:val="20"/>
              </w:rPr>
              <w:t>ed</w:t>
            </w:r>
            <w:r w:rsidRPr="007E1351">
              <w:rPr>
                <w:rFonts w:ascii="Arial Narrow" w:hAnsi="Arial Narrow"/>
                <w:sz w:val="20"/>
                <w:szCs w:val="20"/>
              </w:rPr>
              <w:t xml:space="preserve"> unchanged (35.98 days i.e., 5.14 weeks). </w:t>
            </w:r>
            <w:r w:rsidR="00543669">
              <w:rPr>
                <w:rFonts w:ascii="Arial Narrow" w:hAnsi="Arial Narrow"/>
                <w:sz w:val="20"/>
                <w:szCs w:val="20"/>
              </w:rPr>
              <w:t>S</w:t>
            </w:r>
            <w:r w:rsidR="00207ED0" w:rsidRPr="007E1351">
              <w:rPr>
                <w:rFonts w:ascii="Arial Narrow" w:hAnsi="Arial Narrow"/>
                <w:sz w:val="20"/>
                <w:szCs w:val="20"/>
              </w:rPr>
              <w:t>ince the model assumes IAT as the retreatment for recurrence with the same</w:t>
            </w:r>
            <w:r w:rsidR="00C62C70" w:rsidRPr="007E1351">
              <w:rPr>
                <w:rFonts w:ascii="Arial Narrow" w:hAnsi="Arial Narrow"/>
                <w:sz w:val="20"/>
                <w:szCs w:val="20"/>
              </w:rPr>
              <w:t xml:space="preserve"> </w:t>
            </w:r>
            <w:r w:rsidR="00B0505E" w:rsidRPr="007E1351">
              <w:rPr>
                <w:rFonts w:ascii="Arial Narrow" w:hAnsi="Arial Narrow"/>
                <w:sz w:val="20"/>
                <w:szCs w:val="20"/>
              </w:rPr>
              <w:t>CMV viremia</w:t>
            </w:r>
            <w:r w:rsidR="00207ED0" w:rsidRPr="007E1351">
              <w:rPr>
                <w:rFonts w:ascii="Arial Narrow" w:hAnsi="Arial Narrow"/>
                <w:sz w:val="20"/>
                <w:szCs w:val="20"/>
              </w:rPr>
              <w:t xml:space="preserve"> clearance effect as in its initial SOLSTICE treatment, the 5.14-week</w:t>
            </w:r>
            <w:r w:rsidR="0025411F" w:rsidRPr="007E1351">
              <w:rPr>
                <w:rFonts w:ascii="Arial Narrow" w:hAnsi="Arial Narrow"/>
                <w:sz w:val="20"/>
                <w:szCs w:val="20"/>
              </w:rPr>
              <w:t xml:space="preserve"> </w:t>
            </w:r>
            <w:r w:rsidR="00C53266" w:rsidRPr="007E1351">
              <w:rPr>
                <w:rFonts w:ascii="Arial Narrow" w:hAnsi="Arial Narrow"/>
                <w:sz w:val="20"/>
                <w:szCs w:val="20"/>
              </w:rPr>
              <w:t xml:space="preserve">IAT </w:t>
            </w:r>
            <w:r w:rsidR="00207ED0" w:rsidRPr="007E1351">
              <w:rPr>
                <w:rFonts w:ascii="Arial Narrow" w:hAnsi="Arial Narrow"/>
                <w:sz w:val="20"/>
                <w:szCs w:val="20"/>
              </w:rPr>
              <w:t>treatment duration from SOLSTICE align</w:t>
            </w:r>
            <w:r w:rsidR="00543669">
              <w:rPr>
                <w:rFonts w:ascii="Arial Narrow" w:hAnsi="Arial Narrow"/>
                <w:sz w:val="20"/>
                <w:szCs w:val="20"/>
              </w:rPr>
              <w:t>s</w:t>
            </w:r>
            <w:r w:rsidR="00207ED0" w:rsidRPr="007E1351">
              <w:rPr>
                <w:rFonts w:ascii="Arial Narrow" w:hAnsi="Arial Narrow"/>
                <w:sz w:val="20"/>
                <w:szCs w:val="20"/>
              </w:rPr>
              <w:t xml:space="preserve"> its costs with the expected effect.</w:t>
            </w:r>
          </w:p>
        </w:tc>
      </w:tr>
      <w:tr w:rsidR="00732F7D" w:rsidRPr="0023146D" w14:paraId="1E4A59EB" w14:textId="77777777" w:rsidTr="00AA10BF">
        <w:trPr>
          <w:cantSplit/>
        </w:trPr>
        <w:tc>
          <w:tcPr>
            <w:tcW w:w="804" w:type="pct"/>
            <w:tcMar>
              <w:left w:w="40" w:type="dxa"/>
              <w:right w:w="40" w:type="dxa"/>
            </w:tcMar>
          </w:tcPr>
          <w:p w14:paraId="7CF60E32" w14:textId="7A90A41B" w:rsidR="00732F7D" w:rsidRPr="0023146D" w:rsidRDefault="00B0505E" w:rsidP="005640B8">
            <w:pPr>
              <w:jc w:val="left"/>
              <w:rPr>
                <w:rFonts w:ascii="Arial Narrow" w:hAnsi="Arial Narrow"/>
                <w:sz w:val="20"/>
                <w:szCs w:val="20"/>
              </w:rPr>
            </w:pPr>
            <w:r w:rsidRPr="0023146D">
              <w:rPr>
                <w:rFonts w:ascii="Arial Narrow" w:hAnsi="Arial Narrow"/>
                <w:sz w:val="20"/>
                <w:szCs w:val="20"/>
              </w:rPr>
              <w:lastRenderedPageBreak/>
              <w:t>CMV v</w:t>
            </w:r>
            <w:r w:rsidR="002B17B4" w:rsidRPr="0023146D">
              <w:rPr>
                <w:rFonts w:ascii="Arial Narrow" w:hAnsi="Arial Narrow"/>
                <w:sz w:val="20"/>
                <w:szCs w:val="20"/>
              </w:rPr>
              <w:t>ir</w:t>
            </w:r>
            <w:r w:rsidRPr="0023146D">
              <w:rPr>
                <w:rFonts w:ascii="Arial Narrow" w:hAnsi="Arial Narrow"/>
                <w:sz w:val="20"/>
                <w:szCs w:val="20"/>
              </w:rPr>
              <w:t>emia</w:t>
            </w:r>
            <w:r w:rsidR="002B17B4" w:rsidRPr="0023146D">
              <w:rPr>
                <w:rFonts w:ascii="Arial Narrow" w:hAnsi="Arial Narrow"/>
                <w:sz w:val="20"/>
                <w:szCs w:val="20"/>
              </w:rPr>
              <w:t xml:space="preserve"> c</w:t>
            </w:r>
            <w:r w:rsidR="00732F7D" w:rsidRPr="0023146D">
              <w:rPr>
                <w:rFonts w:ascii="Arial Narrow" w:hAnsi="Arial Narrow"/>
                <w:sz w:val="20"/>
                <w:szCs w:val="20"/>
              </w:rPr>
              <w:t>learance</w:t>
            </w:r>
            <w:r w:rsidR="002B17B4" w:rsidRPr="0023146D">
              <w:rPr>
                <w:rFonts w:ascii="Arial Narrow" w:hAnsi="Arial Narrow"/>
                <w:sz w:val="20"/>
                <w:szCs w:val="20"/>
              </w:rPr>
              <w:t xml:space="preserve"> effect</w:t>
            </w:r>
            <w:r w:rsidR="00732F7D" w:rsidRPr="0023146D">
              <w:rPr>
                <w:rFonts w:ascii="Arial Narrow" w:hAnsi="Arial Narrow"/>
                <w:sz w:val="20"/>
                <w:szCs w:val="20"/>
              </w:rPr>
              <w:t xml:space="preserve"> beyond week 8</w:t>
            </w:r>
            <w:r w:rsidR="005640B8" w:rsidRPr="0023146D">
              <w:rPr>
                <w:rFonts w:ascii="Arial Narrow" w:hAnsi="Arial Narrow"/>
                <w:sz w:val="20"/>
                <w:szCs w:val="20"/>
              </w:rPr>
              <w:t xml:space="preserve"> for subsequent treatment</w:t>
            </w:r>
          </w:p>
        </w:tc>
        <w:tc>
          <w:tcPr>
            <w:tcW w:w="1949" w:type="pct"/>
            <w:tcMar>
              <w:left w:w="40" w:type="dxa"/>
              <w:right w:w="40" w:type="dxa"/>
            </w:tcMar>
          </w:tcPr>
          <w:p w14:paraId="068B82FD" w14:textId="34F73E23" w:rsidR="00732F7D" w:rsidRPr="0023146D" w:rsidRDefault="00B0505E" w:rsidP="005640B8">
            <w:pPr>
              <w:jc w:val="left"/>
              <w:rPr>
                <w:rFonts w:ascii="Arial Narrow" w:hAnsi="Arial Narrow"/>
                <w:sz w:val="20"/>
                <w:szCs w:val="20"/>
              </w:rPr>
            </w:pPr>
            <w:r w:rsidRPr="0023146D">
              <w:rPr>
                <w:rFonts w:ascii="Arial Narrow" w:hAnsi="Arial Narrow"/>
                <w:sz w:val="20"/>
                <w:szCs w:val="20"/>
              </w:rPr>
              <w:t>CMV viremia</w:t>
            </w:r>
            <w:r w:rsidR="00385678" w:rsidRPr="0023146D">
              <w:rPr>
                <w:rFonts w:ascii="Arial Narrow" w:hAnsi="Arial Narrow"/>
                <w:sz w:val="20"/>
                <w:szCs w:val="20"/>
              </w:rPr>
              <w:t xml:space="preserve"> c</w:t>
            </w:r>
            <w:r w:rsidR="00732F7D" w:rsidRPr="0023146D">
              <w:rPr>
                <w:rFonts w:ascii="Arial Narrow" w:hAnsi="Arial Narrow"/>
                <w:sz w:val="20"/>
                <w:szCs w:val="20"/>
              </w:rPr>
              <w:t xml:space="preserve">learance probabilities from week 8 to week 78 were derived from the week 8 </w:t>
            </w:r>
            <w:r w:rsidR="00A412B4" w:rsidRPr="0023146D">
              <w:rPr>
                <w:rFonts w:ascii="Arial Narrow" w:hAnsi="Arial Narrow"/>
                <w:sz w:val="20"/>
                <w:szCs w:val="20"/>
              </w:rPr>
              <w:t>vir</w:t>
            </w:r>
            <w:r w:rsidRPr="0023146D">
              <w:rPr>
                <w:rFonts w:ascii="Arial Narrow" w:hAnsi="Arial Narrow"/>
                <w:sz w:val="20"/>
                <w:szCs w:val="20"/>
              </w:rPr>
              <w:t>emia</w:t>
            </w:r>
            <w:r w:rsidR="00A412B4" w:rsidRPr="0023146D">
              <w:rPr>
                <w:rFonts w:ascii="Arial Narrow" w:hAnsi="Arial Narrow"/>
                <w:sz w:val="20"/>
                <w:szCs w:val="20"/>
              </w:rPr>
              <w:t xml:space="preserve"> clearance </w:t>
            </w:r>
            <w:r w:rsidR="00732F7D" w:rsidRPr="0023146D">
              <w:rPr>
                <w:rFonts w:ascii="Arial Narrow" w:hAnsi="Arial Narrow"/>
                <w:sz w:val="20"/>
                <w:szCs w:val="20"/>
              </w:rPr>
              <w:t>for the IAT arm of SOLSTICE, as patients can only receive IAT treatment from week 8 onward. The submission provided no justification or evidence supporting the use of week 8 clearance data for 78 weeks (</w:t>
            </w:r>
            <w:r w:rsidR="0090140A" w:rsidRPr="0023146D">
              <w:rPr>
                <w:rFonts w:ascii="Arial Narrow" w:hAnsi="Arial Narrow"/>
                <w:sz w:val="20"/>
                <w:szCs w:val="20"/>
              </w:rPr>
              <w:t>p</w:t>
            </w:r>
            <w:r w:rsidR="00732F7D" w:rsidRPr="0023146D">
              <w:rPr>
                <w:rFonts w:ascii="Arial Narrow" w:hAnsi="Arial Narrow"/>
                <w:sz w:val="20"/>
                <w:szCs w:val="20"/>
              </w:rPr>
              <w:t>ara 6.58,</w:t>
            </w:r>
            <w:r w:rsidR="00312569" w:rsidRPr="0023146D">
              <w:rPr>
                <w:rFonts w:ascii="Arial Narrow" w:hAnsi="Arial Narrow"/>
                <w:sz w:val="20"/>
                <w:szCs w:val="20"/>
              </w:rPr>
              <w:t xml:space="preserve"> </w:t>
            </w:r>
            <w:r w:rsidR="00823EBA" w:rsidRPr="0023146D">
              <w:rPr>
                <w:rFonts w:ascii="Arial Narrow" w:hAnsi="Arial Narrow"/>
                <w:sz w:val="20"/>
                <w:szCs w:val="20"/>
              </w:rPr>
              <w:t xml:space="preserve">&amp; </w:t>
            </w:r>
            <w:r w:rsidR="00312569" w:rsidRPr="0023146D">
              <w:rPr>
                <w:rFonts w:ascii="Arial Narrow" w:hAnsi="Arial Narrow"/>
                <w:sz w:val="20"/>
                <w:szCs w:val="20"/>
              </w:rPr>
              <w:t>7.15</w:t>
            </w:r>
            <w:r w:rsidR="00732F7D" w:rsidRPr="0023146D">
              <w:rPr>
                <w:rFonts w:ascii="Arial Narrow" w:hAnsi="Arial Narrow"/>
                <w:sz w:val="20"/>
                <w:szCs w:val="20"/>
              </w:rPr>
              <w:t xml:space="preserve"> Nov</w:t>
            </w:r>
            <w:r w:rsidR="0090140A" w:rsidRPr="0023146D">
              <w:rPr>
                <w:rFonts w:ascii="Arial Narrow" w:hAnsi="Arial Narrow"/>
                <w:sz w:val="20"/>
                <w:szCs w:val="20"/>
              </w:rPr>
              <w:t xml:space="preserve"> </w:t>
            </w:r>
            <w:r w:rsidR="00732F7D" w:rsidRPr="0023146D">
              <w:rPr>
                <w:rFonts w:ascii="Arial Narrow" w:hAnsi="Arial Narrow"/>
                <w:sz w:val="20"/>
                <w:szCs w:val="20"/>
              </w:rPr>
              <w:t>2023 PSD).</w:t>
            </w:r>
          </w:p>
        </w:tc>
        <w:tc>
          <w:tcPr>
            <w:tcW w:w="2247" w:type="pct"/>
            <w:tcMar>
              <w:left w:w="40" w:type="dxa"/>
              <w:right w:w="40" w:type="dxa"/>
            </w:tcMar>
          </w:tcPr>
          <w:p w14:paraId="312CC9E6" w14:textId="0A2B5D29" w:rsidR="00732F7D" w:rsidRPr="007E1351" w:rsidRDefault="00732F7D" w:rsidP="005640B8">
            <w:pPr>
              <w:jc w:val="left"/>
              <w:rPr>
                <w:rFonts w:ascii="Arial Narrow" w:hAnsi="Arial Narrow"/>
                <w:sz w:val="20"/>
                <w:szCs w:val="20"/>
              </w:rPr>
            </w:pPr>
            <w:r w:rsidRPr="007E1351">
              <w:rPr>
                <w:rFonts w:ascii="Arial Narrow" w:hAnsi="Arial Narrow"/>
                <w:sz w:val="20"/>
                <w:szCs w:val="20"/>
              </w:rPr>
              <w:t xml:space="preserve">Not addressed. </w:t>
            </w:r>
            <w:r w:rsidR="005640B8" w:rsidRPr="007E1351">
              <w:rPr>
                <w:rFonts w:ascii="Arial Narrow" w:hAnsi="Arial Narrow"/>
                <w:sz w:val="20"/>
                <w:szCs w:val="20"/>
              </w:rPr>
              <w:t xml:space="preserve">The </w:t>
            </w:r>
            <w:r w:rsidR="00D32732" w:rsidRPr="007E1351">
              <w:rPr>
                <w:rFonts w:ascii="Arial Narrow" w:hAnsi="Arial Narrow"/>
                <w:sz w:val="20"/>
                <w:szCs w:val="20"/>
              </w:rPr>
              <w:t>IAT</w:t>
            </w:r>
            <w:r w:rsidR="00C62C70" w:rsidRPr="007E1351">
              <w:rPr>
                <w:rFonts w:ascii="Arial Narrow" w:hAnsi="Arial Narrow"/>
                <w:sz w:val="20"/>
                <w:szCs w:val="20"/>
              </w:rPr>
              <w:t xml:space="preserve"> vir</w:t>
            </w:r>
            <w:r w:rsidR="00B0505E" w:rsidRPr="007E1351">
              <w:rPr>
                <w:rFonts w:ascii="Arial Narrow" w:hAnsi="Arial Narrow"/>
                <w:sz w:val="20"/>
                <w:szCs w:val="20"/>
              </w:rPr>
              <w:t>emia</w:t>
            </w:r>
            <w:r w:rsidR="00D32732" w:rsidRPr="007E1351">
              <w:rPr>
                <w:rFonts w:ascii="Arial Narrow" w:hAnsi="Arial Narrow"/>
                <w:sz w:val="20"/>
                <w:szCs w:val="20"/>
              </w:rPr>
              <w:t xml:space="preserve"> </w:t>
            </w:r>
            <w:r w:rsidR="005640B8" w:rsidRPr="007E1351">
              <w:rPr>
                <w:rFonts w:ascii="Arial Narrow" w:hAnsi="Arial Narrow"/>
                <w:sz w:val="20"/>
                <w:szCs w:val="20"/>
              </w:rPr>
              <w:t>clearance effect from week 8 remain</w:t>
            </w:r>
            <w:r w:rsidR="000554A3" w:rsidRPr="007E1351">
              <w:rPr>
                <w:rFonts w:ascii="Arial Narrow" w:hAnsi="Arial Narrow"/>
                <w:sz w:val="20"/>
                <w:szCs w:val="20"/>
              </w:rPr>
              <w:t>ed</w:t>
            </w:r>
            <w:r w:rsidR="005640B8" w:rsidRPr="007E1351">
              <w:rPr>
                <w:rFonts w:ascii="Arial Narrow" w:hAnsi="Arial Narrow"/>
                <w:sz w:val="20"/>
                <w:szCs w:val="20"/>
              </w:rPr>
              <w:t xml:space="preserve"> in the model and </w:t>
            </w:r>
            <w:r w:rsidR="000554A3" w:rsidRPr="007E1351">
              <w:rPr>
                <w:rFonts w:ascii="Arial Narrow" w:hAnsi="Arial Narrow"/>
                <w:sz w:val="20"/>
                <w:szCs w:val="20"/>
              </w:rPr>
              <w:t>wa</w:t>
            </w:r>
            <w:r w:rsidR="005640B8" w:rsidRPr="007E1351">
              <w:rPr>
                <w:rFonts w:ascii="Arial Narrow" w:hAnsi="Arial Narrow"/>
                <w:sz w:val="20"/>
                <w:szCs w:val="20"/>
              </w:rPr>
              <w:t xml:space="preserve">s applied to those with CMV receiving subsequent treatment. </w:t>
            </w:r>
            <w:r w:rsidR="00543669">
              <w:rPr>
                <w:rFonts w:ascii="Arial Narrow" w:hAnsi="Arial Narrow"/>
                <w:sz w:val="20"/>
                <w:szCs w:val="20"/>
              </w:rPr>
              <w:t xml:space="preserve">However the impact was reduced with the use of 39.2 weeks for stage 1 of the model. </w:t>
            </w:r>
          </w:p>
        </w:tc>
      </w:tr>
      <w:tr w:rsidR="00732F7D" w:rsidRPr="0023146D" w14:paraId="7E8FCF71" w14:textId="77777777" w:rsidTr="00AA10BF">
        <w:trPr>
          <w:cantSplit/>
        </w:trPr>
        <w:tc>
          <w:tcPr>
            <w:tcW w:w="804" w:type="pct"/>
            <w:tcMar>
              <w:left w:w="40" w:type="dxa"/>
              <w:right w:w="40" w:type="dxa"/>
            </w:tcMar>
          </w:tcPr>
          <w:p w14:paraId="25684C49" w14:textId="77777777" w:rsidR="00732F7D" w:rsidRPr="0023146D" w:rsidRDefault="00732F7D">
            <w:pPr>
              <w:jc w:val="left"/>
              <w:rPr>
                <w:rFonts w:ascii="Arial Narrow" w:hAnsi="Arial Narrow"/>
                <w:sz w:val="20"/>
                <w:szCs w:val="20"/>
              </w:rPr>
            </w:pPr>
            <w:r w:rsidRPr="0023146D">
              <w:rPr>
                <w:rFonts w:ascii="Arial Narrow" w:hAnsi="Arial Narrow"/>
                <w:sz w:val="20"/>
                <w:szCs w:val="20"/>
              </w:rPr>
              <w:t>Mortality data</w:t>
            </w:r>
          </w:p>
        </w:tc>
        <w:tc>
          <w:tcPr>
            <w:tcW w:w="1949" w:type="pct"/>
            <w:tcMar>
              <w:left w:w="40" w:type="dxa"/>
              <w:right w:w="40" w:type="dxa"/>
            </w:tcMar>
          </w:tcPr>
          <w:p w14:paraId="2D43640A" w14:textId="78730667" w:rsidR="00732F7D" w:rsidRPr="0023146D" w:rsidRDefault="00732F7D">
            <w:pPr>
              <w:jc w:val="left"/>
              <w:rPr>
                <w:rFonts w:ascii="Arial Narrow" w:hAnsi="Arial Narrow"/>
                <w:sz w:val="20"/>
                <w:szCs w:val="20"/>
              </w:rPr>
            </w:pPr>
            <w:r w:rsidRPr="0023146D">
              <w:rPr>
                <w:rFonts w:ascii="Arial Narrow" w:hAnsi="Arial Narrow"/>
                <w:sz w:val="20"/>
                <w:szCs w:val="20"/>
              </w:rPr>
              <w:t>Transition probabilities for mortality from week 8–78 were based on SOLISTICE and were classified according to response and no response at week 8 for each transplant type. The submission provided no justification for applying data from week 8 to week 20 in SOLSTICE up to 78 weeks (</w:t>
            </w:r>
            <w:r w:rsidR="00614CDB" w:rsidRPr="0023146D">
              <w:rPr>
                <w:rFonts w:ascii="Arial Narrow" w:hAnsi="Arial Narrow"/>
                <w:sz w:val="20"/>
                <w:szCs w:val="20"/>
              </w:rPr>
              <w:t>p</w:t>
            </w:r>
            <w:r w:rsidRPr="0023146D">
              <w:rPr>
                <w:rFonts w:ascii="Arial Narrow" w:hAnsi="Arial Narrow"/>
                <w:sz w:val="20"/>
                <w:szCs w:val="20"/>
              </w:rPr>
              <w:t>ara 6.58, November 2023 PSD).</w:t>
            </w:r>
          </w:p>
        </w:tc>
        <w:tc>
          <w:tcPr>
            <w:tcW w:w="2247" w:type="pct"/>
            <w:tcMar>
              <w:left w:w="40" w:type="dxa"/>
              <w:right w:w="40" w:type="dxa"/>
            </w:tcMar>
          </w:tcPr>
          <w:p w14:paraId="280C651D" w14:textId="05DEB063" w:rsidR="00732F7D" w:rsidRPr="007E1351" w:rsidRDefault="00732F7D">
            <w:pPr>
              <w:jc w:val="left"/>
              <w:rPr>
                <w:rFonts w:ascii="Arial Narrow" w:hAnsi="Arial Narrow"/>
                <w:sz w:val="20"/>
                <w:szCs w:val="20"/>
              </w:rPr>
            </w:pPr>
            <w:r w:rsidRPr="007E1351">
              <w:rPr>
                <w:rFonts w:ascii="Arial Narrow" w:hAnsi="Arial Narrow"/>
                <w:sz w:val="20"/>
                <w:szCs w:val="20"/>
              </w:rPr>
              <w:t>The mor</w:t>
            </w:r>
            <w:r w:rsidR="000554A3" w:rsidRPr="007E1351">
              <w:rPr>
                <w:rFonts w:ascii="Arial Narrow" w:hAnsi="Arial Narrow"/>
                <w:sz w:val="20"/>
                <w:szCs w:val="20"/>
              </w:rPr>
              <w:t>t</w:t>
            </w:r>
            <w:r w:rsidRPr="007E1351">
              <w:rPr>
                <w:rFonts w:ascii="Arial Narrow" w:hAnsi="Arial Narrow"/>
                <w:sz w:val="20"/>
                <w:szCs w:val="20"/>
              </w:rPr>
              <w:t xml:space="preserve">ality </w:t>
            </w:r>
            <w:r w:rsidR="000554A3" w:rsidRPr="007E1351">
              <w:rPr>
                <w:rFonts w:ascii="Arial Narrow" w:hAnsi="Arial Narrow"/>
                <w:sz w:val="20"/>
                <w:szCs w:val="20"/>
              </w:rPr>
              <w:t xml:space="preserve">assumptions </w:t>
            </w:r>
            <w:r w:rsidRPr="007E1351">
              <w:rPr>
                <w:rFonts w:ascii="Arial Narrow" w:hAnsi="Arial Narrow"/>
                <w:sz w:val="20"/>
                <w:szCs w:val="20"/>
              </w:rPr>
              <w:t>remain</w:t>
            </w:r>
            <w:r w:rsidR="000554A3" w:rsidRPr="007E1351">
              <w:rPr>
                <w:rFonts w:ascii="Arial Narrow" w:hAnsi="Arial Narrow"/>
                <w:sz w:val="20"/>
                <w:szCs w:val="20"/>
              </w:rPr>
              <w:t>ed</w:t>
            </w:r>
            <w:r w:rsidRPr="007E1351">
              <w:rPr>
                <w:rFonts w:ascii="Arial Narrow" w:hAnsi="Arial Narrow"/>
                <w:sz w:val="20"/>
                <w:szCs w:val="20"/>
              </w:rPr>
              <w:t xml:space="preserve"> unchanged</w:t>
            </w:r>
            <w:r w:rsidR="000554A3" w:rsidRPr="007E1351">
              <w:rPr>
                <w:rFonts w:ascii="Arial Narrow" w:hAnsi="Arial Narrow"/>
                <w:sz w:val="20"/>
                <w:szCs w:val="20"/>
              </w:rPr>
              <w:t xml:space="preserve"> and </w:t>
            </w:r>
            <w:r w:rsidRPr="007E1351">
              <w:rPr>
                <w:rFonts w:ascii="Arial Narrow" w:hAnsi="Arial Narrow"/>
                <w:sz w:val="20"/>
                <w:szCs w:val="20"/>
              </w:rPr>
              <w:t>remain</w:t>
            </w:r>
            <w:r w:rsidR="000554A3" w:rsidRPr="007E1351">
              <w:rPr>
                <w:rFonts w:ascii="Arial Narrow" w:hAnsi="Arial Narrow"/>
                <w:sz w:val="20"/>
                <w:szCs w:val="20"/>
              </w:rPr>
              <w:t>ed</w:t>
            </w:r>
            <w:r w:rsidRPr="007E1351">
              <w:rPr>
                <w:rFonts w:ascii="Arial Narrow" w:hAnsi="Arial Narrow"/>
                <w:sz w:val="20"/>
                <w:szCs w:val="20"/>
              </w:rPr>
              <w:t xml:space="preserve"> inadequately justified.</w:t>
            </w:r>
            <w:r w:rsidR="00543669">
              <w:rPr>
                <w:rFonts w:ascii="Arial Narrow" w:hAnsi="Arial Narrow"/>
                <w:sz w:val="20"/>
                <w:szCs w:val="20"/>
              </w:rPr>
              <w:t xml:space="preserve"> However the impact was reduced with the use of 39.2 weeks for stage 1 of the model.</w:t>
            </w:r>
          </w:p>
        </w:tc>
      </w:tr>
      <w:tr w:rsidR="00732F7D" w:rsidRPr="0023146D" w14:paraId="112BA7CB" w14:textId="77777777" w:rsidTr="00AA10BF">
        <w:trPr>
          <w:cantSplit/>
        </w:trPr>
        <w:tc>
          <w:tcPr>
            <w:tcW w:w="804" w:type="pct"/>
            <w:tcMar>
              <w:left w:w="40" w:type="dxa"/>
              <w:right w:w="40" w:type="dxa"/>
            </w:tcMar>
          </w:tcPr>
          <w:p w14:paraId="6E160DF2" w14:textId="77777777" w:rsidR="00732F7D" w:rsidRPr="0023146D" w:rsidRDefault="00732F7D" w:rsidP="00F32D47">
            <w:pPr>
              <w:jc w:val="left"/>
              <w:rPr>
                <w:rFonts w:ascii="Arial Narrow" w:hAnsi="Arial Narrow"/>
                <w:sz w:val="20"/>
                <w:szCs w:val="20"/>
              </w:rPr>
            </w:pPr>
            <w:r w:rsidRPr="0023146D">
              <w:rPr>
                <w:rFonts w:ascii="Arial Narrow" w:hAnsi="Arial Narrow"/>
                <w:sz w:val="20"/>
                <w:szCs w:val="20"/>
              </w:rPr>
              <w:t>Utilities</w:t>
            </w:r>
          </w:p>
        </w:tc>
        <w:tc>
          <w:tcPr>
            <w:tcW w:w="1949" w:type="pct"/>
            <w:tcMar>
              <w:left w:w="40" w:type="dxa"/>
              <w:right w:w="40" w:type="dxa"/>
            </w:tcMar>
          </w:tcPr>
          <w:p w14:paraId="5F21EC55" w14:textId="53337108" w:rsidR="00732F7D" w:rsidRPr="0023146D" w:rsidRDefault="00732F7D" w:rsidP="00F32D47">
            <w:pPr>
              <w:jc w:val="left"/>
              <w:rPr>
                <w:rFonts w:ascii="Arial Narrow" w:hAnsi="Arial Narrow"/>
                <w:sz w:val="20"/>
                <w:szCs w:val="20"/>
              </w:rPr>
            </w:pPr>
            <w:r w:rsidRPr="0023146D">
              <w:rPr>
                <w:rFonts w:ascii="Arial Narrow" w:hAnsi="Arial Narrow"/>
                <w:sz w:val="20"/>
                <w:szCs w:val="20"/>
              </w:rPr>
              <w:t>The submission provided no explanation as to why Australian mapping was not used (</w:t>
            </w:r>
            <w:r w:rsidR="00614CDB" w:rsidRPr="0023146D">
              <w:rPr>
                <w:rFonts w:ascii="Arial Narrow" w:hAnsi="Arial Narrow"/>
                <w:sz w:val="20"/>
                <w:szCs w:val="20"/>
              </w:rPr>
              <w:t>p</w:t>
            </w:r>
            <w:r w:rsidRPr="0023146D">
              <w:rPr>
                <w:rFonts w:ascii="Arial Narrow" w:hAnsi="Arial Narrow"/>
                <w:sz w:val="20"/>
                <w:szCs w:val="20"/>
              </w:rPr>
              <w:t>ara 6.59, November 2023 PSD).</w:t>
            </w:r>
          </w:p>
        </w:tc>
        <w:tc>
          <w:tcPr>
            <w:tcW w:w="2247" w:type="pct"/>
            <w:tcMar>
              <w:left w:w="40" w:type="dxa"/>
              <w:right w:w="40" w:type="dxa"/>
            </w:tcMar>
          </w:tcPr>
          <w:p w14:paraId="3374569E" w14:textId="58837CD3" w:rsidR="00732F7D" w:rsidRPr="007E1351" w:rsidRDefault="00732F7D" w:rsidP="00F32D47">
            <w:pPr>
              <w:jc w:val="left"/>
              <w:rPr>
                <w:rFonts w:ascii="Arial Narrow" w:hAnsi="Arial Narrow"/>
                <w:sz w:val="20"/>
                <w:szCs w:val="20"/>
              </w:rPr>
            </w:pPr>
            <w:r w:rsidRPr="007E1351">
              <w:rPr>
                <w:rFonts w:ascii="Arial Narrow" w:hAnsi="Arial Narrow"/>
                <w:sz w:val="20"/>
                <w:szCs w:val="20"/>
              </w:rPr>
              <w:t xml:space="preserve">Addressed, the utility values have been updated to include Australian specific utilities for the resubmission. </w:t>
            </w:r>
          </w:p>
        </w:tc>
      </w:tr>
      <w:tr w:rsidR="00732F7D" w:rsidRPr="0023146D" w14:paraId="12A1407D" w14:textId="77777777" w:rsidTr="00AA10BF">
        <w:trPr>
          <w:cantSplit/>
        </w:trPr>
        <w:tc>
          <w:tcPr>
            <w:tcW w:w="804" w:type="pct"/>
            <w:tcMar>
              <w:left w:w="40" w:type="dxa"/>
              <w:right w:w="40" w:type="dxa"/>
            </w:tcMar>
          </w:tcPr>
          <w:p w14:paraId="52D0D9A8" w14:textId="77777777" w:rsidR="00732F7D" w:rsidRPr="0023146D" w:rsidRDefault="00732F7D">
            <w:pPr>
              <w:jc w:val="left"/>
              <w:rPr>
                <w:rFonts w:ascii="Arial Narrow" w:hAnsi="Arial Narrow"/>
                <w:sz w:val="20"/>
                <w:szCs w:val="20"/>
              </w:rPr>
            </w:pPr>
            <w:r w:rsidRPr="0023146D">
              <w:rPr>
                <w:rFonts w:ascii="Arial Narrow" w:hAnsi="Arial Narrow"/>
                <w:sz w:val="20"/>
                <w:szCs w:val="20"/>
              </w:rPr>
              <w:t>Comparator drug prices</w:t>
            </w:r>
          </w:p>
        </w:tc>
        <w:tc>
          <w:tcPr>
            <w:tcW w:w="1949" w:type="pct"/>
            <w:tcMar>
              <w:left w:w="40" w:type="dxa"/>
              <w:right w:w="40" w:type="dxa"/>
            </w:tcMar>
          </w:tcPr>
          <w:p w14:paraId="313AE3BD" w14:textId="1EAE6B87" w:rsidR="00732F7D" w:rsidRPr="0023146D" w:rsidRDefault="00614CDB">
            <w:pPr>
              <w:jc w:val="left"/>
              <w:rPr>
                <w:rFonts w:ascii="Arial Narrow" w:hAnsi="Arial Narrow"/>
                <w:sz w:val="20"/>
                <w:szCs w:val="20"/>
              </w:rPr>
            </w:pPr>
            <w:r w:rsidRPr="0023146D">
              <w:rPr>
                <w:rFonts w:ascii="Arial Narrow" w:hAnsi="Arial Narrow"/>
                <w:sz w:val="20"/>
                <w:szCs w:val="20"/>
              </w:rPr>
              <w:t>Assumed f</w:t>
            </w:r>
            <w:r w:rsidR="00732F7D" w:rsidRPr="0023146D">
              <w:rPr>
                <w:rFonts w:ascii="Arial Narrow" w:hAnsi="Arial Narrow"/>
                <w:sz w:val="20"/>
                <w:szCs w:val="20"/>
              </w:rPr>
              <w:t xml:space="preserve">oscarnet and cidofovir prices selected were not adequately justified </w:t>
            </w:r>
            <w:r w:rsidRPr="0023146D">
              <w:rPr>
                <w:rFonts w:ascii="Arial Narrow" w:hAnsi="Arial Narrow"/>
                <w:sz w:val="20"/>
                <w:szCs w:val="20"/>
              </w:rPr>
              <w:t>(p</w:t>
            </w:r>
            <w:r w:rsidR="00732F7D" w:rsidRPr="0023146D">
              <w:rPr>
                <w:rFonts w:ascii="Arial Narrow" w:hAnsi="Arial Narrow"/>
                <w:sz w:val="20"/>
                <w:szCs w:val="20"/>
              </w:rPr>
              <w:t>ara 6.57</w:t>
            </w:r>
            <w:r w:rsidR="00261195" w:rsidRPr="0023146D">
              <w:rPr>
                <w:rFonts w:ascii="Arial Narrow" w:hAnsi="Arial Narrow"/>
                <w:sz w:val="20"/>
                <w:szCs w:val="20"/>
              </w:rPr>
              <w:t xml:space="preserve"> </w:t>
            </w:r>
            <w:r w:rsidR="009A7A1B" w:rsidRPr="0023146D">
              <w:rPr>
                <w:rFonts w:ascii="Arial Narrow" w:hAnsi="Arial Narrow"/>
                <w:sz w:val="20"/>
                <w:szCs w:val="20"/>
              </w:rPr>
              <w:t>&amp;</w:t>
            </w:r>
            <w:r w:rsidR="00732F7D" w:rsidRPr="0023146D">
              <w:rPr>
                <w:rFonts w:ascii="Arial Narrow" w:hAnsi="Arial Narrow"/>
                <w:sz w:val="20"/>
                <w:szCs w:val="20"/>
              </w:rPr>
              <w:t xml:space="preserve"> 6.62 November 2023 PSD).</w:t>
            </w:r>
          </w:p>
        </w:tc>
        <w:tc>
          <w:tcPr>
            <w:tcW w:w="2247" w:type="pct"/>
            <w:tcMar>
              <w:left w:w="40" w:type="dxa"/>
              <w:right w:w="40" w:type="dxa"/>
            </w:tcMar>
          </w:tcPr>
          <w:p w14:paraId="3B3F9E1B" w14:textId="117B7717" w:rsidR="00732F7D" w:rsidRPr="007E1351" w:rsidRDefault="00732F7D">
            <w:pPr>
              <w:jc w:val="left"/>
              <w:rPr>
                <w:rFonts w:ascii="Arial Narrow" w:hAnsi="Arial Narrow"/>
                <w:sz w:val="20"/>
                <w:szCs w:val="20"/>
              </w:rPr>
            </w:pPr>
            <w:r w:rsidRPr="007E1351">
              <w:rPr>
                <w:rFonts w:ascii="Arial Narrow" w:hAnsi="Arial Narrow"/>
                <w:sz w:val="20"/>
                <w:szCs w:val="20"/>
              </w:rPr>
              <w:t xml:space="preserve">Not addressed. Foscarnet and cidofovir </w:t>
            </w:r>
            <w:r w:rsidR="00A91F90" w:rsidRPr="007E1351">
              <w:rPr>
                <w:rFonts w:ascii="Arial Narrow" w:hAnsi="Arial Narrow"/>
                <w:sz w:val="20"/>
                <w:szCs w:val="20"/>
              </w:rPr>
              <w:t xml:space="preserve">costs </w:t>
            </w:r>
            <w:r w:rsidR="007A24E4" w:rsidRPr="007E1351">
              <w:rPr>
                <w:rFonts w:ascii="Arial Narrow" w:hAnsi="Arial Narrow"/>
                <w:sz w:val="20"/>
                <w:szCs w:val="20"/>
              </w:rPr>
              <w:t xml:space="preserve">estimated </w:t>
            </w:r>
            <w:r w:rsidR="000554A3" w:rsidRPr="007E1351">
              <w:rPr>
                <w:rFonts w:ascii="Arial Narrow" w:hAnsi="Arial Narrow"/>
                <w:sz w:val="20"/>
                <w:szCs w:val="20"/>
              </w:rPr>
              <w:t xml:space="preserve">remained </w:t>
            </w:r>
            <w:r w:rsidRPr="007E1351">
              <w:rPr>
                <w:rFonts w:ascii="Arial Narrow" w:hAnsi="Arial Narrow"/>
                <w:sz w:val="20"/>
                <w:szCs w:val="20"/>
              </w:rPr>
              <w:t xml:space="preserve">inadequately justified. </w:t>
            </w:r>
          </w:p>
        </w:tc>
      </w:tr>
      <w:tr w:rsidR="00732F7D" w:rsidRPr="0023146D" w14:paraId="7C92082A" w14:textId="77777777" w:rsidTr="00AA10BF">
        <w:trPr>
          <w:cantSplit/>
        </w:trPr>
        <w:tc>
          <w:tcPr>
            <w:tcW w:w="804" w:type="pct"/>
            <w:tcMar>
              <w:left w:w="40" w:type="dxa"/>
              <w:right w:w="40" w:type="dxa"/>
            </w:tcMar>
          </w:tcPr>
          <w:p w14:paraId="7D8BF4C5" w14:textId="77777777" w:rsidR="00732F7D" w:rsidRPr="0023146D" w:rsidRDefault="00732F7D" w:rsidP="00074D78">
            <w:pPr>
              <w:jc w:val="left"/>
              <w:rPr>
                <w:rFonts w:ascii="Arial Narrow" w:hAnsi="Arial Narrow"/>
                <w:sz w:val="20"/>
                <w:szCs w:val="20"/>
              </w:rPr>
            </w:pPr>
            <w:r w:rsidRPr="0023146D">
              <w:rPr>
                <w:rFonts w:ascii="Arial Narrow" w:hAnsi="Arial Narrow"/>
                <w:sz w:val="20"/>
                <w:szCs w:val="20"/>
              </w:rPr>
              <w:t>Maribavir price</w:t>
            </w:r>
          </w:p>
        </w:tc>
        <w:tc>
          <w:tcPr>
            <w:tcW w:w="1949" w:type="pct"/>
            <w:tcMar>
              <w:left w:w="40" w:type="dxa"/>
              <w:right w:w="40" w:type="dxa"/>
            </w:tcMar>
          </w:tcPr>
          <w:p w14:paraId="7D3A342E" w14:textId="1C863593" w:rsidR="00732F7D" w:rsidRPr="0023146D" w:rsidRDefault="00732F7D" w:rsidP="00074D78">
            <w:pPr>
              <w:jc w:val="left"/>
              <w:rPr>
                <w:rFonts w:ascii="Arial Narrow" w:hAnsi="Arial Narrow"/>
                <w:sz w:val="20"/>
                <w:szCs w:val="20"/>
              </w:rPr>
            </w:pPr>
            <w:r w:rsidRPr="0023146D">
              <w:rPr>
                <w:rFonts w:ascii="Arial Narrow" w:hAnsi="Arial Narrow"/>
                <w:sz w:val="20"/>
                <w:szCs w:val="20"/>
              </w:rPr>
              <w:t>The cost of maribavir should reflect the uncertainty in the clinical data and the short duration of efficacy in patients who develop resistance (</w:t>
            </w:r>
            <w:r w:rsidR="00640E0D" w:rsidRPr="0023146D">
              <w:rPr>
                <w:rFonts w:ascii="Arial Narrow" w:hAnsi="Arial Narrow"/>
                <w:sz w:val="20"/>
                <w:szCs w:val="20"/>
              </w:rPr>
              <w:t>p</w:t>
            </w:r>
            <w:r w:rsidRPr="0023146D">
              <w:rPr>
                <w:rFonts w:ascii="Arial Narrow" w:hAnsi="Arial Narrow"/>
                <w:sz w:val="20"/>
                <w:szCs w:val="20"/>
              </w:rPr>
              <w:t>ara 7.17, Nov 2023 PSD).</w:t>
            </w:r>
          </w:p>
        </w:tc>
        <w:tc>
          <w:tcPr>
            <w:tcW w:w="2247" w:type="pct"/>
            <w:tcMar>
              <w:left w:w="40" w:type="dxa"/>
              <w:right w:w="40" w:type="dxa"/>
            </w:tcMar>
          </w:tcPr>
          <w:p w14:paraId="3CF0CA6A" w14:textId="17D76543" w:rsidR="00732F7D" w:rsidRPr="007E1351" w:rsidRDefault="00732F7D" w:rsidP="00074D78">
            <w:pPr>
              <w:jc w:val="left"/>
              <w:rPr>
                <w:rFonts w:ascii="Arial Narrow" w:hAnsi="Arial Narrow"/>
                <w:sz w:val="20"/>
                <w:szCs w:val="20"/>
              </w:rPr>
            </w:pPr>
            <w:r w:rsidRPr="007E1351">
              <w:rPr>
                <w:rFonts w:ascii="Arial Narrow" w:hAnsi="Arial Narrow"/>
                <w:sz w:val="20"/>
                <w:szCs w:val="20"/>
              </w:rPr>
              <w:t xml:space="preserve">The </w:t>
            </w:r>
            <w:r w:rsidR="00C43643" w:rsidRPr="007E1351">
              <w:rPr>
                <w:rFonts w:ascii="Arial Narrow" w:hAnsi="Arial Narrow"/>
                <w:sz w:val="20"/>
                <w:szCs w:val="20"/>
              </w:rPr>
              <w:t>effective</w:t>
            </w:r>
            <w:r w:rsidRPr="007E1351">
              <w:rPr>
                <w:rFonts w:ascii="Arial Narrow" w:hAnsi="Arial Narrow"/>
                <w:sz w:val="20"/>
                <w:szCs w:val="20"/>
              </w:rPr>
              <w:t xml:space="preserve"> DPMQ </w:t>
            </w:r>
            <w:r w:rsidR="00A52393" w:rsidRPr="007E1351">
              <w:rPr>
                <w:rFonts w:ascii="Arial Narrow" w:hAnsi="Arial Narrow"/>
                <w:sz w:val="20"/>
                <w:szCs w:val="20"/>
              </w:rPr>
              <w:t xml:space="preserve">of maribavir </w:t>
            </w:r>
            <w:r w:rsidRPr="007E1351">
              <w:rPr>
                <w:rFonts w:ascii="Arial Narrow" w:hAnsi="Arial Narrow"/>
                <w:sz w:val="20"/>
                <w:szCs w:val="20"/>
              </w:rPr>
              <w:t xml:space="preserve">has been </w:t>
            </w:r>
            <w:r w:rsidR="00A52393" w:rsidRPr="007E1351">
              <w:rPr>
                <w:rFonts w:ascii="Arial Narrow" w:hAnsi="Arial Narrow"/>
                <w:sz w:val="20"/>
                <w:szCs w:val="20"/>
              </w:rPr>
              <w:t xml:space="preserve">reduced </w:t>
            </w:r>
            <w:r w:rsidRPr="007E1351">
              <w:rPr>
                <w:rFonts w:ascii="Arial Narrow" w:hAnsi="Arial Narrow"/>
                <w:sz w:val="20"/>
                <w:szCs w:val="20"/>
              </w:rPr>
              <w:t xml:space="preserve">by </w:t>
            </w:r>
            <w:r w:rsidR="007548FA" w:rsidRPr="00B20877">
              <w:rPr>
                <w:rFonts w:ascii="Arial Narrow" w:hAnsi="Arial Narrow"/>
                <w:color w:val="000000"/>
                <w:spacing w:val="49"/>
                <w:sz w:val="20"/>
                <w:szCs w:val="20"/>
                <w:shd w:val="solid" w:color="000000" w:fill="000000"/>
                <w:fitText w:val="320" w:id="-760538112"/>
                <w14:textFill>
                  <w14:solidFill>
                    <w14:srgbClr w14:val="000000">
                      <w14:alpha w14:val="100000"/>
                    </w14:srgbClr>
                  </w14:solidFill>
                </w14:textFill>
              </w:rPr>
              <w:t>|||</w:t>
            </w:r>
            <w:r w:rsidR="007548FA" w:rsidRPr="00B20877">
              <w:rPr>
                <w:rFonts w:ascii="Arial Narrow" w:hAnsi="Arial Narrow"/>
                <w:color w:val="000000"/>
                <w:spacing w:val="3"/>
                <w:sz w:val="20"/>
                <w:szCs w:val="20"/>
                <w:shd w:val="solid" w:color="000000" w:fill="000000"/>
                <w:fitText w:val="320" w:id="-760538112"/>
                <w14:textFill>
                  <w14:solidFill>
                    <w14:srgbClr w14:val="000000">
                      <w14:alpha w14:val="100000"/>
                    </w14:srgbClr>
                  </w14:solidFill>
                </w14:textFill>
              </w:rPr>
              <w:t>|</w:t>
            </w:r>
            <w:r w:rsidRPr="007E1351">
              <w:rPr>
                <w:rFonts w:ascii="Arial Narrow" w:hAnsi="Arial Narrow"/>
                <w:sz w:val="20"/>
                <w:szCs w:val="20"/>
              </w:rPr>
              <w:t>%</w:t>
            </w:r>
            <w:r w:rsidR="00DE7CB9" w:rsidRPr="007E1351">
              <w:rPr>
                <w:rFonts w:ascii="Arial Narrow" w:hAnsi="Arial Narrow"/>
                <w:sz w:val="20"/>
                <w:szCs w:val="20"/>
              </w:rPr>
              <w:t xml:space="preserve"> compared to the November 2023 submission. </w:t>
            </w:r>
          </w:p>
        </w:tc>
      </w:tr>
    </w:tbl>
    <w:p w14:paraId="34F674A9" w14:textId="38A2C375" w:rsidR="00732F7D" w:rsidRPr="0023146D" w:rsidRDefault="00052D37" w:rsidP="00732F7D">
      <w:pPr>
        <w:pStyle w:val="TableFigureHeading"/>
        <w:rPr>
          <w:rStyle w:val="CommentReference"/>
          <w:bCs w:val="0"/>
          <w:sz w:val="18"/>
          <w:szCs w:val="22"/>
        </w:rPr>
      </w:pPr>
      <w:r w:rsidRPr="0023146D">
        <w:rPr>
          <w:rStyle w:val="CommentReference"/>
          <w:bCs w:val="0"/>
          <w:sz w:val="18"/>
          <w:szCs w:val="22"/>
        </w:rPr>
        <w:t>Source:</w:t>
      </w:r>
      <w:r w:rsidR="00460D2E" w:rsidRPr="0023146D">
        <w:rPr>
          <w:rStyle w:val="CommentReference"/>
          <w:bCs w:val="0"/>
          <w:sz w:val="18"/>
          <w:szCs w:val="22"/>
        </w:rPr>
        <w:t xml:space="preserve"> </w:t>
      </w:r>
      <w:bookmarkStart w:id="9" w:name="_Hlk176092389"/>
      <w:r w:rsidR="00FF69C8" w:rsidRPr="0023146D">
        <w:rPr>
          <w:rStyle w:val="CommentReference"/>
          <w:bCs w:val="0"/>
          <w:sz w:val="18"/>
          <w:szCs w:val="22"/>
        </w:rPr>
        <w:t>Table 1.1, pp</w:t>
      </w:r>
      <w:r w:rsidR="005016B3" w:rsidRPr="0023146D">
        <w:rPr>
          <w:rStyle w:val="CommentReference"/>
          <w:bCs w:val="0"/>
          <w:sz w:val="18"/>
          <w:szCs w:val="22"/>
        </w:rPr>
        <w:t>20-21</w:t>
      </w:r>
      <w:bookmarkEnd w:id="9"/>
      <w:r w:rsidR="00E50442" w:rsidRPr="0023146D">
        <w:rPr>
          <w:rStyle w:val="CommentReference"/>
          <w:bCs w:val="0"/>
          <w:sz w:val="18"/>
          <w:szCs w:val="22"/>
        </w:rPr>
        <w:t>; Table 2.1, p</w:t>
      </w:r>
      <w:r w:rsidR="00B017B0" w:rsidRPr="0023146D">
        <w:rPr>
          <w:rStyle w:val="CommentReference"/>
          <w:bCs w:val="0"/>
          <w:sz w:val="18"/>
          <w:szCs w:val="22"/>
        </w:rPr>
        <w:t xml:space="preserve">p60-62; Table </w:t>
      </w:r>
      <w:r w:rsidR="00260A6F" w:rsidRPr="0023146D">
        <w:rPr>
          <w:rStyle w:val="CommentReference"/>
          <w:bCs w:val="0"/>
          <w:sz w:val="18"/>
          <w:szCs w:val="22"/>
        </w:rPr>
        <w:t xml:space="preserve">3.1, p134 of the resubmission. </w:t>
      </w:r>
    </w:p>
    <w:p w14:paraId="57D2B6C4" w14:textId="6DA0354D" w:rsidR="00045880" w:rsidRDefault="00582498" w:rsidP="00500BE2">
      <w:pPr>
        <w:pStyle w:val="FooterTableFigure"/>
      </w:pPr>
      <w:r w:rsidRPr="0023146D">
        <w:t>CMV = cytomegalovirus;</w:t>
      </w:r>
      <w:r w:rsidR="00761205" w:rsidRPr="0023146D">
        <w:t xml:space="preserve"> </w:t>
      </w:r>
      <w:r w:rsidR="00E149F0" w:rsidRPr="0023146D">
        <w:t xml:space="preserve">DPMQ = dispensed price for maximum quantity; </w:t>
      </w:r>
      <w:r w:rsidR="00E44DE2" w:rsidRPr="0023146D">
        <w:t xml:space="preserve">HTA = </w:t>
      </w:r>
      <w:r w:rsidR="000554A3" w:rsidRPr="0023146D">
        <w:t>h</w:t>
      </w:r>
      <w:r w:rsidR="00E44DE2" w:rsidRPr="0023146D">
        <w:t xml:space="preserve">ealth </w:t>
      </w:r>
      <w:r w:rsidR="000554A3" w:rsidRPr="0023146D">
        <w:t>t</w:t>
      </w:r>
      <w:r w:rsidR="00E44DE2" w:rsidRPr="0023146D">
        <w:t xml:space="preserve">echnology </w:t>
      </w:r>
      <w:r w:rsidR="000554A3" w:rsidRPr="0023146D">
        <w:t>a</w:t>
      </w:r>
      <w:r w:rsidR="00E44DE2" w:rsidRPr="0023146D">
        <w:t xml:space="preserve">ssessment; </w:t>
      </w:r>
      <w:r w:rsidR="00761205" w:rsidRPr="0023146D">
        <w:t xml:space="preserve">IAT = </w:t>
      </w:r>
      <w:r w:rsidR="00BA45AF" w:rsidRPr="0023146D">
        <w:t>investigator-assigned treatment</w:t>
      </w:r>
      <w:r w:rsidR="00761205" w:rsidRPr="0023146D">
        <w:t>;</w:t>
      </w:r>
      <w:r w:rsidRPr="0023146D">
        <w:rPr>
          <w:szCs w:val="18"/>
        </w:rPr>
        <w:t xml:space="preserve"> </w:t>
      </w:r>
      <w:r w:rsidR="00475175" w:rsidRPr="0023146D">
        <w:rPr>
          <w:szCs w:val="18"/>
        </w:rPr>
        <w:t xml:space="preserve">mL/min = </w:t>
      </w:r>
      <w:r w:rsidR="000554A3" w:rsidRPr="0023146D">
        <w:rPr>
          <w:szCs w:val="18"/>
        </w:rPr>
        <w:t>millilitres</w:t>
      </w:r>
      <w:r w:rsidR="00475175" w:rsidRPr="0023146D">
        <w:rPr>
          <w:szCs w:val="18"/>
        </w:rPr>
        <w:t xml:space="preserve"> per minute; </w:t>
      </w:r>
      <w:r w:rsidR="00971380" w:rsidRPr="0023146D">
        <w:rPr>
          <w:szCs w:val="18"/>
        </w:rPr>
        <w:t xml:space="preserve">mm³ = </w:t>
      </w:r>
      <w:r w:rsidR="000554A3" w:rsidRPr="0023146D">
        <w:rPr>
          <w:szCs w:val="18"/>
        </w:rPr>
        <w:t>c</w:t>
      </w:r>
      <w:r w:rsidR="00971380" w:rsidRPr="0023146D">
        <w:rPr>
          <w:szCs w:val="18"/>
        </w:rPr>
        <w:t xml:space="preserve">ubic </w:t>
      </w:r>
      <w:r w:rsidR="000554A3" w:rsidRPr="0023146D">
        <w:rPr>
          <w:szCs w:val="18"/>
        </w:rPr>
        <w:t>millimetre</w:t>
      </w:r>
      <w:r w:rsidR="00971380" w:rsidRPr="0023146D">
        <w:rPr>
          <w:szCs w:val="18"/>
        </w:rPr>
        <w:t xml:space="preserve">; </w:t>
      </w:r>
      <w:r w:rsidR="000F7FE1" w:rsidRPr="0023146D">
        <w:rPr>
          <w:szCs w:val="18"/>
        </w:rPr>
        <w:t xml:space="preserve">NICE = National Institute for Health and Care Excellence; </w:t>
      </w:r>
      <w:r w:rsidR="00133976" w:rsidRPr="0023146D">
        <w:rPr>
          <w:szCs w:val="18"/>
        </w:rPr>
        <w:t xml:space="preserve">Nov = November; </w:t>
      </w:r>
      <w:r w:rsidR="00387670" w:rsidRPr="0023146D">
        <w:rPr>
          <w:szCs w:val="18"/>
        </w:rPr>
        <w:t xml:space="preserve">para = paragraph; </w:t>
      </w:r>
      <w:r w:rsidRPr="0023146D">
        <w:rPr>
          <w:szCs w:val="18"/>
        </w:rPr>
        <w:t xml:space="preserve">PBAC = Pharmaceutical Benefits Advisory Committee; </w:t>
      </w:r>
      <w:r w:rsidR="00500BE2" w:rsidRPr="0023146D">
        <w:rPr>
          <w:szCs w:val="20"/>
        </w:rPr>
        <w:t>PBS = Pharmaceutical Benefits Scheme</w:t>
      </w:r>
      <w:r w:rsidR="00500BE2" w:rsidRPr="0023146D">
        <w:rPr>
          <w:szCs w:val="18"/>
        </w:rPr>
        <w:t xml:space="preserve">; </w:t>
      </w:r>
      <w:r w:rsidR="0021072C" w:rsidRPr="0023146D">
        <w:rPr>
          <w:szCs w:val="18"/>
        </w:rPr>
        <w:t xml:space="preserve">PI = production information; </w:t>
      </w:r>
      <w:r w:rsidR="004E0AFD" w:rsidRPr="0023146D">
        <w:rPr>
          <w:szCs w:val="18"/>
        </w:rPr>
        <w:t xml:space="preserve">PSCR = </w:t>
      </w:r>
      <w:bookmarkStart w:id="10" w:name="_Hlk185923597"/>
      <w:r w:rsidR="00AF13AA" w:rsidRPr="00AF13AA">
        <w:rPr>
          <w:szCs w:val="18"/>
        </w:rPr>
        <w:t>Pre-Sub-Committee Response</w:t>
      </w:r>
      <w:bookmarkEnd w:id="10"/>
      <w:r w:rsidR="004E0AFD" w:rsidRPr="0023146D">
        <w:rPr>
          <w:szCs w:val="18"/>
        </w:rPr>
        <w:t xml:space="preserve">; </w:t>
      </w:r>
      <w:r w:rsidRPr="0023146D">
        <w:rPr>
          <w:szCs w:val="18"/>
        </w:rPr>
        <w:t>PSD = public summary document</w:t>
      </w:r>
      <w:r w:rsidR="00404A74" w:rsidRPr="0023146D">
        <w:rPr>
          <w:szCs w:val="18"/>
        </w:rPr>
        <w:t>;</w:t>
      </w:r>
      <w:r w:rsidRPr="0023146D">
        <w:t xml:space="preserve"> SoC = standard of care</w:t>
      </w:r>
    </w:p>
    <w:p w14:paraId="0D92E832" w14:textId="6C7D1337" w:rsidR="00045880" w:rsidRPr="00213B0B" w:rsidRDefault="00045880" w:rsidP="00213B0B">
      <w:pPr>
        <w:spacing w:after="120"/>
        <w:ind w:firstLine="709"/>
        <w:rPr>
          <w:rFonts w:asciiTheme="minorHAnsi" w:hAnsiTheme="minorHAnsi" w:cs="Times New Roman"/>
          <w:i/>
          <w:lang w:eastAsia="en-US"/>
        </w:rPr>
      </w:pPr>
      <w:bookmarkStart w:id="11" w:name="_Hlk76375324"/>
      <w:r w:rsidRPr="00045880">
        <w:rPr>
          <w:rFonts w:asciiTheme="minorHAnsi" w:hAnsiTheme="minorHAnsi" w:cs="Times New Roman"/>
          <w:i/>
          <w:lang w:eastAsia="en-US"/>
        </w:rPr>
        <w:t>For more detail on PBAC’s view, see section 7 PBAC outcome.</w:t>
      </w:r>
      <w:bookmarkEnd w:id="11"/>
    </w:p>
    <w:p w14:paraId="2983CB6E" w14:textId="77777777" w:rsidR="00732F7D" w:rsidRPr="0023146D" w:rsidRDefault="00732F7D" w:rsidP="00213B0B">
      <w:pPr>
        <w:pStyle w:val="2-SectionHeading"/>
        <w:keepNext w:val="0"/>
      </w:pPr>
      <w:bookmarkStart w:id="12" w:name="_Toc107902078"/>
      <w:bookmarkStart w:id="13" w:name="_Toc177482507"/>
      <w:bookmarkEnd w:id="12"/>
      <w:r w:rsidRPr="0023146D">
        <w:t>Requested listing</w:t>
      </w:r>
      <w:bookmarkEnd w:id="13"/>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6"/>
        <w:gridCol w:w="1877"/>
        <w:gridCol w:w="1176"/>
        <w:gridCol w:w="961"/>
        <w:gridCol w:w="814"/>
        <w:gridCol w:w="1843"/>
      </w:tblGrid>
      <w:tr w:rsidR="00037DFF" w:rsidRPr="0023146D" w14:paraId="32AAE424" w14:textId="77777777" w:rsidTr="00F751AF">
        <w:trPr>
          <w:cantSplit/>
          <w:trHeight w:val="20"/>
        </w:trPr>
        <w:tc>
          <w:tcPr>
            <w:tcW w:w="2400" w:type="dxa"/>
            <w:tcBorders>
              <w:top w:val="single" w:sz="4" w:space="0" w:color="auto"/>
              <w:left w:val="single" w:sz="4" w:space="0" w:color="auto"/>
              <w:bottom w:val="single" w:sz="4" w:space="0" w:color="auto"/>
              <w:right w:val="single" w:sz="4" w:space="0" w:color="auto"/>
            </w:tcBorders>
            <w:hideMark/>
          </w:tcPr>
          <w:p w14:paraId="35387C04" w14:textId="77777777" w:rsidR="00732F7D" w:rsidRPr="0023146D" w:rsidRDefault="00732F7D" w:rsidP="00213B0B">
            <w:pPr>
              <w:rPr>
                <w:rFonts w:ascii="Arial Narrow" w:hAnsi="Arial Narrow"/>
                <w:b/>
                <w:bCs/>
                <w:sz w:val="20"/>
                <w:szCs w:val="20"/>
              </w:rPr>
            </w:pPr>
            <w:r w:rsidRPr="0023146D">
              <w:rPr>
                <w:rFonts w:ascii="Arial Narrow" w:hAnsi="Arial Narrow"/>
                <w:b/>
                <w:bCs/>
                <w:sz w:val="20"/>
                <w:szCs w:val="20"/>
              </w:rPr>
              <w:t>MEDICINAL PRODUCT</w:t>
            </w:r>
          </w:p>
          <w:p w14:paraId="52FA7A92" w14:textId="77777777" w:rsidR="00732F7D" w:rsidRPr="0023146D" w:rsidRDefault="00732F7D" w:rsidP="00213B0B">
            <w:pPr>
              <w:rPr>
                <w:rFonts w:ascii="Arial Narrow" w:hAnsi="Arial Narrow"/>
                <w:b/>
                <w:sz w:val="20"/>
                <w:szCs w:val="20"/>
              </w:rPr>
            </w:pPr>
            <w:r w:rsidRPr="0023146D">
              <w:rPr>
                <w:rFonts w:ascii="Arial Narrow" w:hAnsi="Arial Narrow"/>
                <w:b/>
                <w:bCs/>
                <w:sz w:val="20"/>
                <w:szCs w:val="20"/>
              </w:rPr>
              <w:t>medicinal product pack</w:t>
            </w:r>
          </w:p>
        </w:tc>
        <w:tc>
          <w:tcPr>
            <w:tcW w:w="1920" w:type="dxa"/>
            <w:tcBorders>
              <w:top w:val="single" w:sz="4" w:space="0" w:color="auto"/>
              <w:left w:val="single" w:sz="4" w:space="0" w:color="auto"/>
              <w:bottom w:val="single" w:sz="4" w:space="0" w:color="auto"/>
              <w:right w:val="single" w:sz="4" w:space="0" w:color="auto"/>
            </w:tcBorders>
            <w:hideMark/>
          </w:tcPr>
          <w:p w14:paraId="6E3D1A10" w14:textId="77777777" w:rsidR="00732F7D" w:rsidRPr="00AA10BF" w:rsidRDefault="00732F7D" w:rsidP="00213B0B">
            <w:pPr>
              <w:pStyle w:val="TableText0"/>
              <w:keepNext w:val="0"/>
              <w:keepLines w:val="0"/>
              <w:rPr>
                <w:b/>
                <w:bCs w:val="0"/>
              </w:rPr>
            </w:pPr>
            <w:r w:rsidRPr="00AA10BF">
              <w:rPr>
                <w:b/>
                <w:bCs w:val="0"/>
              </w:rPr>
              <w:t xml:space="preserve">Dispensed Price for Max. Qty </w:t>
            </w:r>
          </w:p>
        </w:tc>
        <w:tc>
          <w:tcPr>
            <w:tcW w:w="1200" w:type="dxa"/>
            <w:tcBorders>
              <w:top w:val="single" w:sz="4" w:space="0" w:color="auto"/>
              <w:left w:val="single" w:sz="4" w:space="0" w:color="auto"/>
              <w:bottom w:val="single" w:sz="4" w:space="0" w:color="auto"/>
              <w:right w:val="single" w:sz="4" w:space="0" w:color="auto"/>
            </w:tcBorders>
            <w:hideMark/>
          </w:tcPr>
          <w:p w14:paraId="391DCEA6" w14:textId="77777777" w:rsidR="00732F7D" w:rsidRPr="0023146D" w:rsidRDefault="00732F7D" w:rsidP="00213B0B">
            <w:pPr>
              <w:jc w:val="center"/>
              <w:rPr>
                <w:rFonts w:ascii="Arial Narrow" w:hAnsi="Arial Narrow"/>
                <w:b/>
                <w:sz w:val="20"/>
                <w:szCs w:val="20"/>
              </w:rPr>
            </w:pPr>
            <w:r w:rsidRPr="0023146D">
              <w:rPr>
                <w:rFonts w:ascii="Arial Narrow" w:hAnsi="Arial Narrow"/>
                <w:b/>
                <w:sz w:val="20"/>
                <w:szCs w:val="20"/>
              </w:rPr>
              <w:t>Max. qty packs</w:t>
            </w:r>
          </w:p>
        </w:tc>
        <w:tc>
          <w:tcPr>
            <w:tcW w:w="980" w:type="dxa"/>
            <w:tcBorders>
              <w:top w:val="single" w:sz="4" w:space="0" w:color="auto"/>
              <w:left w:val="single" w:sz="4" w:space="0" w:color="auto"/>
              <w:bottom w:val="single" w:sz="4" w:space="0" w:color="auto"/>
              <w:right w:val="single" w:sz="4" w:space="0" w:color="auto"/>
            </w:tcBorders>
            <w:hideMark/>
          </w:tcPr>
          <w:p w14:paraId="478D9371" w14:textId="77777777" w:rsidR="00732F7D" w:rsidRPr="0023146D" w:rsidRDefault="00732F7D" w:rsidP="00213B0B">
            <w:pPr>
              <w:jc w:val="center"/>
              <w:rPr>
                <w:rFonts w:ascii="Arial Narrow" w:hAnsi="Arial Narrow"/>
                <w:b/>
                <w:sz w:val="20"/>
                <w:szCs w:val="20"/>
              </w:rPr>
            </w:pPr>
            <w:r w:rsidRPr="0023146D">
              <w:rPr>
                <w:rFonts w:ascii="Arial Narrow" w:hAnsi="Arial Narrow"/>
                <w:b/>
                <w:sz w:val="20"/>
                <w:szCs w:val="20"/>
              </w:rPr>
              <w:t>Max. qty units</w:t>
            </w:r>
          </w:p>
        </w:tc>
        <w:tc>
          <w:tcPr>
            <w:tcW w:w="829" w:type="dxa"/>
            <w:tcBorders>
              <w:top w:val="single" w:sz="4" w:space="0" w:color="auto"/>
              <w:left w:val="single" w:sz="4" w:space="0" w:color="auto"/>
              <w:bottom w:val="single" w:sz="4" w:space="0" w:color="auto"/>
              <w:right w:val="single" w:sz="4" w:space="0" w:color="auto"/>
            </w:tcBorders>
            <w:hideMark/>
          </w:tcPr>
          <w:p w14:paraId="1D5E276D" w14:textId="77777777" w:rsidR="00732F7D" w:rsidRPr="0023146D" w:rsidRDefault="00732F7D" w:rsidP="00213B0B">
            <w:pPr>
              <w:jc w:val="center"/>
              <w:rPr>
                <w:rFonts w:ascii="Arial Narrow" w:hAnsi="Arial Narrow"/>
                <w:b/>
                <w:sz w:val="20"/>
                <w:szCs w:val="20"/>
              </w:rPr>
            </w:pPr>
            <w:r w:rsidRPr="0023146D">
              <w:rPr>
                <w:rFonts w:ascii="Arial Narrow" w:hAnsi="Arial Narrow"/>
                <w:b/>
                <w:sz w:val="20"/>
                <w:szCs w:val="20"/>
              </w:rPr>
              <w:t>№.of</w:t>
            </w:r>
          </w:p>
          <w:p w14:paraId="401B3E1D" w14:textId="77777777" w:rsidR="00732F7D" w:rsidRPr="0023146D" w:rsidRDefault="00732F7D" w:rsidP="00213B0B">
            <w:pPr>
              <w:jc w:val="center"/>
              <w:rPr>
                <w:rFonts w:ascii="Arial Narrow" w:hAnsi="Arial Narrow"/>
                <w:b/>
                <w:sz w:val="20"/>
                <w:szCs w:val="20"/>
              </w:rPr>
            </w:pPr>
            <w:r w:rsidRPr="0023146D">
              <w:rPr>
                <w:rFonts w:ascii="Arial Narrow" w:hAnsi="Arial Narrow"/>
                <w:b/>
                <w:sz w:val="20"/>
                <w:szCs w:val="20"/>
              </w:rPr>
              <w:t>Rpts</w:t>
            </w:r>
          </w:p>
        </w:tc>
        <w:tc>
          <w:tcPr>
            <w:tcW w:w="1885" w:type="dxa"/>
            <w:tcBorders>
              <w:top w:val="single" w:sz="4" w:space="0" w:color="auto"/>
              <w:left w:val="single" w:sz="4" w:space="0" w:color="auto"/>
              <w:bottom w:val="single" w:sz="4" w:space="0" w:color="auto"/>
              <w:right w:val="single" w:sz="4" w:space="0" w:color="auto"/>
            </w:tcBorders>
            <w:hideMark/>
          </w:tcPr>
          <w:p w14:paraId="702ABD3E" w14:textId="77777777" w:rsidR="00732F7D" w:rsidRPr="0023146D" w:rsidRDefault="00732F7D" w:rsidP="00213B0B">
            <w:pPr>
              <w:rPr>
                <w:rFonts w:ascii="Arial Narrow" w:hAnsi="Arial Narrow"/>
                <w:b/>
                <w:sz w:val="20"/>
                <w:szCs w:val="20"/>
              </w:rPr>
            </w:pPr>
            <w:r w:rsidRPr="0023146D">
              <w:rPr>
                <w:rFonts w:ascii="Arial Narrow" w:hAnsi="Arial Narrow"/>
                <w:b/>
                <w:sz w:val="20"/>
                <w:szCs w:val="20"/>
              </w:rPr>
              <w:t>Available brands</w:t>
            </w:r>
          </w:p>
        </w:tc>
      </w:tr>
      <w:tr w:rsidR="002C3901" w:rsidRPr="0023146D" w14:paraId="34911287" w14:textId="77777777" w:rsidTr="00F751AF">
        <w:trPr>
          <w:cantSplit/>
          <w:trHeight w:val="20"/>
        </w:trPr>
        <w:tc>
          <w:tcPr>
            <w:tcW w:w="9214" w:type="dxa"/>
            <w:gridSpan w:val="6"/>
            <w:tcBorders>
              <w:top w:val="single" w:sz="4" w:space="0" w:color="auto"/>
              <w:left w:val="single" w:sz="4" w:space="0" w:color="auto"/>
              <w:bottom w:val="single" w:sz="4" w:space="0" w:color="auto"/>
              <w:right w:val="single" w:sz="4" w:space="0" w:color="auto"/>
            </w:tcBorders>
            <w:hideMark/>
          </w:tcPr>
          <w:p w14:paraId="60FF1337" w14:textId="77777777" w:rsidR="00732F7D" w:rsidRPr="0023146D" w:rsidRDefault="00732F7D" w:rsidP="00213B0B">
            <w:pPr>
              <w:pStyle w:val="TableText0"/>
              <w:keepNext w:val="0"/>
              <w:keepLines w:val="0"/>
              <w:rPr>
                <w:rFonts w:cs="Arial"/>
              </w:rPr>
            </w:pPr>
            <w:r w:rsidRPr="0023146D">
              <w:t>MARIBAVIR</w:t>
            </w:r>
          </w:p>
        </w:tc>
      </w:tr>
      <w:tr w:rsidR="00957097" w:rsidRPr="0023146D" w14:paraId="49782650" w14:textId="77777777" w:rsidTr="00F751AF">
        <w:trPr>
          <w:cantSplit/>
          <w:trHeight w:val="20"/>
        </w:trPr>
        <w:tc>
          <w:tcPr>
            <w:tcW w:w="2400" w:type="dxa"/>
            <w:tcBorders>
              <w:top w:val="single" w:sz="4" w:space="0" w:color="auto"/>
              <w:left w:val="single" w:sz="4" w:space="0" w:color="auto"/>
              <w:bottom w:val="single" w:sz="4" w:space="0" w:color="auto"/>
              <w:right w:val="single" w:sz="4" w:space="0" w:color="auto"/>
            </w:tcBorders>
            <w:hideMark/>
          </w:tcPr>
          <w:p w14:paraId="3C808DF3" w14:textId="77777777" w:rsidR="00732F7D" w:rsidRPr="0023146D" w:rsidRDefault="00732F7D" w:rsidP="00213B0B">
            <w:pPr>
              <w:rPr>
                <w:rFonts w:ascii="Arial Narrow" w:hAnsi="Arial Narrow"/>
                <w:sz w:val="20"/>
                <w:szCs w:val="20"/>
              </w:rPr>
            </w:pPr>
            <w:r w:rsidRPr="0023146D">
              <w:rPr>
                <w:rFonts w:ascii="Arial Narrow" w:hAnsi="Arial Narrow"/>
                <w:sz w:val="20"/>
                <w:szCs w:val="20"/>
              </w:rPr>
              <w:t>maribavir 200 mg tablet, 28</w:t>
            </w:r>
          </w:p>
        </w:tc>
        <w:tc>
          <w:tcPr>
            <w:tcW w:w="1920" w:type="dxa"/>
            <w:tcBorders>
              <w:top w:val="single" w:sz="4" w:space="0" w:color="auto"/>
              <w:left w:val="single" w:sz="4" w:space="0" w:color="auto"/>
              <w:bottom w:val="single" w:sz="4" w:space="0" w:color="auto"/>
              <w:right w:val="single" w:sz="4" w:space="0" w:color="auto"/>
            </w:tcBorders>
            <w:hideMark/>
          </w:tcPr>
          <w:p w14:paraId="2AD27301" w14:textId="77777777" w:rsidR="00732F7D" w:rsidRPr="0023146D" w:rsidRDefault="00732F7D" w:rsidP="00213B0B">
            <w:pPr>
              <w:pStyle w:val="TableText0"/>
              <w:keepNext w:val="0"/>
              <w:keepLines w:val="0"/>
            </w:pPr>
            <w:r w:rsidRPr="0023146D">
              <w:t>Published price</w:t>
            </w:r>
          </w:p>
          <w:p w14:paraId="6692AB07" w14:textId="77777777" w:rsidR="00732F7D" w:rsidRPr="0023146D" w:rsidRDefault="00732F7D" w:rsidP="00213B0B">
            <w:pPr>
              <w:pStyle w:val="TableText0"/>
              <w:keepNext w:val="0"/>
              <w:keepLines w:val="0"/>
            </w:pPr>
            <w:r w:rsidRPr="0023146D">
              <w:t>$28,200.00 (public)</w:t>
            </w:r>
          </w:p>
          <w:p w14:paraId="23B81831" w14:textId="77777777" w:rsidR="00732F7D" w:rsidRPr="0023146D" w:rsidRDefault="00732F7D" w:rsidP="00213B0B">
            <w:pPr>
              <w:pStyle w:val="TableText0"/>
              <w:keepNext w:val="0"/>
              <w:keepLines w:val="0"/>
            </w:pPr>
            <w:r w:rsidRPr="0023146D">
              <w:t>$28,248.37 (private)</w:t>
            </w:r>
          </w:p>
          <w:p w14:paraId="6884D1CF" w14:textId="77777777" w:rsidR="00732F7D" w:rsidRPr="0023146D" w:rsidRDefault="00732F7D" w:rsidP="00213B0B">
            <w:pPr>
              <w:pStyle w:val="TableText0"/>
              <w:keepNext w:val="0"/>
              <w:keepLines w:val="0"/>
              <w:rPr>
                <w:u w:val="single"/>
              </w:rPr>
            </w:pPr>
            <w:r w:rsidRPr="0023146D">
              <w:t>Effective price</w:t>
            </w:r>
          </w:p>
          <w:p w14:paraId="4A71F360" w14:textId="799C7814" w:rsidR="00732F7D" w:rsidRPr="0023146D" w:rsidRDefault="00732F7D" w:rsidP="00213B0B">
            <w:pPr>
              <w:pStyle w:val="TableText0"/>
              <w:keepNext w:val="0"/>
              <w:keepLines w:val="0"/>
            </w:pPr>
            <w:r w:rsidRPr="0023146D">
              <w:t>$</w:t>
            </w:r>
            <w:r w:rsidR="007548FA" w:rsidRPr="00B20877">
              <w:rPr>
                <w:color w:val="000000"/>
                <w:spacing w:val="54"/>
                <w:shd w:val="solid" w:color="000000" w:fill="000000"/>
                <w:fitText w:val="334" w:id="-760538111"/>
                <w14:textFill>
                  <w14:solidFill>
                    <w14:srgbClr w14:val="000000">
                      <w14:alpha w14:val="100000"/>
                    </w14:srgbClr>
                  </w14:solidFill>
                </w14:textFill>
              </w:rPr>
              <w:t>|||</w:t>
            </w:r>
            <w:r w:rsidR="007548FA" w:rsidRPr="00B20877">
              <w:rPr>
                <w:color w:val="000000"/>
                <w:spacing w:val="2"/>
                <w:shd w:val="solid" w:color="000000" w:fill="000000"/>
                <w:fitText w:val="334" w:id="-760538111"/>
                <w14:textFill>
                  <w14:solidFill>
                    <w14:srgbClr w14:val="000000">
                      <w14:alpha w14:val="100000"/>
                    </w14:srgbClr>
                  </w14:solidFill>
                </w14:textFill>
              </w:rPr>
              <w:t>|</w:t>
            </w:r>
            <w:r w:rsidRPr="0023146D">
              <w:t xml:space="preserve"> (public)</w:t>
            </w:r>
          </w:p>
          <w:p w14:paraId="10928969" w14:textId="7B0D0B99" w:rsidR="00732F7D" w:rsidRPr="0023146D" w:rsidRDefault="00732F7D" w:rsidP="00213B0B">
            <w:pPr>
              <w:pStyle w:val="TableText0"/>
              <w:keepNext w:val="0"/>
              <w:keepLines w:val="0"/>
              <w:rPr>
                <w:u w:val="single"/>
              </w:rPr>
            </w:pPr>
            <w:r w:rsidRPr="0023146D">
              <w:t>$</w:t>
            </w:r>
            <w:r w:rsidR="007548FA" w:rsidRPr="00A6172B">
              <w:rPr>
                <w:color w:val="000000"/>
                <w:spacing w:val="54"/>
                <w:shd w:val="solid" w:color="000000" w:fill="000000"/>
                <w:fitText w:val="334" w:id="-760538110"/>
                <w14:textFill>
                  <w14:solidFill>
                    <w14:srgbClr w14:val="000000">
                      <w14:alpha w14:val="100000"/>
                    </w14:srgbClr>
                  </w14:solidFill>
                </w14:textFill>
              </w:rPr>
              <w:t>|||</w:t>
            </w:r>
            <w:r w:rsidR="007548FA" w:rsidRPr="00A6172B">
              <w:rPr>
                <w:color w:val="000000"/>
                <w:spacing w:val="2"/>
                <w:shd w:val="solid" w:color="000000" w:fill="000000"/>
                <w:fitText w:val="334" w:id="-760538110"/>
                <w14:textFill>
                  <w14:solidFill>
                    <w14:srgbClr w14:val="000000">
                      <w14:alpha w14:val="100000"/>
                    </w14:srgbClr>
                  </w14:solidFill>
                </w14:textFill>
              </w:rPr>
              <w:t>|</w:t>
            </w:r>
            <w:r w:rsidRPr="0023146D">
              <w:t xml:space="preserve"> (private)</w:t>
            </w:r>
          </w:p>
        </w:tc>
        <w:tc>
          <w:tcPr>
            <w:tcW w:w="1200" w:type="dxa"/>
            <w:tcBorders>
              <w:top w:val="single" w:sz="4" w:space="0" w:color="auto"/>
              <w:left w:val="single" w:sz="4" w:space="0" w:color="auto"/>
              <w:bottom w:val="single" w:sz="4" w:space="0" w:color="auto"/>
              <w:right w:val="single" w:sz="4" w:space="0" w:color="auto"/>
            </w:tcBorders>
            <w:hideMark/>
          </w:tcPr>
          <w:p w14:paraId="60AE4B52" w14:textId="77777777" w:rsidR="00732F7D" w:rsidRPr="0023146D" w:rsidRDefault="00732F7D" w:rsidP="00213B0B">
            <w:pPr>
              <w:jc w:val="center"/>
              <w:rPr>
                <w:rFonts w:ascii="Arial Narrow" w:hAnsi="Arial Narrow"/>
                <w:sz w:val="20"/>
                <w:szCs w:val="20"/>
              </w:rPr>
            </w:pPr>
            <w:r w:rsidRPr="0023146D">
              <w:rPr>
                <w:rFonts w:ascii="Arial Narrow" w:hAnsi="Arial Narrow"/>
                <w:sz w:val="20"/>
              </w:rPr>
              <w:t>4</w:t>
            </w:r>
          </w:p>
        </w:tc>
        <w:tc>
          <w:tcPr>
            <w:tcW w:w="980" w:type="dxa"/>
            <w:tcBorders>
              <w:top w:val="single" w:sz="4" w:space="0" w:color="auto"/>
              <w:left w:val="single" w:sz="4" w:space="0" w:color="auto"/>
              <w:bottom w:val="single" w:sz="4" w:space="0" w:color="auto"/>
              <w:right w:val="single" w:sz="4" w:space="0" w:color="auto"/>
            </w:tcBorders>
            <w:hideMark/>
          </w:tcPr>
          <w:p w14:paraId="198C8240" w14:textId="77777777" w:rsidR="00732F7D" w:rsidRPr="0023146D" w:rsidRDefault="00732F7D" w:rsidP="00213B0B">
            <w:pPr>
              <w:jc w:val="center"/>
              <w:rPr>
                <w:rFonts w:ascii="Arial Narrow" w:hAnsi="Arial Narrow"/>
                <w:sz w:val="20"/>
                <w:szCs w:val="20"/>
              </w:rPr>
            </w:pPr>
            <w:r w:rsidRPr="0023146D">
              <w:rPr>
                <w:rFonts w:ascii="Arial Narrow" w:hAnsi="Arial Narrow"/>
                <w:sz w:val="20"/>
              </w:rPr>
              <w:t>112</w:t>
            </w:r>
          </w:p>
        </w:tc>
        <w:tc>
          <w:tcPr>
            <w:tcW w:w="829" w:type="dxa"/>
            <w:tcBorders>
              <w:top w:val="single" w:sz="4" w:space="0" w:color="auto"/>
              <w:left w:val="single" w:sz="4" w:space="0" w:color="auto"/>
              <w:bottom w:val="single" w:sz="4" w:space="0" w:color="auto"/>
              <w:right w:val="single" w:sz="4" w:space="0" w:color="auto"/>
            </w:tcBorders>
            <w:hideMark/>
          </w:tcPr>
          <w:p w14:paraId="3E6D9596" w14:textId="77777777" w:rsidR="00732F7D" w:rsidRPr="0023146D" w:rsidRDefault="00732F7D" w:rsidP="00213B0B">
            <w:pPr>
              <w:jc w:val="center"/>
              <w:rPr>
                <w:rFonts w:ascii="Arial Narrow" w:hAnsi="Arial Narrow"/>
                <w:sz w:val="20"/>
                <w:szCs w:val="20"/>
              </w:rPr>
            </w:pPr>
            <w:r w:rsidRPr="0023146D">
              <w:rPr>
                <w:rFonts w:ascii="Arial Narrow" w:hAnsi="Arial Narrow"/>
                <w:sz w:val="20"/>
              </w:rPr>
              <w:t>1</w:t>
            </w:r>
          </w:p>
        </w:tc>
        <w:tc>
          <w:tcPr>
            <w:tcW w:w="1885" w:type="dxa"/>
            <w:tcBorders>
              <w:top w:val="single" w:sz="4" w:space="0" w:color="auto"/>
              <w:left w:val="single" w:sz="4" w:space="0" w:color="auto"/>
              <w:bottom w:val="single" w:sz="4" w:space="0" w:color="auto"/>
              <w:right w:val="single" w:sz="4" w:space="0" w:color="auto"/>
            </w:tcBorders>
            <w:hideMark/>
          </w:tcPr>
          <w:p w14:paraId="0D106826" w14:textId="77777777" w:rsidR="00732F7D" w:rsidRPr="0023146D" w:rsidRDefault="00732F7D" w:rsidP="00213B0B">
            <w:pPr>
              <w:rPr>
                <w:rFonts w:ascii="Arial Narrow" w:hAnsi="Arial Narrow"/>
                <w:color w:val="0066FF"/>
                <w:sz w:val="20"/>
                <w:szCs w:val="20"/>
              </w:rPr>
            </w:pPr>
            <w:proofErr w:type="spellStart"/>
            <w:r w:rsidRPr="0023146D">
              <w:rPr>
                <w:rFonts w:ascii="Arial Narrow" w:hAnsi="Arial Narrow"/>
                <w:sz w:val="20"/>
                <w:szCs w:val="20"/>
              </w:rPr>
              <w:t>Livtencity</w:t>
            </w:r>
            <w:proofErr w:type="spellEnd"/>
            <w:r w:rsidRPr="0023146D">
              <w:rPr>
                <w:rFonts w:ascii="Arial Narrow" w:hAnsi="Arial Narrow"/>
                <w:sz w:val="20"/>
                <w:szCs w:val="20"/>
              </w:rPr>
              <w:t xml:space="preserve"> </w:t>
            </w:r>
          </w:p>
        </w:tc>
      </w:tr>
    </w:tbl>
    <w:tbl>
      <w:tblPr>
        <w:tblStyle w:val="TableGrid"/>
        <w:tblW w:w="5000" w:type="pct"/>
        <w:jc w:val="center"/>
        <w:tblLook w:val="04A0" w:firstRow="1" w:lastRow="0" w:firstColumn="1" w:lastColumn="0" w:noHBand="0" w:noVBand="1"/>
      </w:tblPr>
      <w:tblGrid>
        <w:gridCol w:w="9017"/>
      </w:tblGrid>
      <w:tr w:rsidR="00F751AF" w:rsidRPr="0023146D" w14:paraId="1A3B012A" w14:textId="77777777" w:rsidTr="00F751AF">
        <w:trPr>
          <w:trHeight w:val="20"/>
          <w:jc w:val="center"/>
        </w:trPr>
        <w:tc>
          <w:tcPr>
            <w:tcW w:w="5000" w:type="pct"/>
            <w:tcBorders>
              <w:top w:val="single" w:sz="4" w:space="0" w:color="auto"/>
              <w:left w:val="single" w:sz="4" w:space="0" w:color="auto"/>
              <w:bottom w:val="single" w:sz="4" w:space="0" w:color="auto"/>
              <w:right w:val="single" w:sz="4" w:space="0" w:color="auto"/>
            </w:tcBorders>
            <w:hideMark/>
          </w:tcPr>
          <w:p w14:paraId="5FC1CA92" w14:textId="77777777" w:rsidR="00F751AF" w:rsidRPr="0023146D" w:rsidRDefault="00F751AF" w:rsidP="00213B0B">
            <w:pPr>
              <w:pStyle w:val="Tabletext8pt"/>
              <w:keepNext w:val="0"/>
              <w:keepLines w:val="0"/>
              <w:rPr>
                <w:rFonts w:ascii="Arial Narrow" w:hAnsi="Arial Narrow"/>
                <w:b/>
                <w:sz w:val="20"/>
                <w:szCs w:val="20"/>
                <w:lang w:eastAsia="en-AU"/>
              </w:rPr>
            </w:pPr>
            <w:r w:rsidRPr="0023146D">
              <w:rPr>
                <w:rFonts w:ascii="Arial Narrow" w:hAnsi="Arial Narrow"/>
                <w:b/>
                <w:sz w:val="20"/>
                <w:szCs w:val="20"/>
                <w:lang w:eastAsia="en-AU"/>
              </w:rPr>
              <w:t>Category / Program:   </w:t>
            </w:r>
          </w:p>
          <w:p w14:paraId="28853B27" w14:textId="77777777" w:rsidR="00F751AF" w:rsidRPr="0023146D" w:rsidRDefault="00F751AF" w:rsidP="00213B0B">
            <w:pPr>
              <w:pStyle w:val="Tabletext8pt"/>
              <w:keepNext w:val="0"/>
              <w:keepLines w:val="0"/>
              <w:rPr>
                <w:rFonts w:ascii="Arial Narrow" w:hAnsi="Arial Narrow"/>
                <w:sz w:val="20"/>
                <w:szCs w:val="20"/>
                <w:lang w:eastAsia="en-AU"/>
              </w:rPr>
            </w:pPr>
            <w:r w:rsidRPr="0023146D">
              <w:rPr>
                <w:rFonts w:ascii="Arial Narrow" w:hAnsi="Arial Narrow"/>
                <w:sz w:val="20"/>
                <w:szCs w:val="20"/>
                <w:lang w:eastAsia="en-AU"/>
              </w:rPr>
              <w:t>Section 100 – Highly Specialised Drugs Program (Public/Private/Community Access (CA)).</w:t>
            </w:r>
          </w:p>
        </w:tc>
      </w:tr>
      <w:tr w:rsidR="00F751AF" w:rsidRPr="0023146D" w14:paraId="5E134A76" w14:textId="77777777" w:rsidTr="00F751AF">
        <w:trPr>
          <w:trHeight w:val="20"/>
          <w:jc w:val="center"/>
        </w:trPr>
        <w:tc>
          <w:tcPr>
            <w:tcW w:w="5000" w:type="pct"/>
            <w:tcBorders>
              <w:top w:val="single" w:sz="4" w:space="0" w:color="auto"/>
              <w:left w:val="single" w:sz="4" w:space="0" w:color="auto"/>
              <w:bottom w:val="single" w:sz="4" w:space="0" w:color="auto"/>
              <w:right w:val="single" w:sz="4" w:space="0" w:color="auto"/>
            </w:tcBorders>
            <w:hideMark/>
          </w:tcPr>
          <w:p w14:paraId="2D3825EA" w14:textId="77777777" w:rsidR="00F751AF" w:rsidRPr="0023146D" w:rsidRDefault="00F751AF" w:rsidP="00213B0B">
            <w:pPr>
              <w:pStyle w:val="Tabletext8pt"/>
              <w:keepNext w:val="0"/>
              <w:keepLines w:val="0"/>
              <w:rPr>
                <w:rFonts w:ascii="Arial Narrow" w:hAnsi="Arial Narrow"/>
                <w:b/>
                <w:sz w:val="20"/>
                <w:szCs w:val="20"/>
                <w:lang w:eastAsia="en-AU"/>
              </w:rPr>
            </w:pPr>
            <w:r w:rsidRPr="0023146D">
              <w:rPr>
                <w:rFonts w:ascii="Arial Narrow" w:hAnsi="Arial Narrow"/>
                <w:b/>
                <w:sz w:val="20"/>
                <w:szCs w:val="20"/>
                <w:lang w:eastAsia="en-AU"/>
              </w:rPr>
              <w:t xml:space="preserve">Prescriber type: </w:t>
            </w:r>
            <w:r w:rsidRPr="0023146D">
              <w:rPr>
                <w:rFonts w:ascii="Arial Narrow" w:hAnsi="Arial Narrow"/>
                <w:bCs/>
                <w:sz w:val="20"/>
                <w:szCs w:val="20"/>
                <w:lang w:eastAsia="en-AU"/>
              </w:rPr>
              <w:t>Medical practitioners</w:t>
            </w:r>
            <w:r w:rsidRPr="0023146D">
              <w:rPr>
                <w:rFonts w:ascii="Arial Narrow" w:hAnsi="Arial Narrow"/>
                <w:b/>
                <w:sz w:val="20"/>
                <w:szCs w:val="20"/>
                <w:lang w:eastAsia="en-AU"/>
              </w:rPr>
              <w:t xml:space="preserve"> </w:t>
            </w:r>
          </w:p>
        </w:tc>
      </w:tr>
      <w:tr w:rsidR="00F751AF" w:rsidRPr="0023146D" w14:paraId="2F01DFCC" w14:textId="77777777" w:rsidTr="00F751AF">
        <w:trPr>
          <w:trHeight w:val="20"/>
          <w:jc w:val="center"/>
        </w:trPr>
        <w:tc>
          <w:tcPr>
            <w:tcW w:w="5000" w:type="pct"/>
            <w:tcBorders>
              <w:top w:val="single" w:sz="4" w:space="0" w:color="auto"/>
              <w:left w:val="single" w:sz="4" w:space="0" w:color="auto"/>
              <w:bottom w:val="single" w:sz="4" w:space="0" w:color="auto"/>
              <w:right w:val="single" w:sz="4" w:space="0" w:color="auto"/>
            </w:tcBorders>
            <w:hideMark/>
          </w:tcPr>
          <w:p w14:paraId="51EDE89E" w14:textId="77777777" w:rsidR="00F751AF" w:rsidRPr="0023146D" w:rsidRDefault="00F751AF" w:rsidP="00213B0B">
            <w:pPr>
              <w:pStyle w:val="Tabletext8pt"/>
              <w:keepNext w:val="0"/>
              <w:keepLines w:val="0"/>
              <w:rPr>
                <w:rFonts w:ascii="Arial Narrow" w:hAnsi="Arial Narrow"/>
                <w:sz w:val="20"/>
                <w:szCs w:val="20"/>
                <w:lang w:eastAsia="en-AU"/>
              </w:rPr>
            </w:pPr>
            <w:r w:rsidRPr="0023146D">
              <w:rPr>
                <w:rFonts w:ascii="Arial Narrow" w:hAnsi="Arial Narrow"/>
                <w:b/>
                <w:bCs/>
                <w:sz w:val="20"/>
                <w:szCs w:val="20"/>
                <w:lang w:eastAsia="en-AU"/>
              </w:rPr>
              <w:t>Restriction type:</w:t>
            </w:r>
            <w:r w:rsidRPr="0023146D">
              <w:rPr>
                <w:rFonts w:ascii="Arial Narrow" w:hAnsi="Arial Narrow"/>
                <w:sz w:val="20"/>
                <w:szCs w:val="20"/>
                <w:lang w:eastAsia="en-AU"/>
              </w:rPr>
              <w:t xml:space="preserve"> Authority Required (Streamlined)</w:t>
            </w:r>
          </w:p>
        </w:tc>
      </w:tr>
      <w:tr w:rsidR="00F751AF" w:rsidRPr="0023146D" w14:paraId="2F462CC1" w14:textId="77777777" w:rsidTr="00F751AF">
        <w:trPr>
          <w:trHeight w:val="20"/>
          <w:jc w:val="center"/>
        </w:trPr>
        <w:tc>
          <w:tcPr>
            <w:tcW w:w="5000" w:type="pct"/>
            <w:tcBorders>
              <w:top w:val="single" w:sz="4" w:space="0" w:color="auto"/>
              <w:left w:val="single" w:sz="4" w:space="0" w:color="auto"/>
              <w:bottom w:val="single" w:sz="4" w:space="0" w:color="auto"/>
              <w:right w:val="single" w:sz="4" w:space="0" w:color="auto"/>
            </w:tcBorders>
            <w:hideMark/>
          </w:tcPr>
          <w:p w14:paraId="168CB69C" w14:textId="2E213D45" w:rsidR="00F751AF" w:rsidRPr="0023146D" w:rsidRDefault="00F751AF" w:rsidP="00213B0B">
            <w:pPr>
              <w:pStyle w:val="Tabletext8pt"/>
              <w:keepNext w:val="0"/>
              <w:keepLines w:val="0"/>
              <w:tabs>
                <w:tab w:val="left" w:pos="5583"/>
              </w:tabs>
              <w:rPr>
                <w:rFonts w:ascii="Arial Narrow" w:hAnsi="Arial Narrow"/>
                <w:sz w:val="20"/>
                <w:szCs w:val="20"/>
                <w:lang w:eastAsia="en-AU"/>
              </w:rPr>
            </w:pPr>
            <w:r w:rsidRPr="0023146D">
              <w:rPr>
                <w:rFonts w:ascii="Arial Narrow" w:hAnsi="Arial Narrow"/>
                <w:b/>
                <w:sz w:val="20"/>
                <w:szCs w:val="20"/>
                <w:lang w:eastAsia="en-AU"/>
              </w:rPr>
              <w:t xml:space="preserve">Administrative advice: </w:t>
            </w:r>
            <w:r w:rsidRPr="0023146D">
              <w:rPr>
                <w:rFonts w:ascii="Arial Narrow" w:hAnsi="Arial Narrow"/>
                <w:bCs/>
                <w:sz w:val="20"/>
                <w:szCs w:val="20"/>
                <w:lang w:eastAsia="en-AU"/>
              </w:rPr>
              <w:t>Special Pricing Arrangements apply</w:t>
            </w:r>
            <w:r w:rsidRPr="0023146D">
              <w:rPr>
                <w:rFonts w:ascii="Arial Narrow" w:hAnsi="Arial Narrow"/>
                <w:b/>
                <w:sz w:val="20"/>
                <w:szCs w:val="20"/>
                <w:lang w:eastAsia="en-AU"/>
              </w:rPr>
              <w:t xml:space="preserve"> </w:t>
            </w:r>
            <w:r w:rsidRPr="0023146D">
              <w:rPr>
                <w:rFonts w:ascii="Arial Narrow" w:hAnsi="Arial Narrow"/>
                <w:b/>
                <w:sz w:val="20"/>
                <w:szCs w:val="20"/>
                <w:lang w:eastAsia="en-AU"/>
              </w:rPr>
              <w:tab/>
            </w:r>
          </w:p>
        </w:tc>
      </w:tr>
      <w:tr w:rsidR="00F751AF" w:rsidRPr="0023146D" w14:paraId="499557BE" w14:textId="77777777" w:rsidTr="00F751AF">
        <w:trPr>
          <w:trHeight w:val="20"/>
          <w:jc w:val="center"/>
        </w:trPr>
        <w:tc>
          <w:tcPr>
            <w:tcW w:w="5000" w:type="pct"/>
            <w:tcBorders>
              <w:top w:val="single" w:sz="4" w:space="0" w:color="auto"/>
              <w:left w:val="single" w:sz="4" w:space="0" w:color="auto"/>
              <w:bottom w:val="single" w:sz="4" w:space="0" w:color="auto"/>
              <w:right w:val="single" w:sz="4" w:space="0" w:color="auto"/>
            </w:tcBorders>
            <w:hideMark/>
          </w:tcPr>
          <w:p w14:paraId="6B843294" w14:textId="77777777" w:rsidR="00F751AF" w:rsidRPr="0023146D" w:rsidRDefault="00F751AF" w:rsidP="00213B0B">
            <w:pPr>
              <w:pStyle w:val="Tabletext8pt"/>
              <w:keepNext w:val="0"/>
              <w:keepLines w:val="0"/>
              <w:rPr>
                <w:rFonts w:ascii="Arial Narrow" w:hAnsi="Arial Narrow"/>
                <w:bCs/>
                <w:sz w:val="20"/>
                <w:szCs w:val="20"/>
                <w:lang w:eastAsia="en-AU"/>
              </w:rPr>
            </w:pPr>
            <w:r w:rsidRPr="0023146D">
              <w:rPr>
                <w:rFonts w:ascii="Arial Narrow" w:hAnsi="Arial Narrow"/>
                <w:b/>
                <w:sz w:val="20"/>
                <w:szCs w:val="20"/>
                <w:lang w:eastAsia="en-AU"/>
              </w:rPr>
              <w:t xml:space="preserve">Administrative advice: </w:t>
            </w:r>
            <w:r w:rsidRPr="0023146D">
              <w:rPr>
                <w:rFonts w:ascii="Arial Narrow" w:hAnsi="Arial Narrow"/>
                <w:bCs/>
                <w:sz w:val="20"/>
                <w:szCs w:val="20"/>
                <w:lang w:eastAsia="en-AU"/>
              </w:rPr>
              <w:t>No increase in the maximum number of repeats may be authorised</w:t>
            </w:r>
          </w:p>
        </w:tc>
      </w:tr>
      <w:tr w:rsidR="00F751AF" w:rsidRPr="0023146D" w14:paraId="0A54C2D7" w14:textId="77777777" w:rsidTr="00F751AF">
        <w:trPr>
          <w:trHeight w:val="20"/>
          <w:jc w:val="center"/>
        </w:trPr>
        <w:tc>
          <w:tcPr>
            <w:tcW w:w="5000" w:type="pct"/>
            <w:tcBorders>
              <w:top w:val="single" w:sz="4" w:space="0" w:color="auto"/>
              <w:left w:val="single" w:sz="4" w:space="0" w:color="auto"/>
              <w:bottom w:val="single" w:sz="4" w:space="0" w:color="auto"/>
              <w:right w:val="single" w:sz="4" w:space="0" w:color="auto"/>
            </w:tcBorders>
            <w:hideMark/>
          </w:tcPr>
          <w:p w14:paraId="0D3D78ED" w14:textId="77777777" w:rsidR="00F751AF" w:rsidRPr="0023146D" w:rsidRDefault="00F751AF" w:rsidP="00213B0B">
            <w:pPr>
              <w:pStyle w:val="Tabletext8pt"/>
              <w:keepNext w:val="0"/>
              <w:keepLines w:val="0"/>
              <w:rPr>
                <w:rFonts w:ascii="Arial Narrow" w:hAnsi="Arial Narrow"/>
                <w:sz w:val="20"/>
                <w:szCs w:val="20"/>
                <w:lang w:eastAsia="en-AU"/>
              </w:rPr>
            </w:pPr>
            <w:r w:rsidRPr="0023146D">
              <w:rPr>
                <w:rFonts w:ascii="Arial Narrow" w:hAnsi="Arial Narrow"/>
                <w:b/>
                <w:color w:val="333333"/>
                <w:sz w:val="20"/>
                <w:szCs w:val="20"/>
                <w:lang w:eastAsia="en-AU"/>
              </w:rPr>
              <w:t>Condition:</w:t>
            </w:r>
            <w:r w:rsidRPr="0023146D">
              <w:rPr>
                <w:rFonts w:ascii="Arial Narrow" w:hAnsi="Arial Narrow"/>
                <w:color w:val="333333"/>
                <w:sz w:val="20"/>
                <w:szCs w:val="20"/>
                <w:lang w:eastAsia="en-AU"/>
              </w:rPr>
              <w:t xml:space="preserve"> Post-transplant cytomegalovirus (CMV) infection and/or disease. </w:t>
            </w:r>
          </w:p>
        </w:tc>
      </w:tr>
      <w:tr w:rsidR="00F751AF" w:rsidRPr="0023146D" w14:paraId="34B45D55" w14:textId="77777777" w:rsidTr="00F751AF">
        <w:trPr>
          <w:trHeight w:val="20"/>
          <w:jc w:val="center"/>
        </w:trPr>
        <w:tc>
          <w:tcPr>
            <w:tcW w:w="5000" w:type="pct"/>
            <w:tcBorders>
              <w:top w:val="single" w:sz="4" w:space="0" w:color="auto"/>
              <w:left w:val="single" w:sz="4" w:space="0" w:color="auto"/>
              <w:bottom w:val="single" w:sz="4" w:space="0" w:color="auto"/>
              <w:right w:val="single" w:sz="4" w:space="0" w:color="auto"/>
            </w:tcBorders>
            <w:hideMark/>
          </w:tcPr>
          <w:p w14:paraId="144EF908" w14:textId="77777777" w:rsidR="00F751AF" w:rsidRPr="0023146D" w:rsidRDefault="00F751AF" w:rsidP="00213B0B">
            <w:pPr>
              <w:pStyle w:val="Tabletext8pt"/>
              <w:keepNext w:val="0"/>
              <w:keepLines w:val="0"/>
              <w:rPr>
                <w:rFonts w:ascii="Arial Narrow" w:hAnsi="Arial Narrow"/>
                <w:sz w:val="20"/>
                <w:szCs w:val="20"/>
                <w:lang w:eastAsia="en-AU"/>
              </w:rPr>
            </w:pPr>
            <w:r w:rsidRPr="0023146D">
              <w:rPr>
                <w:rFonts w:ascii="Arial Narrow" w:hAnsi="Arial Narrow"/>
                <w:b/>
                <w:color w:val="333333"/>
                <w:sz w:val="20"/>
                <w:szCs w:val="20"/>
                <w:lang w:eastAsia="en-AU"/>
              </w:rPr>
              <w:lastRenderedPageBreak/>
              <w:t>Indication:</w:t>
            </w:r>
            <w:r w:rsidRPr="0023146D">
              <w:rPr>
                <w:rFonts w:ascii="Arial Narrow" w:hAnsi="Arial Narrow"/>
                <w:color w:val="333333"/>
                <w:sz w:val="20"/>
                <w:szCs w:val="20"/>
                <w:lang w:eastAsia="en-AU"/>
              </w:rPr>
              <w:t xml:space="preserve"> Acute treatment of post-transplant cytomegalovirus (CMV) infection and disease resistant, refractory or intolerant to one or more prior therapies.</w:t>
            </w:r>
          </w:p>
        </w:tc>
      </w:tr>
      <w:tr w:rsidR="00F751AF" w:rsidRPr="0023146D" w14:paraId="049DB9CA" w14:textId="77777777" w:rsidTr="00F751AF">
        <w:trPr>
          <w:trHeight w:val="20"/>
          <w:jc w:val="center"/>
        </w:trPr>
        <w:tc>
          <w:tcPr>
            <w:tcW w:w="5000" w:type="pct"/>
            <w:tcBorders>
              <w:top w:val="single" w:sz="4" w:space="0" w:color="auto"/>
              <w:left w:val="single" w:sz="4" w:space="0" w:color="auto"/>
              <w:bottom w:val="single" w:sz="4" w:space="0" w:color="auto"/>
              <w:right w:val="single" w:sz="4" w:space="0" w:color="auto"/>
            </w:tcBorders>
            <w:hideMark/>
          </w:tcPr>
          <w:p w14:paraId="2A2C67FA" w14:textId="77777777" w:rsidR="00F751AF" w:rsidRPr="0023146D" w:rsidRDefault="00F751AF" w:rsidP="00213B0B">
            <w:pPr>
              <w:pStyle w:val="Tabletext8pt"/>
              <w:keepNext w:val="0"/>
              <w:keepLines w:val="0"/>
              <w:rPr>
                <w:rFonts w:ascii="Arial Narrow" w:hAnsi="Arial Narrow"/>
                <w:b/>
                <w:sz w:val="20"/>
                <w:szCs w:val="20"/>
                <w:lang w:eastAsia="en-AU"/>
              </w:rPr>
            </w:pPr>
            <w:r w:rsidRPr="0023146D">
              <w:rPr>
                <w:rFonts w:ascii="Arial Narrow" w:hAnsi="Arial Narrow"/>
                <w:b/>
                <w:color w:val="333333"/>
                <w:sz w:val="20"/>
                <w:szCs w:val="20"/>
                <w:lang w:eastAsia="en-AU"/>
              </w:rPr>
              <w:t>Clinical criteria: </w:t>
            </w:r>
          </w:p>
        </w:tc>
      </w:tr>
      <w:tr w:rsidR="00F751AF" w:rsidRPr="00F751AF" w14:paraId="6DB518D4" w14:textId="77777777" w:rsidTr="00F751AF">
        <w:trPr>
          <w:trHeight w:val="20"/>
          <w:jc w:val="center"/>
        </w:trPr>
        <w:tc>
          <w:tcPr>
            <w:tcW w:w="5000" w:type="pct"/>
            <w:tcBorders>
              <w:top w:val="single" w:sz="4" w:space="0" w:color="auto"/>
              <w:left w:val="single" w:sz="4" w:space="0" w:color="auto"/>
              <w:bottom w:val="single" w:sz="4" w:space="0" w:color="auto"/>
              <w:right w:val="single" w:sz="4" w:space="0" w:color="auto"/>
            </w:tcBorders>
            <w:hideMark/>
          </w:tcPr>
          <w:p w14:paraId="746F524C" w14:textId="77777777" w:rsidR="00F751AF" w:rsidRPr="00F751AF" w:rsidRDefault="00F751AF" w:rsidP="00213B0B">
            <w:pPr>
              <w:pStyle w:val="Tabletext8pt"/>
              <w:keepNext w:val="0"/>
              <w:keepLines w:val="0"/>
              <w:rPr>
                <w:rFonts w:ascii="Arial Narrow" w:hAnsi="Arial Narrow"/>
                <w:sz w:val="20"/>
                <w:szCs w:val="20"/>
                <w:lang w:eastAsia="en-AU"/>
              </w:rPr>
            </w:pPr>
            <w:r w:rsidRPr="00F751AF">
              <w:rPr>
                <w:rFonts w:ascii="Arial Narrow" w:hAnsi="Arial Narrow"/>
                <w:sz w:val="20"/>
                <w:szCs w:val="20"/>
                <w:lang w:eastAsia="en-AU"/>
              </w:rPr>
              <w:t>Patient must have received a haematopoietic stem cell transplant </w:t>
            </w:r>
          </w:p>
        </w:tc>
      </w:tr>
      <w:tr w:rsidR="00F751AF" w:rsidRPr="00F751AF" w14:paraId="5BC331A6" w14:textId="77777777" w:rsidTr="00F751AF">
        <w:trPr>
          <w:trHeight w:val="20"/>
          <w:jc w:val="center"/>
        </w:trPr>
        <w:tc>
          <w:tcPr>
            <w:tcW w:w="5000" w:type="pct"/>
            <w:tcBorders>
              <w:top w:val="single" w:sz="4" w:space="0" w:color="auto"/>
              <w:left w:val="single" w:sz="4" w:space="0" w:color="auto"/>
              <w:bottom w:val="single" w:sz="4" w:space="0" w:color="auto"/>
              <w:right w:val="single" w:sz="4" w:space="0" w:color="auto"/>
            </w:tcBorders>
            <w:hideMark/>
          </w:tcPr>
          <w:p w14:paraId="5D1723BF" w14:textId="77777777" w:rsidR="00F751AF" w:rsidRPr="00F751AF" w:rsidRDefault="00F751AF" w:rsidP="00213B0B">
            <w:pPr>
              <w:pStyle w:val="Tabletext8pt"/>
              <w:keepNext w:val="0"/>
              <w:keepLines w:val="0"/>
              <w:rPr>
                <w:rFonts w:ascii="Arial Narrow" w:hAnsi="Arial Narrow"/>
                <w:sz w:val="20"/>
                <w:szCs w:val="20"/>
                <w:lang w:eastAsia="en-AU"/>
              </w:rPr>
            </w:pPr>
            <w:r w:rsidRPr="00F751AF">
              <w:rPr>
                <w:rFonts w:ascii="Arial Narrow" w:hAnsi="Arial Narrow"/>
                <w:color w:val="333333"/>
                <w:sz w:val="20"/>
                <w:szCs w:val="20"/>
                <w:lang w:eastAsia="en-AU"/>
              </w:rPr>
              <w:t>OR </w:t>
            </w:r>
          </w:p>
        </w:tc>
      </w:tr>
      <w:tr w:rsidR="00F751AF" w:rsidRPr="00F751AF" w14:paraId="55227096" w14:textId="77777777" w:rsidTr="00F751AF">
        <w:trPr>
          <w:trHeight w:val="20"/>
          <w:jc w:val="center"/>
        </w:trPr>
        <w:tc>
          <w:tcPr>
            <w:tcW w:w="5000" w:type="pct"/>
            <w:tcBorders>
              <w:top w:val="single" w:sz="4" w:space="0" w:color="auto"/>
              <w:left w:val="single" w:sz="4" w:space="0" w:color="auto"/>
              <w:bottom w:val="single" w:sz="4" w:space="0" w:color="auto"/>
              <w:right w:val="single" w:sz="4" w:space="0" w:color="auto"/>
            </w:tcBorders>
            <w:hideMark/>
          </w:tcPr>
          <w:p w14:paraId="49301856" w14:textId="77777777" w:rsidR="00F751AF" w:rsidRPr="00F751AF" w:rsidRDefault="00F751AF" w:rsidP="00213B0B">
            <w:pPr>
              <w:pStyle w:val="Tabletext8pt"/>
              <w:keepNext w:val="0"/>
              <w:keepLines w:val="0"/>
              <w:rPr>
                <w:rFonts w:ascii="Arial Narrow" w:hAnsi="Arial Narrow"/>
                <w:sz w:val="20"/>
                <w:szCs w:val="20"/>
                <w:lang w:eastAsia="en-AU"/>
              </w:rPr>
            </w:pPr>
            <w:r w:rsidRPr="00F751AF">
              <w:rPr>
                <w:rFonts w:ascii="Arial Narrow" w:hAnsi="Arial Narrow"/>
                <w:sz w:val="20"/>
                <w:szCs w:val="20"/>
                <w:lang w:eastAsia="en-AU"/>
              </w:rPr>
              <w:t>Patient must have received a solid organ transplant </w:t>
            </w:r>
          </w:p>
        </w:tc>
      </w:tr>
      <w:tr w:rsidR="00F751AF" w:rsidRPr="00F751AF" w14:paraId="21BE20D9" w14:textId="77777777" w:rsidTr="00F751AF">
        <w:trPr>
          <w:trHeight w:val="20"/>
          <w:jc w:val="center"/>
        </w:trPr>
        <w:tc>
          <w:tcPr>
            <w:tcW w:w="5000" w:type="pct"/>
            <w:tcBorders>
              <w:top w:val="single" w:sz="4" w:space="0" w:color="auto"/>
              <w:left w:val="single" w:sz="4" w:space="0" w:color="auto"/>
              <w:bottom w:val="single" w:sz="4" w:space="0" w:color="auto"/>
              <w:right w:val="single" w:sz="4" w:space="0" w:color="auto"/>
            </w:tcBorders>
            <w:hideMark/>
          </w:tcPr>
          <w:p w14:paraId="097D29ED" w14:textId="77777777" w:rsidR="00F751AF" w:rsidRPr="00F751AF" w:rsidRDefault="00F751AF" w:rsidP="00213B0B">
            <w:pPr>
              <w:pStyle w:val="Tabletext8pt"/>
              <w:keepNext w:val="0"/>
              <w:keepLines w:val="0"/>
              <w:rPr>
                <w:rFonts w:ascii="Arial Narrow" w:hAnsi="Arial Narrow"/>
                <w:sz w:val="20"/>
                <w:szCs w:val="20"/>
                <w:lang w:eastAsia="en-AU"/>
              </w:rPr>
            </w:pPr>
            <w:r w:rsidRPr="00F751AF">
              <w:rPr>
                <w:rFonts w:ascii="Arial Narrow" w:hAnsi="Arial Narrow"/>
                <w:color w:val="333333"/>
                <w:sz w:val="20"/>
                <w:szCs w:val="20"/>
                <w:lang w:eastAsia="en-AU"/>
              </w:rPr>
              <w:t>AND </w:t>
            </w:r>
          </w:p>
        </w:tc>
      </w:tr>
      <w:tr w:rsidR="00F751AF" w:rsidRPr="00F751AF" w14:paraId="325D7E08" w14:textId="77777777" w:rsidTr="00F751AF">
        <w:trPr>
          <w:trHeight w:val="20"/>
          <w:jc w:val="center"/>
        </w:trPr>
        <w:tc>
          <w:tcPr>
            <w:tcW w:w="5000" w:type="pct"/>
            <w:tcBorders>
              <w:top w:val="single" w:sz="4" w:space="0" w:color="auto"/>
              <w:left w:val="single" w:sz="4" w:space="0" w:color="auto"/>
              <w:bottom w:val="single" w:sz="4" w:space="0" w:color="auto"/>
              <w:right w:val="single" w:sz="4" w:space="0" w:color="auto"/>
            </w:tcBorders>
            <w:hideMark/>
          </w:tcPr>
          <w:p w14:paraId="6D8C170F" w14:textId="77777777" w:rsidR="00F751AF" w:rsidRPr="00F751AF" w:rsidRDefault="00F751AF" w:rsidP="00213B0B">
            <w:pPr>
              <w:pStyle w:val="Tabletext8pt"/>
              <w:keepNext w:val="0"/>
              <w:keepLines w:val="0"/>
              <w:rPr>
                <w:rFonts w:ascii="Arial Narrow" w:hAnsi="Arial Narrow"/>
                <w:sz w:val="20"/>
                <w:szCs w:val="20"/>
                <w:lang w:eastAsia="en-AU"/>
              </w:rPr>
            </w:pPr>
            <w:r w:rsidRPr="00F751AF">
              <w:rPr>
                <w:rFonts w:ascii="Arial Narrow" w:hAnsi="Arial Narrow"/>
                <w:sz w:val="20"/>
                <w:szCs w:val="20"/>
                <w:lang w:eastAsia="en-AU"/>
              </w:rPr>
              <w:t>Patient must have a CMV infection or CMV disease that is resistant or refractory to appropriately dosed ganciclovir, valganciclovir, cidofovir or foscarnet</w:t>
            </w:r>
          </w:p>
        </w:tc>
      </w:tr>
      <w:tr w:rsidR="00F751AF" w:rsidRPr="00F751AF" w14:paraId="40DF754C" w14:textId="77777777" w:rsidTr="00F751AF">
        <w:trPr>
          <w:trHeight w:val="20"/>
          <w:jc w:val="center"/>
        </w:trPr>
        <w:tc>
          <w:tcPr>
            <w:tcW w:w="5000" w:type="pct"/>
            <w:tcBorders>
              <w:top w:val="single" w:sz="4" w:space="0" w:color="auto"/>
              <w:left w:val="single" w:sz="4" w:space="0" w:color="auto"/>
              <w:bottom w:val="single" w:sz="4" w:space="0" w:color="auto"/>
              <w:right w:val="single" w:sz="4" w:space="0" w:color="auto"/>
            </w:tcBorders>
            <w:hideMark/>
          </w:tcPr>
          <w:p w14:paraId="150A22A3" w14:textId="77777777" w:rsidR="00F751AF" w:rsidRPr="00F751AF" w:rsidRDefault="00F751AF" w:rsidP="00213B0B">
            <w:pPr>
              <w:pStyle w:val="Tabletext8pt"/>
              <w:keepNext w:val="0"/>
              <w:keepLines w:val="0"/>
              <w:rPr>
                <w:rFonts w:ascii="Arial Narrow" w:hAnsi="Arial Narrow"/>
                <w:sz w:val="20"/>
                <w:szCs w:val="20"/>
                <w:lang w:eastAsia="en-AU"/>
              </w:rPr>
            </w:pPr>
            <w:r w:rsidRPr="00F751AF">
              <w:rPr>
                <w:rFonts w:ascii="Arial Narrow" w:hAnsi="Arial Narrow"/>
                <w:sz w:val="20"/>
                <w:szCs w:val="20"/>
                <w:lang w:eastAsia="en-AU"/>
              </w:rPr>
              <w:t>OR</w:t>
            </w:r>
          </w:p>
        </w:tc>
      </w:tr>
      <w:tr w:rsidR="00F751AF" w:rsidRPr="00F751AF" w14:paraId="30D15A76" w14:textId="77777777" w:rsidTr="00F751AF">
        <w:trPr>
          <w:trHeight w:val="20"/>
          <w:jc w:val="center"/>
        </w:trPr>
        <w:tc>
          <w:tcPr>
            <w:tcW w:w="5000" w:type="pct"/>
            <w:tcBorders>
              <w:top w:val="single" w:sz="4" w:space="0" w:color="auto"/>
              <w:left w:val="single" w:sz="4" w:space="0" w:color="auto"/>
              <w:bottom w:val="single" w:sz="4" w:space="0" w:color="auto"/>
              <w:right w:val="single" w:sz="4" w:space="0" w:color="auto"/>
            </w:tcBorders>
            <w:hideMark/>
          </w:tcPr>
          <w:p w14:paraId="3E21C6B8" w14:textId="77777777" w:rsidR="00F751AF" w:rsidRPr="00F751AF" w:rsidRDefault="00F751AF" w:rsidP="00213B0B">
            <w:pPr>
              <w:pStyle w:val="Tabletext8pt"/>
              <w:keepNext w:val="0"/>
              <w:keepLines w:val="0"/>
              <w:rPr>
                <w:rFonts w:ascii="Arial Narrow" w:hAnsi="Arial Narrow"/>
                <w:sz w:val="20"/>
                <w:szCs w:val="20"/>
                <w:lang w:eastAsia="en-AU"/>
              </w:rPr>
            </w:pPr>
            <w:r w:rsidRPr="00F751AF">
              <w:rPr>
                <w:rFonts w:ascii="Arial Narrow" w:hAnsi="Arial Narrow"/>
                <w:sz w:val="20"/>
                <w:szCs w:val="20"/>
                <w:lang w:eastAsia="en-AU"/>
              </w:rPr>
              <w:t xml:space="preserve">Patient must have received and is intolerant to continued use of appropriately dosed ganciclovir, valganciclovir, cidofovir or foscarnet. </w:t>
            </w:r>
          </w:p>
        </w:tc>
      </w:tr>
      <w:tr w:rsidR="00F751AF" w:rsidRPr="0023146D" w14:paraId="4174C869" w14:textId="77777777" w:rsidTr="00F751AF">
        <w:trPr>
          <w:trHeight w:val="20"/>
          <w:jc w:val="center"/>
        </w:trPr>
        <w:tc>
          <w:tcPr>
            <w:tcW w:w="5000" w:type="pct"/>
            <w:tcBorders>
              <w:top w:val="single" w:sz="4" w:space="0" w:color="auto"/>
              <w:left w:val="single" w:sz="4" w:space="0" w:color="auto"/>
              <w:bottom w:val="single" w:sz="4" w:space="0" w:color="auto"/>
              <w:right w:val="single" w:sz="4" w:space="0" w:color="auto"/>
            </w:tcBorders>
            <w:hideMark/>
          </w:tcPr>
          <w:p w14:paraId="02E5B59C" w14:textId="77777777" w:rsidR="00F751AF" w:rsidRPr="0023146D" w:rsidRDefault="00F751AF" w:rsidP="00213B0B">
            <w:pPr>
              <w:pStyle w:val="Tabletext8pt"/>
              <w:keepNext w:val="0"/>
              <w:keepLines w:val="0"/>
              <w:rPr>
                <w:rFonts w:ascii="Arial Narrow" w:hAnsi="Arial Narrow"/>
                <w:b/>
                <w:sz w:val="20"/>
                <w:szCs w:val="20"/>
                <w:lang w:eastAsia="en-AU"/>
              </w:rPr>
            </w:pPr>
            <w:r w:rsidRPr="0023146D">
              <w:rPr>
                <w:rFonts w:ascii="Arial Narrow" w:hAnsi="Arial Narrow"/>
                <w:b/>
                <w:sz w:val="20"/>
                <w:szCs w:val="20"/>
                <w:lang w:eastAsia="en-AU"/>
              </w:rPr>
              <w:t>Prescribing instructions:</w:t>
            </w:r>
          </w:p>
        </w:tc>
      </w:tr>
      <w:tr w:rsidR="00F751AF" w:rsidRPr="0023146D" w14:paraId="2D124B2C" w14:textId="77777777" w:rsidTr="00F751AF">
        <w:trPr>
          <w:trHeight w:val="20"/>
          <w:jc w:val="center"/>
        </w:trPr>
        <w:tc>
          <w:tcPr>
            <w:tcW w:w="5000" w:type="pct"/>
            <w:tcBorders>
              <w:top w:val="single" w:sz="4" w:space="0" w:color="auto"/>
              <w:left w:val="single" w:sz="4" w:space="0" w:color="auto"/>
              <w:bottom w:val="single" w:sz="4" w:space="0" w:color="auto"/>
              <w:right w:val="single" w:sz="4" w:space="0" w:color="auto"/>
            </w:tcBorders>
            <w:hideMark/>
          </w:tcPr>
          <w:p w14:paraId="0684BB4E" w14:textId="74A0186C" w:rsidR="00F751AF" w:rsidRPr="0023146D" w:rsidRDefault="00F751AF" w:rsidP="00213B0B">
            <w:pPr>
              <w:pStyle w:val="Tabletext8pt"/>
              <w:keepNext w:val="0"/>
              <w:keepLines w:val="0"/>
              <w:rPr>
                <w:rFonts w:ascii="Arial Narrow" w:hAnsi="Arial Narrow"/>
                <w:sz w:val="20"/>
                <w:szCs w:val="20"/>
                <w:lang w:eastAsia="en-AU"/>
              </w:rPr>
            </w:pPr>
            <w:r w:rsidRPr="0023146D">
              <w:rPr>
                <w:rFonts w:ascii="Arial Narrow" w:hAnsi="Arial Narrow"/>
                <w:sz w:val="20"/>
                <w:szCs w:val="20"/>
                <w:lang w:eastAsia="en-AU"/>
              </w:rPr>
              <w:t xml:space="preserve">Patients are determined to be refractory if after at least two weeks treatment of appropriately dosed ganciclovir, valganciclovir, cidofovir or foscarnet, they fail to achieve a &gt;1 log10 decrease in CMV DNA level. </w:t>
            </w:r>
          </w:p>
        </w:tc>
      </w:tr>
      <w:tr w:rsidR="00F751AF" w:rsidRPr="0023146D" w14:paraId="394364FB" w14:textId="77777777" w:rsidTr="00F751AF">
        <w:trPr>
          <w:trHeight w:val="20"/>
          <w:jc w:val="center"/>
        </w:trPr>
        <w:tc>
          <w:tcPr>
            <w:tcW w:w="5000" w:type="pct"/>
            <w:tcBorders>
              <w:top w:val="single" w:sz="4" w:space="0" w:color="auto"/>
              <w:left w:val="single" w:sz="4" w:space="0" w:color="auto"/>
              <w:bottom w:val="single" w:sz="4" w:space="0" w:color="auto"/>
              <w:right w:val="single" w:sz="4" w:space="0" w:color="auto"/>
            </w:tcBorders>
            <w:hideMark/>
          </w:tcPr>
          <w:p w14:paraId="297CF157" w14:textId="77777777" w:rsidR="00F751AF" w:rsidRPr="0023146D" w:rsidRDefault="00F751AF" w:rsidP="00213B0B">
            <w:pPr>
              <w:pStyle w:val="Tabletext8pt"/>
              <w:keepNext w:val="0"/>
              <w:keepLines w:val="0"/>
              <w:rPr>
                <w:rFonts w:ascii="Arial Narrow" w:hAnsi="Arial Narrow"/>
                <w:sz w:val="20"/>
                <w:szCs w:val="20"/>
                <w:lang w:eastAsia="en-AU"/>
              </w:rPr>
            </w:pPr>
            <w:r w:rsidRPr="0023146D">
              <w:rPr>
                <w:rFonts w:ascii="Arial Narrow" w:hAnsi="Arial Narrow"/>
                <w:sz w:val="20"/>
                <w:szCs w:val="20"/>
                <w:lang w:eastAsia="en-AU"/>
              </w:rPr>
              <w:t>Patients are determined to be resistant by the identification of a genetic alteration that decreases susceptibility to ganciclovir, valganciclovir, cidofovir or foscarnet.</w:t>
            </w:r>
          </w:p>
        </w:tc>
      </w:tr>
      <w:tr w:rsidR="00F751AF" w:rsidRPr="0023146D" w14:paraId="31B18ECE" w14:textId="77777777" w:rsidTr="00F751AF">
        <w:trPr>
          <w:trHeight w:val="20"/>
          <w:jc w:val="center"/>
        </w:trPr>
        <w:tc>
          <w:tcPr>
            <w:tcW w:w="5000" w:type="pct"/>
            <w:tcBorders>
              <w:top w:val="single" w:sz="4" w:space="0" w:color="auto"/>
              <w:left w:val="single" w:sz="4" w:space="0" w:color="auto"/>
              <w:bottom w:val="single" w:sz="4" w:space="0" w:color="auto"/>
              <w:right w:val="single" w:sz="4" w:space="0" w:color="auto"/>
            </w:tcBorders>
            <w:hideMark/>
          </w:tcPr>
          <w:p w14:paraId="4CC4B71C" w14:textId="77777777" w:rsidR="00F751AF" w:rsidRPr="0023146D" w:rsidRDefault="00F751AF" w:rsidP="00213B0B">
            <w:pPr>
              <w:pStyle w:val="Tabletext8pt"/>
              <w:keepNext w:val="0"/>
              <w:keepLines w:val="0"/>
              <w:rPr>
                <w:rFonts w:ascii="Arial Narrow" w:hAnsi="Arial Narrow"/>
                <w:sz w:val="20"/>
                <w:szCs w:val="20"/>
                <w:lang w:eastAsia="en-AU"/>
              </w:rPr>
            </w:pPr>
            <w:r w:rsidRPr="0023146D">
              <w:rPr>
                <w:rFonts w:ascii="Arial Narrow" w:hAnsi="Arial Narrow"/>
                <w:sz w:val="20"/>
                <w:szCs w:val="20"/>
                <w:lang w:eastAsia="en-AU"/>
              </w:rPr>
              <w:t>Patients are determined to be intolerant if they have Grade 3 neutropenia (absolute neutrophil count &lt; 1000/mm</w:t>
            </w:r>
            <w:r w:rsidRPr="0023146D">
              <w:rPr>
                <w:rFonts w:ascii="Arial Narrow" w:hAnsi="Arial Narrow"/>
                <w:sz w:val="20"/>
                <w:szCs w:val="20"/>
                <w:vertAlign w:val="superscript"/>
                <w:lang w:eastAsia="en-AU"/>
              </w:rPr>
              <w:t>3</w:t>
            </w:r>
            <w:r w:rsidRPr="0023146D">
              <w:rPr>
                <w:rFonts w:ascii="Arial Narrow" w:hAnsi="Arial Narrow"/>
                <w:sz w:val="20"/>
                <w:szCs w:val="20"/>
                <w:lang w:eastAsia="en-AU"/>
              </w:rPr>
              <w:t>) or impaired renal function (creatinine clearance &lt; 50ml/min).</w:t>
            </w:r>
          </w:p>
        </w:tc>
      </w:tr>
      <w:tr w:rsidR="00F751AF" w:rsidRPr="0023146D" w14:paraId="4298CBBF" w14:textId="77777777" w:rsidTr="00F751AF">
        <w:trPr>
          <w:trHeight w:val="20"/>
          <w:jc w:val="center"/>
        </w:trPr>
        <w:tc>
          <w:tcPr>
            <w:tcW w:w="5000" w:type="pct"/>
            <w:tcBorders>
              <w:top w:val="single" w:sz="4" w:space="0" w:color="auto"/>
              <w:left w:val="single" w:sz="4" w:space="0" w:color="auto"/>
              <w:bottom w:val="single" w:sz="4" w:space="0" w:color="auto"/>
              <w:right w:val="single" w:sz="4" w:space="0" w:color="auto"/>
            </w:tcBorders>
            <w:hideMark/>
          </w:tcPr>
          <w:p w14:paraId="01BCC9DD" w14:textId="77777777" w:rsidR="00F751AF" w:rsidRPr="0023146D" w:rsidRDefault="00F751AF" w:rsidP="00213B0B">
            <w:pPr>
              <w:pStyle w:val="Tabletext8pt"/>
              <w:keepNext w:val="0"/>
              <w:keepLines w:val="0"/>
              <w:rPr>
                <w:rFonts w:ascii="Arial Narrow" w:hAnsi="Arial Narrow"/>
                <w:sz w:val="20"/>
                <w:szCs w:val="20"/>
              </w:rPr>
            </w:pPr>
            <w:r w:rsidRPr="0023146D">
              <w:rPr>
                <w:rFonts w:ascii="Arial Narrow" w:hAnsi="Arial Narrow"/>
                <w:sz w:val="20"/>
                <w:szCs w:val="20"/>
              </w:rPr>
              <w:t>Maribavir should be used as monotherapy and use with valganciclovir or ganciclovir is contraindicated.</w:t>
            </w:r>
          </w:p>
        </w:tc>
      </w:tr>
      <w:tr w:rsidR="00F751AF" w:rsidRPr="0023146D" w14:paraId="504B2FF9" w14:textId="77777777" w:rsidTr="00F751AF">
        <w:trPr>
          <w:trHeight w:val="20"/>
          <w:jc w:val="center"/>
        </w:trPr>
        <w:tc>
          <w:tcPr>
            <w:tcW w:w="5000" w:type="pct"/>
            <w:tcBorders>
              <w:top w:val="single" w:sz="4" w:space="0" w:color="auto"/>
              <w:left w:val="single" w:sz="4" w:space="0" w:color="auto"/>
              <w:bottom w:val="single" w:sz="4" w:space="0" w:color="auto"/>
              <w:right w:val="single" w:sz="4" w:space="0" w:color="auto"/>
            </w:tcBorders>
            <w:hideMark/>
          </w:tcPr>
          <w:p w14:paraId="2E716C0E" w14:textId="77777777" w:rsidR="00F751AF" w:rsidRPr="0023146D" w:rsidRDefault="00F751AF" w:rsidP="00213B0B">
            <w:pPr>
              <w:pStyle w:val="Tabletext8pt"/>
              <w:keepNext w:val="0"/>
              <w:keepLines w:val="0"/>
              <w:rPr>
                <w:rFonts w:ascii="Arial Narrow" w:hAnsi="Arial Narrow"/>
                <w:sz w:val="20"/>
                <w:szCs w:val="20"/>
              </w:rPr>
            </w:pPr>
            <w:r w:rsidRPr="0023146D">
              <w:rPr>
                <w:rFonts w:ascii="Arial Narrow" w:hAnsi="Arial Narrow"/>
                <w:sz w:val="20"/>
                <w:szCs w:val="20"/>
              </w:rPr>
              <w:t>Maribavir should not be used in patients with demonstrated resistance to maribavir.</w:t>
            </w:r>
          </w:p>
        </w:tc>
      </w:tr>
      <w:tr w:rsidR="00F751AF" w:rsidRPr="0023146D" w14:paraId="1BD1B125" w14:textId="77777777" w:rsidTr="00F751AF">
        <w:trPr>
          <w:trHeight w:val="20"/>
          <w:jc w:val="center"/>
        </w:trPr>
        <w:tc>
          <w:tcPr>
            <w:tcW w:w="5000" w:type="pct"/>
            <w:tcBorders>
              <w:top w:val="single" w:sz="4" w:space="0" w:color="auto"/>
              <w:left w:val="single" w:sz="4" w:space="0" w:color="auto"/>
              <w:bottom w:val="single" w:sz="4" w:space="0" w:color="auto"/>
              <w:right w:val="single" w:sz="4" w:space="0" w:color="auto"/>
            </w:tcBorders>
            <w:hideMark/>
          </w:tcPr>
          <w:p w14:paraId="0E2E286E" w14:textId="77777777" w:rsidR="00F751AF" w:rsidRPr="0023146D" w:rsidRDefault="00F751AF" w:rsidP="00213B0B">
            <w:pPr>
              <w:pStyle w:val="Tabletext8pt"/>
              <w:keepNext w:val="0"/>
              <w:keepLines w:val="0"/>
              <w:rPr>
                <w:rFonts w:ascii="Arial Narrow" w:hAnsi="Arial Narrow"/>
                <w:sz w:val="20"/>
                <w:szCs w:val="20"/>
              </w:rPr>
            </w:pPr>
            <w:r w:rsidRPr="0023146D">
              <w:rPr>
                <w:rFonts w:ascii="Arial Narrow" w:hAnsi="Arial Narrow"/>
                <w:sz w:val="20"/>
                <w:szCs w:val="20"/>
              </w:rPr>
              <w:t>Maribavir should not be used in patients with CMV disease that involves the central nervous system.</w:t>
            </w:r>
          </w:p>
        </w:tc>
      </w:tr>
      <w:tr w:rsidR="00F751AF" w:rsidRPr="0023146D" w14:paraId="14DAFFC2" w14:textId="77777777" w:rsidTr="00F751AF">
        <w:trPr>
          <w:trHeight w:val="20"/>
          <w:jc w:val="center"/>
        </w:trPr>
        <w:tc>
          <w:tcPr>
            <w:tcW w:w="5000" w:type="pct"/>
            <w:tcBorders>
              <w:top w:val="single" w:sz="4" w:space="0" w:color="auto"/>
              <w:left w:val="single" w:sz="4" w:space="0" w:color="auto"/>
              <w:bottom w:val="single" w:sz="4" w:space="0" w:color="auto"/>
              <w:right w:val="single" w:sz="4" w:space="0" w:color="auto"/>
            </w:tcBorders>
            <w:hideMark/>
          </w:tcPr>
          <w:p w14:paraId="5F6084FE" w14:textId="77777777" w:rsidR="00F751AF" w:rsidRPr="0023146D" w:rsidRDefault="00F751AF" w:rsidP="00213B0B">
            <w:pPr>
              <w:pStyle w:val="Tabletext8pt"/>
              <w:keepNext w:val="0"/>
              <w:keepLines w:val="0"/>
              <w:rPr>
                <w:rFonts w:ascii="Arial Narrow" w:hAnsi="Arial Narrow"/>
                <w:sz w:val="20"/>
                <w:szCs w:val="20"/>
              </w:rPr>
            </w:pPr>
            <w:r w:rsidRPr="0023146D">
              <w:rPr>
                <w:rFonts w:ascii="Arial Narrow" w:hAnsi="Arial Narrow"/>
                <w:sz w:val="20"/>
                <w:szCs w:val="20"/>
              </w:rPr>
              <w:t>Maribavir should not be used in patients with CMV retinitis.</w:t>
            </w:r>
          </w:p>
        </w:tc>
      </w:tr>
    </w:tbl>
    <w:p w14:paraId="24E7F6A6" w14:textId="2A212CEA" w:rsidR="00180E72" w:rsidRPr="0023146D" w:rsidRDefault="000A7D66" w:rsidP="00213B0B">
      <w:pPr>
        <w:pStyle w:val="ExecSumBodyText"/>
        <w:numPr>
          <w:ilvl w:val="1"/>
          <w:numId w:val="1"/>
        </w:numPr>
        <w:spacing w:before="120"/>
      </w:pPr>
      <w:bookmarkStart w:id="14" w:name="_Ref176090201"/>
      <w:bookmarkStart w:id="15" w:name="_Ref180051436"/>
      <w:r w:rsidRPr="0023146D">
        <w:t>A special pricing arrangement was requested for maribavir, with a confidential effective price of</w:t>
      </w:r>
      <w:r w:rsidR="00A6172B">
        <w:t xml:space="preserve"> $</w:t>
      </w:r>
      <w:r w:rsidR="007548FA" w:rsidRPr="0027615A">
        <w:rPr>
          <w:color w:val="000000"/>
          <w:w w:val="15"/>
          <w:shd w:val="solid" w:color="000000" w:fill="000000"/>
          <w:fitText w:val="-20" w:id="-760538109"/>
          <w14:textFill>
            <w14:solidFill>
              <w14:srgbClr w14:val="000000">
                <w14:alpha w14:val="100000"/>
              </w14:srgbClr>
            </w14:solidFill>
          </w14:textFill>
        </w:rPr>
        <w:t xml:space="preserve">|  </w:t>
      </w:r>
      <w:r w:rsidR="007548FA" w:rsidRPr="0027615A">
        <w:rPr>
          <w:color w:val="000000"/>
          <w:spacing w:val="-69"/>
          <w:w w:val="15"/>
          <w:shd w:val="solid" w:color="000000" w:fill="000000"/>
          <w:fitText w:val="-20" w:id="-760538109"/>
          <w14:textFill>
            <w14:solidFill>
              <w14:srgbClr w14:val="000000">
                <w14:alpha w14:val="100000"/>
              </w14:srgbClr>
            </w14:solidFill>
          </w14:textFill>
        </w:rPr>
        <w:t>|</w:t>
      </w:r>
      <w:r w:rsidRPr="0023146D">
        <w:t xml:space="preserve"> for public hospitals and $</w:t>
      </w:r>
      <w:r w:rsidR="007548FA" w:rsidRPr="0027615A">
        <w:rPr>
          <w:color w:val="000000"/>
          <w:w w:val="15"/>
          <w:shd w:val="solid" w:color="000000" w:fill="000000"/>
          <w:fitText w:val="-20" w:id="-760538108"/>
          <w14:textFill>
            <w14:solidFill>
              <w14:srgbClr w14:val="000000">
                <w14:alpha w14:val="100000"/>
              </w14:srgbClr>
            </w14:solidFill>
          </w14:textFill>
        </w:rPr>
        <w:t xml:space="preserve">|  </w:t>
      </w:r>
      <w:r w:rsidR="007548FA" w:rsidRPr="0027615A">
        <w:rPr>
          <w:color w:val="000000"/>
          <w:spacing w:val="-69"/>
          <w:w w:val="15"/>
          <w:shd w:val="solid" w:color="000000" w:fill="000000"/>
          <w:fitText w:val="-20" w:id="-760538108"/>
          <w14:textFill>
            <w14:solidFill>
              <w14:srgbClr w14:val="000000">
                <w14:alpha w14:val="100000"/>
              </w14:srgbClr>
            </w14:solidFill>
          </w14:textFill>
        </w:rPr>
        <w:t>|</w:t>
      </w:r>
      <w:r w:rsidRPr="0023146D">
        <w:t xml:space="preserve"> for private hospitals</w:t>
      </w:r>
      <w:r w:rsidR="00F751AF">
        <w:t xml:space="preserve"> (</w:t>
      </w:r>
      <w:r w:rsidR="00F751AF" w:rsidRPr="0023146D">
        <w:t>dispensed price for maximum quantity</w:t>
      </w:r>
      <w:r w:rsidR="00F751AF">
        <w:t>, DPMQ)</w:t>
      </w:r>
      <w:r w:rsidRPr="0023146D">
        <w:t xml:space="preserve">. Compared to the November </w:t>
      </w:r>
      <w:r w:rsidR="000554A3" w:rsidRPr="0023146D">
        <w:t xml:space="preserve">2023 </w:t>
      </w:r>
      <w:r w:rsidRPr="0023146D">
        <w:t xml:space="preserve">submission, the effective DPMQ of maribavir </w:t>
      </w:r>
      <w:r w:rsidR="00F751AF">
        <w:t>was</w:t>
      </w:r>
      <w:r w:rsidRPr="0023146D">
        <w:t xml:space="preserve"> reduced by </w:t>
      </w:r>
      <w:r w:rsidR="007548FA" w:rsidRPr="0027615A">
        <w:rPr>
          <w:color w:val="000000"/>
          <w:w w:val="15"/>
          <w:shd w:val="solid" w:color="000000" w:fill="000000"/>
          <w:fitText w:val="-20" w:id="-760538107"/>
          <w14:textFill>
            <w14:solidFill>
              <w14:srgbClr w14:val="000000">
                <w14:alpha w14:val="100000"/>
              </w14:srgbClr>
            </w14:solidFill>
          </w14:textFill>
        </w:rPr>
        <w:t xml:space="preserve">|  </w:t>
      </w:r>
      <w:r w:rsidR="007548FA" w:rsidRPr="0027615A">
        <w:rPr>
          <w:color w:val="000000"/>
          <w:spacing w:val="-69"/>
          <w:w w:val="15"/>
          <w:shd w:val="solid" w:color="000000" w:fill="000000"/>
          <w:fitText w:val="-20" w:id="-760538107"/>
          <w14:textFill>
            <w14:solidFill>
              <w14:srgbClr w14:val="000000">
                <w14:alpha w14:val="100000"/>
              </w14:srgbClr>
            </w14:solidFill>
          </w14:textFill>
        </w:rPr>
        <w:t>|</w:t>
      </w:r>
      <w:r w:rsidRPr="0023146D">
        <w:t>% (from $</w:t>
      </w:r>
      <w:r w:rsidR="007548FA" w:rsidRPr="0027615A">
        <w:rPr>
          <w:color w:val="000000"/>
          <w:w w:val="15"/>
          <w:shd w:val="solid" w:color="000000" w:fill="000000"/>
          <w:fitText w:val="-20" w:id="-760538106"/>
          <w14:textFill>
            <w14:solidFill>
              <w14:srgbClr w14:val="000000">
                <w14:alpha w14:val="100000"/>
              </w14:srgbClr>
            </w14:solidFill>
          </w14:textFill>
        </w:rPr>
        <w:t xml:space="preserve">|  </w:t>
      </w:r>
      <w:r w:rsidR="007548FA" w:rsidRPr="0027615A">
        <w:rPr>
          <w:color w:val="000000"/>
          <w:spacing w:val="-69"/>
          <w:w w:val="15"/>
          <w:shd w:val="solid" w:color="000000" w:fill="000000"/>
          <w:fitText w:val="-20" w:id="-760538106"/>
          <w14:textFill>
            <w14:solidFill>
              <w14:srgbClr w14:val="000000">
                <w14:alpha w14:val="100000"/>
              </w14:srgbClr>
            </w14:solidFill>
          </w14:textFill>
        </w:rPr>
        <w:t>|</w:t>
      </w:r>
      <w:r w:rsidR="0067343D">
        <w:t xml:space="preserve"> </w:t>
      </w:r>
      <w:r w:rsidRPr="0023146D">
        <w:t>public and $</w:t>
      </w:r>
      <w:r w:rsidR="007548FA" w:rsidRPr="0027615A">
        <w:rPr>
          <w:color w:val="000000"/>
          <w:w w:val="15"/>
          <w:shd w:val="solid" w:color="000000" w:fill="000000"/>
          <w:fitText w:val="-20" w:id="-760538105"/>
          <w14:textFill>
            <w14:solidFill>
              <w14:srgbClr w14:val="000000">
                <w14:alpha w14:val="100000"/>
              </w14:srgbClr>
            </w14:solidFill>
          </w14:textFill>
        </w:rPr>
        <w:t xml:space="preserve">|  </w:t>
      </w:r>
      <w:r w:rsidR="007548FA" w:rsidRPr="0027615A">
        <w:rPr>
          <w:color w:val="000000"/>
          <w:spacing w:val="-69"/>
          <w:w w:val="15"/>
          <w:shd w:val="solid" w:color="000000" w:fill="000000"/>
          <w:fitText w:val="-20" w:id="-760538105"/>
          <w14:textFill>
            <w14:solidFill>
              <w14:srgbClr w14:val="000000">
                <w14:alpha w14:val="100000"/>
              </w14:srgbClr>
            </w14:solidFill>
          </w14:textFill>
        </w:rPr>
        <w:t>|</w:t>
      </w:r>
      <w:r w:rsidRPr="0023146D">
        <w:t xml:space="preserve"> private)</w:t>
      </w:r>
      <w:r w:rsidR="00F751AF">
        <w:t xml:space="preserve"> in the resubmission</w:t>
      </w:r>
      <w:r w:rsidRPr="0023146D">
        <w:t>.</w:t>
      </w:r>
      <w:bookmarkEnd w:id="14"/>
      <w:bookmarkEnd w:id="15"/>
      <w:r w:rsidR="00F751AF">
        <w:t xml:space="preserve"> The pre-PBAC response proposed a further reduction in the DPMQ of maribavir to $</w:t>
      </w:r>
      <w:r w:rsidR="007548FA" w:rsidRPr="0027615A">
        <w:rPr>
          <w:color w:val="000000"/>
          <w:w w:val="15"/>
          <w:shd w:val="solid" w:color="000000" w:fill="000000"/>
          <w:fitText w:val="-20" w:id="-760538104"/>
          <w14:textFill>
            <w14:solidFill>
              <w14:srgbClr w14:val="000000">
                <w14:alpha w14:val="100000"/>
              </w14:srgbClr>
            </w14:solidFill>
          </w14:textFill>
        </w:rPr>
        <w:t xml:space="preserve">|  </w:t>
      </w:r>
      <w:r w:rsidR="007548FA" w:rsidRPr="0027615A">
        <w:rPr>
          <w:color w:val="000000"/>
          <w:spacing w:val="-69"/>
          <w:w w:val="15"/>
          <w:shd w:val="solid" w:color="000000" w:fill="000000"/>
          <w:fitText w:val="-20" w:id="-760538104"/>
          <w14:textFill>
            <w14:solidFill>
              <w14:srgbClr w14:val="000000">
                <w14:alpha w14:val="100000"/>
              </w14:srgbClr>
            </w14:solidFill>
          </w14:textFill>
        </w:rPr>
        <w:t>|</w:t>
      </w:r>
      <w:r w:rsidR="00F751AF">
        <w:t xml:space="preserve"> (public) and $</w:t>
      </w:r>
      <w:r w:rsidR="007548FA" w:rsidRPr="0027615A">
        <w:rPr>
          <w:color w:val="000000"/>
          <w:w w:val="15"/>
          <w:shd w:val="solid" w:color="000000" w:fill="000000"/>
          <w:fitText w:val="-20" w:id="-760538103"/>
          <w14:textFill>
            <w14:solidFill>
              <w14:srgbClr w14:val="000000">
                <w14:alpha w14:val="100000"/>
              </w14:srgbClr>
            </w14:solidFill>
          </w14:textFill>
        </w:rPr>
        <w:t xml:space="preserve">|  </w:t>
      </w:r>
      <w:r w:rsidR="007548FA" w:rsidRPr="0027615A">
        <w:rPr>
          <w:color w:val="000000"/>
          <w:spacing w:val="-69"/>
          <w:w w:val="15"/>
          <w:shd w:val="solid" w:color="000000" w:fill="000000"/>
          <w:fitText w:val="-20" w:id="-760538103"/>
          <w14:textFill>
            <w14:solidFill>
              <w14:srgbClr w14:val="000000">
                <w14:alpha w14:val="100000"/>
              </w14:srgbClr>
            </w14:solidFill>
          </w14:textFill>
        </w:rPr>
        <w:t>|</w:t>
      </w:r>
      <w:r w:rsidR="00F751AF">
        <w:t xml:space="preserve"> (private). </w:t>
      </w:r>
    </w:p>
    <w:p w14:paraId="393C8FF3" w14:textId="20174896" w:rsidR="00567D57" w:rsidRPr="0023146D" w:rsidRDefault="00375D59" w:rsidP="00567D57">
      <w:pPr>
        <w:pStyle w:val="ExecSumBodyText"/>
        <w:numPr>
          <w:ilvl w:val="1"/>
          <w:numId w:val="1"/>
        </w:numPr>
      </w:pPr>
      <w:r w:rsidRPr="0023146D">
        <w:t xml:space="preserve">The restriction requested in the resubmission for maribavir </w:t>
      </w:r>
      <w:r w:rsidR="00A73222" w:rsidRPr="0023146D">
        <w:t>remain</w:t>
      </w:r>
      <w:r w:rsidR="000554A3" w:rsidRPr="0023146D">
        <w:t>ed</w:t>
      </w:r>
      <w:r w:rsidR="00A73222" w:rsidRPr="0023146D">
        <w:t xml:space="preserve"> similar to th</w:t>
      </w:r>
      <w:r w:rsidR="000554A3" w:rsidRPr="0023146D">
        <w:t>at in the November 2023</w:t>
      </w:r>
      <w:r w:rsidR="00A73222" w:rsidRPr="0023146D">
        <w:t xml:space="preserve"> submission</w:t>
      </w:r>
      <w:r w:rsidRPr="0023146D">
        <w:t xml:space="preserve">. </w:t>
      </w:r>
      <w:r w:rsidR="003150CD" w:rsidRPr="0023146D">
        <w:t>Key differences include</w:t>
      </w:r>
      <w:r w:rsidR="00673C29">
        <w:t>:</w:t>
      </w:r>
    </w:p>
    <w:p w14:paraId="54C347FE" w14:textId="31E24711" w:rsidR="00D23D70" w:rsidRPr="0023146D" w:rsidRDefault="00D379F5" w:rsidP="00294EFE">
      <w:pPr>
        <w:pStyle w:val="3-BodyText"/>
        <w:numPr>
          <w:ilvl w:val="0"/>
          <w:numId w:val="10"/>
        </w:numPr>
        <w:ind w:left="1080"/>
        <w:rPr>
          <w:iCs/>
        </w:rPr>
      </w:pPr>
      <w:r w:rsidRPr="0023146D">
        <w:rPr>
          <w:iCs/>
        </w:rPr>
        <w:t>Removing a</w:t>
      </w:r>
      <w:r w:rsidR="00375D59" w:rsidRPr="0023146D">
        <w:rPr>
          <w:iCs/>
        </w:rPr>
        <w:t xml:space="preserve">n age </w:t>
      </w:r>
      <w:r w:rsidR="0025401C" w:rsidRPr="0023146D">
        <w:rPr>
          <w:iCs/>
        </w:rPr>
        <w:t xml:space="preserve">criterion </w:t>
      </w:r>
      <w:r w:rsidR="009F639C" w:rsidRPr="0023146D">
        <w:rPr>
          <w:iCs/>
        </w:rPr>
        <w:t>(patient must be ≥</w:t>
      </w:r>
      <w:r w:rsidR="00A57A9F" w:rsidRPr="0023146D">
        <w:rPr>
          <w:iCs/>
        </w:rPr>
        <w:t xml:space="preserve"> </w:t>
      </w:r>
      <w:r w:rsidR="009F639C" w:rsidRPr="0023146D">
        <w:rPr>
          <w:iCs/>
        </w:rPr>
        <w:t>18 years old or older) to</w:t>
      </w:r>
      <w:r w:rsidR="00375D59" w:rsidRPr="0023146D">
        <w:rPr>
          <w:iCs/>
        </w:rPr>
        <w:t xml:space="preserve"> reflect the PBAC’s suggestion that the PBS restriction should be age agnostic (para 7.7, maribavir</w:t>
      </w:r>
      <w:r w:rsidR="0067343D">
        <w:rPr>
          <w:iCs/>
        </w:rPr>
        <w:t xml:space="preserve"> </w:t>
      </w:r>
      <w:r w:rsidR="00201BE3" w:rsidRPr="00201BE3">
        <w:rPr>
          <w:iCs/>
        </w:rPr>
        <w:t xml:space="preserve">public summary </w:t>
      </w:r>
      <w:r w:rsidR="00201BE3">
        <w:rPr>
          <w:iCs/>
        </w:rPr>
        <w:t>document (</w:t>
      </w:r>
      <w:r w:rsidR="00375D59" w:rsidRPr="0023146D">
        <w:rPr>
          <w:iCs/>
        </w:rPr>
        <w:t>PSD</w:t>
      </w:r>
      <w:r w:rsidR="00201BE3">
        <w:rPr>
          <w:iCs/>
        </w:rPr>
        <w:t>)</w:t>
      </w:r>
      <w:r w:rsidR="00375D59" w:rsidRPr="0023146D">
        <w:rPr>
          <w:iCs/>
        </w:rPr>
        <w:t>, November 2023 PBAC meeting).</w:t>
      </w:r>
      <w:r w:rsidR="000A410D" w:rsidRPr="0023146D">
        <w:rPr>
          <w:iCs/>
        </w:rPr>
        <w:t xml:space="preserve"> </w:t>
      </w:r>
    </w:p>
    <w:p w14:paraId="28F46A6A" w14:textId="5E6FC316" w:rsidR="00325721" w:rsidRPr="0023146D" w:rsidRDefault="00D379F5" w:rsidP="00294EFE">
      <w:pPr>
        <w:pStyle w:val="ExecSumBodyText"/>
        <w:numPr>
          <w:ilvl w:val="0"/>
          <w:numId w:val="10"/>
        </w:numPr>
        <w:ind w:left="1080"/>
      </w:pPr>
      <w:r w:rsidRPr="0023146D">
        <w:rPr>
          <w:lang w:val="en-GB" w:eastAsia="en-US"/>
        </w:rPr>
        <w:t>Adding</w:t>
      </w:r>
      <w:r w:rsidR="00325721" w:rsidRPr="0023146D">
        <w:rPr>
          <w:lang w:val="en-GB" w:eastAsia="en-US"/>
        </w:rPr>
        <w:t xml:space="preserve"> </w:t>
      </w:r>
      <w:r w:rsidR="00A57A9F" w:rsidRPr="0023146D">
        <w:rPr>
          <w:lang w:val="en-GB" w:eastAsia="en-US"/>
        </w:rPr>
        <w:t xml:space="preserve">the following </w:t>
      </w:r>
      <w:r w:rsidR="00325721" w:rsidRPr="0023146D">
        <w:rPr>
          <w:lang w:val="en-GB" w:eastAsia="en-US"/>
        </w:rPr>
        <w:t>wording “Maribavir should not be used in patients with demonstrated resistance to maribavir”</w:t>
      </w:r>
      <w:r w:rsidR="00AA7E31" w:rsidRPr="0023146D">
        <w:rPr>
          <w:lang w:val="en-GB" w:eastAsia="en-US"/>
        </w:rPr>
        <w:t xml:space="preserve"> </w:t>
      </w:r>
      <w:r w:rsidRPr="0023146D">
        <w:rPr>
          <w:lang w:val="en-GB" w:eastAsia="en-US"/>
        </w:rPr>
        <w:t>to</w:t>
      </w:r>
      <w:r w:rsidR="00EB6BFC" w:rsidRPr="0023146D">
        <w:rPr>
          <w:lang w:val="en-GB" w:eastAsia="en-US"/>
        </w:rPr>
        <w:t xml:space="preserve"> </w:t>
      </w:r>
      <w:r w:rsidR="00325721" w:rsidRPr="0023146D">
        <w:rPr>
          <w:lang w:val="en-GB" w:eastAsia="en-US"/>
        </w:rPr>
        <w:t>the prescribing instructions</w:t>
      </w:r>
      <w:r w:rsidR="003536C7" w:rsidRPr="0023146D">
        <w:rPr>
          <w:lang w:val="en-GB" w:eastAsia="en-US"/>
        </w:rPr>
        <w:t xml:space="preserve"> to address</w:t>
      </w:r>
      <w:r w:rsidR="000C5D29" w:rsidRPr="0023146D">
        <w:rPr>
          <w:lang w:val="en-GB" w:eastAsia="en-US"/>
        </w:rPr>
        <w:t xml:space="preserve"> the PBAC’s</w:t>
      </w:r>
      <w:r w:rsidR="003536C7" w:rsidRPr="0023146D">
        <w:rPr>
          <w:lang w:val="en-GB" w:eastAsia="en-US"/>
        </w:rPr>
        <w:t xml:space="preserve"> </w:t>
      </w:r>
      <w:r w:rsidR="00A57A9F" w:rsidRPr="0023146D">
        <w:rPr>
          <w:lang w:val="en-GB" w:eastAsia="en-US"/>
        </w:rPr>
        <w:t xml:space="preserve">concern </w:t>
      </w:r>
      <w:r w:rsidR="00184150" w:rsidRPr="0023146D">
        <w:rPr>
          <w:lang w:val="en-GB" w:eastAsia="en-US"/>
        </w:rPr>
        <w:t>that the restriction should exclude treatment with maribavir where there is evidence of genotypic resistance to maribavir</w:t>
      </w:r>
      <w:r w:rsidR="000C5D29" w:rsidRPr="0023146D">
        <w:rPr>
          <w:lang w:val="en-GB" w:eastAsia="en-US"/>
        </w:rPr>
        <w:t xml:space="preserve"> (para 7.6, maribavir PSD, November 2023 PBAC meeting).</w:t>
      </w:r>
    </w:p>
    <w:p w14:paraId="00C7AAA5" w14:textId="70BB05CA" w:rsidR="00220796" w:rsidRPr="007E1351" w:rsidRDefault="003E6D98" w:rsidP="00294EFE">
      <w:pPr>
        <w:pStyle w:val="ListParagraph"/>
        <w:numPr>
          <w:ilvl w:val="0"/>
          <w:numId w:val="10"/>
        </w:numPr>
        <w:ind w:left="1080"/>
        <w:jc w:val="both"/>
      </w:pPr>
      <w:r w:rsidRPr="0023146D">
        <w:rPr>
          <w:lang w:val="en-GB" w:eastAsia="en-US"/>
        </w:rPr>
        <w:t>D</w:t>
      </w:r>
      <w:r w:rsidR="00CE27CA" w:rsidRPr="0023146D">
        <w:rPr>
          <w:lang w:val="en-GB" w:eastAsia="en-US"/>
        </w:rPr>
        <w:t>efin</w:t>
      </w:r>
      <w:r w:rsidRPr="0023146D">
        <w:rPr>
          <w:lang w:val="en-GB" w:eastAsia="en-US"/>
        </w:rPr>
        <w:t>ing</w:t>
      </w:r>
      <w:r w:rsidR="00CE27CA" w:rsidRPr="0023146D">
        <w:rPr>
          <w:lang w:val="en-GB" w:eastAsia="en-US"/>
        </w:rPr>
        <w:t xml:space="preserve"> intolerance as Grade 3 neutropenia (absolute neutrophil count </w:t>
      </w:r>
      <w:r w:rsidR="00F751AF" w:rsidRPr="0023146D">
        <w:rPr>
          <w:lang w:val="en-GB" w:eastAsia="en-US"/>
        </w:rPr>
        <w:t>&lt;</w:t>
      </w:r>
      <w:r w:rsidR="00F751AF">
        <w:rPr>
          <w:lang w:val="en-GB" w:eastAsia="en-US"/>
        </w:rPr>
        <w:t> </w:t>
      </w:r>
      <w:r w:rsidR="00CE27CA" w:rsidRPr="0023146D">
        <w:rPr>
          <w:lang w:val="en-GB" w:eastAsia="en-US"/>
        </w:rPr>
        <w:t>1000/mm</w:t>
      </w:r>
      <w:r w:rsidR="00CE27CA" w:rsidRPr="0023146D">
        <w:rPr>
          <w:vertAlign w:val="superscript"/>
          <w:lang w:val="en-GB" w:eastAsia="en-US"/>
        </w:rPr>
        <w:t>3</w:t>
      </w:r>
      <w:r w:rsidR="00CE27CA" w:rsidRPr="0023146D">
        <w:rPr>
          <w:lang w:val="en-GB" w:eastAsia="en-US"/>
        </w:rPr>
        <w:t>) or impaired renal function (creatinine clearance &lt; 50</w:t>
      </w:r>
      <w:r w:rsidR="000A3663" w:rsidRPr="0023146D">
        <w:rPr>
          <w:lang w:val="en-GB" w:eastAsia="en-US"/>
        </w:rPr>
        <w:t xml:space="preserve"> </w:t>
      </w:r>
      <w:r w:rsidR="00CE27CA" w:rsidRPr="0023146D">
        <w:rPr>
          <w:lang w:val="en-GB" w:eastAsia="en-US"/>
        </w:rPr>
        <w:t>mL/min)</w:t>
      </w:r>
      <w:r w:rsidR="004759EA" w:rsidRPr="0023146D">
        <w:rPr>
          <w:lang w:val="en-GB" w:eastAsia="en-US"/>
        </w:rPr>
        <w:t xml:space="preserve"> aligning it</w:t>
      </w:r>
      <w:r w:rsidR="00CE27CA" w:rsidRPr="0023146D">
        <w:rPr>
          <w:lang w:val="en-GB" w:eastAsia="en-US"/>
        </w:rPr>
        <w:t xml:space="preserve"> with the contraindication</w:t>
      </w:r>
      <w:r w:rsidR="00A57A9F" w:rsidRPr="0023146D">
        <w:rPr>
          <w:lang w:val="en-GB" w:eastAsia="en-US"/>
        </w:rPr>
        <w:t>s</w:t>
      </w:r>
      <w:r w:rsidR="00CE27CA" w:rsidRPr="0023146D">
        <w:rPr>
          <w:lang w:val="en-GB" w:eastAsia="en-US"/>
        </w:rPr>
        <w:t xml:space="preserve"> specified in the </w:t>
      </w:r>
      <w:r w:rsidR="000A3663" w:rsidRPr="0023146D">
        <w:rPr>
          <w:lang w:val="en-GB" w:eastAsia="en-US"/>
        </w:rPr>
        <w:t>product information (</w:t>
      </w:r>
      <w:r w:rsidR="00A57A9F" w:rsidRPr="0023146D">
        <w:rPr>
          <w:lang w:val="en-GB" w:eastAsia="en-US"/>
        </w:rPr>
        <w:t>PI</w:t>
      </w:r>
      <w:r w:rsidR="00DE79D0" w:rsidRPr="0023146D">
        <w:rPr>
          <w:lang w:val="en-GB" w:eastAsia="en-US"/>
        </w:rPr>
        <w:t>) document</w:t>
      </w:r>
      <w:r w:rsidR="00A57A9F" w:rsidRPr="0023146D">
        <w:rPr>
          <w:lang w:val="en-GB" w:eastAsia="en-US"/>
        </w:rPr>
        <w:t>s</w:t>
      </w:r>
      <w:r w:rsidR="00CE27CA" w:rsidRPr="0023146D">
        <w:rPr>
          <w:lang w:val="en-GB" w:eastAsia="en-US"/>
        </w:rPr>
        <w:t xml:space="preserve"> for ganciclovir and valganciclovir (</w:t>
      </w:r>
      <w:r w:rsidR="0005629F" w:rsidRPr="0023146D">
        <w:rPr>
          <w:lang w:val="en-GB" w:eastAsia="en-US"/>
        </w:rPr>
        <w:t>neutropenia</w:t>
      </w:r>
      <w:r w:rsidR="00CE27CA" w:rsidRPr="0023146D">
        <w:rPr>
          <w:lang w:val="en-GB" w:eastAsia="en-US"/>
        </w:rPr>
        <w:t>)</w:t>
      </w:r>
      <w:r w:rsidR="0005629F" w:rsidRPr="0023146D">
        <w:rPr>
          <w:lang w:val="en-GB" w:eastAsia="en-US"/>
        </w:rPr>
        <w:t xml:space="preserve"> and cidofovir (</w:t>
      </w:r>
      <w:r w:rsidR="000413F3" w:rsidRPr="0023146D">
        <w:rPr>
          <w:lang w:val="en-GB" w:eastAsia="en-US"/>
        </w:rPr>
        <w:t xml:space="preserve">impaired </w:t>
      </w:r>
      <w:r w:rsidR="000413F3" w:rsidRPr="0023146D">
        <w:rPr>
          <w:lang w:val="en-GB" w:eastAsia="en-US"/>
        </w:rPr>
        <w:lastRenderedPageBreak/>
        <w:t>renal function)</w:t>
      </w:r>
      <w:r w:rsidR="00A57A9F" w:rsidRPr="0023146D">
        <w:rPr>
          <w:lang w:val="en-GB" w:eastAsia="en-US"/>
        </w:rPr>
        <w:t>. The addition of this definition was</w:t>
      </w:r>
      <w:r w:rsidR="00307610" w:rsidRPr="0023146D">
        <w:rPr>
          <w:lang w:val="en-GB" w:eastAsia="en-US"/>
        </w:rPr>
        <w:t xml:space="preserve"> to address the PBAC’s con</w:t>
      </w:r>
      <w:r w:rsidR="00A57A9F" w:rsidRPr="0023146D">
        <w:rPr>
          <w:lang w:val="en-GB" w:eastAsia="en-US"/>
        </w:rPr>
        <w:t>cern</w:t>
      </w:r>
      <w:r w:rsidR="00307610" w:rsidRPr="0023146D">
        <w:rPr>
          <w:lang w:val="en-GB" w:eastAsia="en-US"/>
        </w:rPr>
        <w:t xml:space="preserve"> that the </w:t>
      </w:r>
      <w:r w:rsidR="00A57A9F" w:rsidRPr="0023146D">
        <w:rPr>
          <w:lang w:val="en-GB" w:eastAsia="en-US"/>
        </w:rPr>
        <w:t xml:space="preserve">previous </w:t>
      </w:r>
      <w:r w:rsidR="00307610" w:rsidRPr="0023146D">
        <w:rPr>
          <w:lang w:val="en-GB" w:eastAsia="en-US"/>
        </w:rPr>
        <w:t xml:space="preserve">wording </w:t>
      </w:r>
      <w:r w:rsidR="008F42DB" w:rsidRPr="0023146D">
        <w:rPr>
          <w:lang w:val="en-GB" w:eastAsia="en-US"/>
        </w:rPr>
        <w:t>in</w:t>
      </w:r>
      <w:r w:rsidR="008F42DB" w:rsidRPr="0023146D">
        <w:t xml:space="preserve"> the prescribing instructions defining intolerance </w:t>
      </w:r>
      <w:r w:rsidR="00A57A9F" w:rsidRPr="0023146D">
        <w:t>(</w:t>
      </w:r>
      <w:r w:rsidR="008F42DB" w:rsidRPr="0023146D">
        <w:t>‘potential toxicity’</w:t>
      </w:r>
      <w:r w:rsidR="00A57A9F" w:rsidRPr="0023146D">
        <w:t>)</w:t>
      </w:r>
      <w:r w:rsidR="00307610" w:rsidRPr="0023146D">
        <w:rPr>
          <w:lang w:val="en-GB" w:eastAsia="en-US"/>
        </w:rPr>
        <w:t xml:space="preserve"> </w:t>
      </w:r>
      <w:r w:rsidR="000513E1" w:rsidRPr="0023146D">
        <w:t>would allow maribavir first-line use</w:t>
      </w:r>
      <w:r w:rsidR="000E0684" w:rsidRPr="0023146D">
        <w:t xml:space="preserve"> </w:t>
      </w:r>
      <w:r w:rsidR="00CE27CA" w:rsidRPr="0023146D">
        <w:t>(para 7.4, maribavir PSD, November 2023 PBAC meeting).</w:t>
      </w:r>
    </w:p>
    <w:p w14:paraId="74177348" w14:textId="276CEEFF" w:rsidR="004A3205" w:rsidRPr="0023146D" w:rsidRDefault="00AC17FD" w:rsidP="00294EFE">
      <w:pPr>
        <w:pStyle w:val="ListParagraph"/>
        <w:numPr>
          <w:ilvl w:val="0"/>
          <w:numId w:val="10"/>
        </w:numPr>
        <w:ind w:left="1080"/>
        <w:jc w:val="both"/>
      </w:pPr>
      <w:r w:rsidRPr="0023146D">
        <w:t>Excluding</w:t>
      </w:r>
      <w:r w:rsidR="004A3205" w:rsidRPr="0023146D">
        <w:t xml:space="preserve"> a continuation criterion</w:t>
      </w:r>
      <w:r w:rsidR="00727762" w:rsidRPr="0023146D">
        <w:t xml:space="preserve"> to</w:t>
      </w:r>
      <w:r w:rsidR="004A3205" w:rsidRPr="0023146D">
        <w:t xml:space="preserve"> align with the PBAC’s suggestion th</w:t>
      </w:r>
      <w:r w:rsidR="00A57A9F" w:rsidRPr="0023146D">
        <w:t>at th</w:t>
      </w:r>
      <w:r w:rsidR="004A3205" w:rsidRPr="0023146D">
        <w:t>e restriction should allow for ongoing treatment beyond 8 weeks where clinically required</w:t>
      </w:r>
      <w:r w:rsidR="006642B3" w:rsidRPr="0023146D">
        <w:t>,</w:t>
      </w:r>
      <w:r w:rsidR="004A3205" w:rsidRPr="0023146D">
        <w:t xml:space="preserve"> or for retreatment where relapse has occurred, consistent with guidelines for </w:t>
      </w:r>
      <w:r w:rsidR="00A57A9F" w:rsidRPr="0023146D">
        <w:t xml:space="preserve">the </w:t>
      </w:r>
      <w:r w:rsidR="004A3205" w:rsidRPr="0023146D">
        <w:t>treatment of CMV (para 7.8, maribavir, PSD, November 2023 PBAC meeting).</w:t>
      </w:r>
      <w:r w:rsidR="000E055C">
        <w:t xml:space="preserve"> </w:t>
      </w:r>
      <w:r w:rsidR="000E055C" w:rsidRPr="007E1351">
        <w:t>The proposed wording of the listing would not preclude use beyond 8 weeks.</w:t>
      </w:r>
      <w:r w:rsidR="000E055C">
        <w:rPr>
          <w:i/>
          <w:iCs/>
        </w:rPr>
        <w:t xml:space="preserve"> </w:t>
      </w:r>
    </w:p>
    <w:p w14:paraId="59F5F03A" w14:textId="3E0FC296" w:rsidR="00D23D70" w:rsidRPr="007E1351" w:rsidRDefault="004A3205" w:rsidP="004A3205">
      <w:pPr>
        <w:pStyle w:val="ExecSumBodyText"/>
        <w:numPr>
          <w:ilvl w:val="1"/>
          <w:numId w:val="1"/>
        </w:numPr>
      </w:pPr>
      <w:bookmarkStart w:id="16" w:name="_Ref176157145"/>
      <w:r w:rsidRPr="0023146D">
        <w:t>The</w:t>
      </w:r>
      <w:r w:rsidR="00AC71BC" w:rsidRPr="0023146D">
        <w:t xml:space="preserve"> PBAC </w:t>
      </w:r>
      <w:r w:rsidR="00A900A6" w:rsidRPr="0023146D">
        <w:t xml:space="preserve">previously </w:t>
      </w:r>
      <w:r w:rsidR="00AC71BC" w:rsidRPr="0023146D">
        <w:t>suggested th</w:t>
      </w:r>
      <w:r w:rsidR="002B0B3E" w:rsidRPr="0023146D">
        <w:t>at to</w:t>
      </w:r>
      <w:r w:rsidR="0044389C" w:rsidRPr="0023146D">
        <w:t xml:space="preserve"> </w:t>
      </w:r>
      <w:r w:rsidR="00AC71BC" w:rsidRPr="0023146D">
        <w:t xml:space="preserve">align the restriction with the trial, the restriction should include the following criterion: “patients must have received at least two weeks treatment with ganciclovir or valganciclovir for this infection, with virological or clinical failure” </w:t>
      </w:r>
      <w:r w:rsidR="00AC71BC" w:rsidRPr="0023146D">
        <w:rPr>
          <w:lang w:val="en-GB" w:eastAsia="en-US"/>
        </w:rPr>
        <w:t xml:space="preserve">(para 7.5, maribavir </w:t>
      </w:r>
      <w:r w:rsidR="00AC71BC" w:rsidRPr="0023146D">
        <w:t>PSD, November 2023 PBAC meeting).</w:t>
      </w:r>
      <w:r w:rsidR="00AC71BC" w:rsidRPr="0023146D">
        <w:rPr>
          <w:i/>
          <w:iCs/>
        </w:rPr>
        <w:t xml:space="preserve"> </w:t>
      </w:r>
      <w:r w:rsidR="00AC71BC" w:rsidRPr="007E1351">
        <w:t xml:space="preserve">This </w:t>
      </w:r>
      <w:r w:rsidR="0095626E" w:rsidRPr="007E1351">
        <w:t xml:space="preserve">wording </w:t>
      </w:r>
      <w:r w:rsidR="00AC71BC" w:rsidRPr="007E1351">
        <w:t>was not adopted as a clinical criterion in the resubmission. Instead, the resubmission proposed the following criterion</w:t>
      </w:r>
      <w:r w:rsidR="0095626E" w:rsidRPr="007E1351">
        <w:t>:</w:t>
      </w:r>
      <w:r w:rsidR="00AC71BC" w:rsidRPr="007E1351">
        <w:t xml:space="preserve"> “Patient must have a CMV infection or CMV disease that is resistant or refractory to appropriately dosed ganciclovir, valganciclovir, cidofovir or foscarnet”. </w:t>
      </w:r>
      <w:r w:rsidR="00783165" w:rsidRPr="007E1351">
        <w:t>T</w:t>
      </w:r>
      <w:r w:rsidR="00AC71BC" w:rsidRPr="007E1351">
        <w:t xml:space="preserve">o reflect </w:t>
      </w:r>
      <w:r w:rsidR="00597396" w:rsidRPr="007E1351">
        <w:t xml:space="preserve">what the PBAC </w:t>
      </w:r>
      <w:r w:rsidR="00AC71BC" w:rsidRPr="007E1351">
        <w:t xml:space="preserve">suggested </w:t>
      </w:r>
      <w:r w:rsidR="00597396" w:rsidRPr="007E1351">
        <w:t xml:space="preserve">regarding the </w:t>
      </w:r>
      <w:r w:rsidR="00AC71BC" w:rsidRPr="007E1351">
        <w:t xml:space="preserve">restriction, the resubmission proposed </w:t>
      </w:r>
      <w:r w:rsidR="00A57A9F" w:rsidRPr="007E1351">
        <w:t xml:space="preserve">the following </w:t>
      </w:r>
      <w:r w:rsidR="00AC71BC" w:rsidRPr="007E1351">
        <w:t xml:space="preserve">definition </w:t>
      </w:r>
      <w:r w:rsidR="00A57A9F" w:rsidRPr="007E1351">
        <w:t xml:space="preserve">for </w:t>
      </w:r>
      <w:r w:rsidR="00AC71BC" w:rsidRPr="007E1351">
        <w:t>refractory status in the prescribing instruction</w:t>
      </w:r>
      <w:r w:rsidR="00A57A9F" w:rsidRPr="007E1351">
        <w:t>:</w:t>
      </w:r>
      <w:r w:rsidR="00AC71BC" w:rsidRPr="007E1351">
        <w:t xml:space="preserve"> “patients are determined to be refractory if after at least two weeks treatment of appropriately dosed ganciclovir, valganciclovir, cidofovir or foscarnet, they fail to achieve a &gt;</w:t>
      </w:r>
      <w:r w:rsidR="00A21CC9" w:rsidRPr="007E1351">
        <w:t xml:space="preserve"> </w:t>
      </w:r>
      <w:r w:rsidR="00AC71BC" w:rsidRPr="007E1351">
        <w:t>1log</w:t>
      </w:r>
      <w:r w:rsidR="00AC71BC" w:rsidRPr="007E1351">
        <w:rPr>
          <w:vertAlign w:val="subscript"/>
        </w:rPr>
        <w:t>10</w:t>
      </w:r>
      <w:r w:rsidR="00AC71BC" w:rsidRPr="007E1351">
        <w:t xml:space="preserve"> decrease in CMV DNA level”.</w:t>
      </w:r>
      <w:bookmarkEnd w:id="16"/>
      <w:r w:rsidR="00A57A9F" w:rsidRPr="007E1351">
        <w:t xml:space="preserve"> </w:t>
      </w:r>
      <w:r w:rsidR="00DB196A" w:rsidRPr="00045880">
        <w:t xml:space="preserve">The </w:t>
      </w:r>
      <w:r w:rsidR="00F751AF">
        <w:t xml:space="preserve">PBAC and the </w:t>
      </w:r>
      <w:r w:rsidR="00DB196A" w:rsidRPr="00045880">
        <w:t>ESC agreed with the commentary that this was appropriate.</w:t>
      </w:r>
    </w:p>
    <w:p w14:paraId="58699830" w14:textId="51DA0341" w:rsidR="00732F7D" w:rsidRPr="00F751AF" w:rsidRDefault="00EF534C" w:rsidP="00732F7D">
      <w:pPr>
        <w:pStyle w:val="3-BodyText"/>
        <w:rPr>
          <w:color w:val="0066FF"/>
        </w:rPr>
      </w:pPr>
      <w:r w:rsidRPr="0023146D">
        <w:t xml:space="preserve">The resubmission has also </w:t>
      </w:r>
      <w:r w:rsidR="00A17156" w:rsidRPr="0023146D">
        <w:t>proposed</w:t>
      </w:r>
      <w:r w:rsidRPr="0023146D">
        <w:t xml:space="preserve"> an alternative PBS restriction that does not include the intolerant patient population</w:t>
      </w:r>
      <w:r w:rsidR="00B85FA1" w:rsidRPr="0023146D">
        <w:t xml:space="preserve">. </w:t>
      </w:r>
      <w:r w:rsidR="00AE4DFE" w:rsidRPr="007E1351">
        <w:t>Th</w:t>
      </w:r>
      <w:r w:rsidR="007A3207" w:rsidRPr="007E1351">
        <w:t>e</w:t>
      </w:r>
      <w:r w:rsidR="00AE4DFE" w:rsidRPr="007E1351">
        <w:t xml:space="preserve"> exclusion of patients with intolerance does not appear to be consistent with the PBAC’s view. For example, it was noted </w:t>
      </w:r>
      <w:r w:rsidR="009D5F43" w:rsidRPr="007E1351">
        <w:t xml:space="preserve">at the </w:t>
      </w:r>
      <w:r w:rsidR="00AE4DFE" w:rsidRPr="007E1351">
        <w:t xml:space="preserve">November 2023 </w:t>
      </w:r>
      <w:r w:rsidR="009D5F43" w:rsidRPr="007E1351">
        <w:t>PBAC meeting that</w:t>
      </w:r>
      <w:r w:rsidR="00AE4DFE" w:rsidRPr="007E1351">
        <w:t xml:space="preserve"> “</w:t>
      </w:r>
      <w:r w:rsidR="00225F5A" w:rsidRPr="007E1351">
        <w:t>…</w:t>
      </w:r>
      <w:r w:rsidR="00AE4DFE" w:rsidRPr="007E1351">
        <w:t xml:space="preserve"> it may be appropriate to allow for patients who are intolerant to first-line treatments (ganciclovir/valganciclovir) to receive maribavir” (para 7.4, maribavir PSD, November 2023 PBAC meeting)</w:t>
      </w:r>
      <w:r w:rsidR="00AE4DFE" w:rsidRPr="00045880">
        <w:t>.</w:t>
      </w:r>
      <w:r w:rsidR="00DB196A" w:rsidRPr="00045880">
        <w:t xml:space="preserve"> The </w:t>
      </w:r>
      <w:r w:rsidR="00F751AF">
        <w:t xml:space="preserve">PBAC agreed with the </w:t>
      </w:r>
      <w:r w:rsidR="00DB196A" w:rsidRPr="00045880">
        <w:t xml:space="preserve">ESC </w:t>
      </w:r>
      <w:r w:rsidR="00F751AF">
        <w:t>that</w:t>
      </w:r>
      <w:r w:rsidR="00F751AF" w:rsidRPr="00045880">
        <w:t xml:space="preserve"> </w:t>
      </w:r>
      <w:r w:rsidR="00DB196A" w:rsidRPr="00045880">
        <w:t>it would be appropriate for the listing to include patients intolerant to first line treatments.</w:t>
      </w:r>
    </w:p>
    <w:p w14:paraId="2D38BD4F" w14:textId="56929B09" w:rsidR="00F751AF" w:rsidRPr="00045880" w:rsidRDefault="00F751AF" w:rsidP="00732F7D">
      <w:pPr>
        <w:pStyle w:val="3-BodyText"/>
        <w:rPr>
          <w:color w:val="0066FF"/>
        </w:rPr>
      </w:pPr>
      <w:r>
        <w:t>Overall, the PBAC considered that the revisions to the proposed restrictions in the resubmission, along with recent changes to the PBS restrictions for valganciclovir and ganciclovir</w:t>
      </w:r>
      <w:r w:rsidR="00047D30">
        <w:t xml:space="preserve"> (see para </w:t>
      </w:r>
      <w:r w:rsidR="00047D30">
        <w:fldChar w:fldCharType="begin" w:fldLock="1"/>
      </w:r>
      <w:r w:rsidR="00047D30">
        <w:instrText xml:space="preserve"> REF _Ref182580265 \r \h </w:instrText>
      </w:r>
      <w:r w:rsidR="00047D30">
        <w:fldChar w:fldCharType="separate"/>
      </w:r>
      <w:r w:rsidR="008854AA">
        <w:t>5.3</w:t>
      </w:r>
      <w:r w:rsidR="00047D30">
        <w:fldChar w:fldCharType="end"/>
      </w:r>
      <w:r w:rsidR="00047D30">
        <w:t>)</w:t>
      </w:r>
      <w:r w:rsidR="00DD3D76">
        <w:t>,</w:t>
      </w:r>
      <w:r>
        <w:t xml:space="preserve"> had adequately addressed </w:t>
      </w:r>
      <w:r w:rsidR="00DD3D76">
        <w:t xml:space="preserve">it’s previous </w:t>
      </w:r>
      <w:r>
        <w:t>concerns regarding the appropriate clinical place for maribavir.</w:t>
      </w:r>
    </w:p>
    <w:p w14:paraId="2A112FBC" w14:textId="77777777" w:rsidR="00045880" w:rsidRPr="00045880" w:rsidRDefault="00045880" w:rsidP="00045880">
      <w:pPr>
        <w:spacing w:before="240" w:after="120"/>
        <w:ind w:firstLine="709"/>
        <w:rPr>
          <w:rFonts w:asciiTheme="minorHAnsi" w:hAnsiTheme="minorHAnsi" w:cs="Times New Roman"/>
          <w:i/>
          <w:lang w:eastAsia="en-US"/>
        </w:rPr>
      </w:pPr>
      <w:bookmarkStart w:id="17" w:name="_Hlk181632120"/>
      <w:r w:rsidRPr="00045880">
        <w:rPr>
          <w:rFonts w:asciiTheme="minorHAnsi" w:hAnsiTheme="minorHAnsi" w:cs="Times New Roman"/>
          <w:i/>
          <w:lang w:eastAsia="en-US"/>
        </w:rPr>
        <w:t>For more detail on PBAC’s view, see section 7 PBAC outcome.</w:t>
      </w:r>
    </w:p>
    <w:p w14:paraId="66005D59" w14:textId="77777777" w:rsidR="00732F7D" w:rsidRPr="0023146D" w:rsidDel="00195452" w:rsidRDefault="00732F7D" w:rsidP="00732F7D">
      <w:pPr>
        <w:pStyle w:val="2-SectionHeading"/>
      </w:pPr>
      <w:bookmarkStart w:id="18" w:name="_Toc177482508"/>
      <w:bookmarkEnd w:id="17"/>
      <w:r w:rsidRPr="0023146D" w:rsidDel="00195452">
        <w:t>Population and disease</w:t>
      </w:r>
      <w:bookmarkEnd w:id="18"/>
    </w:p>
    <w:p w14:paraId="7C702E30" w14:textId="7B3ABD15" w:rsidR="00A57A9F" w:rsidRPr="0023146D" w:rsidRDefault="00732F7D" w:rsidP="00732F7D">
      <w:pPr>
        <w:pStyle w:val="3-BodyText"/>
      </w:pPr>
      <w:r w:rsidRPr="0023146D">
        <w:t xml:space="preserve">CMV is a common infection found in bodily fluids, often transmitted through close contact, especially with children. Infection usually occurs in childhood, with about 50% </w:t>
      </w:r>
      <w:r w:rsidRPr="0023146D">
        <w:lastRenderedPageBreak/>
        <w:t xml:space="preserve">of young adults in high-income countries being </w:t>
      </w:r>
      <w:r w:rsidR="000B208E" w:rsidRPr="0023146D">
        <w:t>seropositive</w:t>
      </w:r>
      <w:r w:rsidR="002F4299">
        <w:t>,</w:t>
      </w:r>
      <w:r w:rsidR="000B208E" w:rsidRPr="0023146D">
        <w:t xml:space="preserve"> but</w:t>
      </w:r>
      <w:r w:rsidRPr="0023146D">
        <w:t xml:space="preserve"> can occur at any age. Latent infection is lifelong. Primary infection is often asymptomatic, and even if symptomatic, immunocompetent individuals rarely become seriously ill to CMV activation. CMV can cause serious illness in immunosuppressed individuals through reactivation or primary infection. </w:t>
      </w:r>
      <w:r w:rsidR="00523DC8" w:rsidRPr="0023146D">
        <w:t>CMV disease in immunosuppressed individuals can cause fever, malaise, leukopenia, atypical lymphocytosis, or tissue-invasive disease in organs like the liver, lung, retina, brain, and colon, requiring treatment.</w:t>
      </w:r>
    </w:p>
    <w:p w14:paraId="370A1F76" w14:textId="41B32EBA" w:rsidR="00732F7D" w:rsidRDefault="00732F7D" w:rsidP="00732F7D">
      <w:pPr>
        <w:pStyle w:val="3-BodyText"/>
      </w:pPr>
      <w:r w:rsidRPr="0023146D">
        <w:t>Transplant recipients</w:t>
      </w:r>
      <w:r w:rsidR="00A57A9F" w:rsidRPr="0023146D">
        <w:t xml:space="preserve"> are immunosuppressed and</w:t>
      </w:r>
      <w:r w:rsidRPr="0023146D">
        <w:t xml:space="preserve"> can have no CMV infection, latent infection, active infection without symptoms, or CMV disease. Transplant recipients believed to have latent CMV infection, or to be at high-risk (e.g., parents of </w:t>
      </w:r>
      <w:r w:rsidR="002F4299">
        <w:t>young</w:t>
      </w:r>
      <w:r w:rsidR="002F4299" w:rsidRPr="0023146D">
        <w:t xml:space="preserve"> </w:t>
      </w:r>
      <w:r w:rsidRPr="0023146D">
        <w:t xml:space="preserve">children) are commonly given prophylactic treatment, although maribavir has been found ineffective for use </w:t>
      </w:r>
      <w:r w:rsidR="00DD3D76">
        <w:t>as prophylaxis</w:t>
      </w:r>
      <w:r w:rsidRPr="0023146D">
        <w:t xml:space="preserve">. Recipients with active CMV infection but no disease are often given pre-emptive treatment, continued for at least two weeks until CMV </w:t>
      </w:r>
      <w:r w:rsidR="002E7451" w:rsidRPr="0023146D">
        <w:t>deoxyribonucleic acid (</w:t>
      </w:r>
      <w:r w:rsidRPr="0023146D">
        <w:t>DNA</w:t>
      </w:r>
      <w:r w:rsidR="002E7451" w:rsidRPr="0023146D">
        <w:t>)</w:t>
      </w:r>
      <w:r w:rsidRPr="0023146D">
        <w:t xml:space="preserve"> is undetectable, though the beneficial level for treatment is not well-defined. Some CMV strains have resistan</w:t>
      </w:r>
      <w:r w:rsidR="00523DC8" w:rsidRPr="0023146D">
        <w:t>t</w:t>
      </w:r>
      <w:r w:rsidRPr="0023146D">
        <w:t xml:space="preserve"> mutations in UL54 and UL97, but resistan</w:t>
      </w:r>
      <w:r w:rsidR="00523DC8" w:rsidRPr="0023146D">
        <w:t>t</w:t>
      </w:r>
      <w:r w:rsidRPr="0023146D">
        <w:t xml:space="preserve"> mutations do not always lead to therapeutic failure. </w:t>
      </w:r>
    </w:p>
    <w:p w14:paraId="5AAC17CA" w14:textId="15AF0806" w:rsidR="00294EFE" w:rsidRPr="00601E82" w:rsidRDefault="00294EFE" w:rsidP="00601E82">
      <w:pPr>
        <w:spacing w:before="240" w:after="120"/>
        <w:ind w:firstLine="709"/>
        <w:rPr>
          <w:rFonts w:asciiTheme="minorHAnsi" w:hAnsiTheme="minorHAnsi" w:cs="Times New Roman"/>
          <w:i/>
          <w:lang w:eastAsia="en-US"/>
        </w:rPr>
      </w:pPr>
      <w:r w:rsidRPr="00045880">
        <w:rPr>
          <w:rFonts w:asciiTheme="minorHAnsi" w:hAnsiTheme="minorHAnsi" w:cs="Times New Roman"/>
          <w:i/>
          <w:lang w:eastAsia="en-US"/>
        </w:rPr>
        <w:t>For more detail on PBAC’s view, see section 7 PBAC outcome.</w:t>
      </w:r>
    </w:p>
    <w:p w14:paraId="2947552E" w14:textId="77777777" w:rsidR="00732F7D" w:rsidRPr="0023146D" w:rsidRDefault="00732F7D" w:rsidP="00732F7D">
      <w:pPr>
        <w:pStyle w:val="2-SectionHeading"/>
      </w:pPr>
      <w:bookmarkStart w:id="19" w:name="_Toc177482509"/>
      <w:r w:rsidRPr="0023146D">
        <w:t>Comparator</w:t>
      </w:r>
      <w:bookmarkEnd w:id="19"/>
    </w:p>
    <w:p w14:paraId="309B7FEE" w14:textId="4957F807" w:rsidR="00732F7D" w:rsidRPr="0023146D" w:rsidRDefault="00732F7D" w:rsidP="00732F7D">
      <w:pPr>
        <w:pStyle w:val="3-BodyText"/>
      </w:pPr>
      <w:r w:rsidRPr="0023146D">
        <w:t xml:space="preserve">The resubmission maintained the same main comparator as in the </w:t>
      </w:r>
      <w:r w:rsidR="00523DC8" w:rsidRPr="0023146D">
        <w:t>November 2023</w:t>
      </w:r>
      <w:r w:rsidRPr="0023146D">
        <w:t xml:space="preserve"> submission: SoC, which includes ganciclovir, valganciclovir, foscarnet, and cidofovir. </w:t>
      </w:r>
    </w:p>
    <w:p w14:paraId="5887AC78" w14:textId="4F82B454" w:rsidR="00732F7D" w:rsidRPr="0023146D" w:rsidRDefault="00732F7D" w:rsidP="00732F7D">
      <w:pPr>
        <w:pStyle w:val="3-BodyText"/>
      </w:pPr>
      <w:r w:rsidRPr="0023146D">
        <w:t xml:space="preserve">The evaluation for the </w:t>
      </w:r>
      <w:r w:rsidR="00E23D39" w:rsidRPr="0023146D">
        <w:t>previous</w:t>
      </w:r>
      <w:r w:rsidRPr="0023146D">
        <w:t xml:space="preserve"> submission noted that foscarnet or cidofovir would be the comparators of choice should maribavir be restricted to second-line use and that patients who could not tolerate second-line therapy (e.g., due to poor kidney function) would continue to be treated with valganciclovir or ganciclovir despite their poor response. The ESC </w:t>
      </w:r>
      <w:r w:rsidR="0067343D">
        <w:t xml:space="preserve">previously </w:t>
      </w:r>
      <w:r w:rsidRPr="0023146D">
        <w:t xml:space="preserve">considered that while the most likely comparator is foscarnet, in clinical practice patients not responding to first-line treatment with valganciclovir or ganciclovir may be re-treated with higher doses of these therapies, therefore higher doses of these therapies should also be considered as comparators (para 5.4, maribavir PSD, November 2023 PBAC meeting). Additionally, the PBAC also noted that there may be some use of </w:t>
      </w:r>
      <w:proofErr w:type="spellStart"/>
      <w:r w:rsidRPr="0023146D">
        <w:t>letermovir</w:t>
      </w:r>
      <w:proofErr w:type="spellEnd"/>
      <w:r w:rsidRPr="0023146D">
        <w:t xml:space="preserve"> as an alternative treatment of CMV disease (para 7.9, maribavir, PSD, November 2023 PBAC meeting). </w:t>
      </w:r>
    </w:p>
    <w:p w14:paraId="3D6FD4EC" w14:textId="644CD148" w:rsidR="00637215" w:rsidRDefault="00732F7D" w:rsidP="00AD3E76">
      <w:pPr>
        <w:pStyle w:val="3-BodyText"/>
      </w:pPr>
      <w:bookmarkStart w:id="20" w:name="_Ref182580265"/>
      <w:r w:rsidRPr="0023146D">
        <w:t xml:space="preserve">The PBAC previously noted that the existing PBS restrictions for ganciclovir and valganciclovir are for prophylaxis of CMV, and that both clinical advice and the PBS utilisation of these drugs suggest that there is substantial use of the prophylaxis listings for ganciclovir and valganciclovir for treatment of CMV disease (para 7.9, maribavir PSD, November 2023 PBAC meeting). </w:t>
      </w:r>
      <w:r w:rsidR="00523DC8" w:rsidRPr="0023146D">
        <w:t>At its</w:t>
      </w:r>
      <w:r w:rsidRPr="0023146D">
        <w:t xml:space="preserve"> March 2024 PBAC Meeting, the PBAC recommended amending the PBS restrictions </w:t>
      </w:r>
      <w:r w:rsidR="00523DC8" w:rsidRPr="0023146D">
        <w:t xml:space="preserve">for </w:t>
      </w:r>
      <w:r w:rsidRPr="0023146D">
        <w:t xml:space="preserve">ganciclovir and valganciclovir to include the management of CMV infection in immunocompromised patients. The PBAC considered that it would be appropriate to amend the restrictions to remove reference to the prophylactic treatment phase and align the restrictions between the </w:t>
      </w:r>
      <w:r w:rsidRPr="0023146D">
        <w:lastRenderedPageBreak/>
        <w:t>drugs to provide access to SOT and bone marrow transplant patients for the management of CMV infection and disease (page 53, March 2024 PBAC meeting outcome). The PBAC also noted that ganciclovir and valganciclovir would be suitably cost-effective in the expanded population at the existing price on the basis of the evidence presented (page 53, March 2024 PBAC meeting outcome).</w:t>
      </w:r>
      <w:bookmarkEnd w:id="20"/>
      <w:r w:rsidRPr="0023146D">
        <w:t xml:space="preserve"> </w:t>
      </w:r>
    </w:p>
    <w:p w14:paraId="4AD0418C" w14:textId="76D38F70" w:rsidR="00294EFE" w:rsidRPr="00601E82" w:rsidRDefault="00294EFE" w:rsidP="00601E82">
      <w:pPr>
        <w:spacing w:before="240" w:after="120"/>
        <w:ind w:firstLine="709"/>
        <w:rPr>
          <w:rFonts w:asciiTheme="minorHAnsi" w:hAnsiTheme="minorHAnsi" w:cs="Times New Roman"/>
          <w:i/>
          <w:lang w:eastAsia="en-US"/>
        </w:rPr>
      </w:pPr>
      <w:r w:rsidRPr="00045880">
        <w:rPr>
          <w:rFonts w:asciiTheme="minorHAnsi" w:hAnsiTheme="minorHAnsi" w:cs="Times New Roman"/>
          <w:i/>
          <w:lang w:eastAsia="en-US"/>
        </w:rPr>
        <w:t>For more detail on PBAC’s view, see section 7 PBAC outcome.</w:t>
      </w:r>
    </w:p>
    <w:p w14:paraId="306B456B" w14:textId="77777777" w:rsidR="00732F7D" w:rsidRPr="0023146D" w:rsidRDefault="00732F7D" w:rsidP="00732F7D">
      <w:pPr>
        <w:pStyle w:val="2-SectionHeading"/>
        <w:numPr>
          <w:ilvl w:val="0"/>
          <w:numId w:val="1"/>
        </w:numPr>
      </w:pPr>
      <w:bookmarkStart w:id="21" w:name="_Toc177482510"/>
      <w:bookmarkStart w:id="22" w:name="_Toc22897640"/>
      <w:r w:rsidRPr="0023146D">
        <w:t>Consideration of the evidence</w:t>
      </w:r>
      <w:bookmarkEnd w:id="21"/>
    </w:p>
    <w:p w14:paraId="59B6EE7D" w14:textId="77777777" w:rsidR="00294EFE" w:rsidRPr="006E1229" w:rsidRDefault="00294EFE" w:rsidP="002C43E6">
      <w:pPr>
        <w:pStyle w:val="4-SubsectionHeading"/>
      </w:pPr>
      <w:bookmarkStart w:id="23" w:name="_Hlk76375935"/>
      <w:bookmarkStart w:id="24" w:name="_Toc177482511"/>
      <w:r w:rsidRPr="006E1229">
        <w:t>Sponsor hearing</w:t>
      </w:r>
    </w:p>
    <w:p w14:paraId="75E2F4CA" w14:textId="671851E4" w:rsidR="00C61DE1" w:rsidRDefault="00294EFE" w:rsidP="00294EFE">
      <w:pPr>
        <w:widowControl w:val="0"/>
        <w:numPr>
          <w:ilvl w:val="1"/>
          <w:numId w:val="1"/>
        </w:numPr>
        <w:spacing w:after="120"/>
        <w:rPr>
          <w:rFonts w:asciiTheme="minorHAnsi" w:hAnsiTheme="minorHAnsi"/>
          <w:bCs/>
          <w:snapToGrid w:val="0"/>
        </w:rPr>
      </w:pPr>
      <w:bookmarkStart w:id="25" w:name="_Hlk76382586"/>
      <w:r w:rsidRPr="00836F75">
        <w:rPr>
          <w:rFonts w:asciiTheme="minorHAnsi" w:hAnsiTheme="minorHAnsi"/>
          <w:bCs/>
          <w:snapToGrid w:val="0"/>
        </w:rPr>
        <w:t>The sponsor requested a hearing for this item. The clinician addressed the Committee’s qu</w:t>
      </w:r>
      <w:r>
        <w:rPr>
          <w:rFonts w:asciiTheme="minorHAnsi" w:hAnsiTheme="minorHAnsi"/>
          <w:bCs/>
          <w:snapToGrid w:val="0"/>
        </w:rPr>
        <w:t>estions</w:t>
      </w:r>
      <w:r w:rsidR="002C43E6">
        <w:rPr>
          <w:rFonts w:asciiTheme="minorHAnsi" w:hAnsiTheme="minorHAnsi"/>
          <w:bCs/>
          <w:snapToGrid w:val="0"/>
        </w:rPr>
        <w:t xml:space="preserve"> regarding the relevance of the 8-week time point for assessment of relapse, noting that the 8-week time point </w:t>
      </w:r>
      <w:r w:rsidR="0029603F">
        <w:rPr>
          <w:rFonts w:asciiTheme="minorHAnsi" w:hAnsiTheme="minorHAnsi"/>
          <w:bCs/>
          <w:snapToGrid w:val="0"/>
        </w:rPr>
        <w:t xml:space="preserve">in the trial </w:t>
      </w:r>
      <w:r w:rsidR="002C43E6">
        <w:rPr>
          <w:rFonts w:asciiTheme="minorHAnsi" w:hAnsiTheme="minorHAnsi"/>
          <w:bCs/>
          <w:snapToGrid w:val="0"/>
        </w:rPr>
        <w:t xml:space="preserve">was somewhat arbitrary and was longer than maribavir is likely to be used in clinical practice. </w:t>
      </w:r>
      <w:r w:rsidR="00C61DE1">
        <w:rPr>
          <w:rFonts w:asciiTheme="minorHAnsi" w:hAnsiTheme="minorHAnsi"/>
          <w:bCs/>
          <w:snapToGrid w:val="0"/>
        </w:rPr>
        <w:t xml:space="preserve">The clinician noted that viral load would be regularly assessed and </w:t>
      </w:r>
      <w:r w:rsidR="0029603F">
        <w:rPr>
          <w:rFonts w:asciiTheme="minorHAnsi" w:hAnsiTheme="minorHAnsi"/>
          <w:bCs/>
          <w:snapToGrid w:val="0"/>
        </w:rPr>
        <w:t xml:space="preserve">standard clinical practice would be to cease </w:t>
      </w:r>
      <w:r w:rsidR="00C61DE1">
        <w:rPr>
          <w:rFonts w:asciiTheme="minorHAnsi" w:hAnsiTheme="minorHAnsi"/>
          <w:bCs/>
          <w:snapToGrid w:val="0"/>
        </w:rPr>
        <w:t>treatment after two negative results. The clinician indicated that</w:t>
      </w:r>
      <w:r w:rsidR="0029603F">
        <w:rPr>
          <w:rFonts w:asciiTheme="minorHAnsi" w:hAnsiTheme="minorHAnsi"/>
          <w:bCs/>
          <w:snapToGrid w:val="0"/>
        </w:rPr>
        <w:t>,</w:t>
      </w:r>
      <w:r w:rsidR="00C61DE1">
        <w:rPr>
          <w:rFonts w:asciiTheme="minorHAnsi" w:hAnsiTheme="minorHAnsi"/>
          <w:bCs/>
          <w:snapToGrid w:val="0"/>
        </w:rPr>
        <w:t xml:space="preserve"> </w:t>
      </w:r>
      <w:r w:rsidR="0029603F">
        <w:rPr>
          <w:rFonts w:asciiTheme="minorHAnsi" w:hAnsiTheme="minorHAnsi"/>
          <w:bCs/>
          <w:snapToGrid w:val="0"/>
        </w:rPr>
        <w:t xml:space="preserve">based on experience, </w:t>
      </w:r>
      <w:r w:rsidR="00C61DE1">
        <w:rPr>
          <w:rFonts w:asciiTheme="minorHAnsi" w:hAnsiTheme="minorHAnsi"/>
          <w:bCs/>
          <w:snapToGrid w:val="0"/>
        </w:rPr>
        <w:t>in clinical practice, this is likely to be achieved after a shorter period than in the trial (</w:t>
      </w:r>
      <w:r w:rsidR="0029603F">
        <w:rPr>
          <w:rFonts w:asciiTheme="minorHAnsi" w:hAnsiTheme="minorHAnsi"/>
          <w:bCs/>
          <w:snapToGrid w:val="0"/>
        </w:rPr>
        <w:t xml:space="preserve">closer to </w:t>
      </w:r>
      <w:r w:rsidR="00C61DE1">
        <w:rPr>
          <w:rFonts w:asciiTheme="minorHAnsi" w:hAnsiTheme="minorHAnsi"/>
          <w:bCs/>
          <w:snapToGrid w:val="0"/>
        </w:rPr>
        <w:t>4 weeks rather than 8)</w:t>
      </w:r>
      <w:r w:rsidR="006B02AA">
        <w:rPr>
          <w:rFonts w:asciiTheme="minorHAnsi" w:hAnsiTheme="minorHAnsi"/>
          <w:bCs/>
          <w:snapToGrid w:val="0"/>
        </w:rPr>
        <w:t xml:space="preserve"> and is likely to be used in a similar way to existing treatments for CMV</w:t>
      </w:r>
      <w:r w:rsidR="00C61DE1">
        <w:rPr>
          <w:rFonts w:asciiTheme="minorHAnsi" w:hAnsiTheme="minorHAnsi"/>
          <w:bCs/>
          <w:snapToGrid w:val="0"/>
        </w:rPr>
        <w:t xml:space="preserve">. </w:t>
      </w:r>
    </w:p>
    <w:p w14:paraId="6C58F0C0" w14:textId="3973037F" w:rsidR="0029603F" w:rsidRDefault="002C43E6" w:rsidP="00294EFE">
      <w:pPr>
        <w:widowControl w:val="0"/>
        <w:numPr>
          <w:ilvl w:val="1"/>
          <w:numId w:val="1"/>
        </w:numPr>
        <w:spacing w:after="120"/>
        <w:rPr>
          <w:rFonts w:asciiTheme="minorHAnsi" w:hAnsiTheme="minorHAnsi"/>
          <w:bCs/>
          <w:snapToGrid w:val="0"/>
        </w:rPr>
      </w:pPr>
      <w:r w:rsidRPr="00836F75">
        <w:rPr>
          <w:rFonts w:asciiTheme="minorHAnsi" w:hAnsiTheme="minorHAnsi"/>
          <w:bCs/>
          <w:snapToGrid w:val="0"/>
        </w:rPr>
        <w:t xml:space="preserve">The clinician </w:t>
      </w:r>
      <w:r>
        <w:rPr>
          <w:rFonts w:asciiTheme="minorHAnsi" w:hAnsiTheme="minorHAnsi"/>
          <w:bCs/>
          <w:snapToGrid w:val="0"/>
        </w:rPr>
        <w:t xml:space="preserve">also </w:t>
      </w:r>
      <w:r w:rsidRPr="00836F75">
        <w:rPr>
          <w:rFonts w:asciiTheme="minorHAnsi" w:hAnsiTheme="minorHAnsi"/>
          <w:bCs/>
          <w:snapToGrid w:val="0"/>
        </w:rPr>
        <w:t>addressed the Committee’s qu</w:t>
      </w:r>
      <w:r>
        <w:rPr>
          <w:rFonts w:asciiTheme="minorHAnsi" w:hAnsiTheme="minorHAnsi"/>
          <w:bCs/>
          <w:snapToGrid w:val="0"/>
        </w:rPr>
        <w:t>estions regarding the patient population most likely to use mari</w:t>
      </w:r>
      <w:r w:rsidR="008854AA">
        <w:rPr>
          <w:rFonts w:asciiTheme="minorHAnsi" w:hAnsiTheme="minorHAnsi"/>
          <w:bCs/>
          <w:snapToGrid w:val="0"/>
        </w:rPr>
        <w:t>bav</w:t>
      </w:r>
      <w:r>
        <w:rPr>
          <w:rFonts w:asciiTheme="minorHAnsi" w:hAnsiTheme="minorHAnsi"/>
          <w:bCs/>
          <w:snapToGrid w:val="0"/>
        </w:rPr>
        <w:t xml:space="preserve">ir, noting that it is likely to be used </w:t>
      </w:r>
      <w:r w:rsidR="0029603F">
        <w:rPr>
          <w:rFonts w:asciiTheme="minorHAnsi" w:hAnsiTheme="minorHAnsi"/>
          <w:bCs/>
          <w:snapToGrid w:val="0"/>
        </w:rPr>
        <w:t>in</w:t>
      </w:r>
      <w:r>
        <w:rPr>
          <w:rFonts w:asciiTheme="minorHAnsi" w:hAnsiTheme="minorHAnsi"/>
          <w:bCs/>
          <w:snapToGrid w:val="0"/>
        </w:rPr>
        <w:t xml:space="preserve"> patients with </w:t>
      </w:r>
      <w:r w:rsidR="00DC1355">
        <w:rPr>
          <w:rFonts w:asciiTheme="minorHAnsi" w:hAnsiTheme="minorHAnsi"/>
          <w:bCs/>
          <w:snapToGrid w:val="0"/>
        </w:rPr>
        <w:t>H</w:t>
      </w:r>
      <w:r>
        <w:rPr>
          <w:rFonts w:asciiTheme="minorHAnsi" w:hAnsiTheme="minorHAnsi"/>
          <w:bCs/>
          <w:snapToGrid w:val="0"/>
        </w:rPr>
        <w:t xml:space="preserve">SCT </w:t>
      </w:r>
      <w:r w:rsidR="0029603F">
        <w:rPr>
          <w:rFonts w:asciiTheme="minorHAnsi" w:hAnsiTheme="minorHAnsi"/>
          <w:bCs/>
          <w:snapToGrid w:val="0"/>
        </w:rPr>
        <w:t xml:space="preserve">who </w:t>
      </w:r>
      <w:r>
        <w:rPr>
          <w:rFonts w:asciiTheme="minorHAnsi" w:hAnsiTheme="minorHAnsi"/>
          <w:bCs/>
          <w:snapToGrid w:val="0"/>
        </w:rPr>
        <w:t xml:space="preserve">have </w:t>
      </w:r>
      <w:r w:rsidR="00DC1355">
        <w:rPr>
          <w:rFonts w:asciiTheme="minorHAnsi" w:hAnsiTheme="minorHAnsi"/>
          <w:bCs/>
          <w:snapToGrid w:val="0"/>
        </w:rPr>
        <w:t xml:space="preserve">a </w:t>
      </w:r>
      <w:r>
        <w:rPr>
          <w:rFonts w:asciiTheme="minorHAnsi" w:hAnsiTheme="minorHAnsi"/>
          <w:bCs/>
          <w:snapToGrid w:val="0"/>
        </w:rPr>
        <w:t>poor neutrophil count</w:t>
      </w:r>
      <w:r w:rsidR="00294EFE">
        <w:rPr>
          <w:rFonts w:asciiTheme="minorHAnsi" w:hAnsiTheme="minorHAnsi"/>
          <w:bCs/>
          <w:snapToGrid w:val="0"/>
        </w:rPr>
        <w:t>.</w:t>
      </w:r>
      <w:r>
        <w:rPr>
          <w:rFonts w:asciiTheme="minorHAnsi" w:hAnsiTheme="minorHAnsi"/>
          <w:bCs/>
          <w:snapToGrid w:val="0"/>
        </w:rPr>
        <w:t xml:space="preserve"> The clinician noted that ganciclovir and valganciclovir are not suitable in these patients and foscarnet is the alternative. The clinician noted that </w:t>
      </w:r>
      <w:r w:rsidR="00C61DE1">
        <w:rPr>
          <w:rFonts w:asciiTheme="minorHAnsi" w:hAnsiTheme="minorHAnsi"/>
          <w:bCs/>
          <w:snapToGrid w:val="0"/>
        </w:rPr>
        <w:t xml:space="preserve">maribavir is </w:t>
      </w:r>
      <w:r w:rsidR="0029603F">
        <w:rPr>
          <w:rFonts w:asciiTheme="minorHAnsi" w:hAnsiTheme="minorHAnsi"/>
          <w:bCs/>
          <w:snapToGrid w:val="0"/>
        </w:rPr>
        <w:t xml:space="preserve">most </w:t>
      </w:r>
      <w:r w:rsidR="00C61DE1">
        <w:rPr>
          <w:rFonts w:asciiTheme="minorHAnsi" w:hAnsiTheme="minorHAnsi"/>
          <w:bCs/>
          <w:snapToGrid w:val="0"/>
        </w:rPr>
        <w:t>likely to be used after foscarnet</w:t>
      </w:r>
      <w:r w:rsidR="0029603F">
        <w:rPr>
          <w:rFonts w:asciiTheme="minorHAnsi" w:hAnsiTheme="minorHAnsi"/>
          <w:bCs/>
          <w:snapToGrid w:val="0"/>
        </w:rPr>
        <w:t xml:space="preserve"> in hospitalised patients</w:t>
      </w:r>
      <w:r w:rsidR="00C61DE1">
        <w:rPr>
          <w:rFonts w:asciiTheme="minorHAnsi" w:hAnsiTheme="minorHAnsi"/>
          <w:bCs/>
          <w:snapToGrid w:val="0"/>
        </w:rPr>
        <w:t xml:space="preserve">, but that </w:t>
      </w:r>
      <w:r w:rsidR="0029603F">
        <w:rPr>
          <w:rFonts w:asciiTheme="minorHAnsi" w:hAnsiTheme="minorHAnsi"/>
          <w:bCs/>
          <w:snapToGrid w:val="0"/>
        </w:rPr>
        <w:t xml:space="preserve">as </w:t>
      </w:r>
      <w:r>
        <w:rPr>
          <w:rFonts w:asciiTheme="minorHAnsi" w:hAnsiTheme="minorHAnsi"/>
          <w:bCs/>
          <w:snapToGrid w:val="0"/>
        </w:rPr>
        <w:t xml:space="preserve">foscarnet needs to be given in the hospital setting maribavir may be preferred where patients are able to be out of hospital. </w:t>
      </w:r>
      <w:r w:rsidR="00C61DE1">
        <w:rPr>
          <w:rFonts w:asciiTheme="minorHAnsi" w:hAnsiTheme="minorHAnsi"/>
          <w:bCs/>
          <w:snapToGrid w:val="0"/>
        </w:rPr>
        <w:t>The clinician noted that maribavir is likely to be used less frequently in patients with SOT as ganciclovir/valganciclovir is the preferred treatment and can usually be</w:t>
      </w:r>
      <w:r>
        <w:rPr>
          <w:rFonts w:asciiTheme="minorHAnsi" w:hAnsiTheme="minorHAnsi"/>
          <w:bCs/>
          <w:snapToGrid w:val="0"/>
        </w:rPr>
        <w:t xml:space="preserve"> use</w:t>
      </w:r>
      <w:r w:rsidR="00C61DE1">
        <w:rPr>
          <w:rFonts w:asciiTheme="minorHAnsi" w:hAnsiTheme="minorHAnsi"/>
          <w:bCs/>
          <w:snapToGrid w:val="0"/>
        </w:rPr>
        <w:t xml:space="preserve">d in these patients, without the requirement for hospitalisation. </w:t>
      </w:r>
    </w:p>
    <w:p w14:paraId="59E8113E" w14:textId="1214721C" w:rsidR="00294EFE" w:rsidRPr="00836F75" w:rsidRDefault="00294EFE" w:rsidP="00294EFE">
      <w:pPr>
        <w:widowControl w:val="0"/>
        <w:numPr>
          <w:ilvl w:val="1"/>
          <w:numId w:val="1"/>
        </w:numPr>
        <w:spacing w:after="120"/>
        <w:rPr>
          <w:rFonts w:asciiTheme="minorHAnsi" w:hAnsiTheme="minorHAnsi"/>
          <w:bCs/>
          <w:snapToGrid w:val="0"/>
        </w:rPr>
      </w:pPr>
      <w:r w:rsidRPr="00836F75">
        <w:rPr>
          <w:rFonts w:asciiTheme="minorHAnsi" w:hAnsiTheme="minorHAnsi"/>
          <w:bCs/>
          <w:snapToGrid w:val="0"/>
        </w:rPr>
        <w:t xml:space="preserve">The PBAC considered that the hearing was informative as it provided </w:t>
      </w:r>
      <w:r w:rsidR="0029603F">
        <w:rPr>
          <w:rFonts w:asciiTheme="minorHAnsi" w:hAnsiTheme="minorHAnsi"/>
          <w:bCs/>
          <w:snapToGrid w:val="0"/>
        </w:rPr>
        <w:t xml:space="preserve">relevant information regarding how maribavir is </w:t>
      </w:r>
      <w:r w:rsidR="006B02AA">
        <w:rPr>
          <w:rFonts w:asciiTheme="minorHAnsi" w:hAnsiTheme="minorHAnsi"/>
          <w:bCs/>
          <w:snapToGrid w:val="0"/>
        </w:rPr>
        <w:t>currently</w:t>
      </w:r>
      <w:r w:rsidR="0029603F">
        <w:rPr>
          <w:rFonts w:asciiTheme="minorHAnsi" w:hAnsiTheme="minorHAnsi"/>
          <w:bCs/>
          <w:snapToGrid w:val="0"/>
        </w:rPr>
        <w:t xml:space="preserve"> used in clinical practice</w:t>
      </w:r>
      <w:r w:rsidR="006B02AA">
        <w:rPr>
          <w:rFonts w:asciiTheme="minorHAnsi" w:hAnsiTheme="minorHAnsi"/>
          <w:bCs/>
          <w:snapToGrid w:val="0"/>
        </w:rPr>
        <w:t xml:space="preserve"> and how use in practice is likely to differ from the clinical trial</w:t>
      </w:r>
      <w:r w:rsidRPr="00836F75">
        <w:rPr>
          <w:rFonts w:asciiTheme="minorHAnsi" w:hAnsiTheme="minorHAnsi"/>
          <w:bCs/>
          <w:snapToGrid w:val="0"/>
        </w:rPr>
        <w:t>.</w:t>
      </w:r>
    </w:p>
    <w:bookmarkEnd w:id="25"/>
    <w:p w14:paraId="2E188413" w14:textId="77777777" w:rsidR="00294EFE" w:rsidRPr="006E1229" w:rsidRDefault="00294EFE" w:rsidP="002C43E6">
      <w:pPr>
        <w:pStyle w:val="4-SubsectionHeading"/>
      </w:pPr>
      <w:r w:rsidRPr="006E1229">
        <w:t>Consumer comments</w:t>
      </w:r>
    </w:p>
    <w:p w14:paraId="06E647C6" w14:textId="4C5E6F61" w:rsidR="00294EFE" w:rsidRDefault="00294EFE" w:rsidP="00DC1355">
      <w:pPr>
        <w:widowControl w:val="0"/>
        <w:numPr>
          <w:ilvl w:val="1"/>
          <w:numId w:val="1"/>
        </w:numPr>
        <w:spacing w:after="120"/>
        <w:rPr>
          <w:rFonts w:asciiTheme="minorHAnsi" w:hAnsiTheme="minorHAnsi"/>
          <w:bCs/>
          <w:snapToGrid w:val="0"/>
        </w:rPr>
      </w:pPr>
      <w:bookmarkStart w:id="26" w:name="_Hlk76382618"/>
      <w:r w:rsidRPr="00836F75">
        <w:rPr>
          <w:rFonts w:asciiTheme="minorHAnsi" w:hAnsiTheme="minorHAnsi"/>
          <w:bCs/>
          <w:snapToGrid w:val="0"/>
        </w:rPr>
        <w:t xml:space="preserve">The PBAC noted and welcomed the input from </w:t>
      </w:r>
      <w:r w:rsidR="00DC1355">
        <w:rPr>
          <w:rFonts w:asciiTheme="minorHAnsi" w:hAnsiTheme="minorHAnsi"/>
          <w:bCs/>
          <w:snapToGrid w:val="0"/>
        </w:rPr>
        <w:t>one</w:t>
      </w:r>
      <w:r w:rsidRPr="00836F75">
        <w:rPr>
          <w:rFonts w:asciiTheme="minorHAnsi" w:hAnsiTheme="minorHAnsi"/>
          <w:bCs/>
          <w:snapToGrid w:val="0"/>
        </w:rPr>
        <w:t xml:space="preserve"> health care professional </w:t>
      </w:r>
      <w:r w:rsidR="00DC1355">
        <w:rPr>
          <w:rFonts w:asciiTheme="minorHAnsi" w:hAnsiTheme="minorHAnsi"/>
          <w:bCs/>
          <w:snapToGrid w:val="0"/>
        </w:rPr>
        <w:t xml:space="preserve">working in rural Australia, </w:t>
      </w:r>
      <w:r w:rsidRPr="00836F75">
        <w:rPr>
          <w:rFonts w:asciiTheme="minorHAnsi" w:hAnsiTheme="minorHAnsi"/>
          <w:bCs/>
          <w:snapToGrid w:val="0"/>
        </w:rPr>
        <w:t xml:space="preserve">via the Consumer Comments facility on the PBS website. The comments described </w:t>
      </w:r>
      <w:r w:rsidR="00DC1355">
        <w:rPr>
          <w:rFonts w:asciiTheme="minorHAnsi" w:hAnsiTheme="minorHAnsi"/>
          <w:bCs/>
          <w:snapToGrid w:val="0"/>
        </w:rPr>
        <w:t>the</w:t>
      </w:r>
      <w:r w:rsidRPr="00836F75">
        <w:rPr>
          <w:rFonts w:asciiTheme="minorHAnsi" w:hAnsiTheme="minorHAnsi"/>
          <w:bCs/>
          <w:snapToGrid w:val="0"/>
        </w:rPr>
        <w:t xml:space="preserve"> benefits of treatment with </w:t>
      </w:r>
      <w:r w:rsidR="00DC1355">
        <w:rPr>
          <w:rFonts w:asciiTheme="minorHAnsi" w:hAnsiTheme="minorHAnsi"/>
          <w:bCs/>
          <w:snapToGrid w:val="0"/>
        </w:rPr>
        <w:t>maribavir in terms of having an alternative treatment for patients resistant to current treatment, and access to an oral treatment that can be used at home</w:t>
      </w:r>
      <w:r w:rsidR="00047D30">
        <w:rPr>
          <w:rFonts w:asciiTheme="minorHAnsi" w:hAnsiTheme="minorHAnsi"/>
          <w:bCs/>
          <w:snapToGrid w:val="0"/>
        </w:rPr>
        <w:t>,</w:t>
      </w:r>
      <w:r w:rsidR="00DC1355">
        <w:rPr>
          <w:rFonts w:asciiTheme="minorHAnsi" w:hAnsiTheme="minorHAnsi"/>
          <w:bCs/>
          <w:snapToGrid w:val="0"/>
        </w:rPr>
        <w:t xml:space="preserve"> avoiding hospital admission. The comments noted that this is particularly important in the rural setting where </w:t>
      </w:r>
      <w:r w:rsidR="00047D30">
        <w:rPr>
          <w:rFonts w:asciiTheme="minorHAnsi" w:hAnsiTheme="minorHAnsi"/>
          <w:bCs/>
          <w:snapToGrid w:val="0"/>
        </w:rPr>
        <w:t xml:space="preserve">hospital </w:t>
      </w:r>
      <w:r w:rsidR="00DC1355">
        <w:rPr>
          <w:rFonts w:asciiTheme="minorHAnsi" w:hAnsiTheme="minorHAnsi"/>
          <w:bCs/>
          <w:snapToGrid w:val="0"/>
        </w:rPr>
        <w:t xml:space="preserve">resources are limited. </w:t>
      </w:r>
    </w:p>
    <w:p w14:paraId="331BB72F" w14:textId="01EE4A21" w:rsidR="00047D30" w:rsidRPr="00047D30" w:rsidRDefault="00047D30" w:rsidP="00047D30">
      <w:pPr>
        <w:widowControl w:val="0"/>
        <w:numPr>
          <w:ilvl w:val="1"/>
          <w:numId w:val="1"/>
        </w:numPr>
        <w:spacing w:after="120"/>
        <w:rPr>
          <w:rFonts w:asciiTheme="minorHAnsi" w:hAnsiTheme="minorHAnsi"/>
          <w:bCs/>
          <w:snapToGrid w:val="0"/>
        </w:rPr>
      </w:pPr>
      <w:r>
        <w:rPr>
          <w:rFonts w:asciiTheme="minorHAnsi" w:hAnsiTheme="minorHAnsi"/>
          <w:bCs/>
          <w:snapToGrid w:val="0"/>
        </w:rPr>
        <w:lastRenderedPageBreak/>
        <w:t xml:space="preserve">The PBAC also recalled input from health care professionals (2) regarding the previous submission. </w:t>
      </w:r>
      <w:r w:rsidRPr="00836F75">
        <w:rPr>
          <w:rFonts w:asciiTheme="minorHAnsi" w:hAnsiTheme="minorHAnsi"/>
          <w:bCs/>
          <w:snapToGrid w:val="0"/>
        </w:rPr>
        <w:t xml:space="preserve">The comments described </w:t>
      </w:r>
      <w:r>
        <w:rPr>
          <w:rFonts w:asciiTheme="minorHAnsi" w:hAnsiTheme="minorHAnsi"/>
          <w:bCs/>
          <w:snapToGrid w:val="0"/>
        </w:rPr>
        <w:t xml:space="preserve">the impact of CMV infection for transplant recipients as having high morbidity, graft failure and mortality. The comments also discussed </w:t>
      </w:r>
      <w:r w:rsidRPr="00836F75">
        <w:rPr>
          <w:rFonts w:asciiTheme="minorHAnsi" w:hAnsiTheme="minorHAnsi"/>
          <w:bCs/>
          <w:snapToGrid w:val="0"/>
        </w:rPr>
        <w:t xml:space="preserve">a range of benefits of treatment with </w:t>
      </w:r>
      <w:r>
        <w:rPr>
          <w:rFonts w:asciiTheme="minorHAnsi" w:hAnsiTheme="minorHAnsi"/>
          <w:bCs/>
          <w:snapToGrid w:val="0"/>
        </w:rPr>
        <w:t>maribavir,</w:t>
      </w:r>
      <w:r w:rsidRPr="00836F75">
        <w:rPr>
          <w:rFonts w:asciiTheme="minorHAnsi" w:hAnsiTheme="minorHAnsi"/>
          <w:bCs/>
          <w:snapToGrid w:val="0"/>
        </w:rPr>
        <w:t xml:space="preserve"> including fewer side effects</w:t>
      </w:r>
      <w:r>
        <w:rPr>
          <w:rFonts w:asciiTheme="minorHAnsi" w:hAnsiTheme="minorHAnsi"/>
          <w:bCs/>
          <w:snapToGrid w:val="0"/>
        </w:rPr>
        <w:t xml:space="preserve"> and oral administration, and noted that there are limited treatment options available for patients with post-transplant CMV infection.</w:t>
      </w:r>
    </w:p>
    <w:bookmarkEnd w:id="23"/>
    <w:bookmarkEnd w:id="26"/>
    <w:p w14:paraId="1E52E3FA" w14:textId="734E93A5" w:rsidR="00732F7D" w:rsidRPr="0023146D" w:rsidRDefault="00732F7D" w:rsidP="00732F7D">
      <w:pPr>
        <w:pStyle w:val="4-SubsectionHeading"/>
      </w:pPr>
      <w:r w:rsidRPr="0023146D">
        <w:t>Clinical trial</w:t>
      </w:r>
      <w:bookmarkEnd w:id="22"/>
      <w:bookmarkEnd w:id="24"/>
    </w:p>
    <w:p w14:paraId="1C6A0F98" w14:textId="2FC4369E" w:rsidR="00F46410" w:rsidRDefault="00732F7D" w:rsidP="00F46410">
      <w:pPr>
        <w:pStyle w:val="3-BodyText"/>
      </w:pPr>
      <w:r w:rsidRPr="0023146D">
        <w:t xml:space="preserve">The </w:t>
      </w:r>
      <w:r w:rsidR="00505E70" w:rsidRPr="0023146D">
        <w:t>re</w:t>
      </w:r>
      <w:r w:rsidRPr="0023146D">
        <w:t xml:space="preserve">submission was based on one head-to-head trial comparing </w:t>
      </w:r>
      <w:r w:rsidR="00565BF5" w:rsidRPr="0023146D">
        <w:t>maribavir</w:t>
      </w:r>
      <w:r w:rsidRPr="0023146D">
        <w:t xml:space="preserve"> to </w:t>
      </w:r>
      <w:r w:rsidR="00BA45AF" w:rsidRPr="0023146D">
        <w:t xml:space="preserve">investigator-assigned treatment </w:t>
      </w:r>
      <w:r w:rsidR="00A10CFE" w:rsidRPr="0023146D">
        <w:t>(</w:t>
      </w:r>
      <w:r w:rsidR="00085415" w:rsidRPr="0023146D">
        <w:t>IAT</w:t>
      </w:r>
      <w:r w:rsidR="000A3DA2" w:rsidRPr="0023146D">
        <w:t>)</w:t>
      </w:r>
      <w:r w:rsidR="00523DC8" w:rsidRPr="0023146D">
        <w:t>,</w:t>
      </w:r>
      <w:r w:rsidR="000A3DA2" w:rsidRPr="0023146D">
        <w:t xml:space="preserve"> </w:t>
      </w:r>
      <w:r w:rsidR="008F34B0" w:rsidRPr="0023146D">
        <w:t>SOLSTICE</w:t>
      </w:r>
      <w:r w:rsidR="00523DC8" w:rsidRPr="0023146D">
        <w:t xml:space="preserve"> (N = 352)</w:t>
      </w:r>
      <w:r w:rsidRPr="0023146D">
        <w:t xml:space="preserve">. </w:t>
      </w:r>
      <w:r w:rsidR="00596E1B" w:rsidRPr="0023146D">
        <w:t>This remain</w:t>
      </w:r>
      <w:r w:rsidR="00523DC8" w:rsidRPr="0023146D">
        <w:t>ed</w:t>
      </w:r>
      <w:r w:rsidR="00596E1B" w:rsidRPr="0023146D">
        <w:t xml:space="preserve"> unchanged from the </w:t>
      </w:r>
      <w:r w:rsidR="00523DC8" w:rsidRPr="0023146D">
        <w:t xml:space="preserve">November 2023 </w:t>
      </w:r>
      <w:r w:rsidR="00596E1B" w:rsidRPr="0023146D">
        <w:t xml:space="preserve">submission. </w:t>
      </w:r>
      <w:r w:rsidRPr="0023146D">
        <w:t xml:space="preserve">Details of the trial presented in the </w:t>
      </w:r>
      <w:r w:rsidR="00625A16" w:rsidRPr="0023146D">
        <w:t>re</w:t>
      </w:r>
      <w:r w:rsidRPr="0023146D">
        <w:t xml:space="preserve">submission are provided in </w:t>
      </w:r>
      <w:r w:rsidRPr="0023146D">
        <w:fldChar w:fldCharType="begin" w:fldLock="1"/>
      </w:r>
      <w:r w:rsidRPr="0023146D">
        <w:instrText xml:space="preserve"> REF _Ref104803956 \h </w:instrText>
      </w:r>
      <w:r w:rsidR="00E11794" w:rsidRPr="0023146D">
        <w:instrText xml:space="preserve"> \* MERGEFORMAT </w:instrText>
      </w:r>
      <w:r w:rsidRPr="0023146D">
        <w:fldChar w:fldCharType="separate"/>
      </w:r>
      <w:r w:rsidR="008854AA" w:rsidRPr="0023146D">
        <w:t xml:space="preserve">Table </w:t>
      </w:r>
      <w:r w:rsidR="008854AA">
        <w:rPr>
          <w:noProof/>
        </w:rPr>
        <w:t>3</w:t>
      </w:r>
      <w:r w:rsidRPr="0023146D">
        <w:fldChar w:fldCharType="end"/>
      </w:r>
      <w:r w:rsidRPr="0023146D">
        <w:t xml:space="preserve">. </w:t>
      </w:r>
      <w:r w:rsidR="00F46410" w:rsidRPr="0023146D">
        <w:t>Three additional publications provide information on overall mortality at 52 weeks post-maribavir (Bassel et al., 2023), drug resistance analysis in patients receiving maribavir compared to those receiving IAT (Chou et al., 2024), and healthcare resource utili</w:t>
      </w:r>
      <w:r w:rsidR="00691F34" w:rsidRPr="0023146D">
        <w:t>s</w:t>
      </w:r>
      <w:r w:rsidR="00F46410" w:rsidRPr="0023146D">
        <w:t>ation of maribavir versus IAT in transplant recipients with CMV (Hirji et al., 2023).</w:t>
      </w:r>
    </w:p>
    <w:p w14:paraId="33EDB4AB" w14:textId="4E5D4B75" w:rsidR="00732F7D" w:rsidRPr="0023146D" w:rsidRDefault="00732F7D" w:rsidP="00601E82">
      <w:pPr>
        <w:pStyle w:val="TableFigureHeading"/>
        <w:keepLines/>
        <w:rPr>
          <w:rStyle w:val="CommentReference"/>
          <w:b/>
          <w:szCs w:val="24"/>
        </w:rPr>
      </w:pPr>
      <w:bookmarkStart w:id="27" w:name="_Ref104803956"/>
      <w:r w:rsidRPr="0023146D">
        <w:t xml:space="preserve">Table </w:t>
      </w:r>
      <w:r w:rsidR="008A7014">
        <w:fldChar w:fldCharType="begin" w:fldLock="1"/>
      </w:r>
      <w:r w:rsidR="008A7014">
        <w:instrText xml:space="preserve"> SEQ Table \* ARABIC </w:instrText>
      </w:r>
      <w:r w:rsidR="008A7014">
        <w:fldChar w:fldCharType="separate"/>
      </w:r>
      <w:r w:rsidR="008854AA">
        <w:rPr>
          <w:noProof/>
        </w:rPr>
        <w:t>3</w:t>
      </w:r>
      <w:r w:rsidR="008A7014">
        <w:rPr>
          <w:noProof/>
        </w:rPr>
        <w:fldChar w:fldCharType="end"/>
      </w:r>
      <w:bookmarkEnd w:id="27"/>
      <w:r w:rsidRPr="0023146D">
        <w:t>:</w:t>
      </w:r>
      <w:r w:rsidRPr="0023146D">
        <w:rPr>
          <w:rStyle w:val="CommentReference"/>
          <w:b/>
          <w:szCs w:val="24"/>
        </w:rPr>
        <w:t xml:space="preserve"> Trial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Trial and associated reports presented in the submission"/>
      </w:tblPr>
      <w:tblGrid>
        <w:gridCol w:w="1272"/>
        <w:gridCol w:w="5924"/>
        <w:gridCol w:w="1821"/>
      </w:tblGrid>
      <w:tr w:rsidR="007172E8" w:rsidRPr="0023146D" w14:paraId="4588732C" w14:textId="77777777" w:rsidTr="00AA10BF">
        <w:trPr>
          <w:cantSplit/>
          <w:tblHeader/>
        </w:trPr>
        <w:tc>
          <w:tcPr>
            <w:tcW w:w="705" w:type="pct"/>
            <w:tcBorders>
              <w:bottom w:val="single" w:sz="4" w:space="0" w:color="auto"/>
            </w:tcBorders>
            <w:vAlign w:val="center"/>
          </w:tcPr>
          <w:p w14:paraId="24D2588E" w14:textId="77777777" w:rsidR="007172E8" w:rsidRPr="0023146D" w:rsidRDefault="007172E8" w:rsidP="00601E82">
            <w:pPr>
              <w:pStyle w:val="In-tableHeading"/>
            </w:pPr>
            <w:r w:rsidRPr="0023146D">
              <w:t>Trial ID</w:t>
            </w:r>
          </w:p>
        </w:tc>
        <w:tc>
          <w:tcPr>
            <w:tcW w:w="3284" w:type="pct"/>
            <w:tcBorders>
              <w:bottom w:val="single" w:sz="4" w:space="0" w:color="auto"/>
            </w:tcBorders>
            <w:vAlign w:val="center"/>
          </w:tcPr>
          <w:p w14:paraId="349C1215" w14:textId="77777777" w:rsidR="007172E8" w:rsidRPr="0023146D" w:rsidRDefault="007172E8" w:rsidP="00601E82">
            <w:pPr>
              <w:pStyle w:val="In-tableHeading"/>
            </w:pPr>
            <w:r w:rsidRPr="0023146D">
              <w:t>Protocol title/ Publication title</w:t>
            </w:r>
          </w:p>
        </w:tc>
        <w:tc>
          <w:tcPr>
            <w:tcW w:w="1010" w:type="pct"/>
            <w:tcBorders>
              <w:bottom w:val="single" w:sz="4" w:space="0" w:color="auto"/>
            </w:tcBorders>
            <w:vAlign w:val="center"/>
          </w:tcPr>
          <w:p w14:paraId="626E88F1" w14:textId="77777777" w:rsidR="007172E8" w:rsidRPr="0023146D" w:rsidRDefault="007172E8" w:rsidP="00601E82">
            <w:pPr>
              <w:pStyle w:val="In-tableHeading"/>
            </w:pPr>
            <w:r w:rsidRPr="0023146D">
              <w:t>Publication citation</w:t>
            </w:r>
          </w:p>
        </w:tc>
      </w:tr>
      <w:tr w:rsidR="007172E8" w:rsidRPr="0023146D" w14:paraId="4616B3F5" w14:textId="77777777" w:rsidTr="00AA10BF">
        <w:trPr>
          <w:cantSplit/>
        </w:trPr>
        <w:tc>
          <w:tcPr>
            <w:tcW w:w="705" w:type="pct"/>
            <w:vMerge w:val="restart"/>
            <w:shd w:val="clear" w:color="auto" w:fill="C6D9F1" w:themeFill="text2" w:themeFillTint="33"/>
          </w:tcPr>
          <w:p w14:paraId="1EB72EDC" w14:textId="77777777" w:rsidR="007172E8" w:rsidRPr="0023146D" w:rsidRDefault="007172E8" w:rsidP="00601E82">
            <w:pPr>
              <w:pStyle w:val="Tabletext"/>
              <w:keepNext/>
              <w:keepLines/>
              <w:rPr>
                <w:rFonts w:eastAsiaTheme="majorEastAsia"/>
                <w:bCs/>
              </w:rPr>
            </w:pPr>
            <w:r w:rsidRPr="0023146D">
              <w:rPr>
                <w:rFonts w:eastAsiaTheme="majorEastAsia"/>
              </w:rPr>
              <w:t>NCT 02931539</w:t>
            </w:r>
          </w:p>
        </w:tc>
        <w:tc>
          <w:tcPr>
            <w:tcW w:w="3284" w:type="pct"/>
            <w:tcBorders>
              <w:bottom w:val="nil"/>
            </w:tcBorders>
            <w:shd w:val="clear" w:color="auto" w:fill="C6D9F1" w:themeFill="text2" w:themeFillTint="33"/>
          </w:tcPr>
          <w:p w14:paraId="748D7986" w14:textId="77777777" w:rsidR="007172E8" w:rsidRPr="0023146D" w:rsidRDefault="007172E8" w:rsidP="00601E82">
            <w:pPr>
              <w:pStyle w:val="Tabletext"/>
              <w:keepNext/>
              <w:keepLines/>
              <w:rPr>
                <w:rFonts w:eastAsiaTheme="majorEastAsia"/>
              </w:rPr>
            </w:pPr>
            <w:r w:rsidRPr="0023146D">
              <w:rPr>
                <w:rFonts w:eastAsiaTheme="majorEastAsia"/>
              </w:rPr>
              <w:t>SOLSTICE Clinical Study Report: A Phase 3, Multicenter, Randomized, Open-label, Active-controlled Study to Assess the Efficacy and Safety of Maribavir Treatment Compared to Investigator-assigned Treatment in Transplant Recipients with Cytomegalovirus (CMV) Infections that are Refractory or Resistant to Treatment with Ganciclovir, Valganciclovir, Foscarnet, or Cidofovir</w:t>
            </w:r>
          </w:p>
        </w:tc>
        <w:tc>
          <w:tcPr>
            <w:tcW w:w="1010" w:type="pct"/>
            <w:tcBorders>
              <w:bottom w:val="nil"/>
            </w:tcBorders>
            <w:shd w:val="clear" w:color="auto" w:fill="C6D9F1" w:themeFill="text2" w:themeFillTint="33"/>
          </w:tcPr>
          <w:p w14:paraId="727BEE15" w14:textId="77777777" w:rsidR="007172E8" w:rsidRPr="0023146D" w:rsidRDefault="007172E8" w:rsidP="00601E82">
            <w:pPr>
              <w:pStyle w:val="Tabletext"/>
              <w:keepNext/>
              <w:keepLines/>
              <w:rPr>
                <w:rFonts w:eastAsiaTheme="majorEastAsia"/>
              </w:rPr>
            </w:pPr>
            <w:r w:rsidRPr="0023146D">
              <w:rPr>
                <w:rFonts w:eastAsiaTheme="majorEastAsia"/>
                <w:i/>
                <w:iCs/>
              </w:rPr>
              <w:t>Clinical infectious Diseases</w:t>
            </w:r>
            <w:r w:rsidRPr="0023146D">
              <w:rPr>
                <w:rFonts w:eastAsiaTheme="majorEastAsia"/>
              </w:rPr>
              <w:t>, 2022; 75(4):690-701</w:t>
            </w:r>
          </w:p>
          <w:p w14:paraId="176984C2" w14:textId="77777777" w:rsidR="007172E8" w:rsidRPr="0023146D" w:rsidRDefault="007172E8" w:rsidP="00601E82">
            <w:pPr>
              <w:pStyle w:val="Tabletext"/>
              <w:keepNext/>
              <w:keepLines/>
              <w:rPr>
                <w:rFonts w:eastAsiaTheme="majorEastAsia"/>
                <w:bCs/>
              </w:rPr>
            </w:pPr>
          </w:p>
        </w:tc>
      </w:tr>
      <w:tr w:rsidR="007172E8" w:rsidRPr="0023146D" w14:paraId="0515365A" w14:textId="77777777" w:rsidTr="00AA10BF">
        <w:trPr>
          <w:cantSplit/>
        </w:trPr>
        <w:tc>
          <w:tcPr>
            <w:tcW w:w="705" w:type="pct"/>
            <w:vMerge/>
            <w:tcBorders>
              <w:bottom w:val="single" w:sz="4" w:space="0" w:color="auto"/>
            </w:tcBorders>
            <w:shd w:val="clear" w:color="auto" w:fill="C6D9F1" w:themeFill="text2" w:themeFillTint="33"/>
            <w:vAlign w:val="center"/>
          </w:tcPr>
          <w:p w14:paraId="7002A1A8" w14:textId="77777777" w:rsidR="007172E8" w:rsidRPr="0023146D" w:rsidRDefault="007172E8" w:rsidP="00601E82">
            <w:pPr>
              <w:pStyle w:val="Tabletext"/>
              <w:keepNext/>
              <w:keepLines/>
              <w:rPr>
                <w:rFonts w:eastAsiaTheme="majorEastAsia"/>
                <w:bCs/>
              </w:rPr>
            </w:pPr>
          </w:p>
        </w:tc>
        <w:tc>
          <w:tcPr>
            <w:tcW w:w="3284" w:type="pct"/>
            <w:tcBorders>
              <w:top w:val="nil"/>
              <w:bottom w:val="single" w:sz="4" w:space="0" w:color="auto"/>
            </w:tcBorders>
            <w:vAlign w:val="center"/>
          </w:tcPr>
          <w:p w14:paraId="30009A33" w14:textId="77777777" w:rsidR="007172E8" w:rsidRPr="0023146D" w:rsidRDefault="007172E8" w:rsidP="00601E82">
            <w:pPr>
              <w:pStyle w:val="Tabletext"/>
              <w:keepNext/>
              <w:keepLines/>
              <w:shd w:val="clear" w:color="auto" w:fill="C6D9F1" w:themeFill="text2" w:themeFillTint="33"/>
              <w:rPr>
                <w:rFonts w:eastAsiaTheme="majorEastAsia"/>
              </w:rPr>
            </w:pPr>
            <w:r w:rsidRPr="0023146D">
              <w:rPr>
                <w:rFonts w:eastAsiaTheme="majorEastAsia"/>
              </w:rPr>
              <w:t>Avery RK, Alain S, Alexander BD, et al. Maribavir for refractory cytomegalovirus infections with or without resistance post-transplant: Results from a Phase 3 randomized clinical trial.</w:t>
            </w:r>
          </w:p>
          <w:p w14:paraId="22286D39" w14:textId="77777777" w:rsidR="007172E8" w:rsidRPr="0023146D" w:rsidRDefault="007172E8" w:rsidP="00601E82">
            <w:pPr>
              <w:pStyle w:val="Tabletext"/>
              <w:keepNext/>
              <w:keepLines/>
              <w:shd w:val="clear" w:color="auto" w:fill="C6D9F1" w:themeFill="text2" w:themeFillTint="33"/>
              <w:rPr>
                <w:rFonts w:eastAsiaTheme="majorEastAsia"/>
                <w:bCs/>
              </w:rPr>
            </w:pPr>
          </w:p>
          <w:p w14:paraId="03F2DD42" w14:textId="77777777" w:rsidR="007172E8" w:rsidRPr="0023146D" w:rsidRDefault="007172E8" w:rsidP="00601E82">
            <w:pPr>
              <w:pStyle w:val="Tabletext"/>
              <w:keepNext/>
              <w:keepLines/>
              <w:shd w:val="clear" w:color="auto" w:fill="C6D9F1" w:themeFill="text2" w:themeFillTint="33"/>
              <w:rPr>
                <w:rFonts w:eastAsiaTheme="majorEastAsia"/>
                <w:bCs/>
              </w:rPr>
            </w:pPr>
            <w:r w:rsidRPr="0023146D">
              <w:rPr>
                <w:rFonts w:eastAsiaTheme="majorEastAsia"/>
                <w:bCs/>
              </w:rPr>
              <w:t>Plus 13 abstract citations for the same trial</w:t>
            </w:r>
          </w:p>
          <w:p w14:paraId="171ECD46" w14:textId="77777777" w:rsidR="007172E8" w:rsidRPr="0023146D" w:rsidRDefault="007172E8" w:rsidP="00601E82">
            <w:pPr>
              <w:pStyle w:val="Tabletext"/>
              <w:keepNext/>
              <w:keepLines/>
              <w:rPr>
                <w:rFonts w:eastAsiaTheme="majorEastAsia"/>
                <w:bCs/>
              </w:rPr>
            </w:pPr>
          </w:p>
          <w:p w14:paraId="13B5B4EC" w14:textId="4406FBE8" w:rsidR="007172E8" w:rsidRPr="0023146D" w:rsidRDefault="007172E8" w:rsidP="00601E82">
            <w:pPr>
              <w:pStyle w:val="Tabletext"/>
              <w:keepNext/>
              <w:keepLines/>
              <w:rPr>
                <w:rFonts w:eastAsiaTheme="majorEastAsia"/>
                <w:bCs/>
              </w:rPr>
            </w:pPr>
            <w:r w:rsidRPr="0023146D">
              <w:rPr>
                <w:rFonts w:eastAsiaTheme="majorEastAsia"/>
                <w:bCs/>
              </w:rPr>
              <w:t xml:space="preserve">Bassel M, Romanus D, Bo T, Sundberg AK, Okala S, Hirji I. Retrospective chart review of transplant recipients with cytomegalovirus infection who received maribavir in the Phase 3 SOLSTICE trial: Data at 52 weeks post-maribavir treatment initiation. </w:t>
            </w:r>
          </w:p>
          <w:p w14:paraId="3CEA87F1" w14:textId="77777777" w:rsidR="007172E8" w:rsidRPr="0023146D" w:rsidRDefault="007172E8" w:rsidP="00601E82">
            <w:pPr>
              <w:pStyle w:val="Tabletext"/>
              <w:keepNext/>
              <w:keepLines/>
              <w:rPr>
                <w:rFonts w:eastAsiaTheme="majorEastAsia"/>
                <w:bCs/>
              </w:rPr>
            </w:pPr>
          </w:p>
          <w:p w14:paraId="0C6E09F6" w14:textId="6FED5F9A" w:rsidR="007172E8" w:rsidRPr="0023146D" w:rsidRDefault="007172E8" w:rsidP="00601E82">
            <w:pPr>
              <w:pStyle w:val="Tabletext"/>
              <w:keepNext/>
              <w:keepLines/>
              <w:rPr>
                <w:rFonts w:eastAsiaTheme="majorEastAsia"/>
                <w:bCs/>
              </w:rPr>
            </w:pPr>
            <w:r w:rsidRPr="0023146D">
              <w:rPr>
                <w:rFonts w:eastAsiaTheme="majorEastAsia"/>
                <w:bCs/>
              </w:rPr>
              <w:t xml:space="preserve">Chou S, Alain S, Cervera C, </w:t>
            </w:r>
            <w:proofErr w:type="spellStart"/>
            <w:r w:rsidRPr="0023146D">
              <w:rPr>
                <w:rFonts w:eastAsiaTheme="majorEastAsia"/>
                <w:bCs/>
              </w:rPr>
              <w:t>Chemaly</w:t>
            </w:r>
            <w:proofErr w:type="spellEnd"/>
            <w:r w:rsidRPr="0023146D">
              <w:rPr>
                <w:rFonts w:eastAsiaTheme="majorEastAsia"/>
                <w:bCs/>
              </w:rPr>
              <w:t xml:space="preserve"> RF, Kotton CN, Lundgren J, et al. Drug Resistance Assessed in a Phase 3 Clinical Trial of Maribavir Therapy for Refractory or Resistant Cytomegalovirus Infection in Transplant Recipients. </w:t>
            </w:r>
          </w:p>
          <w:p w14:paraId="7480DAEF" w14:textId="77777777" w:rsidR="007172E8" w:rsidRPr="0023146D" w:rsidRDefault="007172E8" w:rsidP="00601E82">
            <w:pPr>
              <w:pStyle w:val="Tabletext"/>
              <w:keepNext/>
              <w:keepLines/>
              <w:rPr>
                <w:rFonts w:eastAsiaTheme="majorEastAsia"/>
                <w:bCs/>
              </w:rPr>
            </w:pPr>
          </w:p>
          <w:p w14:paraId="0E5C085A" w14:textId="6BE959F8" w:rsidR="007172E8" w:rsidRPr="0023146D" w:rsidRDefault="007172E8" w:rsidP="00601E82">
            <w:pPr>
              <w:pStyle w:val="Tabletext"/>
              <w:keepNext/>
              <w:keepLines/>
              <w:rPr>
                <w:rFonts w:eastAsiaTheme="majorEastAsia"/>
                <w:bCs/>
              </w:rPr>
            </w:pPr>
            <w:r w:rsidRPr="0023146D">
              <w:rPr>
                <w:rFonts w:eastAsiaTheme="majorEastAsia"/>
                <w:bCs/>
              </w:rPr>
              <w:t xml:space="preserve">Hirji I, Cocks K, Moreno-Koehler A, Sundberg A. Healthcare resource utilization of maribavir versus investigator-assigned therapy in transplant recipients with cytomegalovirus infection refractory (with or without genotypic resistance) to prior treatment: Exploratory analysis of the Phase 3 SOLSTICE trial. </w:t>
            </w:r>
          </w:p>
        </w:tc>
        <w:tc>
          <w:tcPr>
            <w:tcW w:w="1010" w:type="pct"/>
            <w:tcBorders>
              <w:top w:val="nil"/>
              <w:bottom w:val="single" w:sz="4" w:space="0" w:color="auto"/>
            </w:tcBorders>
          </w:tcPr>
          <w:p w14:paraId="2299DFED" w14:textId="77777777" w:rsidR="00B9331D" w:rsidRPr="0023146D" w:rsidRDefault="00B9331D" w:rsidP="00601E82">
            <w:pPr>
              <w:pStyle w:val="Tabletext"/>
              <w:keepNext/>
              <w:keepLines/>
              <w:rPr>
                <w:rFonts w:eastAsiaTheme="majorEastAsia"/>
                <w:bCs/>
              </w:rPr>
            </w:pPr>
          </w:p>
          <w:p w14:paraId="704BE2FC" w14:textId="77777777" w:rsidR="00B9331D" w:rsidRPr="0023146D" w:rsidRDefault="00B9331D" w:rsidP="00601E82">
            <w:pPr>
              <w:pStyle w:val="Tabletext"/>
              <w:keepNext/>
              <w:keepLines/>
              <w:rPr>
                <w:rFonts w:eastAsiaTheme="majorEastAsia"/>
                <w:bCs/>
              </w:rPr>
            </w:pPr>
          </w:p>
          <w:p w14:paraId="1005B5A2" w14:textId="77777777" w:rsidR="00B9331D" w:rsidRPr="0023146D" w:rsidRDefault="00B9331D" w:rsidP="00601E82">
            <w:pPr>
              <w:pStyle w:val="Tabletext"/>
              <w:keepNext/>
              <w:keepLines/>
              <w:rPr>
                <w:rFonts w:eastAsiaTheme="majorEastAsia"/>
                <w:bCs/>
              </w:rPr>
            </w:pPr>
          </w:p>
          <w:p w14:paraId="1DC56A1F" w14:textId="77777777" w:rsidR="00B9331D" w:rsidRPr="0023146D" w:rsidRDefault="00B9331D" w:rsidP="00601E82">
            <w:pPr>
              <w:pStyle w:val="Tabletext"/>
              <w:keepNext/>
              <w:keepLines/>
              <w:rPr>
                <w:rFonts w:eastAsiaTheme="majorEastAsia"/>
                <w:bCs/>
              </w:rPr>
            </w:pPr>
          </w:p>
          <w:p w14:paraId="7B40D28D" w14:textId="77777777" w:rsidR="00B9331D" w:rsidRPr="0023146D" w:rsidRDefault="00B9331D" w:rsidP="00601E82">
            <w:pPr>
              <w:pStyle w:val="Tabletext"/>
              <w:keepNext/>
              <w:keepLines/>
              <w:rPr>
                <w:rFonts w:eastAsiaTheme="majorEastAsia"/>
                <w:bCs/>
              </w:rPr>
            </w:pPr>
          </w:p>
          <w:p w14:paraId="36074E6B" w14:textId="77777777" w:rsidR="00B9331D" w:rsidRPr="0023146D" w:rsidRDefault="00B9331D" w:rsidP="00601E82">
            <w:pPr>
              <w:pStyle w:val="Tabletext"/>
              <w:keepNext/>
              <w:keepLines/>
              <w:rPr>
                <w:rFonts w:eastAsiaTheme="majorEastAsia"/>
                <w:bCs/>
              </w:rPr>
            </w:pPr>
          </w:p>
          <w:p w14:paraId="10505B6F" w14:textId="3F0A514D" w:rsidR="00B9331D" w:rsidRPr="0023146D" w:rsidRDefault="00B9331D" w:rsidP="00601E82">
            <w:pPr>
              <w:pStyle w:val="Tabletext"/>
              <w:keepNext/>
              <w:keepLines/>
              <w:rPr>
                <w:rFonts w:eastAsiaTheme="majorEastAsia"/>
                <w:bCs/>
              </w:rPr>
            </w:pPr>
            <w:r w:rsidRPr="0023146D">
              <w:rPr>
                <w:rFonts w:eastAsiaTheme="majorEastAsia"/>
                <w:bCs/>
                <w:i/>
                <w:iCs/>
              </w:rPr>
              <w:t>Antiviral Therapy,</w:t>
            </w:r>
            <w:r w:rsidRPr="0023146D">
              <w:rPr>
                <w:rFonts w:eastAsiaTheme="majorEastAsia"/>
                <w:bCs/>
              </w:rPr>
              <w:t xml:space="preserve"> 2023;28(5)</w:t>
            </w:r>
          </w:p>
          <w:p w14:paraId="2809C635" w14:textId="77777777" w:rsidR="007172E8" w:rsidRPr="0023146D" w:rsidRDefault="007172E8" w:rsidP="00601E82">
            <w:pPr>
              <w:pStyle w:val="Tabletext"/>
              <w:keepNext/>
              <w:keepLines/>
              <w:rPr>
                <w:rFonts w:eastAsiaTheme="majorEastAsia"/>
                <w:bCs/>
              </w:rPr>
            </w:pPr>
          </w:p>
          <w:p w14:paraId="513229D7" w14:textId="77777777" w:rsidR="00003A74" w:rsidRPr="0023146D" w:rsidRDefault="00003A74" w:rsidP="00601E82">
            <w:pPr>
              <w:pStyle w:val="Tabletext"/>
              <w:keepNext/>
              <w:keepLines/>
              <w:rPr>
                <w:rFonts w:eastAsiaTheme="majorEastAsia"/>
                <w:bCs/>
              </w:rPr>
            </w:pPr>
          </w:p>
          <w:p w14:paraId="163F46FA" w14:textId="77777777" w:rsidR="00003A74" w:rsidRPr="0023146D" w:rsidRDefault="00003A74" w:rsidP="00601E82">
            <w:pPr>
              <w:pStyle w:val="Tabletext"/>
              <w:keepNext/>
              <w:keepLines/>
              <w:rPr>
                <w:rFonts w:eastAsiaTheme="majorEastAsia"/>
                <w:bCs/>
              </w:rPr>
            </w:pPr>
          </w:p>
          <w:p w14:paraId="67F467CE" w14:textId="77777777" w:rsidR="00003A74" w:rsidRPr="0023146D" w:rsidRDefault="00003A74" w:rsidP="00601E82">
            <w:pPr>
              <w:pStyle w:val="Tabletext"/>
              <w:keepNext/>
              <w:keepLines/>
              <w:rPr>
                <w:rFonts w:eastAsiaTheme="majorEastAsia"/>
                <w:bCs/>
              </w:rPr>
            </w:pPr>
            <w:r w:rsidRPr="0023146D">
              <w:rPr>
                <w:rFonts w:eastAsiaTheme="majorEastAsia"/>
                <w:bCs/>
                <w:i/>
                <w:iCs/>
              </w:rPr>
              <w:t>Journal of Infectious Diseases</w:t>
            </w:r>
            <w:r w:rsidRPr="0023146D">
              <w:rPr>
                <w:rFonts w:eastAsiaTheme="majorEastAsia"/>
                <w:bCs/>
              </w:rPr>
              <w:t>, 2024;229(2):413-21.</w:t>
            </w:r>
          </w:p>
          <w:p w14:paraId="7EB062A4" w14:textId="77777777" w:rsidR="00003A74" w:rsidRPr="0023146D" w:rsidRDefault="00003A74" w:rsidP="00601E82">
            <w:pPr>
              <w:pStyle w:val="Tabletext"/>
              <w:keepNext/>
              <w:keepLines/>
              <w:rPr>
                <w:rFonts w:eastAsiaTheme="majorEastAsia"/>
                <w:bCs/>
              </w:rPr>
            </w:pPr>
          </w:p>
          <w:p w14:paraId="7BB90C2E" w14:textId="57B997F0" w:rsidR="007172E8" w:rsidRPr="0023146D" w:rsidRDefault="00003A74" w:rsidP="00601E82">
            <w:pPr>
              <w:pStyle w:val="Tabletext"/>
              <w:keepNext/>
              <w:keepLines/>
              <w:rPr>
                <w:rFonts w:eastAsiaTheme="majorEastAsia"/>
                <w:bCs/>
              </w:rPr>
            </w:pPr>
            <w:proofErr w:type="spellStart"/>
            <w:r w:rsidRPr="0023146D">
              <w:rPr>
                <w:rFonts w:eastAsiaTheme="majorEastAsia"/>
                <w:bCs/>
                <w:i/>
                <w:iCs/>
              </w:rPr>
              <w:t>Transpl</w:t>
            </w:r>
            <w:proofErr w:type="spellEnd"/>
            <w:r w:rsidRPr="0023146D">
              <w:rPr>
                <w:rFonts w:eastAsiaTheme="majorEastAsia"/>
                <w:bCs/>
                <w:i/>
                <w:iCs/>
              </w:rPr>
              <w:t xml:space="preserve"> Infect Dis</w:t>
            </w:r>
            <w:r w:rsidRPr="0023146D">
              <w:rPr>
                <w:rFonts w:eastAsiaTheme="majorEastAsia"/>
                <w:bCs/>
              </w:rPr>
              <w:t>, 2023;25(3):e14064</w:t>
            </w:r>
          </w:p>
        </w:tc>
      </w:tr>
    </w:tbl>
    <w:p w14:paraId="41AFE052" w14:textId="2A593ADA" w:rsidR="006E32AA" w:rsidRPr="0023146D" w:rsidRDefault="00A47D82" w:rsidP="00601E82">
      <w:pPr>
        <w:pStyle w:val="TableFigureHeading"/>
        <w:keepLines/>
        <w:rPr>
          <w:rStyle w:val="CommentReference"/>
          <w:bCs w:val="0"/>
          <w:sz w:val="18"/>
          <w:szCs w:val="22"/>
        </w:rPr>
      </w:pPr>
      <w:r w:rsidRPr="0023146D">
        <w:rPr>
          <w:rStyle w:val="CommentReference"/>
          <w:bCs w:val="0"/>
          <w:sz w:val="18"/>
          <w:szCs w:val="22"/>
        </w:rPr>
        <w:t>Table 2.8, p</w:t>
      </w:r>
      <w:r w:rsidR="0009191C" w:rsidRPr="0023146D">
        <w:rPr>
          <w:rStyle w:val="CommentReference"/>
          <w:bCs w:val="0"/>
          <w:sz w:val="18"/>
          <w:szCs w:val="22"/>
        </w:rPr>
        <w:t xml:space="preserve">69 of the resubmission. </w:t>
      </w:r>
    </w:p>
    <w:p w14:paraId="034F88E5" w14:textId="77777777" w:rsidR="000526E1" w:rsidRPr="0023146D" w:rsidRDefault="000526E1" w:rsidP="00601E82">
      <w:pPr>
        <w:pStyle w:val="FooterTableFigure"/>
        <w:keepNext/>
        <w:keepLines/>
        <w:rPr>
          <w:sz w:val="16"/>
          <w:szCs w:val="20"/>
        </w:rPr>
      </w:pPr>
      <w:r w:rsidRPr="0023146D">
        <w:rPr>
          <w:szCs w:val="20"/>
        </w:rPr>
        <w:t>Data in blue-shade are those previously seen by the PBAC.</w:t>
      </w:r>
    </w:p>
    <w:p w14:paraId="7A4DCD6C" w14:textId="1AA685A8" w:rsidR="00732F7D" w:rsidRPr="0023146D" w:rsidRDefault="00732F7D" w:rsidP="00732F7D">
      <w:pPr>
        <w:pStyle w:val="3-BodyText"/>
        <w:rPr>
          <w:color w:val="0066FF"/>
        </w:rPr>
      </w:pPr>
      <w:r w:rsidRPr="0023146D">
        <w:t>The key features of the direct randomised trial are summarised in</w:t>
      </w:r>
      <w:r w:rsidR="00890E76" w:rsidRPr="0023146D">
        <w:t xml:space="preserve"> </w:t>
      </w:r>
      <w:r w:rsidR="00890E76" w:rsidRPr="0023146D">
        <w:fldChar w:fldCharType="begin" w:fldLock="1"/>
      </w:r>
      <w:r w:rsidR="00890E76" w:rsidRPr="0023146D">
        <w:instrText xml:space="preserve"> REF _Ref176543394 \h  \* MERGEFORMAT </w:instrText>
      </w:r>
      <w:r w:rsidR="00890E76" w:rsidRPr="0023146D">
        <w:fldChar w:fldCharType="separate"/>
      </w:r>
      <w:r w:rsidR="008854AA" w:rsidRPr="008854AA">
        <w:t>Table 4</w:t>
      </w:r>
      <w:r w:rsidR="00890E76" w:rsidRPr="0023146D">
        <w:fldChar w:fldCharType="end"/>
      </w:r>
      <w:r w:rsidR="00890E76" w:rsidRPr="0023146D">
        <w:t>.</w:t>
      </w:r>
      <w:r w:rsidRPr="0023146D">
        <w:t xml:space="preserve"> </w:t>
      </w:r>
    </w:p>
    <w:p w14:paraId="24FA5B25" w14:textId="77777777" w:rsidR="00BD149B" w:rsidRPr="0023146D" w:rsidRDefault="00BD149B" w:rsidP="00BD149B">
      <w:pPr>
        <w:pStyle w:val="Caption"/>
        <w:rPr>
          <w:rStyle w:val="CommentReference"/>
          <w:rFonts w:eastAsiaTheme="majorEastAsia" w:cstheme="majorBidi"/>
          <w:b/>
          <w:szCs w:val="24"/>
        </w:rPr>
      </w:pPr>
      <w:bookmarkStart w:id="28" w:name="_Ref176543394"/>
      <w:r w:rsidRPr="0023146D">
        <w:rPr>
          <w:rStyle w:val="CommentReference"/>
          <w:rFonts w:eastAsiaTheme="majorEastAsia" w:cstheme="majorBidi"/>
          <w:b/>
          <w:szCs w:val="24"/>
        </w:rPr>
        <w:lastRenderedPageBreak/>
        <w:t xml:space="preserve">Table </w:t>
      </w:r>
      <w:r w:rsidRPr="0023146D">
        <w:rPr>
          <w:rStyle w:val="CommentReference"/>
          <w:rFonts w:eastAsiaTheme="majorEastAsia" w:cstheme="majorBidi"/>
          <w:b/>
          <w:szCs w:val="24"/>
        </w:rPr>
        <w:fldChar w:fldCharType="begin" w:fldLock="1"/>
      </w:r>
      <w:r w:rsidRPr="0023146D">
        <w:rPr>
          <w:rStyle w:val="CommentReference"/>
          <w:rFonts w:eastAsiaTheme="majorEastAsia" w:cstheme="majorBidi"/>
          <w:b/>
          <w:szCs w:val="24"/>
        </w:rPr>
        <w:instrText xml:space="preserve"> SEQ Table \* ARABIC </w:instrText>
      </w:r>
      <w:r w:rsidRPr="0023146D">
        <w:rPr>
          <w:rStyle w:val="CommentReference"/>
          <w:rFonts w:eastAsiaTheme="majorEastAsia" w:cstheme="majorBidi"/>
          <w:b/>
          <w:szCs w:val="24"/>
        </w:rPr>
        <w:fldChar w:fldCharType="separate"/>
      </w:r>
      <w:r w:rsidRPr="0023146D">
        <w:rPr>
          <w:rStyle w:val="CommentReference"/>
          <w:rFonts w:eastAsiaTheme="majorEastAsia" w:cstheme="majorBidi"/>
          <w:b/>
          <w:noProof/>
          <w:szCs w:val="24"/>
        </w:rPr>
        <w:t>4</w:t>
      </w:r>
      <w:r w:rsidRPr="0023146D">
        <w:rPr>
          <w:rStyle w:val="CommentReference"/>
          <w:rFonts w:eastAsiaTheme="majorEastAsia" w:cstheme="majorBidi"/>
          <w:b/>
          <w:szCs w:val="24"/>
        </w:rPr>
        <w:fldChar w:fldCharType="end"/>
      </w:r>
      <w:bookmarkEnd w:id="28"/>
      <w:r w:rsidRPr="0023146D">
        <w:rPr>
          <w:rStyle w:val="CommentReference"/>
          <w:rFonts w:eastAsiaTheme="majorEastAsia" w:cstheme="majorBidi"/>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CellMar>
          <w:left w:w="28" w:type="dxa"/>
          <w:right w:w="28" w:type="dxa"/>
        </w:tblCellMar>
        <w:tblLook w:val="04A0" w:firstRow="1" w:lastRow="0" w:firstColumn="1" w:lastColumn="0" w:noHBand="0" w:noVBand="1"/>
        <w:tblCaption w:val="Table 4: Key features of the included evidence"/>
        <w:tblDescription w:val="Table 4: Key features of the included evidence"/>
      </w:tblPr>
      <w:tblGrid>
        <w:gridCol w:w="955"/>
        <w:gridCol w:w="480"/>
        <w:gridCol w:w="1320"/>
        <w:gridCol w:w="840"/>
        <w:gridCol w:w="2608"/>
        <w:gridCol w:w="1122"/>
        <w:gridCol w:w="1692"/>
      </w:tblGrid>
      <w:tr w:rsidR="00BD149B" w:rsidRPr="0023146D" w14:paraId="36564438" w14:textId="77777777" w:rsidTr="00AA10BF">
        <w:trPr>
          <w:cantSplit/>
          <w:tblHeader/>
        </w:trPr>
        <w:tc>
          <w:tcPr>
            <w:tcW w:w="530" w:type="pct"/>
            <w:shd w:val="clear" w:color="auto" w:fill="C6D9F1" w:themeFill="text2" w:themeFillTint="33"/>
            <w:vAlign w:val="center"/>
          </w:tcPr>
          <w:p w14:paraId="338772C8" w14:textId="77777777" w:rsidR="00BD149B" w:rsidRPr="0023146D" w:rsidRDefault="00BD149B" w:rsidP="00F57F1D">
            <w:pPr>
              <w:pStyle w:val="In-tableHeading"/>
            </w:pPr>
            <w:r w:rsidRPr="0023146D">
              <w:t>Trial</w:t>
            </w:r>
          </w:p>
        </w:tc>
        <w:tc>
          <w:tcPr>
            <w:tcW w:w="266" w:type="pct"/>
            <w:shd w:val="clear" w:color="auto" w:fill="C6D9F1" w:themeFill="text2" w:themeFillTint="33"/>
            <w:vAlign w:val="center"/>
          </w:tcPr>
          <w:p w14:paraId="6E4B4269" w14:textId="77777777" w:rsidR="00BD149B" w:rsidRPr="0023146D" w:rsidRDefault="00BD149B" w:rsidP="00F57F1D">
            <w:pPr>
              <w:pStyle w:val="In-tableHeading"/>
            </w:pPr>
            <w:r w:rsidRPr="0023146D">
              <w:t>N</w:t>
            </w:r>
          </w:p>
        </w:tc>
        <w:tc>
          <w:tcPr>
            <w:tcW w:w="732" w:type="pct"/>
            <w:shd w:val="clear" w:color="auto" w:fill="C6D9F1" w:themeFill="text2" w:themeFillTint="33"/>
            <w:vAlign w:val="center"/>
          </w:tcPr>
          <w:p w14:paraId="583FBB97" w14:textId="77777777" w:rsidR="00BD149B" w:rsidRPr="0023146D" w:rsidRDefault="00BD149B" w:rsidP="00F57F1D">
            <w:pPr>
              <w:pStyle w:val="In-tableHeading"/>
            </w:pPr>
            <w:r w:rsidRPr="0023146D">
              <w:t>Design/ duration</w:t>
            </w:r>
          </w:p>
        </w:tc>
        <w:tc>
          <w:tcPr>
            <w:tcW w:w="466" w:type="pct"/>
            <w:shd w:val="clear" w:color="auto" w:fill="C6D9F1" w:themeFill="text2" w:themeFillTint="33"/>
            <w:vAlign w:val="center"/>
          </w:tcPr>
          <w:p w14:paraId="200C7D07" w14:textId="77777777" w:rsidR="00BD149B" w:rsidRPr="0023146D" w:rsidRDefault="00BD149B" w:rsidP="00F57F1D">
            <w:pPr>
              <w:pStyle w:val="In-tableHeading"/>
            </w:pPr>
            <w:r w:rsidRPr="0023146D">
              <w:t>Risk of bias</w:t>
            </w:r>
          </w:p>
        </w:tc>
        <w:tc>
          <w:tcPr>
            <w:tcW w:w="1446" w:type="pct"/>
            <w:shd w:val="clear" w:color="auto" w:fill="C6D9F1" w:themeFill="text2" w:themeFillTint="33"/>
            <w:vAlign w:val="center"/>
          </w:tcPr>
          <w:p w14:paraId="1A2541F9" w14:textId="77777777" w:rsidR="00BD149B" w:rsidRPr="0023146D" w:rsidRDefault="00BD149B" w:rsidP="00F57F1D">
            <w:pPr>
              <w:pStyle w:val="In-tableHeading"/>
            </w:pPr>
            <w:r w:rsidRPr="0023146D">
              <w:t>Patient population</w:t>
            </w:r>
          </w:p>
        </w:tc>
        <w:tc>
          <w:tcPr>
            <w:tcW w:w="622" w:type="pct"/>
            <w:shd w:val="clear" w:color="auto" w:fill="C6D9F1" w:themeFill="text2" w:themeFillTint="33"/>
            <w:vAlign w:val="center"/>
          </w:tcPr>
          <w:p w14:paraId="2260AB6D" w14:textId="77777777" w:rsidR="00BD149B" w:rsidRPr="0023146D" w:rsidRDefault="00BD149B" w:rsidP="00F57F1D">
            <w:pPr>
              <w:pStyle w:val="In-tableHeading"/>
            </w:pPr>
            <w:r w:rsidRPr="0023146D">
              <w:t>Outcome(s)</w:t>
            </w:r>
          </w:p>
        </w:tc>
        <w:tc>
          <w:tcPr>
            <w:tcW w:w="938" w:type="pct"/>
            <w:shd w:val="clear" w:color="auto" w:fill="C6D9F1" w:themeFill="text2" w:themeFillTint="33"/>
            <w:vAlign w:val="center"/>
          </w:tcPr>
          <w:p w14:paraId="719D3063" w14:textId="77777777" w:rsidR="00BD149B" w:rsidRPr="0023146D" w:rsidRDefault="00BD149B" w:rsidP="00F57F1D">
            <w:pPr>
              <w:pStyle w:val="In-tableHeading"/>
            </w:pPr>
            <w:r w:rsidRPr="0023146D">
              <w:t>Use in modelled evaluation</w:t>
            </w:r>
          </w:p>
        </w:tc>
      </w:tr>
      <w:tr w:rsidR="00BD149B" w:rsidRPr="0023146D" w14:paraId="2F50825A" w14:textId="77777777" w:rsidTr="00BD149B">
        <w:trPr>
          <w:cantSplit/>
        </w:trPr>
        <w:tc>
          <w:tcPr>
            <w:tcW w:w="5000" w:type="pct"/>
            <w:gridSpan w:val="7"/>
            <w:shd w:val="clear" w:color="auto" w:fill="C6D9F1" w:themeFill="text2" w:themeFillTint="33"/>
            <w:vAlign w:val="center"/>
          </w:tcPr>
          <w:p w14:paraId="2683F4BB" w14:textId="77777777" w:rsidR="00BD149B" w:rsidRPr="0023146D" w:rsidRDefault="00BD149B">
            <w:pPr>
              <w:pStyle w:val="TableText0"/>
              <w:rPr>
                <w:lang w:val="en-US"/>
              </w:rPr>
            </w:pPr>
            <w:r w:rsidRPr="0023146D">
              <w:rPr>
                <w:lang w:val="en-US"/>
              </w:rPr>
              <w:t>Maribavir vs. investigator assigned treatment (ganciclovir, valganciclovir, foscarnet, cidofovir combination)</w:t>
            </w:r>
          </w:p>
        </w:tc>
      </w:tr>
      <w:tr w:rsidR="00BD149B" w:rsidRPr="0023146D" w14:paraId="0B936E17" w14:textId="77777777" w:rsidTr="00AA10BF">
        <w:trPr>
          <w:cantSplit/>
        </w:trPr>
        <w:tc>
          <w:tcPr>
            <w:tcW w:w="530" w:type="pct"/>
            <w:shd w:val="clear" w:color="auto" w:fill="C6D9F1" w:themeFill="text2" w:themeFillTint="33"/>
            <w:vAlign w:val="center"/>
          </w:tcPr>
          <w:p w14:paraId="3EA5770F" w14:textId="77777777" w:rsidR="00BD149B" w:rsidRPr="0023146D" w:rsidRDefault="00BD149B">
            <w:pPr>
              <w:pStyle w:val="TableText0"/>
              <w:rPr>
                <w:lang w:val="en-US"/>
              </w:rPr>
            </w:pPr>
            <w:r w:rsidRPr="0023146D">
              <w:rPr>
                <w:lang w:val="en-US"/>
              </w:rPr>
              <w:t>SOLSTICE</w:t>
            </w:r>
          </w:p>
        </w:tc>
        <w:tc>
          <w:tcPr>
            <w:tcW w:w="266" w:type="pct"/>
            <w:shd w:val="clear" w:color="auto" w:fill="C6D9F1" w:themeFill="text2" w:themeFillTint="33"/>
            <w:vAlign w:val="center"/>
          </w:tcPr>
          <w:p w14:paraId="6CD55569" w14:textId="77777777" w:rsidR="00BD149B" w:rsidRPr="0023146D" w:rsidRDefault="00BD149B">
            <w:pPr>
              <w:pStyle w:val="TableText0"/>
              <w:rPr>
                <w:lang w:val="en-US"/>
              </w:rPr>
            </w:pPr>
            <w:r w:rsidRPr="0023146D">
              <w:rPr>
                <w:lang w:val="en-US"/>
              </w:rPr>
              <w:t>352</w:t>
            </w:r>
          </w:p>
        </w:tc>
        <w:tc>
          <w:tcPr>
            <w:tcW w:w="732" w:type="pct"/>
            <w:shd w:val="clear" w:color="auto" w:fill="C6D9F1" w:themeFill="text2" w:themeFillTint="33"/>
            <w:vAlign w:val="center"/>
          </w:tcPr>
          <w:p w14:paraId="4F3A8A9D" w14:textId="77777777" w:rsidR="00BD149B" w:rsidRPr="0023146D" w:rsidRDefault="00BD149B">
            <w:pPr>
              <w:pStyle w:val="TableText0"/>
              <w:rPr>
                <w:lang w:val="en-US"/>
              </w:rPr>
            </w:pPr>
            <w:r w:rsidRPr="0023146D">
              <w:rPr>
                <w:lang w:val="en-US"/>
              </w:rPr>
              <w:t>R, 2:1 maribavir or IAT, OL, MC</w:t>
            </w:r>
          </w:p>
          <w:p w14:paraId="13E4916A" w14:textId="4AE1B409" w:rsidR="00BD149B" w:rsidRPr="0023146D" w:rsidRDefault="00BD149B">
            <w:pPr>
              <w:pStyle w:val="TableText0"/>
              <w:rPr>
                <w:lang w:val="en-US"/>
              </w:rPr>
            </w:pPr>
            <w:r w:rsidRPr="0023146D">
              <w:rPr>
                <w:lang w:val="en-US"/>
              </w:rPr>
              <w:t>8</w:t>
            </w:r>
            <w:r w:rsidR="00523DC8" w:rsidRPr="0023146D">
              <w:rPr>
                <w:lang w:val="en-US"/>
              </w:rPr>
              <w:t>-</w:t>
            </w:r>
            <w:r w:rsidRPr="0023146D">
              <w:rPr>
                <w:lang w:val="en-US"/>
              </w:rPr>
              <w:t>week + 12</w:t>
            </w:r>
            <w:r w:rsidR="00523DC8" w:rsidRPr="0023146D">
              <w:rPr>
                <w:lang w:val="en-US"/>
              </w:rPr>
              <w:t>-</w:t>
            </w:r>
            <w:r w:rsidRPr="0023146D">
              <w:rPr>
                <w:lang w:val="en-US"/>
              </w:rPr>
              <w:t>week follow-up</w:t>
            </w:r>
          </w:p>
        </w:tc>
        <w:tc>
          <w:tcPr>
            <w:tcW w:w="466" w:type="pct"/>
            <w:shd w:val="clear" w:color="auto" w:fill="C6D9F1" w:themeFill="text2" w:themeFillTint="33"/>
            <w:vAlign w:val="center"/>
          </w:tcPr>
          <w:p w14:paraId="42AB43F5" w14:textId="77777777" w:rsidR="00BD149B" w:rsidRPr="0023146D" w:rsidRDefault="00BD149B">
            <w:pPr>
              <w:pStyle w:val="TableText0"/>
              <w:rPr>
                <w:iCs/>
                <w:lang w:val="en-US"/>
              </w:rPr>
            </w:pPr>
            <w:r w:rsidRPr="0023146D">
              <w:rPr>
                <w:iCs/>
                <w:lang w:val="en-US"/>
              </w:rPr>
              <w:t>High</w:t>
            </w:r>
          </w:p>
        </w:tc>
        <w:tc>
          <w:tcPr>
            <w:tcW w:w="1446" w:type="pct"/>
            <w:shd w:val="clear" w:color="auto" w:fill="C6D9F1" w:themeFill="text2" w:themeFillTint="33"/>
            <w:vAlign w:val="center"/>
          </w:tcPr>
          <w:p w14:paraId="1E579150" w14:textId="74183895" w:rsidR="00BD149B" w:rsidRPr="0023146D" w:rsidRDefault="00BD149B">
            <w:pPr>
              <w:pStyle w:val="TableText0"/>
              <w:rPr>
                <w:lang w:val="en-US"/>
              </w:rPr>
            </w:pPr>
            <w:r w:rsidRPr="0023146D">
              <w:sym w:font="Symbol" w:char="F0B3"/>
            </w:r>
            <w:r w:rsidRPr="0023146D">
              <w:t xml:space="preserve"> 12 years</w:t>
            </w:r>
            <w:r w:rsidRPr="0023146D">
              <w:rPr>
                <w:vertAlign w:val="superscript"/>
              </w:rPr>
              <w:t>a</w:t>
            </w:r>
            <w:r w:rsidRPr="0023146D">
              <w:t>, HSCT or SOT, CMV infections refractory to one or more of ganciclovir, valganciclovir, foscarnet, or cidofovir, including CMV infections with confirmed resistance to one or more anti-CMV agents.</w:t>
            </w:r>
          </w:p>
        </w:tc>
        <w:tc>
          <w:tcPr>
            <w:tcW w:w="622" w:type="pct"/>
            <w:shd w:val="clear" w:color="auto" w:fill="C6D9F1" w:themeFill="text2" w:themeFillTint="33"/>
            <w:vAlign w:val="center"/>
          </w:tcPr>
          <w:p w14:paraId="206E7D29" w14:textId="603F8F2F" w:rsidR="00BD149B" w:rsidRPr="0023146D" w:rsidRDefault="00BD149B">
            <w:pPr>
              <w:pStyle w:val="TableText0"/>
              <w:rPr>
                <w:lang w:val="en-US"/>
              </w:rPr>
            </w:pPr>
            <w:r w:rsidRPr="0023146D">
              <w:t>CMV viraemia clearance at 8</w:t>
            </w:r>
            <w:r w:rsidR="00523DC8" w:rsidRPr="0023146D">
              <w:t xml:space="preserve"> </w:t>
            </w:r>
            <w:r w:rsidRPr="0023146D">
              <w:t>week</w:t>
            </w:r>
            <w:r w:rsidR="00523DC8" w:rsidRPr="0023146D">
              <w:t>s</w:t>
            </w:r>
            <w:r w:rsidRPr="0023146D">
              <w:t>, control of CMV disease, recurrence</w:t>
            </w:r>
          </w:p>
        </w:tc>
        <w:tc>
          <w:tcPr>
            <w:tcW w:w="938" w:type="pct"/>
            <w:shd w:val="clear" w:color="auto" w:fill="C6D9F1" w:themeFill="text2" w:themeFillTint="33"/>
            <w:vAlign w:val="center"/>
          </w:tcPr>
          <w:p w14:paraId="49C4523B" w14:textId="77777777" w:rsidR="00BD149B" w:rsidRPr="0023146D" w:rsidRDefault="00BD149B">
            <w:pPr>
              <w:pStyle w:val="TableText0"/>
              <w:rPr>
                <w:lang w:val="en-US"/>
              </w:rPr>
            </w:pPr>
            <w:r w:rsidRPr="0023146D">
              <w:rPr>
                <w:lang w:val="en-US"/>
              </w:rPr>
              <w:t>Used in stage 1 of the model to inform clearance, recurrence and mortality transitions</w:t>
            </w:r>
          </w:p>
        </w:tc>
      </w:tr>
    </w:tbl>
    <w:p w14:paraId="31F314DD" w14:textId="28415B4D" w:rsidR="00BD149B" w:rsidRPr="0023146D" w:rsidRDefault="00BD149B" w:rsidP="00BD149B">
      <w:pPr>
        <w:pStyle w:val="TableFooter"/>
        <w:rPr>
          <w:rFonts w:eastAsiaTheme="majorEastAsia"/>
        </w:rPr>
      </w:pPr>
      <w:r w:rsidRPr="0023146D">
        <w:rPr>
          <w:rFonts w:eastAsiaTheme="majorEastAsia"/>
        </w:rPr>
        <w:t>Source:</w:t>
      </w:r>
      <w:r w:rsidR="000B48DD" w:rsidRPr="0023146D">
        <w:rPr>
          <w:rFonts w:eastAsiaTheme="majorEastAsia"/>
        </w:rPr>
        <w:t xml:space="preserve"> </w:t>
      </w:r>
      <w:r w:rsidR="001B17FD" w:rsidRPr="0023146D">
        <w:rPr>
          <w:rFonts w:eastAsiaTheme="majorEastAsia"/>
        </w:rPr>
        <w:t>Table 4</w:t>
      </w:r>
      <w:r w:rsidR="0055559F" w:rsidRPr="0023146D">
        <w:rPr>
          <w:rFonts w:eastAsiaTheme="majorEastAsia"/>
        </w:rPr>
        <w:t>, maribavir, P</w:t>
      </w:r>
      <w:r w:rsidR="00A1690C" w:rsidRPr="0023146D">
        <w:rPr>
          <w:rFonts w:eastAsiaTheme="majorEastAsia"/>
        </w:rPr>
        <w:t>ublic Summary Document</w:t>
      </w:r>
      <w:r w:rsidR="0055559F" w:rsidRPr="0023146D">
        <w:rPr>
          <w:rFonts w:eastAsiaTheme="majorEastAsia"/>
        </w:rPr>
        <w:t>, November 2023 PBAC meeting.</w:t>
      </w:r>
    </w:p>
    <w:p w14:paraId="55743814" w14:textId="7DA8C197" w:rsidR="00BD149B" w:rsidRPr="0023146D" w:rsidRDefault="00BD149B" w:rsidP="00BD149B">
      <w:pPr>
        <w:pStyle w:val="TableFooter"/>
        <w:rPr>
          <w:rFonts w:eastAsiaTheme="majorEastAsia"/>
        </w:rPr>
      </w:pPr>
      <w:r w:rsidRPr="0023146D">
        <w:rPr>
          <w:rFonts w:eastAsiaTheme="majorEastAsia"/>
        </w:rPr>
        <w:t>CMV = cytomegalovirus; HSCT = haemopoietic stem cell transplant; IAT = investigator assigned treatment; MC = multi-centre;</w:t>
      </w:r>
      <w:r w:rsidR="005228C8" w:rsidRPr="0023146D">
        <w:rPr>
          <w:rFonts w:eastAsiaTheme="majorEastAsia"/>
        </w:rPr>
        <w:t xml:space="preserve"> N = the number of participants;</w:t>
      </w:r>
      <w:r w:rsidRPr="0023146D">
        <w:rPr>
          <w:rFonts w:eastAsiaTheme="majorEastAsia"/>
        </w:rPr>
        <w:t xml:space="preserve"> OL = open label; R = randomised; SOT = solid organ transplant</w:t>
      </w:r>
    </w:p>
    <w:p w14:paraId="66983047" w14:textId="77777777" w:rsidR="00BD149B" w:rsidRPr="0023146D" w:rsidRDefault="00BD149B" w:rsidP="000526E1">
      <w:pPr>
        <w:pStyle w:val="TableFooter"/>
        <w:tabs>
          <w:tab w:val="left" w:pos="142"/>
        </w:tabs>
        <w:rPr>
          <w:rFonts w:eastAsiaTheme="majorEastAsia"/>
        </w:rPr>
      </w:pPr>
      <w:r w:rsidRPr="0023146D">
        <w:rPr>
          <w:rFonts w:eastAsiaTheme="majorEastAsia"/>
          <w:vertAlign w:val="superscript"/>
        </w:rPr>
        <w:t>a</w:t>
      </w:r>
      <w:r w:rsidRPr="0023146D">
        <w:rPr>
          <w:rFonts w:eastAsiaTheme="majorEastAsia"/>
        </w:rPr>
        <w:tab/>
        <w:t xml:space="preserve">No patients under age 18 were enrolled. </w:t>
      </w:r>
    </w:p>
    <w:p w14:paraId="0D414875" w14:textId="77777777" w:rsidR="000526E1" w:rsidRPr="0023146D" w:rsidRDefault="000526E1" w:rsidP="006B02AA">
      <w:pPr>
        <w:pStyle w:val="FooterTableFigure"/>
        <w:rPr>
          <w:sz w:val="16"/>
          <w:szCs w:val="20"/>
        </w:rPr>
      </w:pPr>
      <w:r w:rsidRPr="0023146D">
        <w:rPr>
          <w:szCs w:val="20"/>
        </w:rPr>
        <w:t>Data in blue-shade are those previously seen by the PBAC.</w:t>
      </w:r>
    </w:p>
    <w:p w14:paraId="49727CB7" w14:textId="1BAB08CA" w:rsidR="009A2280" w:rsidRPr="00F57F1D" w:rsidRDefault="005F5147" w:rsidP="0062607E">
      <w:pPr>
        <w:pStyle w:val="3-BodyText"/>
      </w:pPr>
      <w:r w:rsidRPr="00F57F1D">
        <w:t xml:space="preserve">The </w:t>
      </w:r>
      <w:r w:rsidR="00F43FA0" w:rsidRPr="00F57F1D">
        <w:t xml:space="preserve">PBAC </w:t>
      </w:r>
      <w:r w:rsidRPr="00F57F1D">
        <w:t>previously considered</w:t>
      </w:r>
      <w:r w:rsidR="000D5E62" w:rsidRPr="00F57F1D">
        <w:t xml:space="preserve"> that SOLSTICE</w:t>
      </w:r>
      <w:r w:rsidR="00F43FA0" w:rsidRPr="00F57F1D">
        <w:t xml:space="preserve"> ha</w:t>
      </w:r>
      <w:r w:rsidR="000D5E62" w:rsidRPr="00F57F1D">
        <w:t>d</w:t>
      </w:r>
      <w:r w:rsidR="00F43FA0" w:rsidRPr="00F57F1D">
        <w:t xml:space="preserve"> a high risk of bias, primarily due to its open-label design and the allowance for patients in the IAT arm to discontinue treatment after </w:t>
      </w:r>
      <w:r w:rsidR="009008DF" w:rsidRPr="00F57F1D">
        <w:t xml:space="preserve">3 </w:t>
      </w:r>
      <w:r w:rsidR="00F43FA0" w:rsidRPr="00F57F1D">
        <w:t>weeks (due to lack of efficacy or toxicity) and switch to the maribavir rescue arm</w:t>
      </w:r>
      <w:r w:rsidR="00B83EAB" w:rsidRPr="00F57F1D">
        <w:t xml:space="preserve"> (para </w:t>
      </w:r>
      <w:r w:rsidR="0010657F" w:rsidRPr="00F57F1D">
        <w:t>7.10</w:t>
      </w:r>
      <w:r w:rsidR="00FD7E2A" w:rsidRPr="00F57F1D">
        <w:t xml:space="preserve">, </w:t>
      </w:r>
      <w:r w:rsidR="00B83EAB" w:rsidRPr="00F57F1D">
        <w:t>7.13, maribavir, PSD, November 2023 PBAC meeting)</w:t>
      </w:r>
      <w:r w:rsidR="00F43FA0" w:rsidRPr="00F57F1D">
        <w:t xml:space="preserve">. </w:t>
      </w:r>
      <w:r w:rsidR="003E7459" w:rsidRPr="00F57F1D">
        <w:t xml:space="preserve">The </w:t>
      </w:r>
      <w:r w:rsidR="00FC3233" w:rsidRPr="00F57F1D">
        <w:t xml:space="preserve">ESC </w:t>
      </w:r>
      <w:r w:rsidR="003E7459" w:rsidRPr="00F57F1D">
        <w:t>and the PBAC</w:t>
      </w:r>
      <w:r w:rsidR="00FC3233" w:rsidRPr="00F57F1D">
        <w:t xml:space="preserve"> noted </w:t>
      </w:r>
      <w:proofErr w:type="spellStart"/>
      <w:r w:rsidR="00FC3233" w:rsidRPr="00F57F1D">
        <w:t>maribavir’s</w:t>
      </w:r>
      <w:proofErr w:type="spellEnd"/>
      <w:r w:rsidR="00FC3233" w:rsidRPr="00F57F1D">
        <w:t xml:space="preserve"> benefit may be overestimated due to IAT drop-outs </w:t>
      </w:r>
      <w:r w:rsidR="009A41E3" w:rsidRPr="00F57F1D">
        <w:t>(65.7%)</w:t>
      </w:r>
      <w:r w:rsidR="00FC3233" w:rsidRPr="00F57F1D">
        <w:t xml:space="preserve"> and cross-over</w:t>
      </w:r>
      <w:r w:rsidR="0096780E" w:rsidRPr="00F57F1D">
        <w:t xml:space="preserve"> </w:t>
      </w:r>
      <w:r w:rsidR="0092206F" w:rsidRPr="00F57F1D">
        <w:t>(</w:t>
      </w:r>
      <w:r w:rsidR="00CA3789" w:rsidRPr="00F57F1D">
        <w:t>22</w:t>
      </w:r>
      <w:r w:rsidR="00EE6B85" w:rsidRPr="00F57F1D">
        <w:t xml:space="preserve"> patients</w:t>
      </w:r>
      <w:r w:rsidR="0092206F" w:rsidRPr="00F57F1D">
        <w:t xml:space="preserve">) </w:t>
      </w:r>
      <w:r w:rsidR="00FC3233" w:rsidRPr="00F57F1D">
        <w:t>(paras 6.44</w:t>
      </w:r>
      <w:r w:rsidR="00FD7E2A" w:rsidRPr="00F57F1D">
        <w:t xml:space="preserve">, </w:t>
      </w:r>
      <w:r w:rsidR="00FC3233" w:rsidRPr="00F57F1D">
        <w:t>7.1</w:t>
      </w:r>
      <w:r w:rsidR="00FE4022" w:rsidRPr="00F57F1D">
        <w:t>0</w:t>
      </w:r>
      <w:r w:rsidR="00FC3233" w:rsidRPr="00F57F1D">
        <w:t>, maribavir PSD, November 2023 PBAC).</w:t>
      </w:r>
      <w:r w:rsidR="00E67EE5" w:rsidRPr="00F57F1D">
        <w:t xml:space="preserve"> </w:t>
      </w:r>
      <w:r w:rsidR="007F4B40" w:rsidRPr="00F57F1D">
        <w:t>The evaluation further note</w:t>
      </w:r>
      <w:r w:rsidR="00584283">
        <w:t>d</w:t>
      </w:r>
      <w:r w:rsidR="007F4B40" w:rsidRPr="00F57F1D">
        <w:t xml:space="preserve"> that 3 weeks </w:t>
      </w:r>
      <w:r w:rsidR="00D7580B" w:rsidRPr="00F57F1D">
        <w:t xml:space="preserve">(the point at which IAT patients were permitted to discontinue and switch to maribavir) </w:t>
      </w:r>
      <w:r w:rsidR="007F4B40" w:rsidRPr="00F57F1D">
        <w:t xml:space="preserve">may be insufficient to assess efficacy, as IAT patients typically have longer treatment durations in practice (e.g., </w:t>
      </w:r>
      <w:r w:rsidR="00CF51D0" w:rsidRPr="00F57F1D">
        <w:t>National Institute for Health and Care Excellence</w:t>
      </w:r>
      <w:r w:rsidR="00015202" w:rsidRPr="00F57F1D">
        <w:t>; NICE</w:t>
      </w:r>
      <w:r w:rsidR="00CF51D0" w:rsidRPr="00F57F1D">
        <w:t xml:space="preserve"> </w:t>
      </w:r>
      <w:r w:rsidR="007F4B40" w:rsidRPr="00F57F1D">
        <w:t>TA680, pp26-27</w:t>
      </w:r>
      <w:r w:rsidR="007F4B40" w:rsidRPr="00045880">
        <w:t xml:space="preserve">). </w:t>
      </w:r>
      <w:r w:rsidR="00DF13F4" w:rsidRPr="00045880">
        <w:t xml:space="preserve">The </w:t>
      </w:r>
      <w:r w:rsidR="008F644A" w:rsidRPr="008F644A">
        <w:t>Pre-</w:t>
      </w:r>
      <w:r w:rsidR="00E467F8">
        <w:t>S</w:t>
      </w:r>
      <w:r w:rsidR="008F644A" w:rsidRPr="008F644A">
        <w:t>ub</w:t>
      </w:r>
      <w:r w:rsidR="00E467F8">
        <w:t>-C</w:t>
      </w:r>
      <w:r w:rsidR="008F644A" w:rsidRPr="008F644A">
        <w:t xml:space="preserve">ommittee </w:t>
      </w:r>
      <w:r w:rsidR="00946926">
        <w:t>R</w:t>
      </w:r>
      <w:r w:rsidR="008F644A" w:rsidRPr="008F644A">
        <w:t xml:space="preserve">esponse </w:t>
      </w:r>
      <w:r w:rsidR="00F434A9">
        <w:t>(</w:t>
      </w:r>
      <w:r w:rsidR="00DF13F4" w:rsidRPr="00045880">
        <w:t>PSCR</w:t>
      </w:r>
      <w:r w:rsidR="00F434A9">
        <w:t>)</w:t>
      </w:r>
      <w:r w:rsidR="00BD0E1D">
        <w:t xml:space="preserve"> </w:t>
      </w:r>
      <w:r w:rsidR="00DF13F4" w:rsidRPr="00045880">
        <w:t xml:space="preserve">argued 3 weeks is sufficient time for IAT to take effect and that international guidelines indicate a minimum 2-week period is required for treatment and to help determine whether a patient is refractory/resistant to therapy. </w:t>
      </w:r>
      <w:r w:rsidR="0062607E" w:rsidRPr="00F57F1D">
        <w:t xml:space="preserve">The resubmission </w:t>
      </w:r>
      <w:r w:rsidR="00584283" w:rsidRPr="00565301">
        <w:t xml:space="preserve">and PSCR </w:t>
      </w:r>
      <w:r w:rsidR="0062607E" w:rsidRPr="00F57F1D">
        <w:t xml:space="preserve">reiterated the arguments </w:t>
      </w:r>
      <w:r w:rsidR="00523DC8" w:rsidRPr="00F57F1D">
        <w:t xml:space="preserve">provided in the November 2023 submission </w:t>
      </w:r>
      <w:r w:rsidR="0062607E" w:rsidRPr="00F57F1D">
        <w:t>addressing the high risk of bias, including th</w:t>
      </w:r>
      <w:r w:rsidR="00523DC8" w:rsidRPr="00F57F1D">
        <w:t>at th</w:t>
      </w:r>
      <w:r w:rsidR="0062607E" w:rsidRPr="00F57F1D">
        <w:t>e open-label design</w:t>
      </w:r>
      <w:r w:rsidR="00523DC8" w:rsidRPr="00F57F1D">
        <w:t xml:space="preserve"> was required</w:t>
      </w:r>
      <w:r w:rsidR="0062607E" w:rsidRPr="00F57F1D">
        <w:t xml:space="preserve"> for ethical reasons, allowing physicians to choose appropriate IAT to minimise adverse events, blinded assessment of viraemia clearance, and higher IAT discontinuation due to treatment-emergent toxicities.</w:t>
      </w:r>
      <w:r w:rsidR="008D695F" w:rsidRPr="00F57F1D">
        <w:t xml:space="preserve"> </w:t>
      </w:r>
    </w:p>
    <w:p w14:paraId="7DA07D5D" w14:textId="77777777" w:rsidR="00732F7D" w:rsidRPr="0023146D" w:rsidRDefault="00732F7D" w:rsidP="00732F7D">
      <w:pPr>
        <w:pStyle w:val="4-SubsectionHeading"/>
      </w:pPr>
      <w:bookmarkStart w:id="29" w:name="_Toc22897641"/>
      <w:bookmarkStart w:id="30" w:name="_Toc177482512"/>
      <w:r w:rsidRPr="0023146D">
        <w:t>Comparative effectiveness</w:t>
      </w:r>
      <w:bookmarkEnd w:id="29"/>
      <w:bookmarkEnd w:id="30"/>
    </w:p>
    <w:p w14:paraId="4AD915F9" w14:textId="4C31F008" w:rsidR="00AF7AB9" w:rsidRPr="0023146D" w:rsidRDefault="00AF7AB9" w:rsidP="00732F7D">
      <w:pPr>
        <w:pStyle w:val="3-BodyText"/>
      </w:pPr>
      <w:r w:rsidRPr="0023146D">
        <w:t xml:space="preserve">A </w:t>
      </w:r>
      <w:r w:rsidR="009853C3" w:rsidRPr="0023146D">
        <w:t xml:space="preserve">summary of </w:t>
      </w:r>
      <w:r w:rsidR="00292B6F" w:rsidRPr="0023146D">
        <w:t xml:space="preserve">the outcomes from SOLSTICE is presented in </w:t>
      </w:r>
      <w:r w:rsidR="006C1801" w:rsidRPr="0023146D">
        <w:fldChar w:fldCharType="begin" w:fldLock="1"/>
      </w:r>
      <w:r w:rsidR="006C1801" w:rsidRPr="0023146D">
        <w:instrText xml:space="preserve"> REF _Ref175647237 \h </w:instrText>
      </w:r>
      <w:r w:rsidR="006C1801" w:rsidRPr="0023146D">
        <w:fldChar w:fldCharType="separate"/>
      </w:r>
      <w:r w:rsidR="008854AA" w:rsidRPr="0023146D">
        <w:t xml:space="preserve">Table </w:t>
      </w:r>
      <w:r w:rsidR="008854AA">
        <w:rPr>
          <w:noProof/>
        </w:rPr>
        <w:t>5</w:t>
      </w:r>
      <w:r w:rsidR="006C1801" w:rsidRPr="0023146D">
        <w:fldChar w:fldCharType="end"/>
      </w:r>
      <w:r w:rsidR="006C1801" w:rsidRPr="0023146D">
        <w:t>.</w:t>
      </w:r>
    </w:p>
    <w:p w14:paraId="69C3240A" w14:textId="71E785C1" w:rsidR="00292B6F" w:rsidRPr="0023146D" w:rsidRDefault="00292B6F" w:rsidP="00867B04">
      <w:pPr>
        <w:pStyle w:val="TableFigureHeading"/>
        <w:rPr>
          <w:rStyle w:val="CommentReference"/>
          <w:b/>
          <w:szCs w:val="24"/>
        </w:rPr>
      </w:pPr>
      <w:bookmarkStart w:id="31" w:name="_Ref175647237"/>
      <w:r w:rsidRPr="0023146D">
        <w:lastRenderedPageBreak/>
        <w:t xml:space="preserve">Table </w:t>
      </w:r>
      <w:r w:rsidR="008A7014">
        <w:fldChar w:fldCharType="begin" w:fldLock="1"/>
      </w:r>
      <w:r w:rsidR="008A7014">
        <w:instrText xml:space="preserve"> SEQ Table \* ARABIC </w:instrText>
      </w:r>
      <w:r w:rsidR="008A7014">
        <w:fldChar w:fldCharType="separate"/>
      </w:r>
      <w:r w:rsidR="008854AA">
        <w:rPr>
          <w:noProof/>
        </w:rPr>
        <w:t>5</w:t>
      </w:r>
      <w:r w:rsidR="008A7014">
        <w:rPr>
          <w:noProof/>
        </w:rPr>
        <w:fldChar w:fldCharType="end"/>
      </w:r>
      <w:bookmarkEnd w:id="31"/>
      <w:r w:rsidRPr="0023146D">
        <w:t>:</w:t>
      </w:r>
      <w:r w:rsidRPr="0023146D">
        <w:rPr>
          <w:rStyle w:val="CommentReference"/>
          <w:b/>
          <w:szCs w:val="24"/>
        </w:rPr>
        <w:t xml:space="preserve"> Summary of outcomes in SO</w:t>
      </w:r>
      <w:r w:rsidR="007C258B" w:rsidRPr="0023146D">
        <w:rPr>
          <w:rStyle w:val="CommentReference"/>
          <w:b/>
          <w:szCs w:val="24"/>
        </w:rPr>
        <w:t>LSTICE</w:t>
      </w: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Table 5: Summary of outcomes in SOLSTICE"/>
      </w:tblPr>
      <w:tblGrid>
        <w:gridCol w:w="3115"/>
        <w:gridCol w:w="1802"/>
        <w:gridCol w:w="1601"/>
        <w:gridCol w:w="2557"/>
      </w:tblGrid>
      <w:tr w:rsidR="00255617" w:rsidRPr="0023146D" w14:paraId="2DDC45BD" w14:textId="77777777" w:rsidTr="00E95F48">
        <w:trPr>
          <w:cantSplit/>
          <w:tblHeader/>
        </w:trPr>
        <w:tc>
          <w:tcPr>
            <w:tcW w:w="1716" w:type="pct"/>
            <w:shd w:val="clear" w:color="auto" w:fill="C6D9F1" w:themeFill="text2" w:themeFillTint="33"/>
            <w:vAlign w:val="center"/>
          </w:tcPr>
          <w:p w14:paraId="2CE191F2" w14:textId="5ACBBA0A" w:rsidR="0003760E" w:rsidRPr="0023146D" w:rsidRDefault="000A2BD8" w:rsidP="00867B04">
            <w:pPr>
              <w:pStyle w:val="TableText0"/>
              <w:jc w:val="center"/>
              <w:rPr>
                <w:b/>
                <w:bCs w:val="0"/>
              </w:rPr>
            </w:pPr>
            <w:r w:rsidRPr="0023146D">
              <w:rPr>
                <w:b/>
                <w:bCs w:val="0"/>
              </w:rPr>
              <w:t xml:space="preserve">Outcomes </w:t>
            </w:r>
          </w:p>
        </w:tc>
        <w:tc>
          <w:tcPr>
            <w:tcW w:w="993" w:type="pct"/>
            <w:shd w:val="clear" w:color="auto" w:fill="C6D9F1" w:themeFill="text2" w:themeFillTint="33"/>
            <w:vAlign w:val="center"/>
          </w:tcPr>
          <w:p w14:paraId="64A8BB8A" w14:textId="77777777" w:rsidR="0003760E" w:rsidRPr="0023146D" w:rsidRDefault="0003760E" w:rsidP="00867B04">
            <w:pPr>
              <w:pStyle w:val="TableText0"/>
              <w:jc w:val="center"/>
              <w:rPr>
                <w:b/>
                <w:bCs w:val="0"/>
              </w:rPr>
            </w:pPr>
            <w:r w:rsidRPr="0023146D">
              <w:rPr>
                <w:b/>
                <w:bCs w:val="0"/>
              </w:rPr>
              <w:t>Maribavir</w:t>
            </w:r>
          </w:p>
          <w:p w14:paraId="382F9A0A" w14:textId="77777777" w:rsidR="0003760E" w:rsidRPr="0023146D" w:rsidRDefault="0003760E" w:rsidP="00867B04">
            <w:pPr>
              <w:pStyle w:val="TableText0"/>
              <w:jc w:val="center"/>
              <w:rPr>
                <w:b/>
                <w:bCs w:val="0"/>
              </w:rPr>
            </w:pPr>
            <w:r w:rsidRPr="0023146D">
              <w:rPr>
                <w:b/>
                <w:bCs w:val="0"/>
              </w:rPr>
              <w:t>N = 235</w:t>
            </w:r>
          </w:p>
        </w:tc>
        <w:tc>
          <w:tcPr>
            <w:tcW w:w="882" w:type="pct"/>
            <w:shd w:val="clear" w:color="auto" w:fill="C6D9F1" w:themeFill="text2" w:themeFillTint="33"/>
            <w:vAlign w:val="center"/>
          </w:tcPr>
          <w:p w14:paraId="1535439B" w14:textId="77777777" w:rsidR="0003760E" w:rsidRPr="0023146D" w:rsidRDefault="0003760E" w:rsidP="00867B04">
            <w:pPr>
              <w:pStyle w:val="TableText0"/>
              <w:jc w:val="center"/>
              <w:rPr>
                <w:b/>
                <w:bCs w:val="0"/>
              </w:rPr>
            </w:pPr>
            <w:r w:rsidRPr="0023146D">
              <w:rPr>
                <w:b/>
                <w:bCs w:val="0"/>
              </w:rPr>
              <w:t>IAT</w:t>
            </w:r>
          </w:p>
          <w:p w14:paraId="376F6035" w14:textId="77777777" w:rsidR="0003760E" w:rsidRPr="0023146D" w:rsidRDefault="0003760E" w:rsidP="00867B04">
            <w:pPr>
              <w:pStyle w:val="TableText0"/>
              <w:jc w:val="center"/>
              <w:rPr>
                <w:b/>
                <w:bCs w:val="0"/>
              </w:rPr>
            </w:pPr>
            <w:r w:rsidRPr="0023146D">
              <w:rPr>
                <w:b/>
                <w:bCs w:val="0"/>
              </w:rPr>
              <w:t>N = 117</w:t>
            </w:r>
          </w:p>
        </w:tc>
        <w:tc>
          <w:tcPr>
            <w:tcW w:w="1409" w:type="pct"/>
            <w:shd w:val="clear" w:color="auto" w:fill="C6D9F1" w:themeFill="text2" w:themeFillTint="33"/>
            <w:vAlign w:val="center"/>
          </w:tcPr>
          <w:p w14:paraId="46CAB55C" w14:textId="77777777" w:rsidR="0003760E" w:rsidRPr="0023146D" w:rsidRDefault="0003760E" w:rsidP="00867B04">
            <w:pPr>
              <w:pStyle w:val="TableText0"/>
              <w:jc w:val="center"/>
              <w:rPr>
                <w:b/>
                <w:bCs w:val="0"/>
              </w:rPr>
            </w:pPr>
            <w:r w:rsidRPr="0023146D">
              <w:rPr>
                <w:b/>
                <w:bCs w:val="0"/>
              </w:rPr>
              <w:t>Adjusted difference in proportion responding, maribavir – IAT (95% CI)</w:t>
            </w:r>
            <w:r w:rsidRPr="0023146D">
              <w:rPr>
                <w:b/>
                <w:bCs w:val="0"/>
                <w:vertAlign w:val="superscript"/>
              </w:rPr>
              <w:t>a</w:t>
            </w:r>
          </w:p>
        </w:tc>
      </w:tr>
      <w:tr w:rsidR="0003760E" w:rsidRPr="0023146D" w14:paraId="31B3E6D8" w14:textId="576FB1E4" w:rsidTr="00643944">
        <w:trPr>
          <w:cantSplit/>
        </w:trPr>
        <w:tc>
          <w:tcPr>
            <w:tcW w:w="5000" w:type="pct"/>
            <w:gridSpan w:val="4"/>
            <w:shd w:val="clear" w:color="auto" w:fill="C6D9F1" w:themeFill="text2" w:themeFillTint="33"/>
            <w:vAlign w:val="center"/>
          </w:tcPr>
          <w:p w14:paraId="766C3ED8" w14:textId="77777777" w:rsidR="0003760E" w:rsidRPr="0023146D" w:rsidRDefault="0003760E" w:rsidP="00867B04">
            <w:pPr>
              <w:pStyle w:val="TableText0"/>
            </w:pPr>
            <w:r w:rsidRPr="0023146D">
              <w:t>CMV viremia clearance at 8 wk</w:t>
            </w:r>
          </w:p>
        </w:tc>
      </w:tr>
      <w:tr w:rsidR="00255617" w:rsidRPr="0023146D" w14:paraId="7EE5E185" w14:textId="77777777" w:rsidTr="00E95F48">
        <w:trPr>
          <w:cantSplit/>
        </w:trPr>
        <w:tc>
          <w:tcPr>
            <w:tcW w:w="1716" w:type="pct"/>
            <w:shd w:val="clear" w:color="auto" w:fill="C6D9F1" w:themeFill="text2" w:themeFillTint="33"/>
            <w:vAlign w:val="center"/>
          </w:tcPr>
          <w:p w14:paraId="5DABC867" w14:textId="7D3A2BF0" w:rsidR="0003760E" w:rsidRPr="0023146D" w:rsidRDefault="0003760E" w:rsidP="00867B04">
            <w:pPr>
              <w:pStyle w:val="TableText0"/>
            </w:pPr>
            <w:r w:rsidRPr="0023146D">
              <w:t xml:space="preserve"> n (%)</w:t>
            </w:r>
          </w:p>
        </w:tc>
        <w:tc>
          <w:tcPr>
            <w:tcW w:w="993" w:type="pct"/>
            <w:shd w:val="clear" w:color="auto" w:fill="C6D9F1" w:themeFill="text2" w:themeFillTint="33"/>
            <w:vAlign w:val="center"/>
          </w:tcPr>
          <w:p w14:paraId="223412C1" w14:textId="77777777" w:rsidR="0003760E" w:rsidRPr="0023146D" w:rsidRDefault="0003760E" w:rsidP="00867B04">
            <w:pPr>
              <w:pStyle w:val="TableText0"/>
              <w:jc w:val="center"/>
            </w:pPr>
            <w:r w:rsidRPr="0023146D">
              <w:t>131 (55.7%)</w:t>
            </w:r>
          </w:p>
        </w:tc>
        <w:tc>
          <w:tcPr>
            <w:tcW w:w="882" w:type="pct"/>
            <w:shd w:val="clear" w:color="auto" w:fill="C6D9F1" w:themeFill="text2" w:themeFillTint="33"/>
            <w:vAlign w:val="center"/>
          </w:tcPr>
          <w:p w14:paraId="42C028D7" w14:textId="77777777" w:rsidR="0003760E" w:rsidRPr="0023146D" w:rsidRDefault="0003760E" w:rsidP="00867B04">
            <w:pPr>
              <w:pStyle w:val="TableText0"/>
              <w:jc w:val="center"/>
            </w:pPr>
            <w:r w:rsidRPr="0023146D">
              <w:t>28 (23.9%)</w:t>
            </w:r>
          </w:p>
        </w:tc>
        <w:tc>
          <w:tcPr>
            <w:tcW w:w="1409" w:type="pct"/>
            <w:shd w:val="clear" w:color="auto" w:fill="C6D9F1" w:themeFill="text2" w:themeFillTint="33"/>
            <w:vAlign w:val="center"/>
          </w:tcPr>
          <w:p w14:paraId="60EB98D2" w14:textId="77777777" w:rsidR="0003760E" w:rsidRPr="0023146D" w:rsidRDefault="0003760E" w:rsidP="00867B04">
            <w:pPr>
              <w:pStyle w:val="TableText0"/>
              <w:jc w:val="center"/>
              <w:rPr>
                <w:b/>
                <w:bCs w:val="0"/>
              </w:rPr>
            </w:pPr>
            <w:r w:rsidRPr="0023146D">
              <w:rPr>
                <w:b/>
                <w:bCs w:val="0"/>
              </w:rPr>
              <w:t>32.8 (22.8, 42.7)</w:t>
            </w:r>
          </w:p>
        </w:tc>
      </w:tr>
      <w:tr w:rsidR="0003760E" w:rsidRPr="0023146D" w14:paraId="0F70BCD0" w14:textId="0063E2E1" w:rsidTr="00643944">
        <w:trPr>
          <w:cantSplit/>
        </w:trPr>
        <w:tc>
          <w:tcPr>
            <w:tcW w:w="5000" w:type="pct"/>
            <w:gridSpan w:val="4"/>
            <w:shd w:val="clear" w:color="auto" w:fill="C6D9F1" w:themeFill="text2" w:themeFillTint="33"/>
            <w:vAlign w:val="center"/>
          </w:tcPr>
          <w:p w14:paraId="54099A49" w14:textId="77777777" w:rsidR="0003760E" w:rsidRPr="0023146D" w:rsidRDefault="0003760E" w:rsidP="00867B04">
            <w:pPr>
              <w:pStyle w:val="TableText0"/>
            </w:pPr>
            <w:r w:rsidRPr="0023146D">
              <w:t>CMV viremia clearance at any time during 8 wk treatment period</w:t>
            </w:r>
          </w:p>
        </w:tc>
      </w:tr>
      <w:tr w:rsidR="00255617" w:rsidRPr="0023146D" w14:paraId="5874FE5C" w14:textId="77777777" w:rsidTr="00E95F48">
        <w:trPr>
          <w:cantSplit/>
        </w:trPr>
        <w:tc>
          <w:tcPr>
            <w:tcW w:w="1716" w:type="pct"/>
            <w:shd w:val="clear" w:color="auto" w:fill="C6D9F1" w:themeFill="text2" w:themeFillTint="33"/>
            <w:vAlign w:val="center"/>
          </w:tcPr>
          <w:p w14:paraId="73082651" w14:textId="77777777" w:rsidR="0003760E" w:rsidRPr="0023146D" w:rsidRDefault="0003760E" w:rsidP="00867B04">
            <w:pPr>
              <w:pStyle w:val="TableText0"/>
            </w:pPr>
            <w:r w:rsidRPr="0023146D">
              <w:t>n (%)</w:t>
            </w:r>
          </w:p>
        </w:tc>
        <w:tc>
          <w:tcPr>
            <w:tcW w:w="993" w:type="pct"/>
            <w:shd w:val="clear" w:color="auto" w:fill="C6D9F1" w:themeFill="text2" w:themeFillTint="33"/>
            <w:vAlign w:val="center"/>
          </w:tcPr>
          <w:p w14:paraId="1AB2D874" w14:textId="77777777" w:rsidR="0003760E" w:rsidRPr="0023146D" w:rsidRDefault="0003760E" w:rsidP="00867B04">
            <w:pPr>
              <w:pStyle w:val="TableText0"/>
              <w:jc w:val="center"/>
            </w:pPr>
            <w:r w:rsidRPr="0023146D">
              <w:t>174 (74.0%)</w:t>
            </w:r>
          </w:p>
        </w:tc>
        <w:tc>
          <w:tcPr>
            <w:tcW w:w="882" w:type="pct"/>
            <w:shd w:val="clear" w:color="auto" w:fill="C6D9F1" w:themeFill="text2" w:themeFillTint="33"/>
            <w:vAlign w:val="center"/>
          </w:tcPr>
          <w:p w14:paraId="5A26AAB0" w14:textId="77777777" w:rsidR="0003760E" w:rsidRPr="0023146D" w:rsidRDefault="0003760E" w:rsidP="00867B04">
            <w:pPr>
              <w:pStyle w:val="TableText0"/>
              <w:jc w:val="center"/>
            </w:pPr>
            <w:r w:rsidRPr="0023146D">
              <w:t>61 (52.1%)</w:t>
            </w:r>
          </w:p>
        </w:tc>
        <w:tc>
          <w:tcPr>
            <w:tcW w:w="1409" w:type="pct"/>
            <w:shd w:val="clear" w:color="auto" w:fill="C6D9F1" w:themeFill="text2" w:themeFillTint="33"/>
            <w:vAlign w:val="center"/>
          </w:tcPr>
          <w:p w14:paraId="186F05E5" w14:textId="77777777" w:rsidR="0003760E" w:rsidRPr="0023146D" w:rsidRDefault="0003760E" w:rsidP="00867B04">
            <w:pPr>
              <w:pStyle w:val="Tabletext"/>
              <w:keepNext/>
              <w:jc w:val="center"/>
              <w:rPr>
                <w:b/>
              </w:rPr>
            </w:pPr>
            <w:r w:rsidRPr="0023146D">
              <w:rPr>
                <w:b/>
              </w:rPr>
              <w:t>23.6 (13.2, 33.9)</w:t>
            </w:r>
          </w:p>
        </w:tc>
      </w:tr>
      <w:tr w:rsidR="0003760E" w:rsidRPr="0023146D" w14:paraId="3D6E7FFA" w14:textId="338AFB93" w:rsidTr="00643944">
        <w:trPr>
          <w:cantSplit/>
        </w:trPr>
        <w:tc>
          <w:tcPr>
            <w:tcW w:w="5000" w:type="pct"/>
            <w:gridSpan w:val="4"/>
            <w:shd w:val="clear" w:color="auto" w:fill="C6D9F1" w:themeFill="text2" w:themeFillTint="33"/>
            <w:vAlign w:val="center"/>
          </w:tcPr>
          <w:p w14:paraId="1B4EE9DD" w14:textId="77777777" w:rsidR="0003760E" w:rsidRPr="0023146D" w:rsidRDefault="0003760E" w:rsidP="00867B04">
            <w:pPr>
              <w:pStyle w:val="TableText0"/>
            </w:pPr>
            <w:r w:rsidRPr="0023146D">
              <w:t>CMV viremia clearance and symptom resolution or no new symptoms at 8 wk and 16 wk</w:t>
            </w:r>
          </w:p>
        </w:tc>
      </w:tr>
      <w:tr w:rsidR="00255617" w:rsidRPr="0023146D" w14:paraId="26682408" w14:textId="77777777" w:rsidTr="00E95F48">
        <w:trPr>
          <w:cantSplit/>
        </w:trPr>
        <w:tc>
          <w:tcPr>
            <w:tcW w:w="1716" w:type="pct"/>
            <w:shd w:val="clear" w:color="auto" w:fill="C6D9F1" w:themeFill="text2" w:themeFillTint="33"/>
            <w:vAlign w:val="center"/>
          </w:tcPr>
          <w:p w14:paraId="5330789B" w14:textId="77777777" w:rsidR="0003760E" w:rsidRPr="0023146D" w:rsidRDefault="0003760E" w:rsidP="00867B04">
            <w:pPr>
              <w:pStyle w:val="TableText0"/>
            </w:pPr>
            <w:r w:rsidRPr="0023146D">
              <w:t>n (%)</w:t>
            </w:r>
          </w:p>
        </w:tc>
        <w:tc>
          <w:tcPr>
            <w:tcW w:w="993" w:type="pct"/>
            <w:shd w:val="clear" w:color="auto" w:fill="C6D9F1" w:themeFill="text2" w:themeFillTint="33"/>
            <w:vAlign w:val="center"/>
          </w:tcPr>
          <w:p w14:paraId="058FA389" w14:textId="77777777" w:rsidR="0003760E" w:rsidRPr="0023146D" w:rsidRDefault="0003760E" w:rsidP="00867B04">
            <w:pPr>
              <w:pStyle w:val="TableText0"/>
              <w:jc w:val="center"/>
            </w:pPr>
            <w:r w:rsidRPr="0023146D">
              <w:t>44 (18.7%)</w:t>
            </w:r>
          </w:p>
        </w:tc>
        <w:tc>
          <w:tcPr>
            <w:tcW w:w="882" w:type="pct"/>
            <w:shd w:val="clear" w:color="auto" w:fill="C6D9F1" w:themeFill="text2" w:themeFillTint="33"/>
            <w:vAlign w:val="center"/>
          </w:tcPr>
          <w:p w14:paraId="72816E59" w14:textId="77777777" w:rsidR="0003760E" w:rsidRPr="0023146D" w:rsidRDefault="0003760E" w:rsidP="00867B04">
            <w:pPr>
              <w:pStyle w:val="TableText0"/>
              <w:jc w:val="center"/>
            </w:pPr>
            <w:r w:rsidRPr="0023146D">
              <w:t>12 (10.3%)</w:t>
            </w:r>
          </w:p>
        </w:tc>
        <w:tc>
          <w:tcPr>
            <w:tcW w:w="1409" w:type="pct"/>
            <w:shd w:val="clear" w:color="auto" w:fill="C6D9F1" w:themeFill="text2" w:themeFillTint="33"/>
            <w:vAlign w:val="center"/>
          </w:tcPr>
          <w:p w14:paraId="6A733348" w14:textId="77777777" w:rsidR="0003760E" w:rsidRPr="0023146D" w:rsidRDefault="0003760E" w:rsidP="00867B04">
            <w:pPr>
              <w:pStyle w:val="TableText0"/>
              <w:jc w:val="center"/>
              <w:rPr>
                <w:b/>
              </w:rPr>
            </w:pPr>
            <w:r w:rsidRPr="0023146D">
              <w:rPr>
                <w:b/>
              </w:rPr>
              <w:t>9.5 (2.0, 16.9)</w:t>
            </w:r>
          </w:p>
        </w:tc>
      </w:tr>
      <w:tr w:rsidR="0003760E" w:rsidRPr="0023146D" w14:paraId="66BE0699" w14:textId="5210DE75" w:rsidTr="00643944">
        <w:trPr>
          <w:cantSplit/>
        </w:trPr>
        <w:tc>
          <w:tcPr>
            <w:tcW w:w="5000" w:type="pct"/>
            <w:gridSpan w:val="4"/>
            <w:shd w:val="clear" w:color="auto" w:fill="C6D9F1" w:themeFill="text2" w:themeFillTint="33"/>
            <w:vAlign w:val="center"/>
          </w:tcPr>
          <w:p w14:paraId="043B01BB" w14:textId="77777777" w:rsidR="0003760E" w:rsidRPr="0023146D" w:rsidRDefault="0003760E" w:rsidP="00867B04">
            <w:pPr>
              <w:pStyle w:val="TableText0"/>
            </w:pPr>
            <w:r w:rsidRPr="0023146D">
              <w:t>Improvement or resolution of symptoms of CMV disease at week 8 in patients with symptoms at baseline</w:t>
            </w:r>
          </w:p>
        </w:tc>
      </w:tr>
      <w:tr w:rsidR="00255617" w:rsidRPr="0023146D" w14:paraId="050B27EA" w14:textId="77777777" w:rsidTr="00E95F48">
        <w:trPr>
          <w:cantSplit/>
        </w:trPr>
        <w:tc>
          <w:tcPr>
            <w:tcW w:w="1716" w:type="pct"/>
            <w:shd w:val="clear" w:color="auto" w:fill="C6D9F1" w:themeFill="text2" w:themeFillTint="33"/>
            <w:vAlign w:val="center"/>
          </w:tcPr>
          <w:p w14:paraId="2310071B" w14:textId="77777777" w:rsidR="0003760E" w:rsidRPr="0023146D" w:rsidRDefault="0003760E" w:rsidP="00867B04">
            <w:pPr>
              <w:pStyle w:val="TableText0"/>
            </w:pPr>
            <w:r w:rsidRPr="0023146D">
              <w:t>n/N (%)</w:t>
            </w:r>
          </w:p>
        </w:tc>
        <w:tc>
          <w:tcPr>
            <w:tcW w:w="993" w:type="pct"/>
            <w:shd w:val="clear" w:color="auto" w:fill="C6D9F1" w:themeFill="text2" w:themeFillTint="33"/>
            <w:vAlign w:val="center"/>
          </w:tcPr>
          <w:p w14:paraId="38ED6363" w14:textId="77777777" w:rsidR="0003760E" w:rsidRPr="0023146D" w:rsidRDefault="0003760E" w:rsidP="00867B04">
            <w:pPr>
              <w:pStyle w:val="TableText0"/>
              <w:jc w:val="center"/>
            </w:pPr>
            <w:r w:rsidRPr="0023146D">
              <w:t>16/21 (76.2%)</w:t>
            </w:r>
          </w:p>
        </w:tc>
        <w:tc>
          <w:tcPr>
            <w:tcW w:w="882" w:type="pct"/>
            <w:shd w:val="clear" w:color="auto" w:fill="C6D9F1" w:themeFill="text2" w:themeFillTint="33"/>
            <w:vAlign w:val="center"/>
          </w:tcPr>
          <w:p w14:paraId="060A98DF" w14:textId="77777777" w:rsidR="0003760E" w:rsidRPr="0023146D" w:rsidRDefault="0003760E" w:rsidP="00867B04">
            <w:pPr>
              <w:pStyle w:val="TableText0"/>
              <w:jc w:val="center"/>
            </w:pPr>
            <w:r w:rsidRPr="0023146D">
              <w:t>5/8 (62.1%)</w:t>
            </w:r>
          </w:p>
        </w:tc>
        <w:tc>
          <w:tcPr>
            <w:tcW w:w="1409" w:type="pct"/>
            <w:shd w:val="clear" w:color="auto" w:fill="C6D9F1" w:themeFill="text2" w:themeFillTint="33"/>
            <w:vAlign w:val="center"/>
          </w:tcPr>
          <w:p w14:paraId="5F975690" w14:textId="77777777" w:rsidR="0003760E" w:rsidRPr="0023146D" w:rsidDel="00646EC6" w:rsidRDefault="0003760E" w:rsidP="00867B04">
            <w:pPr>
              <w:pStyle w:val="TableText0"/>
              <w:jc w:val="center"/>
              <w:rPr>
                <w:b/>
              </w:rPr>
            </w:pPr>
            <w:r w:rsidRPr="0023146D">
              <w:t>NR</w:t>
            </w:r>
          </w:p>
        </w:tc>
      </w:tr>
      <w:tr w:rsidR="0003760E" w:rsidRPr="0023146D" w14:paraId="5B6F0D1E" w14:textId="63B2FE0A" w:rsidTr="00643944">
        <w:trPr>
          <w:cantSplit/>
        </w:trPr>
        <w:tc>
          <w:tcPr>
            <w:tcW w:w="5000" w:type="pct"/>
            <w:gridSpan w:val="4"/>
            <w:shd w:val="clear" w:color="auto" w:fill="C6D9F1" w:themeFill="text2" w:themeFillTint="33"/>
            <w:vAlign w:val="center"/>
          </w:tcPr>
          <w:p w14:paraId="1806E43F" w14:textId="77777777" w:rsidR="0003760E" w:rsidRPr="0023146D" w:rsidRDefault="0003760E" w:rsidP="00867B04">
            <w:pPr>
              <w:pStyle w:val="TableText0"/>
            </w:pPr>
            <w:r w:rsidRPr="0023146D">
              <w:t>New onset symptomatic CMV disease to week 20 in patients asymptomatic at baseline</w:t>
            </w:r>
          </w:p>
        </w:tc>
      </w:tr>
      <w:tr w:rsidR="00255617" w:rsidRPr="0023146D" w14:paraId="03830DE1" w14:textId="77777777" w:rsidTr="00E95F48">
        <w:trPr>
          <w:cantSplit/>
        </w:trPr>
        <w:tc>
          <w:tcPr>
            <w:tcW w:w="1716" w:type="pct"/>
            <w:shd w:val="clear" w:color="auto" w:fill="C6D9F1" w:themeFill="text2" w:themeFillTint="33"/>
            <w:vAlign w:val="center"/>
          </w:tcPr>
          <w:p w14:paraId="4E5715A2" w14:textId="77777777" w:rsidR="0003760E" w:rsidRPr="0023146D" w:rsidRDefault="0003760E" w:rsidP="00867B04">
            <w:pPr>
              <w:pStyle w:val="TableText0"/>
            </w:pPr>
            <w:r w:rsidRPr="0023146D">
              <w:t>n (%)</w:t>
            </w:r>
          </w:p>
        </w:tc>
        <w:tc>
          <w:tcPr>
            <w:tcW w:w="993" w:type="pct"/>
            <w:shd w:val="clear" w:color="auto" w:fill="C6D9F1" w:themeFill="text2" w:themeFillTint="33"/>
            <w:vAlign w:val="center"/>
          </w:tcPr>
          <w:p w14:paraId="7DE5CA9B" w14:textId="77777777" w:rsidR="0003760E" w:rsidRPr="0023146D" w:rsidRDefault="0003760E" w:rsidP="00867B04">
            <w:pPr>
              <w:pStyle w:val="TableText0"/>
              <w:jc w:val="center"/>
            </w:pPr>
            <w:r w:rsidRPr="0023146D">
              <w:t>14 (6.0%)</w:t>
            </w:r>
          </w:p>
        </w:tc>
        <w:tc>
          <w:tcPr>
            <w:tcW w:w="882" w:type="pct"/>
            <w:shd w:val="clear" w:color="auto" w:fill="C6D9F1" w:themeFill="text2" w:themeFillTint="33"/>
            <w:vAlign w:val="center"/>
          </w:tcPr>
          <w:p w14:paraId="739A8594" w14:textId="77777777" w:rsidR="0003760E" w:rsidRPr="0023146D" w:rsidRDefault="0003760E" w:rsidP="00867B04">
            <w:pPr>
              <w:pStyle w:val="TableText0"/>
              <w:jc w:val="center"/>
            </w:pPr>
            <w:r w:rsidRPr="0023146D">
              <w:t>7 (6.0%)</w:t>
            </w:r>
          </w:p>
        </w:tc>
        <w:tc>
          <w:tcPr>
            <w:tcW w:w="1409" w:type="pct"/>
            <w:shd w:val="clear" w:color="auto" w:fill="C6D9F1" w:themeFill="text2" w:themeFillTint="33"/>
            <w:vAlign w:val="center"/>
          </w:tcPr>
          <w:p w14:paraId="0A0386EA" w14:textId="77777777" w:rsidR="0003760E" w:rsidRPr="0023146D" w:rsidDel="00646EC6" w:rsidRDefault="0003760E" w:rsidP="00867B04">
            <w:pPr>
              <w:pStyle w:val="TableText0"/>
              <w:jc w:val="center"/>
              <w:rPr>
                <w:b/>
              </w:rPr>
            </w:pPr>
            <w:r w:rsidRPr="0023146D">
              <w:t>NR</w:t>
            </w:r>
          </w:p>
        </w:tc>
      </w:tr>
      <w:tr w:rsidR="0003760E" w:rsidRPr="0023146D" w14:paraId="122A3C7C" w14:textId="292899B6" w:rsidTr="00643944">
        <w:trPr>
          <w:cantSplit/>
        </w:trPr>
        <w:tc>
          <w:tcPr>
            <w:tcW w:w="5000" w:type="pct"/>
            <w:gridSpan w:val="4"/>
            <w:shd w:val="clear" w:color="auto" w:fill="C6D9F1" w:themeFill="text2" w:themeFillTint="33"/>
            <w:vAlign w:val="center"/>
          </w:tcPr>
          <w:p w14:paraId="55B815D4" w14:textId="77777777" w:rsidR="0003760E" w:rsidRPr="0023146D" w:rsidRDefault="0003760E" w:rsidP="00867B04">
            <w:pPr>
              <w:pStyle w:val="TableText0"/>
            </w:pPr>
            <w:r w:rsidRPr="0023146D">
              <w:t>Recurrence of CMV viremia after clearance</w:t>
            </w:r>
          </w:p>
        </w:tc>
      </w:tr>
      <w:tr w:rsidR="00255617" w:rsidRPr="0023146D" w14:paraId="2FDA99D5" w14:textId="77777777" w:rsidTr="00E95F48">
        <w:trPr>
          <w:cantSplit/>
        </w:trPr>
        <w:tc>
          <w:tcPr>
            <w:tcW w:w="1716" w:type="pct"/>
            <w:shd w:val="clear" w:color="auto" w:fill="C6D9F1" w:themeFill="text2" w:themeFillTint="33"/>
            <w:vAlign w:val="center"/>
          </w:tcPr>
          <w:p w14:paraId="5329C1BE" w14:textId="3BB484B5" w:rsidR="0003760E" w:rsidRPr="0023146D" w:rsidRDefault="00643944" w:rsidP="00867B04">
            <w:pPr>
              <w:pStyle w:val="TableText0"/>
            </w:pPr>
            <w:r w:rsidRPr="0023146D">
              <w:t xml:space="preserve">   </w:t>
            </w:r>
            <w:r w:rsidR="0003760E" w:rsidRPr="0023146D">
              <w:t>During 8 wk treatment period, n/N (%)</w:t>
            </w:r>
          </w:p>
        </w:tc>
        <w:tc>
          <w:tcPr>
            <w:tcW w:w="993" w:type="pct"/>
            <w:shd w:val="clear" w:color="auto" w:fill="C6D9F1" w:themeFill="text2" w:themeFillTint="33"/>
            <w:vAlign w:val="center"/>
          </w:tcPr>
          <w:p w14:paraId="03FA79C2" w14:textId="1E8AC598" w:rsidR="0003760E" w:rsidRPr="0023146D" w:rsidRDefault="0003760E" w:rsidP="00867B04">
            <w:pPr>
              <w:pStyle w:val="TableText0"/>
              <w:jc w:val="center"/>
            </w:pPr>
            <w:r w:rsidRPr="0023146D">
              <w:t>33/1</w:t>
            </w:r>
            <w:r w:rsidR="00FA4E06" w:rsidRPr="0023146D">
              <w:t>8</w:t>
            </w:r>
            <w:r w:rsidRPr="0023146D">
              <w:t>4 (1</w:t>
            </w:r>
            <w:r w:rsidR="008C72A3" w:rsidRPr="0023146D">
              <w:t>7.</w:t>
            </w:r>
            <w:r w:rsidRPr="0023146D">
              <w:t>9%)</w:t>
            </w:r>
          </w:p>
        </w:tc>
        <w:tc>
          <w:tcPr>
            <w:tcW w:w="882" w:type="pct"/>
            <w:shd w:val="clear" w:color="auto" w:fill="C6D9F1" w:themeFill="text2" w:themeFillTint="33"/>
            <w:vAlign w:val="center"/>
          </w:tcPr>
          <w:p w14:paraId="3B1DB1E3" w14:textId="77777777" w:rsidR="0003760E" w:rsidRPr="0023146D" w:rsidRDefault="0003760E" w:rsidP="00867B04">
            <w:pPr>
              <w:pStyle w:val="TableText0"/>
              <w:jc w:val="center"/>
            </w:pPr>
            <w:r w:rsidRPr="0023146D">
              <w:t>8/61 (13.1%)</w:t>
            </w:r>
          </w:p>
        </w:tc>
        <w:tc>
          <w:tcPr>
            <w:tcW w:w="1409" w:type="pct"/>
            <w:shd w:val="clear" w:color="auto" w:fill="C6D9F1" w:themeFill="text2" w:themeFillTint="33"/>
            <w:vAlign w:val="center"/>
          </w:tcPr>
          <w:p w14:paraId="7D3E23F5" w14:textId="77777777" w:rsidR="0003760E" w:rsidRPr="0023146D" w:rsidRDefault="0003760E" w:rsidP="00867B04">
            <w:pPr>
              <w:pStyle w:val="TableText0"/>
              <w:jc w:val="center"/>
            </w:pPr>
            <w:r w:rsidRPr="0023146D">
              <w:t>NR</w:t>
            </w:r>
          </w:p>
        </w:tc>
      </w:tr>
      <w:tr w:rsidR="00255617" w:rsidRPr="0023146D" w14:paraId="40893A69" w14:textId="77777777" w:rsidTr="00E95F48">
        <w:trPr>
          <w:cantSplit/>
        </w:trPr>
        <w:tc>
          <w:tcPr>
            <w:tcW w:w="1716" w:type="pct"/>
            <w:shd w:val="clear" w:color="auto" w:fill="C6D9F1" w:themeFill="text2" w:themeFillTint="33"/>
            <w:vAlign w:val="center"/>
          </w:tcPr>
          <w:p w14:paraId="3AAF9937" w14:textId="4CCB1775" w:rsidR="0003760E" w:rsidRPr="0023146D" w:rsidRDefault="00643944" w:rsidP="00867B04">
            <w:pPr>
              <w:pStyle w:val="TableText0"/>
            </w:pPr>
            <w:r w:rsidRPr="0023146D">
              <w:t xml:space="preserve">   </w:t>
            </w:r>
            <w:r w:rsidR="0003760E" w:rsidRPr="0023146D">
              <w:t>After 8 wk treatment period, n/N (%)</w:t>
            </w:r>
          </w:p>
        </w:tc>
        <w:tc>
          <w:tcPr>
            <w:tcW w:w="993" w:type="pct"/>
            <w:shd w:val="clear" w:color="auto" w:fill="C6D9F1" w:themeFill="text2" w:themeFillTint="33"/>
            <w:vAlign w:val="center"/>
          </w:tcPr>
          <w:p w14:paraId="7D95B775" w14:textId="77777777" w:rsidR="0003760E" w:rsidRPr="0023146D" w:rsidRDefault="0003760E" w:rsidP="00867B04">
            <w:pPr>
              <w:pStyle w:val="TableText0"/>
              <w:jc w:val="center"/>
            </w:pPr>
            <w:r w:rsidRPr="0023146D">
              <w:t>71/184 (38.6%)</w:t>
            </w:r>
          </w:p>
        </w:tc>
        <w:tc>
          <w:tcPr>
            <w:tcW w:w="882" w:type="pct"/>
            <w:shd w:val="clear" w:color="auto" w:fill="C6D9F1" w:themeFill="text2" w:themeFillTint="33"/>
            <w:vAlign w:val="center"/>
          </w:tcPr>
          <w:p w14:paraId="73ABF398" w14:textId="77777777" w:rsidR="0003760E" w:rsidRPr="0023146D" w:rsidRDefault="0003760E" w:rsidP="00867B04">
            <w:pPr>
              <w:pStyle w:val="TableText0"/>
              <w:jc w:val="center"/>
            </w:pPr>
            <w:r w:rsidRPr="0023146D">
              <w:t>14/65 (21.5%)</w:t>
            </w:r>
          </w:p>
        </w:tc>
        <w:tc>
          <w:tcPr>
            <w:tcW w:w="1409" w:type="pct"/>
            <w:shd w:val="clear" w:color="auto" w:fill="C6D9F1" w:themeFill="text2" w:themeFillTint="33"/>
            <w:vAlign w:val="center"/>
          </w:tcPr>
          <w:p w14:paraId="26AD043C" w14:textId="77777777" w:rsidR="0003760E" w:rsidRPr="0023146D" w:rsidRDefault="0003760E" w:rsidP="00867B04">
            <w:pPr>
              <w:pStyle w:val="TableText0"/>
              <w:jc w:val="center"/>
            </w:pPr>
            <w:r w:rsidRPr="0023146D">
              <w:t>NR</w:t>
            </w:r>
          </w:p>
        </w:tc>
      </w:tr>
      <w:tr w:rsidR="00255617" w:rsidRPr="0023146D" w14:paraId="2493F8A9" w14:textId="77777777" w:rsidTr="00E95F48">
        <w:trPr>
          <w:cantSplit/>
        </w:trPr>
        <w:tc>
          <w:tcPr>
            <w:tcW w:w="1716" w:type="pct"/>
            <w:shd w:val="clear" w:color="auto" w:fill="auto"/>
            <w:vAlign w:val="center"/>
          </w:tcPr>
          <w:p w14:paraId="6B92B206" w14:textId="08C60638" w:rsidR="0003760E" w:rsidRPr="0023146D" w:rsidRDefault="00643944" w:rsidP="00867B04">
            <w:pPr>
              <w:pStyle w:val="TableText0"/>
            </w:pPr>
            <w:r w:rsidRPr="0023146D">
              <w:t xml:space="preserve">   </w:t>
            </w:r>
            <w:r w:rsidR="0003760E" w:rsidRPr="0023146D">
              <w:t>At any time during the study</w:t>
            </w:r>
          </w:p>
        </w:tc>
        <w:tc>
          <w:tcPr>
            <w:tcW w:w="993" w:type="pct"/>
            <w:shd w:val="clear" w:color="auto" w:fill="auto"/>
            <w:vAlign w:val="center"/>
          </w:tcPr>
          <w:p w14:paraId="75C46EE3" w14:textId="77777777" w:rsidR="0003760E" w:rsidRPr="0023146D" w:rsidRDefault="0003760E" w:rsidP="00867B04">
            <w:pPr>
              <w:pStyle w:val="TableText0"/>
              <w:jc w:val="center"/>
            </w:pPr>
            <w:r w:rsidRPr="0023146D">
              <w:t>104/184 (56.5%)</w:t>
            </w:r>
          </w:p>
        </w:tc>
        <w:tc>
          <w:tcPr>
            <w:tcW w:w="882" w:type="pct"/>
            <w:shd w:val="clear" w:color="auto" w:fill="auto"/>
            <w:vAlign w:val="center"/>
          </w:tcPr>
          <w:p w14:paraId="0BDEEB16" w14:textId="77777777" w:rsidR="0003760E" w:rsidRPr="0023146D" w:rsidRDefault="0003760E" w:rsidP="00867B04">
            <w:pPr>
              <w:pStyle w:val="TableText0"/>
              <w:jc w:val="center"/>
            </w:pPr>
            <w:r w:rsidRPr="0023146D">
              <w:t>22/65 (33.8%)</w:t>
            </w:r>
          </w:p>
        </w:tc>
        <w:tc>
          <w:tcPr>
            <w:tcW w:w="1409" w:type="pct"/>
            <w:shd w:val="clear" w:color="auto" w:fill="auto"/>
            <w:vAlign w:val="center"/>
          </w:tcPr>
          <w:p w14:paraId="01ED5EC6" w14:textId="77777777" w:rsidR="0003760E" w:rsidRPr="0023146D" w:rsidRDefault="0003760E" w:rsidP="00867B04">
            <w:pPr>
              <w:pStyle w:val="TableText0"/>
              <w:jc w:val="center"/>
            </w:pPr>
            <w:r w:rsidRPr="0023146D">
              <w:t>NR</w:t>
            </w:r>
          </w:p>
        </w:tc>
      </w:tr>
      <w:tr w:rsidR="00255617" w:rsidRPr="0023146D" w14:paraId="79469BE3" w14:textId="77777777" w:rsidTr="00E95F48">
        <w:trPr>
          <w:cantSplit/>
        </w:trPr>
        <w:tc>
          <w:tcPr>
            <w:tcW w:w="1716" w:type="pct"/>
            <w:shd w:val="clear" w:color="auto" w:fill="auto"/>
            <w:vAlign w:val="center"/>
          </w:tcPr>
          <w:p w14:paraId="5BB72BBF" w14:textId="4EC10E08" w:rsidR="0003760E" w:rsidRPr="0023146D" w:rsidRDefault="0003760E" w:rsidP="00867B04">
            <w:pPr>
              <w:pStyle w:val="TableText0"/>
            </w:pPr>
            <w:r w:rsidRPr="0023146D">
              <w:t xml:space="preserve">   </w:t>
            </w:r>
            <w:r w:rsidR="00643944" w:rsidRPr="0023146D">
              <w:t xml:space="preserve">   </w:t>
            </w:r>
            <w:r w:rsidRPr="0023146D">
              <w:t>Median (min, max), days</w:t>
            </w:r>
          </w:p>
        </w:tc>
        <w:tc>
          <w:tcPr>
            <w:tcW w:w="993" w:type="pct"/>
            <w:shd w:val="clear" w:color="auto" w:fill="auto"/>
            <w:vAlign w:val="center"/>
          </w:tcPr>
          <w:p w14:paraId="1D163078" w14:textId="77777777" w:rsidR="0003760E" w:rsidRPr="0023146D" w:rsidRDefault="0003760E" w:rsidP="00867B04">
            <w:pPr>
              <w:pStyle w:val="TableText0"/>
              <w:jc w:val="center"/>
            </w:pPr>
            <w:r w:rsidRPr="0023146D">
              <w:t>42.0 (14.0, 123.0)</w:t>
            </w:r>
          </w:p>
        </w:tc>
        <w:tc>
          <w:tcPr>
            <w:tcW w:w="882" w:type="pct"/>
            <w:shd w:val="clear" w:color="auto" w:fill="auto"/>
            <w:vAlign w:val="center"/>
          </w:tcPr>
          <w:p w14:paraId="774E20F1" w14:textId="77777777" w:rsidR="0003760E" w:rsidRPr="0023146D" w:rsidRDefault="0003760E" w:rsidP="00867B04">
            <w:pPr>
              <w:pStyle w:val="TableText0"/>
              <w:jc w:val="center"/>
            </w:pPr>
            <w:r w:rsidRPr="0023146D">
              <w:t>45.5 (16.0, 89.0)</w:t>
            </w:r>
          </w:p>
        </w:tc>
        <w:tc>
          <w:tcPr>
            <w:tcW w:w="1409" w:type="pct"/>
            <w:shd w:val="clear" w:color="auto" w:fill="auto"/>
            <w:vAlign w:val="center"/>
          </w:tcPr>
          <w:p w14:paraId="0B52A3FB" w14:textId="77777777" w:rsidR="0003760E" w:rsidRPr="0023146D" w:rsidRDefault="0003760E" w:rsidP="00867B04">
            <w:pPr>
              <w:pStyle w:val="TableText0"/>
              <w:jc w:val="center"/>
            </w:pPr>
            <w:r w:rsidRPr="0023146D">
              <w:t>NR</w:t>
            </w:r>
          </w:p>
        </w:tc>
      </w:tr>
      <w:tr w:rsidR="0003760E" w:rsidRPr="0023146D" w14:paraId="750A8959" w14:textId="2C38BD3F" w:rsidTr="00643944">
        <w:trPr>
          <w:cantSplit/>
        </w:trPr>
        <w:tc>
          <w:tcPr>
            <w:tcW w:w="5000" w:type="pct"/>
            <w:gridSpan w:val="4"/>
            <w:shd w:val="clear" w:color="auto" w:fill="auto"/>
            <w:vAlign w:val="center"/>
          </w:tcPr>
          <w:p w14:paraId="24D75CA9" w14:textId="69897986" w:rsidR="0003760E" w:rsidRPr="0023146D" w:rsidRDefault="0003760E" w:rsidP="00867B04">
            <w:pPr>
              <w:pStyle w:val="TableText0"/>
            </w:pPr>
            <w:r w:rsidRPr="0023146D">
              <w:t xml:space="preserve">Recurrence </w:t>
            </w:r>
            <w:r w:rsidR="006B02AA">
              <w:t xml:space="preserve">after week 8 </w:t>
            </w:r>
            <w:r w:rsidRPr="0023146D">
              <w:t>requiring alternative anti-CMV treatment (clinically relevant recurrence)</w:t>
            </w:r>
          </w:p>
        </w:tc>
      </w:tr>
      <w:tr w:rsidR="00255617" w:rsidRPr="0023146D" w14:paraId="429B4D19" w14:textId="77777777" w:rsidTr="00E95F48">
        <w:trPr>
          <w:cantSplit/>
        </w:trPr>
        <w:tc>
          <w:tcPr>
            <w:tcW w:w="1716" w:type="pct"/>
            <w:shd w:val="clear" w:color="auto" w:fill="auto"/>
            <w:vAlign w:val="center"/>
          </w:tcPr>
          <w:p w14:paraId="3043FFE3" w14:textId="77777777" w:rsidR="0003760E" w:rsidRPr="0023146D" w:rsidRDefault="0003760E" w:rsidP="00867B04">
            <w:pPr>
              <w:pStyle w:val="TableText0"/>
            </w:pPr>
            <w:r w:rsidRPr="0023146D">
              <w:t xml:space="preserve">   n/N (%)</w:t>
            </w:r>
          </w:p>
        </w:tc>
        <w:tc>
          <w:tcPr>
            <w:tcW w:w="993" w:type="pct"/>
            <w:shd w:val="clear" w:color="auto" w:fill="auto"/>
            <w:vAlign w:val="center"/>
          </w:tcPr>
          <w:p w14:paraId="3BBC7850" w14:textId="1AC23AA7" w:rsidR="0003760E" w:rsidRPr="0023146D" w:rsidRDefault="0003760E" w:rsidP="00867B04">
            <w:pPr>
              <w:pStyle w:val="TableText0"/>
              <w:jc w:val="center"/>
            </w:pPr>
            <w:r w:rsidRPr="0023146D">
              <w:t>34/131 (26.0</w:t>
            </w:r>
            <w:r w:rsidR="006B02AA">
              <w:t>%</w:t>
            </w:r>
            <w:r w:rsidRPr="0023146D">
              <w:t>)</w:t>
            </w:r>
          </w:p>
        </w:tc>
        <w:tc>
          <w:tcPr>
            <w:tcW w:w="882" w:type="pct"/>
            <w:shd w:val="clear" w:color="auto" w:fill="auto"/>
            <w:vAlign w:val="center"/>
          </w:tcPr>
          <w:p w14:paraId="48606E87" w14:textId="77777777" w:rsidR="0003760E" w:rsidRPr="0023146D" w:rsidRDefault="0003760E" w:rsidP="00867B04">
            <w:pPr>
              <w:pStyle w:val="TableText0"/>
              <w:jc w:val="center"/>
            </w:pPr>
            <w:r w:rsidRPr="0023146D">
              <w:t>10/28 (35.7%)</w:t>
            </w:r>
          </w:p>
        </w:tc>
        <w:tc>
          <w:tcPr>
            <w:tcW w:w="1409" w:type="pct"/>
            <w:shd w:val="clear" w:color="auto" w:fill="auto"/>
            <w:vAlign w:val="center"/>
          </w:tcPr>
          <w:p w14:paraId="367D063D" w14:textId="77777777" w:rsidR="0003760E" w:rsidRPr="0023146D" w:rsidRDefault="0003760E" w:rsidP="00867B04">
            <w:pPr>
              <w:pStyle w:val="TableText0"/>
              <w:jc w:val="center"/>
            </w:pPr>
            <w:r w:rsidRPr="0023146D">
              <w:t>NR</w:t>
            </w:r>
          </w:p>
        </w:tc>
      </w:tr>
      <w:tr w:rsidR="00255617" w:rsidRPr="0023146D" w14:paraId="46B20FB5" w14:textId="77777777" w:rsidTr="00E95F48">
        <w:trPr>
          <w:cantSplit/>
        </w:trPr>
        <w:tc>
          <w:tcPr>
            <w:tcW w:w="1716" w:type="pct"/>
            <w:shd w:val="clear" w:color="auto" w:fill="auto"/>
            <w:vAlign w:val="center"/>
          </w:tcPr>
          <w:p w14:paraId="4E19D633" w14:textId="0BF0D2B3" w:rsidR="0003760E" w:rsidRPr="0023146D" w:rsidRDefault="0003760E" w:rsidP="00867B04">
            <w:pPr>
              <w:pStyle w:val="TableText0"/>
            </w:pPr>
            <w:r w:rsidRPr="0023146D">
              <w:t xml:space="preserve">   Median (min, max), days</w:t>
            </w:r>
          </w:p>
        </w:tc>
        <w:tc>
          <w:tcPr>
            <w:tcW w:w="993" w:type="pct"/>
            <w:shd w:val="clear" w:color="auto" w:fill="auto"/>
            <w:vAlign w:val="center"/>
          </w:tcPr>
          <w:p w14:paraId="503B35EC" w14:textId="77777777" w:rsidR="0003760E" w:rsidRPr="0023146D" w:rsidRDefault="0003760E" w:rsidP="00867B04">
            <w:pPr>
              <w:pStyle w:val="TableText0"/>
              <w:jc w:val="center"/>
            </w:pPr>
            <w:r w:rsidRPr="0023146D">
              <w:t>20.5 (13.0, 80.0)</w:t>
            </w:r>
          </w:p>
        </w:tc>
        <w:tc>
          <w:tcPr>
            <w:tcW w:w="882" w:type="pct"/>
            <w:shd w:val="clear" w:color="auto" w:fill="auto"/>
            <w:vAlign w:val="center"/>
          </w:tcPr>
          <w:p w14:paraId="0A907EF2" w14:textId="77777777" w:rsidR="0003760E" w:rsidRPr="0023146D" w:rsidRDefault="0003760E" w:rsidP="00867B04">
            <w:pPr>
              <w:pStyle w:val="TableText0"/>
              <w:jc w:val="center"/>
            </w:pPr>
            <w:r w:rsidRPr="0023146D">
              <w:t>22.0 (14.0, 36.0)</w:t>
            </w:r>
          </w:p>
        </w:tc>
        <w:tc>
          <w:tcPr>
            <w:tcW w:w="1409" w:type="pct"/>
            <w:shd w:val="clear" w:color="auto" w:fill="auto"/>
            <w:vAlign w:val="center"/>
          </w:tcPr>
          <w:p w14:paraId="6462C614" w14:textId="77777777" w:rsidR="0003760E" w:rsidRPr="0023146D" w:rsidRDefault="0003760E" w:rsidP="00867B04">
            <w:pPr>
              <w:pStyle w:val="TableText0"/>
              <w:jc w:val="center"/>
            </w:pPr>
            <w:r w:rsidRPr="0023146D">
              <w:t>NR</w:t>
            </w:r>
          </w:p>
        </w:tc>
      </w:tr>
      <w:tr w:rsidR="0003760E" w:rsidRPr="0023146D" w14:paraId="0E85C025" w14:textId="1F731BA8" w:rsidTr="00643944">
        <w:trPr>
          <w:cantSplit/>
        </w:trPr>
        <w:tc>
          <w:tcPr>
            <w:tcW w:w="5000" w:type="pct"/>
            <w:gridSpan w:val="4"/>
            <w:shd w:val="clear" w:color="auto" w:fill="C6D9F1" w:themeFill="text2" w:themeFillTint="33"/>
            <w:vAlign w:val="center"/>
          </w:tcPr>
          <w:p w14:paraId="38116613" w14:textId="77777777" w:rsidR="0003760E" w:rsidRPr="0023146D" w:rsidRDefault="0003760E" w:rsidP="00867B04">
            <w:pPr>
              <w:pStyle w:val="TableText0"/>
            </w:pPr>
            <w:r w:rsidRPr="0023146D">
              <w:t>CMV viremia clearance at 8 wk by baseline resistance to ganciclovir, foscarnet, or cidofovir</w:t>
            </w:r>
          </w:p>
        </w:tc>
      </w:tr>
      <w:tr w:rsidR="00255617" w:rsidRPr="0023146D" w14:paraId="758D3990" w14:textId="77777777" w:rsidTr="00E95F48">
        <w:trPr>
          <w:cantSplit/>
        </w:trPr>
        <w:tc>
          <w:tcPr>
            <w:tcW w:w="1716" w:type="pct"/>
            <w:shd w:val="clear" w:color="auto" w:fill="C6D9F1" w:themeFill="text2" w:themeFillTint="33"/>
            <w:vAlign w:val="center"/>
          </w:tcPr>
          <w:p w14:paraId="3C290BBB" w14:textId="77777777" w:rsidR="0003760E" w:rsidRPr="0023146D" w:rsidRDefault="0003760E" w:rsidP="00867B04">
            <w:pPr>
              <w:pStyle w:val="TableText0"/>
            </w:pPr>
            <w:r w:rsidRPr="0023146D">
              <w:t>Patients with resistant CMV responding, n/N (%)</w:t>
            </w:r>
          </w:p>
        </w:tc>
        <w:tc>
          <w:tcPr>
            <w:tcW w:w="993" w:type="pct"/>
            <w:shd w:val="clear" w:color="auto" w:fill="C6D9F1" w:themeFill="text2" w:themeFillTint="33"/>
            <w:vAlign w:val="center"/>
          </w:tcPr>
          <w:p w14:paraId="0DB3D8EE" w14:textId="77777777" w:rsidR="0003760E" w:rsidRPr="0023146D" w:rsidRDefault="0003760E" w:rsidP="00867B04">
            <w:pPr>
              <w:pStyle w:val="TableText0"/>
              <w:jc w:val="center"/>
            </w:pPr>
            <w:r w:rsidRPr="0023146D">
              <w:t>76/121 (62.8%)</w:t>
            </w:r>
          </w:p>
        </w:tc>
        <w:tc>
          <w:tcPr>
            <w:tcW w:w="882" w:type="pct"/>
            <w:shd w:val="clear" w:color="auto" w:fill="C6D9F1" w:themeFill="text2" w:themeFillTint="33"/>
            <w:vAlign w:val="center"/>
          </w:tcPr>
          <w:p w14:paraId="4795EDB0" w14:textId="77777777" w:rsidR="0003760E" w:rsidRPr="0023146D" w:rsidRDefault="0003760E" w:rsidP="00867B04">
            <w:pPr>
              <w:pStyle w:val="TableText0"/>
              <w:jc w:val="center"/>
            </w:pPr>
            <w:r w:rsidRPr="0023146D">
              <w:t>14/69 (20.3%)</w:t>
            </w:r>
          </w:p>
        </w:tc>
        <w:tc>
          <w:tcPr>
            <w:tcW w:w="1409" w:type="pct"/>
            <w:shd w:val="clear" w:color="auto" w:fill="C6D9F1" w:themeFill="text2" w:themeFillTint="33"/>
            <w:vAlign w:val="center"/>
          </w:tcPr>
          <w:p w14:paraId="5DCC60DD" w14:textId="77777777" w:rsidR="0003760E" w:rsidRPr="0023146D" w:rsidRDefault="0003760E" w:rsidP="00867B04">
            <w:pPr>
              <w:pStyle w:val="TableText0"/>
              <w:jc w:val="center"/>
            </w:pPr>
            <w:r w:rsidRPr="0023146D">
              <w:t>NR</w:t>
            </w:r>
          </w:p>
        </w:tc>
      </w:tr>
      <w:tr w:rsidR="00255617" w:rsidRPr="0023146D" w14:paraId="15CA7D92" w14:textId="77777777" w:rsidTr="00E95F48">
        <w:trPr>
          <w:cantSplit/>
        </w:trPr>
        <w:tc>
          <w:tcPr>
            <w:tcW w:w="1716" w:type="pct"/>
            <w:shd w:val="clear" w:color="auto" w:fill="C6D9F1" w:themeFill="text2" w:themeFillTint="33"/>
            <w:vAlign w:val="center"/>
          </w:tcPr>
          <w:p w14:paraId="45E6379B" w14:textId="77777777" w:rsidR="0003760E" w:rsidRPr="0023146D" w:rsidRDefault="0003760E" w:rsidP="00867B04">
            <w:pPr>
              <w:pStyle w:val="TableText0"/>
            </w:pPr>
            <w:r w:rsidRPr="0023146D">
              <w:t>Patients without resistant CMV responding, n/N (%)</w:t>
            </w:r>
          </w:p>
        </w:tc>
        <w:tc>
          <w:tcPr>
            <w:tcW w:w="993" w:type="pct"/>
            <w:shd w:val="clear" w:color="auto" w:fill="C6D9F1" w:themeFill="text2" w:themeFillTint="33"/>
            <w:vAlign w:val="center"/>
          </w:tcPr>
          <w:p w14:paraId="2BF01D89" w14:textId="77777777" w:rsidR="0003760E" w:rsidRPr="0023146D" w:rsidRDefault="0003760E" w:rsidP="00867B04">
            <w:pPr>
              <w:pStyle w:val="TableText0"/>
              <w:jc w:val="center"/>
            </w:pPr>
            <w:r w:rsidRPr="0023146D">
              <w:t>42/96 (43.8%)</w:t>
            </w:r>
          </w:p>
        </w:tc>
        <w:tc>
          <w:tcPr>
            <w:tcW w:w="882" w:type="pct"/>
            <w:shd w:val="clear" w:color="auto" w:fill="C6D9F1" w:themeFill="text2" w:themeFillTint="33"/>
            <w:vAlign w:val="center"/>
          </w:tcPr>
          <w:p w14:paraId="35A9DDA6" w14:textId="77777777" w:rsidR="0003760E" w:rsidRPr="0023146D" w:rsidRDefault="0003760E" w:rsidP="00867B04">
            <w:pPr>
              <w:pStyle w:val="TableText0"/>
              <w:jc w:val="center"/>
            </w:pPr>
            <w:r w:rsidRPr="0023146D">
              <w:t>11/34 (32.4%)</w:t>
            </w:r>
          </w:p>
        </w:tc>
        <w:tc>
          <w:tcPr>
            <w:tcW w:w="1409" w:type="pct"/>
            <w:shd w:val="clear" w:color="auto" w:fill="C6D9F1" w:themeFill="text2" w:themeFillTint="33"/>
            <w:vAlign w:val="center"/>
          </w:tcPr>
          <w:p w14:paraId="50A8EAB7" w14:textId="77777777" w:rsidR="0003760E" w:rsidRPr="0023146D" w:rsidRDefault="0003760E" w:rsidP="00867B04">
            <w:pPr>
              <w:pStyle w:val="TableText0"/>
              <w:jc w:val="center"/>
            </w:pPr>
            <w:r w:rsidRPr="0023146D">
              <w:t>NR</w:t>
            </w:r>
          </w:p>
        </w:tc>
      </w:tr>
      <w:tr w:rsidR="0003760E" w:rsidRPr="0023146D" w14:paraId="78E4607B" w14:textId="0050C422" w:rsidTr="00643944">
        <w:trPr>
          <w:cantSplit/>
        </w:trPr>
        <w:tc>
          <w:tcPr>
            <w:tcW w:w="5000" w:type="pct"/>
            <w:gridSpan w:val="4"/>
            <w:shd w:val="clear" w:color="auto" w:fill="C6D9F1" w:themeFill="text2" w:themeFillTint="33"/>
            <w:vAlign w:val="center"/>
          </w:tcPr>
          <w:p w14:paraId="1440114D" w14:textId="77777777" w:rsidR="0003760E" w:rsidRPr="0023146D" w:rsidRDefault="0003760E" w:rsidP="00867B04">
            <w:pPr>
              <w:pStyle w:val="TableText0"/>
            </w:pPr>
            <w:r w:rsidRPr="0023146D">
              <w:t>CMV viremia clearance at 8 wk when maribavir RAS developed on treatment</w:t>
            </w:r>
          </w:p>
        </w:tc>
      </w:tr>
      <w:tr w:rsidR="00255617" w:rsidRPr="0023146D" w14:paraId="1A833082" w14:textId="77777777" w:rsidTr="00E95F48">
        <w:trPr>
          <w:cantSplit/>
        </w:trPr>
        <w:tc>
          <w:tcPr>
            <w:tcW w:w="1716" w:type="pct"/>
            <w:shd w:val="clear" w:color="auto" w:fill="C6D9F1" w:themeFill="text2" w:themeFillTint="33"/>
            <w:vAlign w:val="center"/>
          </w:tcPr>
          <w:p w14:paraId="6C5640A6" w14:textId="77777777" w:rsidR="0003760E" w:rsidRPr="0023146D" w:rsidRDefault="0003760E" w:rsidP="00867B04">
            <w:pPr>
              <w:pStyle w:val="TableText0"/>
            </w:pPr>
            <w:r w:rsidRPr="0023146D">
              <w:t xml:space="preserve">Patients responding with resistant CMV, n/N (%), </w:t>
            </w:r>
          </w:p>
        </w:tc>
        <w:tc>
          <w:tcPr>
            <w:tcW w:w="993" w:type="pct"/>
            <w:shd w:val="clear" w:color="auto" w:fill="C6D9F1" w:themeFill="text2" w:themeFillTint="33"/>
            <w:vAlign w:val="center"/>
          </w:tcPr>
          <w:p w14:paraId="43FB04C9" w14:textId="77777777" w:rsidR="0003760E" w:rsidRPr="0023146D" w:rsidRDefault="0003760E" w:rsidP="00867B04">
            <w:pPr>
              <w:pStyle w:val="TableText0"/>
              <w:jc w:val="center"/>
            </w:pPr>
            <w:r w:rsidRPr="0023146D">
              <w:t>1/42 (2.4%)</w:t>
            </w:r>
          </w:p>
        </w:tc>
        <w:tc>
          <w:tcPr>
            <w:tcW w:w="882" w:type="pct"/>
            <w:shd w:val="clear" w:color="auto" w:fill="C6D9F1" w:themeFill="text2" w:themeFillTint="33"/>
            <w:vAlign w:val="center"/>
          </w:tcPr>
          <w:p w14:paraId="0FF35CD4" w14:textId="77777777" w:rsidR="0003760E" w:rsidRPr="0023146D" w:rsidRDefault="0003760E" w:rsidP="00867B04">
            <w:pPr>
              <w:pStyle w:val="TableText0"/>
              <w:jc w:val="center"/>
            </w:pPr>
            <w:r w:rsidRPr="0023146D">
              <w:t>NA</w:t>
            </w:r>
          </w:p>
        </w:tc>
        <w:tc>
          <w:tcPr>
            <w:tcW w:w="1409" w:type="pct"/>
            <w:shd w:val="clear" w:color="auto" w:fill="C6D9F1" w:themeFill="text2" w:themeFillTint="33"/>
            <w:vAlign w:val="center"/>
          </w:tcPr>
          <w:p w14:paraId="063CE146" w14:textId="77777777" w:rsidR="0003760E" w:rsidRPr="0023146D" w:rsidRDefault="0003760E" w:rsidP="00867B04">
            <w:pPr>
              <w:pStyle w:val="TableText0"/>
              <w:jc w:val="center"/>
            </w:pPr>
            <w:r w:rsidRPr="0023146D">
              <w:t>NA</w:t>
            </w:r>
          </w:p>
        </w:tc>
      </w:tr>
    </w:tbl>
    <w:p w14:paraId="753B4192" w14:textId="77777777" w:rsidR="0094513C" w:rsidRPr="0023146D" w:rsidRDefault="0094513C" w:rsidP="00867B04">
      <w:pPr>
        <w:pStyle w:val="TableFooter"/>
        <w:keepNext/>
        <w:rPr>
          <w:rFonts w:eastAsiaTheme="majorEastAsia"/>
        </w:rPr>
      </w:pPr>
      <w:r w:rsidRPr="0023146D">
        <w:t xml:space="preserve">Source: </w:t>
      </w:r>
      <w:r w:rsidRPr="0023146D">
        <w:rPr>
          <w:rFonts w:eastAsiaTheme="majorEastAsia"/>
        </w:rPr>
        <w:t>Table 8, maribavir, Public Summary Document, November 2023 PBAC meeting. P182 of the SOLSTICE clinical study report.</w:t>
      </w:r>
    </w:p>
    <w:p w14:paraId="7D4F7D0A" w14:textId="264FC909" w:rsidR="0094513C" w:rsidRPr="0023146D" w:rsidRDefault="0094513C" w:rsidP="00867B04">
      <w:pPr>
        <w:pStyle w:val="TableFigureFooter"/>
      </w:pPr>
      <w:r w:rsidRPr="0023146D">
        <w:t xml:space="preserve">CI = confidence interval; CMV = cytomegalovirus; HSCT = haemopoietic stem cell transplant; IAT = </w:t>
      </w:r>
      <w:bookmarkStart w:id="32" w:name="_Hlk176021564"/>
      <w:r w:rsidRPr="0023146D">
        <w:t>investigator assigned treatment</w:t>
      </w:r>
      <w:bookmarkEnd w:id="32"/>
      <w:r w:rsidRPr="0023146D">
        <w:t>; HR = hazard ratio; NA = not applicable; NR = not reported;</w:t>
      </w:r>
      <w:r w:rsidR="000D26BE" w:rsidRPr="0023146D">
        <w:t xml:space="preserve"> </w:t>
      </w:r>
      <w:r w:rsidRPr="0023146D">
        <w:t>RAS = resistance associated amino acid substitution; SOT = solid organ transplant; wk = week</w:t>
      </w:r>
    </w:p>
    <w:p w14:paraId="0BB97CFB" w14:textId="77777777" w:rsidR="0035146F" w:rsidRPr="0023146D" w:rsidRDefault="0094513C" w:rsidP="00867B04">
      <w:pPr>
        <w:pStyle w:val="FooterTableFigure"/>
        <w:keepNext/>
        <w:rPr>
          <w:szCs w:val="20"/>
        </w:rPr>
      </w:pPr>
      <w:r w:rsidRPr="0023146D">
        <w:rPr>
          <w:b/>
          <w:bCs/>
        </w:rPr>
        <w:t>Bold</w:t>
      </w:r>
      <w:r w:rsidRPr="0023146D">
        <w:t xml:space="preserve"> indicates statistically significant results.</w:t>
      </w:r>
      <w:r w:rsidR="0035146F" w:rsidRPr="0023146D">
        <w:rPr>
          <w:szCs w:val="20"/>
        </w:rPr>
        <w:t xml:space="preserve"> </w:t>
      </w:r>
    </w:p>
    <w:p w14:paraId="41E3003B" w14:textId="14A7FD9F" w:rsidR="0035146F" w:rsidRPr="0023146D" w:rsidRDefault="0035146F" w:rsidP="00867B04">
      <w:pPr>
        <w:pStyle w:val="FooterTableFigure"/>
        <w:keepNext/>
        <w:spacing w:after="0"/>
        <w:rPr>
          <w:sz w:val="16"/>
          <w:szCs w:val="20"/>
        </w:rPr>
      </w:pPr>
      <w:r w:rsidRPr="0023146D">
        <w:rPr>
          <w:szCs w:val="20"/>
        </w:rPr>
        <w:t>Data in blue-shade are those previously seen by the PBAC.</w:t>
      </w:r>
    </w:p>
    <w:p w14:paraId="6B50B33F" w14:textId="77777777" w:rsidR="0094513C" w:rsidRPr="0023146D" w:rsidRDefault="0094513C" w:rsidP="006B02AA">
      <w:pPr>
        <w:pStyle w:val="TableFooter"/>
        <w:tabs>
          <w:tab w:val="left" w:pos="142"/>
        </w:tabs>
        <w:spacing w:after="120"/>
        <w:ind w:left="142" w:hanging="142"/>
      </w:pPr>
      <w:r w:rsidRPr="0023146D">
        <w:rPr>
          <w:vertAlign w:val="superscript"/>
        </w:rPr>
        <w:t>a</w:t>
      </w:r>
      <w:r w:rsidRPr="0023146D">
        <w:rPr>
          <w:vertAlign w:val="superscript"/>
        </w:rPr>
        <w:tab/>
      </w:r>
      <w:r w:rsidRPr="0023146D">
        <w:t xml:space="preserve">Adjusted for transplant type (SOT vs HSCT) and baseline CMV load. </w:t>
      </w:r>
    </w:p>
    <w:p w14:paraId="059CA2F7" w14:textId="1CFB29FD" w:rsidR="0075487C" w:rsidRPr="00706C34" w:rsidRDefault="0079579A">
      <w:pPr>
        <w:pStyle w:val="3-BodyText"/>
      </w:pPr>
      <w:r w:rsidRPr="0023146D">
        <w:t>The ESC previously noted that m</w:t>
      </w:r>
      <w:r w:rsidR="00AC389A" w:rsidRPr="0023146D">
        <w:t xml:space="preserve">aribavir may have been less effective in patients with </w:t>
      </w:r>
      <w:r w:rsidR="00BA509A" w:rsidRPr="0023146D">
        <w:t xml:space="preserve">a </w:t>
      </w:r>
      <w:r w:rsidR="00AC389A" w:rsidRPr="0023146D">
        <w:t>higher viral load (para 6.28, maribavir PSD, November 2023 PBAC meeting).</w:t>
      </w:r>
      <w:r w:rsidR="00271C96" w:rsidRPr="0023146D">
        <w:t xml:space="preserve"> </w:t>
      </w:r>
      <w:r w:rsidR="00AC389A" w:rsidRPr="0023146D">
        <w:t xml:space="preserve">The resubmission stated that high viral load is a risk factor for poor outcomes and development of resistance to all antiviral agents. The resubmission reiterated </w:t>
      </w:r>
      <w:r w:rsidR="006B542C" w:rsidRPr="0023146D">
        <w:t xml:space="preserve">the </w:t>
      </w:r>
      <w:r w:rsidR="00AC389A" w:rsidRPr="0023146D">
        <w:t xml:space="preserve">results from SOLSTICE emphasising </w:t>
      </w:r>
      <w:r w:rsidR="006B542C" w:rsidRPr="0023146D">
        <w:t xml:space="preserve">that </w:t>
      </w:r>
      <w:r w:rsidR="00AC389A" w:rsidRPr="0023146D">
        <w:t>maribavir is superior compared to IAT regardless of viral load at baseline</w:t>
      </w:r>
      <w:r w:rsidR="00AC389A" w:rsidRPr="00F57F1D">
        <w:rPr>
          <w:i/>
          <w:iCs/>
        </w:rPr>
        <w:t xml:space="preserve">. </w:t>
      </w:r>
      <w:r w:rsidR="00FE5043" w:rsidRPr="00706C34">
        <w:t>The evaluation note</w:t>
      </w:r>
      <w:r w:rsidR="006B02AA">
        <w:t>d</w:t>
      </w:r>
      <w:r w:rsidR="00FE5043" w:rsidRPr="00706C34">
        <w:t xml:space="preserve"> </w:t>
      </w:r>
      <w:r w:rsidR="007C5842" w:rsidRPr="00706C34">
        <w:t xml:space="preserve">a </w:t>
      </w:r>
      <w:r w:rsidR="00FE5043" w:rsidRPr="00706C34">
        <w:t>clearance</w:t>
      </w:r>
      <w:r w:rsidR="008A4C44" w:rsidRPr="00706C34">
        <w:t xml:space="preserve"> effect</w:t>
      </w:r>
      <w:r w:rsidR="00A01F0A" w:rsidRPr="00706C34">
        <w:t xml:space="preserve"> of 37.4% (95% confidence interval; CI: 25.41%, 49.37%) </w:t>
      </w:r>
      <w:r w:rsidR="00FE5043" w:rsidRPr="00706C34">
        <w:t>for the low viral</w:t>
      </w:r>
      <w:r w:rsidR="00AC389A" w:rsidRPr="00706C34">
        <w:t xml:space="preserve"> load</w:t>
      </w:r>
      <w:r w:rsidR="0075487C" w:rsidRPr="00706C34">
        <w:t xml:space="preserve"> subgroup</w:t>
      </w:r>
      <w:r w:rsidR="00CE6542" w:rsidRPr="00706C34">
        <w:t xml:space="preserve"> </w:t>
      </w:r>
      <w:r w:rsidR="000D0378" w:rsidRPr="00706C34">
        <w:t xml:space="preserve">compared </w:t>
      </w:r>
      <w:r w:rsidR="00CE6542" w:rsidRPr="00706C34">
        <w:t>to</w:t>
      </w:r>
      <w:r w:rsidR="000D0378" w:rsidRPr="00706C34">
        <w:t xml:space="preserve"> </w:t>
      </w:r>
      <w:r w:rsidR="0075487C" w:rsidRPr="00706C34">
        <w:t>21.8% (95% CI: 3.93%, 39.67%) for the intermediate/high subgroup</w:t>
      </w:r>
      <w:r w:rsidR="006B549F" w:rsidRPr="00706C34">
        <w:t>,</w:t>
      </w:r>
      <w:r w:rsidR="00190ABA" w:rsidRPr="00706C34">
        <w:t xml:space="preserve"> suggest</w:t>
      </w:r>
      <w:r w:rsidR="006B549F" w:rsidRPr="00706C34">
        <w:t>ing</w:t>
      </w:r>
      <w:r w:rsidR="00190ABA" w:rsidRPr="00706C34">
        <w:t xml:space="preserve"> a potential difference</w:t>
      </w:r>
      <w:r w:rsidR="00060B0D" w:rsidRPr="00706C34">
        <w:t xml:space="preserve"> (noting the overlap in CI)</w:t>
      </w:r>
      <w:r w:rsidR="0075487C" w:rsidRPr="00706C34">
        <w:t xml:space="preserve">. </w:t>
      </w:r>
      <w:r w:rsidR="0024763E" w:rsidRPr="00706C34">
        <w:t>A</w:t>
      </w:r>
      <w:r w:rsidR="00400C29" w:rsidRPr="00706C34">
        <w:t xml:space="preserve"> formal </w:t>
      </w:r>
      <w:r w:rsidR="0058361C" w:rsidRPr="00706C34">
        <w:t xml:space="preserve">treatment by </w:t>
      </w:r>
      <w:r w:rsidR="00400C29" w:rsidRPr="00706C34">
        <w:t xml:space="preserve">subgroup </w:t>
      </w:r>
      <w:r w:rsidR="0075487C" w:rsidRPr="00706C34">
        <w:t xml:space="preserve">interaction </w:t>
      </w:r>
      <w:r w:rsidR="006F6164" w:rsidRPr="00706C34">
        <w:t xml:space="preserve">analysis </w:t>
      </w:r>
      <w:r w:rsidR="00340248" w:rsidRPr="00706C34">
        <w:t xml:space="preserve">to </w:t>
      </w:r>
      <w:r w:rsidR="00400C29" w:rsidRPr="00706C34">
        <w:t>test the significance of any difference</w:t>
      </w:r>
      <w:r w:rsidR="0058361C" w:rsidRPr="00706C34">
        <w:t xml:space="preserve"> </w:t>
      </w:r>
      <w:r w:rsidR="006F6164" w:rsidRPr="00706C34">
        <w:t>was not presented in the resubmission.</w:t>
      </w:r>
    </w:p>
    <w:p w14:paraId="61D74683" w14:textId="0981110C" w:rsidR="00E15B9F" w:rsidRPr="00706C34" w:rsidRDefault="00B10DF8">
      <w:pPr>
        <w:pStyle w:val="3-BodyText"/>
      </w:pPr>
      <w:r w:rsidRPr="00706C34">
        <w:t xml:space="preserve">The PBAC </w:t>
      </w:r>
      <w:r w:rsidR="00B92E6C" w:rsidRPr="00706C34">
        <w:t xml:space="preserve">previously </w:t>
      </w:r>
      <w:r w:rsidRPr="00706C34">
        <w:t xml:space="preserve">noted that maribavir resistance developed during treatment in 42 </w:t>
      </w:r>
      <w:r w:rsidR="006B542C" w:rsidRPr="00706C34">
        <w:t xml:space="preserve">maribavir </w:t>
      </w:r>
      <w:r w:rsidRPr="00706C34">
        <w:t xml:space="preserve">patients (17.9% of all patients) and </w:t>
      </w:r>
      <w:r w:rsidR="006B542C" w:rsidRPr="00706C34">
        <w:t xml:space="preserve">that </w:t>
      </w:r>
      <w:r w:rsidRPr="00706C34">
        <w:t xml:space="preserve">this was associated with </w:t>
      </w:r>
      <w:r w:rsidRPr="00706C34">
        <w:lastRenderedPageBreak/>
        <w:t xml:space="preserve">treatment failure (para 7.11, maribavir PSD, November 2023 PBAC meeting). The evaluation and the ESC </w:t>
      </w:r>
      <w:r w:rsidR="00584283">
        <w:t xml:space="preserve">previously </w:t>
      </w:r>
      <w:r w:rsidRPr="00706C34">
        <w:t>considered that if resistance to longer term treatment developed at the same rate as seen in the trial period, efficacy would rapidly be lost (para 6.30, maribavir PSD, November 2023 PBAC meeting).</w:t>
      </w:r>
      <w:r w:rsidR="00202AEA" w:rsidRPr="00706C34">
        <w:t xml:space="preserve"> </w:t>
      </w:r>
      <w:r w:rsidR="00167AB2" w:rsidRPr="00706C34">
        <w:t xml:space="preserve">The resubmission </w:t>
      </w:r>
      <w:r w:rsidR="00E15B9F" w:rsidRPr="00706C34">
        <w:t xml:space="preserve">reiterated that the development of resistance in the maribavir arm did not preclude maribavir-treated patients from achieving the primary endpoint at a significantly higher proportion compared to IAT (para 6.30, maribavir PSD, November 2023 PBAC meeting). </w:t>
      </w:r>
      <w:r w:rsidR="00C429F6" w:rsidRPr="00706C34">
        <w:t xml:space="preserve">However, additional </w:t>
      </w:r>
      <w:r w:rsidR="00E15ECB" w:rsidRPr="00706C34">
        <w:t>data</w:t>
      </w:r>
      <w:r w:rsidR="00C429F6" w:rsidRPr="00706C34">
        <w:t xml:space="preserve"> </w:t>
      </w:r>
      <w:r w:rsidR="00BC4CFF" w:rsidRPr="00706C34">
        <w:t>from</w:t>
      </w:r>
      <w:r w:rsidR="00C429F6" w:rsidRPr="00706C34">
        <w:t xml:space="preserve"> SOLSTICE </w:t>
      </w:r>
      <w:r w:rsidR="00706C34">
        <w:t xml:space="preserve">provided in the resubmission </w:t>
      </w:r>
      <w:r w:rsidR="00C429F6" w:rsidRPr="00706C34">
        <w:t>(Chou et al., 2024</w:t>
      </w:r>
      <w:r w:rsidR="00E15ECB" w:rsidRPr="00706C34">
        <w:t>)</w:t>
      </w:r>
      <w:r w:rsidR="004C71C1" w:rsidRPr="00706C34">
        <w:t xml:space="preserve"> show a</w:t>
      </w:r>
      <w:r w:rsidR="00C429F6" w:rsidRPr="00706C34">
        <w:t xml:space="preserve"> high incidence of resistance in non</w:t>
      </w:r>
      <w:r w:rsidR="0045763E" w:rsidRPr="00706C34">
        <w:t>-</w:t>
      </w:r>
      <w:r w:rsidR="00C429F6" w:rsidRPr="00706C34">
        <w:t>responders (48%; 49/103) and particularly in those with viral rebound (86%; 25/29)</w:t>
      </w:r>
      <w:r w:rsidR="0017651B" w:rsidRPr="00706C34">
        <w:t>.</w:t>
      </w:r>
      <w:r w:rsidR="00C429F6" w:rsidRPr="00706C34">
        <w:t xml:space="preserve"> </w:t>
      </w:r>
      <w:r w:rsidR="00F85222" w:rsidRPr="00706C34">
        <w:t>T</w:t>
      </w:r>
      <w:r w:rsidR="00C429F6" w:rsidRPr="00706C34">
        <w:t>h</w:t>
      </w:r>
      <w:r w:rsidR="00A27540" w:rsidRPr="00706C34">
        <w:t>is</w:t>
      </w:r>
      <w:r w:rsidR="00C429F6" w:rsidRPr="00706C34">
        <w:t xml:space="preserve"> suggest</w:t>
      </w:r>
      <w:r w:rsidR="003E4BC1" w:rsidRPr="00706C34">
        <w:t>s</w:t>
      </w:r>
      <w:r w:rsidR="00C429F6" w:rsidRPr="00706C34">
        <w:t xml:space="preserve"> that resistance</w:t>
      </w:r>
      <w:r w:rsidR="008D261D" w:rsidRPr="00706C34">
        <w:t xml:space="preserve"> deve</w:t>
      </w:r>
      <w:r w:rsidR="00D00033" w:rsidRPr="00706C34">
        <w:t>loped during treatment and</w:t>
      </w:r>
      <w:r w:rsidR="00C429F6" w:rsidRPr="00706C34">
        <w:t xml:space="preserve"> is likely a contributing factor to treatment failure.</w:t>
      </w:r>
      <w:r w:rsidR="00584283">
        <w:t xml:space="preserve"> </w:t>
      </w:r>
      <w:r w:rsidR="00584283" w:rsidRPr="00045880">
        <w:t>The PSCR</w:t>
      </w:r>
      <w:r w:rsidR="00BD0E1D">
        <w:t xml:space="preserve"> </w:t>
      </w:r>
      <w:r w:rsidR="00584283" w:rsidRPr="00045880">
        <w:t>reiterated that patients on maribavir had a longer time on treatment and a greater exposure to the drug compared to IAT, increasing the risk of resistance.</w:t>
      </w:r>
    </w:p>
    <w:p w14:paraId="41788C01" w14:textId="634E7156" w:rsidR="00C534B9" w:rsidRDefault="00EC7ADC">
      <w:pPr>
        <w:pStyle w:val="3-BodyText"/>
        <w:rPr>
          <w:iCs/>
        </w:rPr>
      </w:pPr>
      <w:bookmarkStart w:id="33" w:name="_Ref176090592"/>
      <w:r w:rsidRPr="0023146D">
        <w:t xml:space="preserve">SOLSTICE showed that pre-specified secondary outcomes of recurrence (during 8-week treatment, after 8-week treatment, and at any time during the study) are higher with maribavir than IAT (e.g., 56.5% vs 33.8% for recurrence at any time during the study). </w:t>
      </w:r>
      <w:r w:rsidR="00584283" w:rsidRPr="00045880">
        <w:t>The PSCR</w:t>
      </w:r>
      <w:r w:rsidR="00EE6057">
        <w:t xml:space="preserve"> </w:t>
      </w:r>
      <w:r w:rsidR="00584283" w:rsidRPr="00045880">
        <w:t>stated that</w:t>
      </w:r>
      <w:r w:rsidR="00584283" w:rsidRPr="00045880">
        <w:rPr>
          <w:rFonts w:ascii="Arial Narrow" w:eastAsia="Times New Roman" w:hAnsi="Arial Narrow" w:cs="Arial"/>
          <w:sz w:val="22"/>
        </w:rPr>
        <w:t xml:space="preserve"> a</w:t>
      </w:r>
      <w:r w:rsidR="00584283" w:rsidRPr="00045880">
        <w:t>ny elevation of CMV viral load above the lower limit of quantification after confirmed viraemia clearance on 2 occasions was termed a recurrence.</w:t>
      </w:r>
      <w:r w:rsidR="00584283">
        <w:t xml:space="preserve"> </w:t>
      </w:r>
      <w:r w:rsidRPr="0023146D">
        <w:t xml:space="preserve">However, the resubmission (and the November 2023 submission) argued that these recurrence rates do not represent clinically relevant recurrence, citing the nature of CMV infection in which a latent virus reactivates during a period of immunosuppression and may not have necessitated treatment in every case. Instead, the resubmission </w:t>
      </w:r>
      <w:r w:rsidR="006B542C" w:rsidRPr="0023146D">
        <w:t>suggested</w:t>
      </w:r>
      <w:r w:rsidRPr="0023146D">
        <w:t xml:space="preserve"> that clinically relevant recurrence would be better represented by recurrence</w:t>
      </w:r>
      <w:r w:rsidR="006B542C" w:rsidRPr="0023146D">
        <w:t>s</w:t>
      </w:r>
      <w:r w:rsidRPr="0023146D">
        <w:t xml:space="preserve"> after Week 8 </w:t>
      </w:r>
      <w:r w:rsidR="006B542C" w:rsidRPr="0023146D">
        <w:t xml:space="preserve">which </w:t>
      </w:r>
      <w:r w:rsidRPr="0023146D">
        <w:t>requir</w:t>
      </w:r>
      <w:r w:rsidR="006B542C" w:rsidRPr="0023146D">
        <w:t>ed</w:t>
      </w:r>
      <w:r w:rsidRPr="0023146D">
        <w:t xml:space="preserve"> alternative anti-CMV treatment, occurring less frequently in maribavir patients than in IAT patients (26.0% vs 35.7%). </w:t>
      </w:r>
      <w:r w:rsidR="006B542C" w:rsidRPr="00F57F1D">
        <w:t>T</w:t>
      </w:r>
      <w:r w:rsidRPr="00F57F1D">
        <w:t>his outcome - recurrence</w:t>
      </w:r>
      <w:r w:rsidR="006B542C" w:rsidRPr="00F57F1D">
        <w:t>s</w:t>
      </w:r>
      <w:r w:rsidRPr="00F57F1D">
        <w:t xml:space="preserve"> after Week 8 requiring alternative anti-CMV treatment - was not pre-defined</w:t>
      </w:r>
      <w:r w:rsidR="006B542C" w:rsidRPr="00F57F1D">
        <w:t>, i</w:t>
      </w:r>
      <w:r w:rsidRPr="00F57F1D">
        <w:t xml:space="preserve">t was added and analysed </w:t>
      </w:r>
      <w:r w:rsidRPr="00706C34">
        <w:rPr>
          <w:i/>
          <w:iCs/>
        </w:rPr>
        <w:t>post</w:t>
      </w:r>
      <w:r w:rsidR="00706C34" w:rsidRPr="00706C34">
        <w:rPr>
          <w:i/>
          <w:iCs/>
        </w:rPr>
        <w:t xml:space="preserve"> </w:t>
      </w:r>
      <w:r w:rsidRPr="00706C34">
        <w:rPr>
          <w:i/>
          <w:iCs/>
        </w:rPr>
        <w:t>hoc</w:t>
      </w:r>
      <w:r w:rsidRPr="00F57F1D">
        <w:t xml:space="preserve"> during trial completion. </w:t>
      </w:r>
      <w:r w:rsidR="006B542C" w:rsidRPr="00F57F1D">
        <w:t>T</w:t>
      </w:r>
      <w:r w:rsidRPr="00F57F1D">
        <w:t>his analysis could be subject to bias</w:t>
      </w:r>
      <w:r w:rsidR="00722EA5" w:rsidRPr="00F57F1D">
        <w:t xml:space="preserve"> </w:t>
      </w:r>
      <w:r w:rsidR="005F5611" w:rsidRPr="00F57F1D">
        <w:t>due to factors such</w:t>
      </w:r>
      <w:r w:rsidR="00C41316" w:rsidRPr="00F57F1D">
        <w:t xml:space="preserve"> </w:t>
      </w:r>
      <w:r w:rsidR="005F5611" w:rsidRPr="00F57F1D">
        <w:t xml:space="preserve">as </w:t>
      </w:r>
      <w:r w:rsidR="00722EA5" w:rsidRPr="00F57F1D">
        <w:t>investigators</w:t>
      </w:r>
      <w:r w:rsidR="00551C9C" w:rsidRPr="00F57F1D">
        <w:t>’</w:t>
      </w:r>
      <w:r w:rsidR="00722EA5" w:rsidRPr="00F57F1D">
        <w:t xml:space="preserve"> decisions to modify </w:t>
      </w:r>
      <w:r w:rsidR="00DA4A4F" w:rsidRPr="00F57F1D">
        <w:t>IAT</w:t>
      </w:r>
      <w:r w:rsidR="00F53DD0" w:rsidRPr="00F57F1D">
        <w:t xml:space="preserve"> (in terms of the specific treatment given in the recurrence episode)</w:t>
      </w:r>
      <w:r w:rsidR="0015467C" w:rsidRPr="00F57F1D">
        <w:t xml:space="preserve">, </w:t>
      </w:r>
      <w:r w:rsidR="00722C64" w:rsidRPr="00F57F1D">
        <w:t>the small number of IAT patients (28 compared to 131 maribavir patients), and potential confounding from differences in patient characteristics</w:t>
      </w:r>
      <w:r w:rsidR="006F7CBF" w:rsidRPr="00F57F1D">
        <w:t xml:space="preserve"> (among patients with recurrence)</w:t>
      </w:r>
      <w:r w:rsidR="00C22800" w:rsidRPr="00F57F1D">
        <w:t xml:space="preserve">. </w:t>
      </w:r>
      <w:bookmarkEnd w:id="33"/>
      <w:r w:rsidR="001A0C28" w:rsidRPr="00045880">
        <w:rPr>
          <w:iCs/>
        </w:rPr>
        <w:t>The ESC considered that clinically relevant recurrence is an appropriate end point however an 8</w:t>
      </w:r>
      <w:r w:rsidR="00DB196A" w:rsidRPr="00045880">
        <w:rPr>
          <w:iCs/>
        </w:rPr>
        <w:t>-</w:t>
      </w:r>
      <w:r w:rsidR="001A0C28" w:rsidRPr="00045880">
        <w:rPr>
          <w:iCs/>
        </w:rPr>
        <w:t>week timeframe is arbitrary</w:t>
      </w:r>
      <w:r w:rsidR="00DB196A" w:rsidRPr="00045880">
        <w:rPr>
          <w:iCs/>
        </w:rPr>
        <w:t xml:space="preserve"> and the </w:t>
      </w:r>
      <w:r w:rsidR="00DB196A" w:rsidRPr="006B02AA">
        <w:rPr>
          <w:i/>
        </w:rPr>
        <w:t>post hoc</w:t>
      </w:r>
      <w:r w:rsidR="00DB196A" w:rsidRPr="00045880">
        <w:rPr>
          <w:iCs/>
        </w:rPr>
        <w:t xml:space="preserve"> analysis is not a robust way to assess this outcome. The ESC considered that e</w:t>
      </w:r>
      <w:r w:rsidR="001A0C28" w:rsidRPr="00045880">
        <w:rPr>
          <w:iCs/>
        </w:rPr>
        <w:t>ither data on time to next treatment</w:t>
      </w:r>
      <w:r w:rsidR="00DB196A" w:rsidRPr="00045880">
        <w:rPr>
          <w:iCs/>
        </w:rPr>
        <w:t>,</w:t>
      </w:r>
      <w:r w:rsidR="001A0C28" w:rsidRPr="00045880">
        <w:rPr>
          <w:iCs/>
        </w:rPr>
        <w:t xml:space="preserve"> or on clinically relevant viral loads</w:t>
      </w:r>
      <w:r w:rsidR="00DB196A" w:rsidRPr="00045880">
        <w:rPr>
          <w:iCs/>
        </w:rPr>
        <w:t>,</w:t>
      </w:r>
      <w:r w:rsidR="001A0C28" w:rsidRPr="00045880">
        <w:rPr>
          <w:iCs/>
        </w:rPr>
        <w:t xml:space="preserve"> would provide more certainty that maribavir provided a benefit in reducing recurrent disease.</w:t>
      </w:r>
    </w:p>
    <w:p w14:paraId="31FF9785" w14:textId="2F063EDB" w:rsidR="006B02AA" w:rsidRPr="00045880" w:rsidRDefault="006B02AA">
      <w:pPr>
        <w:pStyle w:val="3-BodyText"/>
        <w:rPr>
          <w:iCs/>
        </w:rPr>
      </w:pPr>
      <w:r>
        <w:rPr>
          <w:iCs/>
        </w:rPr>
        <w:t xml:space="preserve">The pre-PBAC response highlighted that </w:t>
      </w:r>
      <w:r>
        <w:rPr>
          <w:sz w:val="22"/>
        </w:rPr>
        <w:t>m</w:t>
      </w:r>
      <w:r w:rsidRPr="39494A2F">
        <w:rPr>
          <w:sz w:val="22"/>
        </w:rPr>
        <w:t xml:space="preserve">ore patients on maribavir achieved </w:t>
      </w:r>
      <w:r w:rsidRPr="005547AB">
        <w:rPr>
          <w:sz w:val="22"/>
        </w:rPr>
        <w:t xml:space="preserve">and maintained CMV viremia clearance and symptom control through Week 16 </w:t>
      </w:r>
      <w:r w:rsidRPr="39494A2F">
        <w:rPr>
          <w:sz w:val="22"/>
        </w:rPr>
        <w:t>than those on IAT</w:t>
      </w:r>
      <w:r>
        <w:rPr>
          <w:sz w:val="22"/>
        </w:rPr>
        <w:t xml:space="preserve"> and while further evidence would be helpful, no further comparative studies are available. In addition, the pre-PBAC response noted that, whilst the </w:t>
      </w:r>
      <w:r w:rsidRPr="006B02AA">
        <w:rPr>
          <w:i/>
          <w:iCs/>
          <w:sz w:val="22"/>
        </w:rPr>
        <w:t>post hoc</w:t>
      </w:r>
      <w:r w:rsidRPr="05D53510">
        <w:rPr>
          <w:sz w:val="22"/>
        </w:rPr>
        <w:t xml:space="preserve"> analysis </w:t>
      </w:r>
      <w:r>
        <w:rPr>
          <w:sz w:val="22"/>
        </w:rPr>
        <w:t>is not ideal</w:t>
      </w:r>
      <w:r w:rsidRPr="05D53510">
        <w:rPr>
          <w:sz w:val="22"/>
        </w:rPr>
        <w:t xml:space="preserve">, </w:t>
      </w:r>
      <w:r>
        <w:rPr>
          <w:sz w:val="22"/>
        </w:rPr>
        <w:t xml:space="preserve">in patients with viremia clearance at 8 weeks, </w:t>
      </w:r>
      <w:r w:rsidRPr="05D53510">
        <w:rPr>
          <w:sz w:val="22"/>
        </w:rPr>
        <w:t xml:space="preserve">the rate of recurrence requiring treatment </w:t>
      </w:r>
      <w:r>
        <w:rPr>
          <w:sz w:val="22"/>
        </w:rPr>
        <w:t xml:space="preserve">by Week 16 </w:t>
      </w:r>
      <w:r w:rsidRPr="05D53510">
        <w:rPr>
          <w:sz w:val="22"/>
        </w:rPr>
        <w:t>was 26.0% in the maribavir group and 35.7% in the IAT group</w:t>
      </w:r>
      <w:r>
        <w:rPr>
          <w:sz w:val="22"/>
        </w:rPr>
        <w:t xml:space="preserve">. </w:t>
      </w:r>
    </w:p>
    <w:p w14:paraId="37AC408D" w14:textId="77777777" w:rsidR="00732F7D" w:rsidRPr="0023146D" w:rsidRDefault="00732F7D" w:rsidP="00732F7D">
      <w:pPr>
        <w:pStyle w:val="4-SubsectionHeading"/>
      </w:pPr>
      <w:bookmarkStart w:id="34" w:name="_Toc22897642"/>
      <w:bookmarkStart w:id="35" w:name="_Toc177482513"/>
      <w:r w:rsidRPr="0023146D">
        <w:lastRenderedPageBreak/>
        <w:t>Comparative harms</w:t>
      </w:r>
      <w:bookmarkEnd w:id="34"/>
      <w:bookmarkEnd w:id="35"/>
    </w:p>
    <w:p w14:paraId="73EB07E4" w14:textId="0EA7E648" w:rsidR="008B2418" w:rsidRPr="0023146D" w:rsidRDefault="00410A53" w:rsidP="00732F7D">
      <w:pPr>
        <w:pStyle w:val="3-BodyText"/>
      </w:pPr>
      <w:r w:rsidRPr="0023146D">
        <w:t xml:space="preserve">Key adverse events in SOLSTICE are shown in </w:t>
      </w:r>
      <w:r w:rsidR="00E950E1" w:rsidRPr="0023146D">
        <w:fldChar w:fldCharType="begin" w:fldLock="1"/>
      </w:r>
      <w:r w:rsidR="00E950E1" w:rsidRPr="0023146D">
        <w:instrText xml:space="preserve"> REF _Ref175651450 \h </w:instrText>
      </w:r>
      <w:r w:rsidR="00E950E1" w:rsidRPr="0023146D">
        <w:fldChar w:fldCharType="separate"/>
      </w:r>
      <w:r w:rsidR="008854AA" w:rsidRPr="0023146D">
        <w:t xml:space="preserve">Table </w:t>
      </w:r>
      <w:r w:rsidR="008854AA">
        <w:rPr>
          <w:noProof/>
        </w:rPr>
        <w:t>6</w:t>
      </w:r>
      <w:r w:rsidR="00E950E1" w:rsidRPr="0023146D">
        <w:fldChar w:fldCharType="end"/>
      </w:r>
      <w:r w:rsidR="00E950E1" w:rsidRPr="0023146D">
        <w:t>.</w:t>
      </w:r>
    </w:p>
    <w:p w14:paraId="057817E3" w14:textId="3A82C5C4" w:rsidR="00E950E1" w:rsidRPr="0023146D" w:rsidRDefault="00732F7D" w:rsidP="00E950E1">
      <w:pPr>
        <w:pStyle w:val="TableFigureHeading"/>
      </w:pPr>
      <w:bookmarkStart w:id="36" w:name="_Ref175651450"/>
      <w:r w:rsidRPr="0023146D">
        <w:t xml:space="preserve">Table </w:t>
      </w:r>
      <w:r w:rsidR="008A7014">
        <w:fldChar w:fldCharType="begin" w:fldLock="1"/>
      </w:r>
      <w:r w:rsidR="008A7014">
        <w:instrText xml:space="preserve"> SEQ Table \* ARABIC </w:instrText>
      </w:r>
      <w:r w:rsidR="008A7014">
        <w:fldChar w:fldCharType="separate"/>
      </w:r>
      <w:r w:rsidR="008854AA">
        <w:rPr>
          <w:noProof/>
        </w:rPr>
        <w:t>6</w:t>
      </w:r>
      <w:r w:rsidR="008A7014">
        <w:rPr>
          <w:noProof/>
        </w:rPr>
        <w:fldChar w:fldCharType="end"/>
      </w:r>
      <w:bookmarkEnd w:id="36"/>
      <w:r w:rsidRPr="0023146D">
        <w:t xml:space="preserve">: </w:t>
      </w:r>
      <w:r w:rsidR="00E950E1" w:rsidRPr="0023146D">
        <w:t>Summary of key adverse events in SOLSTICE</w:t>
      </w:r>
    </w:p>
    <w:tbl>
      <w:tblPr>
        <w:tblStyle w:val="TableGrid"/>
        <w:tblW w:w="5000" w:type="pct"/>
        <w:shd w:val="clear" w:color="auto" w:fill="C6D9F1" w:themeFill="text2" w:themeFillTint="33"/>
        <w:tblCellMar>
          <w:left w:w="28" w:type="dxa"/>
          <w:right w:w="28" w:type="dxa"/>
        </w:tblCellMar>
        <w:tblLook w:val="04A0" w:firstRow="1" w:lastRow="0" w:firstColumn="1" w:lastColumn="0" w:noHBand="0" w:noVBand="1"/>
        <w:tblCaption w:val="Table 6: Summary of key adverse events in SOLSTICE"/>
        <w:tblDescription w:val="Table 6: Summary of key adverse events in SOLSTICE"/>
      </w:tblPr>
      <w:tblGrid>
        <w:gridCol w:w="5503"/>
        <w:gridCol w:w="1872"/>
        <w:gridCol w:w="1642"/>
      </w:tblGrid>
      <w:tr w:rsidR="00E950E1" w:rsidRPr="0023146D" w14:paraId="1F7D8CA5" w14:textId="77777777" w:rsidTr="00546FF1">
        <w:tc>
          <w:tcPr>
            <w:tcW w:w="5503" w:type="dxa"/>
            <w:shd w:val="clear" w:color="auto" w:fill="C6D9F1" w:themeFill="text2" w:themeFillTint="33"/>
            <w:vAlign w:val="center"/>
          </w:tcPr>
          <w:p w14:paraId="6B39237F" w14:textId="036913B1" w:rsidR="00E950E1" w:rsidRPr="0023146D" w:rsidRDefault="007F2BBB">
            <w:pPr>
              <w:pStyle w:val="TableText0"/>
              <w:rPr>
                <w:b/>
                <w:bCs w:val="0"/>
              </w:rPr>
            </w:pPr>
            <w:r w:rsidRPr="0023146D">
              <w:rPr>
                <w:b/>
                <w:bCs w:val="0"/>
              </w:rPr>
              <w:t>Treatment</w:t>
            </w:r>
            <w:r w:rsidR="00790F09" w:rsidRPr="0023146D">
              <w:rPr>
                <w:b/>
                <w:bCs w:val="0"/>
              </w:rPr>
              <w:t>-e</w:t>
            </w:r>
            <w:r w:rsidRPr="0023146D">
              <w:rPr>
                <w:b/>
                <w:bCs w:val="0"/>
              </w:rPr>
              <w:t xml:space="preserve">mergent </w:t>
            </w:r>
            <w:r w:rsidR="00790F09" w:rsidRPr="0023146D">
              <w:rPr>
                <w:b/>
                <w:bCs w:val="0"/>
              </w:rPr>
              <w:t>a</w:t>
            </w:r>
            <w:r w:rsidRPr="0023146D">
              <w:rPr>
                <w:b/>
                <w:bCs w:val="0"/>
              </w:rPr>
              <w:t xml:space="preserve">dverse </w:t>
            </w:r>
            <w:r w:rsidR="00790F09" w:rsidRPr="0023146D">
              <w:rPr>
                <w:b/>
                <w:bCs w:val="0"/>
              </w:rPr>
              <w:t>e</w:t>
            </w:r>
            <w:r w:rsidRPr="0023146D">
              <w:rPr>
                <w:b/>
                <w:bCs w:val="0"/>
              </w:rPr>
              <w:t>vents</w:t>
            </w:r>
          </w:p>
        </w:tc>
        <w:tc>
          <w:tcPr>
            <w:tcW w:w="1872" w:type="dxa"/>
            <w:shd w:val="clear" w:color="auto" w:fill="C6D9F1" w:themeFill="text2" w:themeFillTint="33"/>
            <w:vAlign w:val="center"/>
          </w:tcPr>
          <w:p w14:paraId="0A13BCA5" w14:textId="77777777" w:rsidR="00E950E1" w:rsidRPr="0023146D" w:rsidRDefault="00E950E1">
            <w:pPr>
              <w:pStyle w:val="TableText0"/>
              <w:jc w:val="center"/>
              <w:rPr>
                <w:b/>
                <w:bCs w:val="0"/>
              </w:rPr>
            </w:pPr>
            <w:r w:rsidRPr="0023146D">
              <w:rPr>
                <w:b/>
                <w:bCs w:val="0"/>
              </w:rPr>
              <w:t>Maribavir</w:t>
            </w:r>
          </w:p>
          <w:p w14:paraId="3238C302" w14:textId="77777777" w:rsidR="00E950E1" w:rsidRPr="0023146D" w:rsidRDefault="00E950E1">
            <w:pPr>
              <w:pStyle w:val="TableText0"/>
              <w:jc w:val="center"/>
              <w:rPr>
                <w:b/>
                <w:bCs w:val="0"/>
              </w:rPr>
            </w:pPr>
            <w:r w:rsidRPr="0023146D">
              <w:rPr>
                <w:b/>
                <w:bCs w:val="0"/>
              </w:rPr>
              <w:t>N = 235</w:t>
            </w:r>
          </w:p>
        </w:tc>
        <w:tc>
          <w:tcPr>
            <w:tcW w:w="1642" w:type="dxa"/>
            <w:shd w:val="clear" w:color="auto" w:fill="C6D9F1" w:themeFill="text2" w:themeFillTint="33"/>
            <w:vAlign w:val="center"/>
          </w:tcPr>
          <w:p w14:paraId="469DFEFD" w14:textId="77777777" w:rsidR="00E950E1" w:rsidRPr="0023146D" w:rsidRDefault="00E950E1">
            <w:pPr>
              <w:pStyle w:val="TableText0"/>
              <w:jc w:val="center"/>
              <w:rPr>
                <w:b/>
                <w:bCs w:val="0"/>
              </w:rPr>
            </w:pPr>
            <w:r w:rsidRPr="0023146D">
              <w:rPr>
                <w:b/>
                <w:bCs w:val="0"/>
              </w:rPr>
              <w:t>IAT</w:t>
            </w:r>
          </w:p>
          <w:p w14:paraId="364C12E4" w14:textId="77777777" w:rsidR="00E950E1" w:rsidRPr="0023146D" w:rsidRDefault="00E950E1">
            <w:pPr>
              <w:pStyle w:val="TableText0"/>
              <w:jc w:val="center"/>
              <w:rPr>
                <w:b/>
                <w:bCs w:val="0"/>
              </w:rPr>
            </w:pPr>
            <w:r w:rsidRPr="0023146D">
              <w:rPr>
                <w:b/>
                <w:bCs w:val="0"/>
              </w:rPr>
              <w:t>N = 117</w:t>
            </w:r>
          </w:p>
        </w:tc>
      </w:tr>
      <w:tr w:rsidR="00E950E1" w:rsidRPr="0023146D" w14:paraId="5A25DE57" w14:textId="77777777" w:rsidTr="00546FF1">
        <w:tc>
          <w:tcPr>
            <w:tcW w:w="5503" w:type="dxa"/>
            <w:shd w:val="clear" w:color="auto" w:fill="C6D9F1" w:themeFill="text2" w:themeFillTint="33"/>
            <w:vAlign w:val="center"/>
          </w:tcPr>
          <w:p w14:paraId="2E896B49" w14:textId="77777777" w:rsidR="00E950E1" w:rsidRPr="0023146D" w:rsidRDefault="00E950E1">
            <w:pPr>
              <w:pStyle w:val="TableText0"/>
            </w:pPr>
            <w:r w:rsidRPr="0023146D">
              <w:t xml:space="preserve">Deaths at any </w:t>
            </w:r>
            <w:proofErr w:type="spellStart"/>
            <w:r w:rsidRPr="0023146D">
              <w:t>time</w:t>
            </w:r>
            <w:r w:rsidRPr="0023146D">
              <w:rPr>
                <w:vertAlign w:val="superscript"/>
              </w:rPr>
              <w:t>a</w:t>
            </w:r>
            <w:proofErr w:type="spellEnd"/>
          </w:p>
        </w:tc>
        <w:tc>
          <w:tcPr>
            <w:tcW w:w="1872" w:type="dxa"/>
            <w:shd w:val="clear" w:color="auto" w:fill="C6D9F1" w:themeFill="text2" w:themeFillTint="33"/>
            <w:vAlign w:val="center"/>
          </w:tcPr>
          <w:p w14:paraId="68E5A516" w14:textId="77777777" w:rsidR="00E950E1" w:rsidRPr="0023146D" w:rsidRDefault="00E950E1">
            <w:pPr>
              <w:pStyle w:val="TableText0"/>
              <w:jc w:val="center"/>
            </w:pPr>
            <w:r w:rsidRPr="0023146D">
              <w:t>27 (11.5%)</w:t>
            </w:r>
          </w:p>
        </w:tc>
        <w:tc>
          <w:tcPr>
            <w:tcW w:w="1642" w:type="dxa"/>
            <w:shd w:val="clear" w:color="auto" w:fill="C6D9F1" w:themeFill="text2" w:themeFillTint="33"/>
            <w:vAlign w:val="center"/>
          </w:tcPr>
          <w:p w14:paraId="4CFB2777" w14:textId="77777777" w:rsidR="00E950E1" w:rsidRPr="0023146D" w:rsidRDefault="00E950E1">
            <w:pPr>
              <w:pStyle w:val="TableText0"/>
              <w:jc w:val="center"/>
            </w:pPr>
            <w:r w:rsidRPr="0023146D">
              <w:t>13 (11.2%)</w:t>
            </w:r>
          </w:p>
        </w:tc>
      </w:tr>
      <w:tr w:rsidR="00E950E1" w:rsidRPr="0023146D" w14:paraId="690E492A" w14:textId="77777777" w:rsidTr="00546FF1">
        <w:tc>
          <w:tcPr>
            <w:tcW w:w="5503" w:type="dxa"/>
            <w:shd w:val="clear" w:color="auto" w:fill="C6D9F1" w:themeFill="text2" w:themeFillTint="33"/>
            <w:vAlign w:val="center"/>
          </w:tcPr>
          <w:p w14:paraId="79CF8ED6" w14:textId="3B0902B6" w:rsidR="00E950E1" w:rsidRPr="0023146D" w:rsidRDefault="00E950E1">
            <w:pPr>
              <w:pStyle w:val="TableText0"/>
            </w:pPr>
            <w:r w:rsidRPr="0023146D">
              <w:t>Deaths during 8 week treatment phase</w:t>
            </w:r>
          </w:p>
        </w:tc>
        <w:tc>
          <w:tcPr>
            <w:tcW w:w="1872" w:type="dxa"/>
            <w:shd w:val="clear" w:color="auto" w:fill="C6D9F1" w:themeFill="text2" w:themeFillTint="33"/>
            <w:vAlign w:val="center"/>
          </w:tcPr>
          <w:p w14:paraId="2AA7A2C7" w14:textId="77777777" w:rsidR="00E950E1" w:rsidRPr="0023146D" w:rsidRDefault="00E950E1">
            <w:pPr>
              <w:pStyle w:val="TableText0"/>
              <w:jc w:val="center"/>
            </w:pPr>
            <w:r w:rsidRPr="0023146D">
              <w:t>14 (6.0%)</w:t>
            </w:r>
          </w:p>
        </w:tc>
        <w:tc>
          <w:tcPr>
            <w:tcW w:w="1642" w:type="dxa"/>
            <w:shd w:val="clear" w:color="auto" w:fill="C6D9F1" w:themeFill="text2" w:themeFillTint="33"/>
            <w:vAlign w:val="center"/>
          </w:tcPr>
          <w:p w14:paraId="7C1C69A8" w14:textId="77777777" w:rsidR="00E950E1" w:rsidRPr="0023146D" w:rsidRDefault="00E950E1">
            <w:pPr>
              <w:pStyle w:val="TableText0"/>
              <w:jc w:val="center"/>
            </w:pPr>
            <w:r w:rsidRPr="0023146D">
              <w:t>5 (4.3%)</w:t>
            </w:r>
          </w:p>
        </w:tc>
      </w:tr>
      <w:tr w:rsidR="00E950E1" w:rsidRPr="0023146D" w14:paraId="122E6A71" w14:textId="77777777" w:rsidTr="00546FF1">
        <w:tc>
          <w:tcPr>
            <w:tcW w:w="5503" w:type="dxa"/>
            <w:shd w:val="clear" w:color="auto" w:fill="C6D9F1" w:themeFill="text2" w:themeFillTint="33"/>
            <w:vAlign w:val="center"/>
          </w:tcPr>
          <w:p w14:paraId="6419C944" w14:textId="77777777" w:rsidR="00E950E1" w:rsidRPr="0023146D" w:rsidRDefault="00E950E1">
            <w:pPr>
              <w:pStyle w:val="TableText0"/>
            </w:pPr>
            <w:r w:rsidRPr="0023146D">
              <w:t>Deaths attributed to CMV</w:t>
            </w:r>
          </w:p>
        </w:tc>
        <w:tc>
          <w:tcPr>
            <w:tcW w:w="1872" w:type="dxa"/>
            <w:shd w:val="clear" w:color="auto" w:fill="C6D9F1" w:themeFill="text2" w:themeFillTint="33"/>
            <w:vAlign w:val="center"/>
          </w:tcPr>
          <w:p w14:paraId="4C4B1CF4" w14:textId="77777777" w:rsidR="00E950E1" w:rsidRPr="0023146D" w:rsidRDefault="00E950E1">
            <w:pPr>
              <w:pStyle w:val="TableText0"/>
              <w:jc w:val="center"/>
            </w:pPr>
            <w:r w:rsidRPr="0023146D">
              <w:t>4 (1.7%)</w:t>
            </w:r>
          </w:p>
        </w:tc>
        <w:tc>
          <w:tcPr>
            <w:tcW w:w="1642" w:type="dxa"/>
            <w:shd w:val="clear" w:color="auto" w:fill="C6D9F1" w:themeFill="text2" w:themeFillTint="33"/>
            <w:vAlign w:val="center"/>
          </w:tcPr>
          <w:p w14:paraId="78A2A204" w14:textId="77777777" w:rsidR="00E950E1" w:rsidRPr="0023146D" w:rsidRDefault="00E950E1">
            <w:pPr>
              <w:pStyle w:val="TableText0"/>
              <w:jc w:val="center"/>
            </w:pPr>
            <w:r w:rsidRPr="0023146D">
              <w:t>3 (2.6%)</w:t>
            </w:r>
          </w:p>
        </w:tc>
      </w:tr>
      <w:tr w:rsidR="00E950E1" w:rsidRPr="0023146D" w14:paraId="0281D88C" w14:textId="77777777" w:rsidTr="00546FF1">
        <w:tc>
          <w:tcPr>
            <w:tcW w:w="5503" w:type="dxa"/>
            <w:shd w:val="clear" w:color="auto" w:fill="C6D9F1" w:themeFill="text2" w:themeFillTint="33"/>
            <w:vAlign w:val="center"/>
          </w:tcPr>
          <w:p w14:paraId="19B6359D" w14:textId="77777777" w:rsidR="00E950E1" w:rsidRPr="0023146D" w:rsidRDefault="00E950E1">
            <w:pPr>
              <w:pStyle w:val="TableText0"/>
            </w:pPr>
            <w:r w:rsidRPr="0023146D">
              <w:t>TEAE, n (%)</w:t>
            </w:r>
          </w:p>
        </w:tc>
        <w:tc>
          <w:tcPr>
            <w:tcW w:w="1872" w:type="dxa"/>
            <w:shd w:val="clear" w:color="auto" w:fill="C6D9F1" w:themeFill="text2" w:themeFillTint="33"/>
            <w:vAlign w:val="center"/>
          </w:tcPr>
          <w:p w14:paraId="7E33833A" w14:textId="77777777" w:rsidR="00E950E1" w:rsidRPr="0023146D" w:rsidRDefault="00E950E1">
            <w:pPr>
              <w:pStyle w:val="TableText0"/>
              <w:jc w:val="center"/>
            </w:pPr>
            <w:r w:rsidRPr="0023146D">
              <w:t>228 (97.4%)</w:t>
            </w:r>
          </w:p>
        </w:tc>
        <w:tc>
          <w:tcPr>
            <w:tcW w:w="1642" w:type="dxa"/>
            <w:shd w:val="clear" w:color="auto" w:fill="C6D9F1" w:themeFill="text2" w:themeFillTint="33"/>
            <w:vAlign w:val="center"/>
          </w:tcPr>
          <w:p w14:paraId="193E34F2" w14:textId="77777777" w:rsidR="00E950E1" w:rsidRPr="0023146D" w:rsidRDefault="00E950E1">
            <w:pPr>
              <w:pStyle w:val="TableText0"/>
              <w:jc w:val="center"/>
            </w:pPr>
            <w:r w:rsidRPr="0023146D">
              <w:t>106 (91.4%)</w:t>
            </w:r>
          </w:p>
        </w:tc>
      </w:tr>
      <w:tr w:rsidR="00E950E1" w:rsidRPr="0023146D" w14:paraId="71B027B0" w14:textId="77777777" w:rsidTr="00546FF1">
        <w:tc>
          <w:tcPr>
            <w:tcW w:w="5503" w:type="dxa"/>
            <w:shd w:val="clear" w:color="auto" w:fill="C6D9F1" w:themeFill="text2" w:themeFillTint="33"/>
            <w:vAlign w:val="center"/>
          </w:tcPr>
          <w:p w14:paraId="4A5D21EA" w14:textId="77777777" w:rsidR="00E950E1" w:rsidRPr="0023146D" w:rsidRDefault="00E950E1">
            <w:pPr>
              <w:pStyle w:val="TableText0"/>
            </w:pPr>
            <w:r w:rsidRPr="0023146D">
              <w:t>TESAE, n (%)</w:t>
            </w:r>
          </w:p>
        </w:tc>
        <w:tc>
          <w:tcPr>
            <w:tcW w:w="1872" w:type="dxa"/>
            <w:shd w:val="clear" w:color="auto" w:fill="C6D9F1" w:themeFill="text2" w:themeFillTint="33"/>
            <w:vAlign w:val="center"/>
          </w:tcPr>
          <w:p w14:paraId="71EAEA8B" w14:textId="77777777" w:rsidR="00E950E1" w:rsidRPr="0023146D" w:rsidRDefault="00E950E1">
            <w:pPr>
              <w:pStyle w:val="TableText0"/>
              <w:jc w:val="center"/>
            </w:pPr>
            <w:r w:rsidRPr="0023146D">
              <w:t>90 (38.5%)</w:t>
            </w:r>
          </w:p>
        </w:tc>
        <w:tc>
          <w:tcPr>
            <w:tcW w:w="1642" w:type="dxa"/>
            <w:shd w:val="clear" w:color="auto" w:fill="C6D9F1" w:themeFill="text2" w:themeFillTint="33"/>
            <w:vAlign w:val="center"/>
          </w:tcPr>
          <w:p w14:paraId="5C34D3DA" w14:textId="77777777" w:rsidR="00E950E1" w:rsidRPr="0023146D" w:rsidRDefault="00E950E1">
            <w:pPr>
              <w:pStyle w:val="TableText0"/>
              <w:jc w:val="center"/>
            </w:pPr>
            <w:r w:rsidRPr="0023146D">
              <w:t>43 (37.1%)</w:t>
            </w:r>
          </w:p>
        </w:tc>
      </w:tr>
      <w:tr w:rsidR="00E950E1" w:rsidRPr="0023146D" w14:paraId="300F15A5" w14:textId="77777777" w:rsidTr="00546FF1">
        <w:tc>
          <w:tcPr>
            <w:tcW w:w="5503" w:type="dxa"/>
            <w:shd w:val="clear" w:color="auto" w:fill="C6D9F1" w:themeFill="text2" w:themeFillTint="33"/>
            <w:vAlign w:val="center"/>
          </w:tcPr>
          <w:p w14:paraId="0DEF6E72" w14:textId="77777777" w:rsidR="00E950E1" w:rsidRPr="0023146D" w:rsidRDefault="00E950E1">
            <w:pPr>
              <w:pStyle w:val="TableText0"/>
            </w:pPr>
            <w:r w:rsidRPr="0023146D">
              <w:t>Severe TEAE, n (%)</w:t>
            </w:r>
          </w:p>
        </w:tc>
        <w:tc>
          <w:tcPr>
            <w:tcW w:w="1872" w:type="dxa"/>
            <w:shd w:val="clear" w:color="auto" w:fill="C6D9F1" w:themeFill="text2" w:themeFillTint="33"/>
            <w:vAlign w:val="center"/>
          </w:tcPr>
          <w:p w14:paraId="356CC748" w14:textId="77777777" w:rsidR="00E950E1" w:rsidRPr="0023146D" w:rsidRDefault="00E950E1">
            <w:pPr>
              <w:pStyle w:val="TableText0"/>
              <w:jc w:val="center"/>
            </w:pPr>
            <w:r w:rsidRPr="0023146D">
              <w:t>75 (32.1%)</w:t>
            </w:r>
          </w:p>
        </w:tc>
        <w:tc>
          <w:tcPr>
            <w:tcW w:w="1642" w:type="dxa"/>
            <w:shd w:val="clear" w:color="auto" w:fill="C6D9F1" w:themeFill="text2" w:themeFillTint="33"/>
            <w:vAlign w:val="center"/>
          </w:tcPr>
          <w:p w14:paraId="2925F404" w14:textId="77777777" w:rsidR="00E950E1" w:rsidRPr="0023146D" w:rsidRDefault="00E950E1">
            <w:pPr>
              <w:pStyle w:val="TableText0"/>
              <w:jc w:val="center"/>
            </w:pPr>
            <w:r w:rsidRPr="0023146D">
              <w:t>44 (37.9%)</w:t>
            </w:r>
          </w:p>
        </w:tc>
      </w:tr>
      <w:tr w:rsidR="00E950E1" w:rsidRPr="0023146D" w14:paraId="7412FDCF" w14:textId="77777777" w:rsidTr="00546FF1">
        <w:tc>
          <w:tcPr>
            <w:tcW w:w="5503" w:type="dxa"/>
            <w:shd w:val="clear" w:color="auto" w:fill="C6D9F1" w:themeFill="text2" w:themeFillTint="33"/>
            <w:vAlign w:val="center"/>
          </w:tcPr>
          <w:p w14:paraId="4DBE2CC3" w14:textId="77777777" w:rsidR="00E950E1" w:rsidRPr="0023146D" w:rsidRDefault="00E950E1">
            <w:pPr>
              <w:pStyle w:val="TableText0"/>
            </w:pPr>
            <w:r w:rsidRPr="0023146D">
              <w:t>TEAE or TESAE leading to discontinuation of study treatment, n (%)</w:t>
            </w:r>
          </w:p>
        </w:tc>
        <w:tc>
          <w:tcPr>
            <w:tcW w:w="1872" w:type="dxa"/>
            <w:shd w:val="clear" w:color="auto" w:fill="C6D9F1" w:themeFill="text2" w:themeFillTint="33"/>
            <w:vAlign w:val="center"/>
          </w:tcPr>
          <w:p w14:paraId="13C81C2B" w14:textId="77777777" w:rsidR="00E950E1" w:rsidRPr="0023146D" w:rsidRDefault="00E950E1">
            <w:pPr>
              <w:pStyle w:val="TableText0"/>
              <w:jc w:val="center"/>
            </w:pPr>
            <w:r w:rsidRPr="0023146D">
              <w:t>51 (21.7%)</w:t>
            </w:r>
          </w:p>
        </w:tc>
        <w:tc>
          <w:tcPr>
            <w:tcW w:w="1642" w:type="dxa"/>
            <w:shd w:val="clear" w:color="auto" w:fill="C6D9F1" w:themeFill="text2" w:themeFillTint="33"/>
            <w:vAlign w:val="center"/>
          </w:tcPr>
          <w:p w14:paraId="7EED639A" w14:textId="77777777" w:rsidR="00E950E1" w:rsidRPr="0023146D" w:rsidRDefault="00E950E1">
            <w:pPr>
              <w:pStyle w:val="TableText0"/>
              <w:jc w:val="center"/>
            </w:pPr>
            <w:r w:rsidRPr="0023146D">
              <w:t>54 (46.2%)</w:t>
            </w:r>
          </w:p>
        </w:tc>
      </w:tr>
      <w:tr w:rsidR="00E950E1" w:rsidRPr="0023146D" w14:paraId="6AD9AD22" w14:textId="77777777" w:rsidTr="00546FF1">
        <w:tc>
          <w:tcPr>
            <w:tcW w:w="5503" w:type="dxa"/>
            <w:shd w:val="clear" w:color="auto" w:fill="C6D9F1" w:themeFill="text2" w:themeFillTint="33"/>
            <w:vAlign w:val="center"/>
          </w:tcPr>
          <w:p w14:paraId="179FD993" w14:textId="77777777" w:rsidR="00E950E1" w:rsidRPr="0023146D" w:rsidRDefault="00E950E1">
            <w:pPr>
              <w:pStyle w:val="TableText0"/>
            </w:pPr>
            <w:r w:rsidRPr="0023146D">
              <w:t>Infections reported as SAE, n (%)</w:t>
            </w:r>
          </w:p>
        </w:tc>
        <w:tc>
          <w:tcPr>
            <w:tcW w:w="1872" w:type="dxa"/>
            <w:shd w:val="clear" w:color="auto" w:fill="C6D9F1" w:themeFill="text2" w:themeFillTint="33"/>
            <w:vAlign w:val="center"/>
          </w:tcPr>
          <w:p w14:paraId="6A6A9B1D" w14:textId="77777777" w:rsidR="00E950E1" w:rsidRPr="0023146D" w:rsidRDefault="00E950E1">
            <w:pPr>
              <w:pStyle w:val="TableText0"/>
              <w:jc w:val="center"/>
            </w:pPr>
            <w:r w:rsidRPr="0023146D">
              <w:t>53 (22.6%)</w:t>
            </w:r>
          </w:p>
        </w:tc>
        <w:tc>
          <w:tcPr>
            <w:tcW w:w="1642" w:type="dxa"/>
            <w:shd w:val="clear" w:color="auto" w:fill="C6D9F1" w:themeFill="text2" w:themeFillTint="33"/>
            <w:vAlign w:val="center"/>
          </w:tcPr>
          <w:p w14:paraId="16CDA904" w14:textId="77777777" w:rsidR="00E950E1" w:rsidRPr="0023146D" w:rsidRDefault="00E950E1">
            <w:pPr>
              <w:pStyle w:val="TableText0"/>
              <w:jc w:val="center"/>
            </w:pPr>
            <w:r w:rsidRPr="0023146D">
              <w:t>17 (14.7%)</w:t>
            </w:r>
          </w:p>
        </w:tc>
      </w:tr>
      <w:tr w:rsidR="00E950E1" w:rsidRPr="0023146D" w14:paraId="2BBC502B" w14:textId="77777777" w:rsidTr="00546FF1">
        <w:tc>
          <w:tcPr>
            <w:tcW w:w="5503" w:type="dxa"/>
            <w:shd w:val="clear" w:color="auto" w:fill="C6D9F1" w:themeFill="text2" w:themeFillTint="33"/>
            <w:vAlign w:val="center"/>
          </w:tcPr>
          <w:p w14:paraId="3BD3D169" w14:textId="77777777" w:rsidR="00E950E1" w:rsidRPr="0023146D" w:rsidRDefault="00E950E1">
            <w:pPr>
              <w:pStyle w:val="TableText0"/>
            </w:pPr>
            <w:r w:rsidRPr="0023146D">
              <w:t>Infections leading to discontinuation of study treatment, n (%)</w:t>
            </w:r>
          </w:p>
        </w:tc>
        <w:tc>
          <w:tcPr>
            <w:tcW w:w="1872" w:type="dxa"/>
            <w:shd w:val="clear" w:color="auto" w:fill="C6D9F1" w:themeFill="text2" w:themeFillTint="33"/>
            <w:vAlign w:val="center"/>
          </w:tcPr>
          <w:p w14:paraId="48157DE3" w14:textId="77777777" w:rsidR="00E950E1" w:rsidRPr="0023146D" w:rsidRDefault="00E950E1">
            <w:pPr>
              <w:pStyle w:val="TableText0"/>
              <w:jc w:val="center"/>
            </w:pPr>
            <w:r w:rsidRPr="0023146D">
              <w:t>17 (7.3%)</w:t>
            </w:r>
          </w:p>
        </w:tc>
        <w:tc>
          <w:tcPr>
            <w:tcW w:w="1642" w:type="dxa"/>
            <w:shd w:val="clear" w:color="auto" w:fill="C6D9F1" w:themeFill="text2" w:themeFillTint="33"/>
            <w:vAlign w:val="center"/>
          </w:tcPr>
          <w:p w14:paraId="7B8B5802" w14:textId="77777777" w:rsidR="00E950E1" w:rsidRPr="0023146D" w:rsidRDefault="00E950E1">
            <w:pPr>
              <w:pStyle w:val="TableText0"/>
              <w:jc w:val="center"/>
            </w:pPr>
            <w:r w:rsidRPr="0023146D">
              <w:t>8 (6.9%)</w:t>
            </w:r>
          </w:p>
        </w:tc>
      </w:tr>
      <w:tr w:rsidR="00E950E1" w:rsidRPr="0023146D" w14:paraId="5F0ED88E" w14:textId="77777777" w:rsidTr="00546FF1">
        <w:tc>
          <w:tcPr>
            <w:tcW w:w="5503" w:type="dxa"/>
            <w:shd w:val="clear" w:color="auto" w:fill="C6D9F1" w:themeFill="text2" w:themeFillTint="33"/>
            <w:vAlign w:val="center"/>
          </w:tcPr>
          <w:p w14:paraId="725C5CCE" w14:textId="77777777" w:rsidR="00E950E1" w:rsidRPr="0023146D" w:rsidRDefault="00E950E1">
            <w:pPr>
              <w:pStyle w:val="TableText0"/>
            </w:pPr>
            <w:r w:rsidRPr="0023146D">
              <w:t>Disturbance of taste, n (%)</w:t>
            </w:r>
          </w:p>
        </w:tc>
        <w:tc>
          <w:tcPr>
            <w:tcW w:w="1872" w:type="dxa"/>
            <w:shd w:val="clear" w:color="auto" w:fill="C6D9F1" w:themeFill="text2" w:themeFillTint="33"/>
            <w:vAlign w:val="center"/>
          </w:tcPr>
          <w:p w14:paraId="5C614D36" w14:textId="77777777" w:rsidR="00E950E1" w:rsidRPr="0023146D" w:rsidRDefault="00E950E1">
            <w:pPr>
              <w:pStyle w:val="TableText0"/>
              <w:jc w:val="center"/>
            </w:pPr>
            <w:r w:rsidRPr="0023146D">
              <w:t>87 (37.2%)</w:t>
            </w:r>
          </w:p>
        </w:tc>
        <w:tc>
          <w:tcPr>
            <w:tcW w:w="1642" w:type="dxa"/>
            <w:shd w:val="clear" w:color="auto" w:fill="C6D9F1" w:themeFill="text2" w:themeFillTint="33"/>
            <w:vAlign w:val="center"/>
          </w:tcPr>
          <w:p w14:paraId="1BDBEC8F" w14:textId="77777777" w:rsidR="00E950E1" w:rsidRPr="0023146D" w:rsidRDefault="00E950E1">
            <w:pPr>
              <w:pStyle w:val="TableText0"/>
              <w:jc w:val="center"/>
            </w:pPr>
            <w:r w:rsidRPr="0023146D">
              <w:t>4 (3.4%)</w:t>
            </w:r>
          </w:p>
        </w:tc>
      </w:tr>
      <w:tr w:rsidR="00E950E1" w:rsidRPr="0023146D" w14:paraId="23D740B4" w14:textId="77777777" w:rsidTr="00546FF1">
        <w:tc>
          <w:tcPr>
            <w:tcW w:w="5503" w:type="dxa"/>
            <w:shd w:val="clear" w:color="auto" w:fill="C6D9F1" w:themeFill="text2" w:themeFillTint="33"/>
            <w:vAlign w:val="center"/>
          </w:tcPr>
          <w:p w14:paraId="579698AD" w14:textId="77777777" w:rsidR="00E950E1" w:rsidRPr="0023146D" w:rsidRDefault="00E950E1">
            <w:pPr>
              <w:pStyle w:val="TableText0"/>
            </w:pPr>
            <w:r w:rsidRPr="0023146D">
              <w:t>Disturbance of taste leading to discontinuation of study treatment, n (%)</w:t>
            </w:r>
          </w:p>
        </w:tc>
        <w:tc>
          <w:tcPr>
            <w:tcW w:w="1872" w:type="dxa"/>
            <w:shd w:val="clear" w:color="auto" w:fill="C6D9F1" w:themeFill="text2" w:themeFillTint="33"/>
            <w:vAlign w:val="center"/>
          </w:tcPr>
          <w:p w14:paraId="476BFD90" w14:textId="77777777" w:rsidR="00E950E1" w:rsidRPr="0023146D" w:rsidRDefault="00E950E1">
            <w:pPr>
              <w:pStyle w:val="TableText0"/>
              <w:jc w:val="center"/>
            </w:pPr>
            <w:r w:rsidRPr="0023146D">
              <w:t>2 (0.9%)</w:t>
            </w:r>
          </w:p>
        </w:tc>
        <w:tc>
          <w:tcPr>
            <w:tcW w:w="1642" w:type="dxa"/>
            <w:shd w:val="clear" w:color="auto" w:fill="C6D9F1" w:themeFill="text2" w:themeFillTint="33"/>
            <w:vAlign w:val="center"/>
          </w:tcPr>
          <w:p w14:paraId="14EB598D" w14:textId="77777777" w:rsidR="00E950E1" w:rsidRPr="0023146D" w:rsidRDefault="00E950E1">
            <w:pPr>
              <w:pStyle w:val="TableText0"/>
              <w:jc w:val="center"/>
            </w:pPr>
            <w:r w:rsidRPr="0023146D">
              <w:t>0</w:t>
            </w:r>
          </w:p>
        </w:tc>
      </w:tr>
      <w:tr w:rsidR="00E950E1" w:rsidRPr="0023146D" w14:paraId="3F86A51E" w14:textId="77777777" w:rsidTr="00546FF1">
        <w:tc>
          <w:tcPr>
            <w:tcW w:w="5503" w:type="dxa"/>
            <w:shd w:val="clear" w:color="auto" w:fill="C6D9F1" w:themeFill="text2" w:themeFillTint="33"/>
            <w:vAlign w:val="center"/>
          </w:tcPr>
          <w:p w14:paraId="13DA0200" w14:textId="77777777" w:rsidR="00E950E1" w:rsidRPr="0023146D" w:rsidRDefault="00E950E1">
            <w:pPr>
              <w:pStyle w:val="TableText0"/>
            </w:pPr>
            <w:r w:rsidRPr="0023146D">
              <w:t xml:space="preserve">Neutropenia, n (%) </w:t>
            </w:r>
          </w:p>
        </w:tc>
        <w:tc>
          <w:tcPr>
            <w:tcW w:w="1872" w:type="dxa"/>
            <w:shd w:val="clear" w:color="auto" w:fill="C6D9F1" w:themeFill="text2" w:themeFillTint="33"/>
            <w:vAlign w:val="center"/>
          </w:tcPr>
          <w:p w14:paraId="2D8B6DDA" w14:textId="77777777" w:rsidR="00E950E1" w:rsidRPr="0023146D" w:rsidRDefault="00E950E1">
            <w:pPr>
              <w:pStyle w:val="TableText0"/>
              <w:jc w:val="center"/>
            </w:pPr>
            <w:r w:rsidRPr="0023146D">
              <w:t>22 (9.4%)</w:t>
            </w:r>
          </w:p>
        </w:tc>
        <w:tc>
          <w:tcPr>
            <w:tcW w:w="1642" w:type="dxa"/>
            <w:shd w:val="clear" w:color="auto" w:fill="C6D9F1" w:themeFill="text2" w:themeFillTint="33"/>
            <w:vAlign w:val="center"/>
          </w:tcPr>
          <w:p w14:paraId="59021258" w14:textId="77777777" w:rsidR="00E950E1" w:rsidRPr="0023146D" w:rsidRDefault="00E950E1">
            <w:pPr>
              <w:pStyle w:val="TableText0"/>
              <w:jc w:val="center"/>
            </w:pPr>
            <w:r w:rsidRPr="0023146D">
              <w:t>26 (22.4%)</w:t>
            </w:r>
          </w:p>
        </w:tc>
      </w:tr>
      <w:tr w:rsidR="00E950E1" w:rsidRPr="0023146D" w14:paraId="672D99EE" w14:textId="77777777" w:rsidTr="00546FF1">
        <w:tc>
          <w:tcPr>
            <w:tcW w:w="5503" w:type="dxa"/>
            <w:shd w:val="clear" w:color="auto" w:fill="C6D9F1" w:themeFill="text2" w:themeFillTint="33"/>
            <w:vAlign w:val="center"/>
          </w:tcPr>
          <w:p w14:paraId="2B794000" w14:textId="77777777" w:rsidR="00E950E1" w:rsidRPr="0023146D" w:rsidRDefault="00E950E1">
            <w:pPr>
              <w:pStyle w:val="TableText0"/>
            </w:pPr>
            <w:r w:rsidRPr="0023146D">
              <w:t>Neutropenia leading to discontinuation of study treatment, n (%)</w:t>
            </w:r>
          </w:p>
        </w:tc>
        <w:tc>
          <w:tcPr>
            <w:tcW w:w="1872" w:type="dxa"/>
            <w:shd w:val="clear" w:color="auto" w:fill="C6D9F1" w:themeFill="text2" w:themeFillTint="33"/>
            <w:vAlign w:val="center"/>
          </w:tcPr>
          <w:p w14:paraId="6598FA24" w14:textId="77777777" w:rsidR="00E950E1" w:rsidRPr="0023146D" w:rsidRDefault="00E950E1">
            <w:pPr>
              <w:pStyle w:val="TableText0"/>
              <w:jc w:val="center"/>
            </w:pPr>
            <w:r w:rsidRPr="0023146D">
              <w:t>0</w:t>
            </w:r>
          </w:p>
        </w:tc>
        <w:tc>
          <w:tcPr>
            <w:tcW w:w="1642" w:type="dxa"/>
            <w:shd w:val="clear" w:color="auto" w:fill="C6D9F1" w:themeFill="text2" w:themeFillTint="33"/>
            <w:vAlign w:val="center"/>
          </w:tcPr>
          <w:p w14:paraId="38C1357C" w14:textId="77777777" w:rsidR="00E950E1" w:rsidRPr="0023146D" w:rsidRDefault="00E950E1">
            <w:pPr>
              <w:pStyle w:val="TableText0"/>
              <w:jc w:val="center"/>
            </w:pPr>
            <w:r w:rsidRPr="0023146D">
              <w:t>11 (9.5%)</w:t>
            </w:r>
          </w:p>
        </w:tc>
      </w:tr>
      <w:tr w:rsidR="00E950E1" w:rsidRPr="0023146D" w14:paraId="5E2EBCE8" w14:textId="77777777" w:rsidTr="00546FF1">
        <w:tc>
          <w:tcPr>
            <w:tcW w:w="5503" w:type="dxa"/>
            <w:shd w:val="clear" w:color="auto" w:fill="C6D9F1" w:themeFill="text2" w:themeFillTint="33"/>
            <w:vAlign w:val="center"/>
          </w:tcPr>
          <w:p w14:paraId="5B772F07" w14:textId="77777777" w:rsidR="00E950E1" w:rsidRPr="0023146D" w:rsidRDefault="00E950E1">
            <w:pPr>
              <w:pStyle w:val="TableText0"/>
            </w:pPr>
            <w:r w:rsidRPr="0023146D">
              <w:t>Febrile neutropenia, n (%)</w:t>
            </w:r>
          </w:p>
        </w:tc>
        <w:tc>
          <w:tcPr>
            <w:tcW w:w="1872" w:type="dxa"/>
            <w:shd w:val="clear" w:color="auto" w:fill="C6D9F1" w:themeFill="text2" w:themeFillTint="33"/>
            <w:vAlign w:val="center"/>
          </w:tcPr>
          <w:p w14:paraId="06540B25" w14:textId="77777777" w:rsidR="00E950E1" w:rsidRPr="0023146D" w:rsidRDefault="00E950E1">
            <w:pPr>
              <w:pStyle w:val="TableText0"/>
              <w:jc w:val="center"/>
            </w:pPr>
            <w:r w:rsidRPr="0023146D">
              <w:t>2 (0.9%)</w:t>
            </w:r>
          </w:p>
        </w:tc>
        <w:tc>
          <w:tcPr>
            <w:tcW w:w="1642" w:type="dxa"/>
            <w:shd w:val="clear" w:color="auto" w:fill="C6D9F1" w:themeFill="text2" w:themeFillTint="33"/>
            <w:vAlign w:val="center"/>
          </w:tcPr>
          <w:p w14:paraId="613C379F" w14:textId="77777777" w:rsidR="00E950E1" w:rsidRPr="0023146D" w:rsidRDefault="00E950E1">
            <w:pPr>
              <w:pStyle w:val="TableText0"/>
              <w:jc w:val="center"/>
            </w:pPr>
            <w:r w:rsidRPr="0023146D">
              <w:t>4 (3.4%)</w:t>
            </w:r>
          </w:p>
        </w:tc>
      </w:tr>
      <w:tr w:rsidR="00E950E1" w:rsidRPr="0023146D" w14:paraId="1EC5E76D" w14:textId="77777777" w:rsidTr="00546FF1">
        <w:tc>
          <w:tcPr>
            <w:tcW w:w="5503" w:type="dxa"/>
            <w:shd w:val="clear" w:color="auto" w:fill="C6D9F1" w:themeFill="text2" w:themeFillTint="33"/>
            <w:vAlign w:val="center"/>
          </w:tcPr>
          <w:p w14:paraId="4211EA92" w14:textId="77777777" w:rsidR="00E950E1" w:rsidRPr="0023146D" w:rsidRDefault="00E950E1">
            <w:pPr>
              <w:pStyle w:val="TableText0"/>
            </w:pPr>
            <w:r w:rsidRPr="0023146D">
              <w:t>Increased serum creatinine, n (%)</w:t>
            </w:r>
          </w:p>
        </w:tc>
        <w:tc>
          <w:tcPr>
            <w:tcW w:w="1872" w:type="dxa"/>
            <w:shd w:val="clear" w:color="auto" w:fill="C6D9F1" w:themeFill="text2" w:themeFillTint="33"/>
            <w:vAlign w:val="center"/>
          </w:tcPr>
          <w:p w14:paraId="4460B828" w14:textId="77777777" w:rsidR="00E950E1" w:rsidRPr="0023146D" w:rsidRDefault="00E950E1">
            <w:pPr>
              <w:pStyle w:val="TableText0"/>
              <w:jc w:val="center"/>
            </w:pPr>
            <w:r w:rsidRPr="0023146D">
              <w:t>13 (5.6%)</w:t>
            </w:r>
          </w:p>
        </w:tc>
        <w:tc>
          <w:tcPr>
            <w:tcW w:w="1642" w:type="dxa"/>
            <w:shd w:val="clear" w:color="auto" w:fill="C6D9F1" w:themeFill="text2" w:themeFillTint="33"/>
            <w:vAlign w:val="center"/>
          </w:tcPr>
          <w:p w14:paraId="4D85BD8F" w14:textId="77777777" w:rsidR="00E950E1" w:rsidRPr="0023146D" w:rsidRDefault="00E950E1">
            <w:pPr>
              <w:pStyle w:val="TableText0"/>
              <w:jc w:val="center"/>
            </w:pPr>
            <w:r w:rsidRPr="0023146D">
              <w:t>5 (4.3%)</w:t>
            </w:r>
          </w:p>
        </w:tc>
      </w:tr>
      <w:tr w:rsidR="00E950E1" w:rsidRPr="0023146D" w14:paraId="1586007E" w14:textId="77777777" w:rsidTr="00546FF1">
        <w:tc>
          <w:tcPr>
            <w:tcW w:w="5503" w:type="dxa"/>
            <w:shd w:val="clear" w:color="auto" w:fill="C6D9F1" w:themeFill="text2" w:themeFillTint="33"/>
            <w:vAlign w:val="center"/>
          </w:tcPr>
          <w:p w14:paraId="294BF739" w14:textId="77777777" w:rsidR="00E950E1" w:rsidRPr="0023146D" w:rsidRDefault="00E950E1">
            <w:pPr>
              <w:pStyle w:val="TableText0"/>
            </w:pPr>
            <w:r w:rsidRPr="0023146D">
              <w:t>Acute kidney injury, n (%)</w:t>
            </w:r>
          </w:p>
        </w:tc>
        <w:tc>
          <w:tcPr>
            <w:tcW w:w="1872" w:type="dxa"/>
            <w:shd w:val="clear" w:color="auto" w:fill="C6D9F1" w:themeFill="text2" w:themeFillTint="33"/>
            <w:vAlign w:val="center"/>
          </w:tcPr>
          <w:p w14:paraId="62580924" w14:textId="77777777" w:rsidR="00E950E1" w:rsidRPr="0023146D" w:rsidRDefault="00E950E1">
            <w:pPr>
              <w:pStyle w:val="TableText0"/>
              <w:jc w:val="center"/>
            </w:pPr>
            <w:r w:rsidRPr="0023146D">
              <w:t>4 (1.7%)</w:t>
            </w:r>
          </w:p>
        </w:tc>
        <w:tc>
          <w:tcPr>
            <w:tcW w:w="1642" w:type="dxa"/>
            <w:shd w:val="clear" w:color="auto" w:fill="C6D9F1" w:themeFill="text2" w:themeFillTint="33"/>
            <w:vAlign w:val="center"/>
          </w:tcPr>
          <w:p w14:paraId="66639633" w14:textId="77777777" w:rsidR="00E950E1" w:rsidRPr="0023146D" w:rsidRDefault="00E950E1">
            <w:pPr>
              <w:pStyle w:val="TableText0"/>
              <w:jc w:val="center"/>
            </w:pPr>
            <w:r w:rsidRPr="0023146D">
              <w:t>9 (7.8%)</w:t>
            </w:r>
          </w:p>
        </w:tc>
      </w:tr>
      <w:tr w:rsidR="00E950E1" w:rsidRPr="0023146D" w14:paraId="128F6ED0" w14:textId="77777777" w:rsidTr="00546FF1">
        <w:tc>
          <w:tcPr>
            <w:tcW w:w="5503" w:type="dxa"/>
            <w:shd w:val="clear" w:color="auto" w:fill="C6D9F1" w:themeFill="text2" w:themeFillTint="33"/>
            <w:vAlign w:val="center"/>
          </w:tcPr>
          <w:p w14:paraId="50CD8CB5" w14:textId="77777777" w:rsidR="00E950E1" w:rsidRPr="0023146D" w:rsidRDefault="00E950E1">
            <w:pPr>
              <w:pStyle w:val="TableText0"/>
            </w:pPr>
            <w:r w:rsidRPr="0023146D">
              <w:t>RAS developing during study conferring resistance to ganciclovir, foscarnet or cidofovir, n/N</w:t>
            </w:r>
            <w:r w:rsidRPr="0023146D">
              <w:rPr>
                <w:vertAlign w:val="superscript"/>
              </w:rPr>
              <w:t>b</w:t>
            </w:r>
            <w:r w:rsidRPr="0023146D">
              <w:t xml:space="preserve"> (%)</w:t>
            </w:r>
          </w:p>
        </w:tc>
        <w:tc>
          <w:tcPr>
            <w:tcW w:w="1872" w:type="dxa"/>
            <w:shd w:val="clear" w:color="auto" w:fill="C6D9F1" w:themeFill="text2" w:themeFillTint="33"/>
            <w:vAlign w:val="center"/>
          </w:tcPr>
          <w:p w14:paraId="789BD8A9" w14:textId="77777777" w:rsidR="00E950E1" w:rsidRPr="0023146D" w:rsidRDefault="00E950E1">
            <w:pPr>
              <w:pStyle w:val="TableText0"/>
              <w:jc w:val="center"/>
            </w:pPr>
            <w:r w:rsidRPr="0023146D">
              <w:t>28/217 (12.9%)</w:t>
            </w:r>
          </w:p>
        </w:tc>
        <w:tc>
          <w:tcPr>
            <w:tcW w:w="1642" w:type="dxa"/>
            <w:shd w:val="clear" w:color="auto" w:fill="C6D9F1" w:themeFill="text2" w:themeFillTint="33"/>
            <w:vAlign w:val="center"/>
          </w:tcPr>
          <w:p w14:paraId="0DD3D497" w14:textId="77777777" w:rsidR="00E950E1" w:rsidRPr="0023146D" w:rsidRDefault="00E950E1">
            <w:pPr>
              <w:pStyle w:val="TableText0"/>
              <w:jc w:val="center"/>
            </w:pPr>
            <w:r w:rsidRPr="0023146D">
              <w:t>5/103 (4.9%)</w:t>
            </w:r>
          </w:p>
        </w:tc>
      </w:tr>
      <w:tr w:rsidR="00E950E1" w:rsidRPr="0023146D" w14:paraId="658201CA" w14:textId="77777777" w:rsidTr="00546FF1">
        <w:tc>
          <w:tcPr>
            <w:tcW w:w="5503" w:type="dxa"/>
            <w:shd w:val="clear" w:color="auto" w:fill="C6D9F1" w:themeFill="text2" w:themeFillTint="33"/>
            <w:vAlign w:val="center"/>
          </w:tcPr>
          <w:p w14:paraId="239ADFC1" w14:textId="77777777" w:rsidR="00E950E1" w:rsidRPr="0023146D" w:rsidRDefault="00E950E1">
            <w:pPr>
              <w:pStyle w:val="TableText0"/>
            </w:pPr>
            <w:r w:rsidRPr="0023146D">
              <w:t>RAS developing during study conferring resistance to maribavir, n/N</w:t>
            </w:r>
            <w:r w:rsidRPr="0023146D">
              <w:rPr>
                <w:vertAlign w:val="superscript"/>
              </w:rPr>
              <w:t>b</w:t>
            </w:r>
            <w:r w:rsidRPr="0023146D">
              <w:t xml:space="preserve"> (%)</w:t>
            </w:r>
          </w:p>
        </w:tc>
        <w:tc>
          <w:tcPr>
            <w:tcW w:w="1872" w:type="dxa"/>
            <w:shd w:val="clear" w:color="auto" w:fill="C6D9F1" w:themeFill="text2" w:themeFillTint="33"/>
            <w:vAlign w:val="center"/>
          </w:tcPr>
          <w:p w14:paraId="0786BFD1" w14:textId="77777777" w:rsidR="00E950E1" w:rsidRPr="0023146D" w:rsidRDefault="00E950E1">
            <w:pPr>
              <w:pStyle w:val="TableText0"/>
              <w:jc w:val="center"/>
            </w:pPr>
            <w:r w:rsidRPr="0023146D">
              <w:t>42/217 (19.6%)</w:t>
            </w:r>
          </w:p>
        </w:tc>
        <w:tc>
          <w:tcPr>
            <w:tcW w:w="1642" w:type="dxa"/>
            <w:shd w:val="clear" w:color="auto" w:fill="C6D9F1" w:themeFill="text2" w:themeFillTint="33"/>
            <w:vAlign w:val="center"/>
          </w:tcPr>
          <w:p w14:paraId="57795A17" w14:textId="77777777" w:rsidR="00E950E1" w:rsidRPr="0023146D" w:rsidRDefault="00E950E1">
            <w:pPr>
              <w:pStyle w:val="TableText0"/>
              <w:jc w:val="center"/>
            </w:pPr>
            <w:r w:rsidRPr="0023146D">
              <w:t>0</w:t>
            </w:r>
          </w:p>
        </w:tc>
      </w:tr>
    </w:tbl>
    <w:p w14:paraId="2B816921" w14:textId="4A68B950" w:rsidR="00E950E1" w:rsidRPr="0023146D" w:rsidRDefault="00E950E1" w:rsidP="008B265F">
      <w:pPr>
        <w:pStyle w:val="TableFigureFooter"/>
        <w:rPr>
          <w:rFonts w:eastAsiaTheme="majorEastAsia"/>
        </w:rPr>
      </w:pPr>
      <w:r w:rsidRPr="0023146D">
        <w:t xml:space="preserve">Source: </w:t>
      </w:r>
      <w:r w:rsidRPr="0023146D">
        <w:rPr>
          <w:rFonts w:eastAsiaTheme="majorEastAsia"/>
        </w:rPr>
        <w:t>Table 11, maribavir, Public Summary Document, November 2023 PBAC meeting.</w:t>
      </w:r>
    </w:p>
    <w:p w14:paraId="59D34C4F" w14:textId="77777777" w:rsidR="00E950E1" w:rsidRPr="0023146D" w:rsidRDefault="00E950E1" w:rsidP="00E950E1">
      <w:pPr>
        <w:pStyle w:val="TableFooter"/>
        <w:rPr>
          <w:rFonts w:eastAsiaTheme="majorEastAsia"/>
        </w:rPr>
      </w:pPr>
      <w:r w:rsidRPr="0023146D">
        <w:rPr>
          <w:rFonts w:eastAsiaTheme="majorEastAsia"/>
        </w:rPr>
        <w:t xml:space="preserve">CMV = cytomegalovirus; IAT = investigator assigned treatment; RAS = resistance-associated amino acid substitution; TEAE = treatment-emergent adverse event; TESAE = treatment-emergent serious adverse event </w:t>
      </w:r>
    </w:p>
    <w:p w14:paraId="1A23553C" w14:textId="77777777" w:rsidR="00E950E1" w:rsidRPr="0023146D" w:rsidRDefault="00E950E1" w:rsidP="00E950E1">
      <w:pPr>
        <w:pStyle w:val="TableFooter"/>
        <w:tabs>
          <w:tab w:val="left" w:pos="142"/>
        </w:tabs>
        <w:ind w:left="142" w:hanging="142"/>
        <w:rPr>
          <w:rFonts w:eastAsiaTheme="majorEastAsia"/>
        </w:rPr>
      </w:pPr>
      <w:r w:rsidRPr="0023146D">
        <w:rPr>
          <w:rFonts w:eastAsiaTheme="majorEastAsia"/>
          <w:vertAlign w:val="superscript"/>
        </w:rPr>
        <w:t>a</w:t>
      </w:r>
      <w:r w:rsidRPr="0023146D">
        <w:rPr>
          <w:rFonts w:eastAsiaTheme="majorEastAsia"/>
        </w:rPr>
        <w:t xml:space="preserve"> </w:t>
      </w:r>
      <w:r w:rsidRPr="0023146D">
        <w:rPr>
          <w:rFonts w:eastAsiaTheme="majorEastAsia"/>
        </w:rPr>
        <w:tab/>
        <w:t>Including two deaths in each group occurring after completion of 20-week treatment + follow-up period but due to events beginning before 20 weeks.</w:t>
      </w:r>
    </w:p>
    <w:p w14:paraId="58898CCD" w14:textId="77777777" w:rsidR="00E950E1" w:rsidRPr="0023146D" w:rsidRDefault="00E950E1" w:rsidP="0035146F">
      <w:pPr>
        <w:pStyle w:val="TableFooter"/>
        <w:tabs>
          <w:tab w:val="left" w:pos="142"/>
        </w:tabs>
        <w:rPr>
          <w:rFonts w:eastAsiaTheme="majorEastAsia"/>
        </w:rPr>
      </w:pPr>
      <w:r w:rsidRPr="0023146D">
        <w:rPr>
          <w:vertAlign w:val="superscript"/>
        </w:rPr>
        <w:t>b</w:t>
      </w:r>
      <w:r w:rsidRPr="0023146D">
        <w:t xml:space="preserve"> </w:t>
      </w:r>
      <w:r w:rsidRPr="0023146D">
        <w:tab/>
        <w:t>N = number of patients with baseline and post-baseline viral genotype.</w:t>
      </w:r>
      <w:r w:rsidRPr="0023146D">
        <w:rPr>
          <w:rFonts w:eastAsiaTheme="majorEastAsia"/>
        </w:rPr>
        <w:t xml:space="preserve"> </w:t>
      </w:r>
    </w:p>
    <w:p w14:paraId="3FBBE0DB" w14:textId="77777777" w:rsidR="0035146F" w:rsidRPr="0023146D" w:rsidRDefault="0035146F" w:rsidP="006B02AA">
      <w:pPr>
        <w:pStyle w:val="FooterTableFigure"/>
        <w:rPr>
          <w:sz w:val="16"/>
          <w:szCs w:val="20"/>
        </w:rPr>
      </w:pPr>
      <w:r w:rsidRPr="0023146D">
        <w:rPr>
          <w:szCs w:val="20"/>
        </w:rPr>
        <w:t>Data in blue-shade are those previously seen by the PBAC.</w:t>
      </w:r>
    </w:p>
    <w:p w14:paraId="42CC9C46" w14:textId="6EDC4F7E" w:rsidR="00E950E1" w:rsidRPr="00F57F1D" w:rsidRDefault="00E950E1" w:rsidP="00E950E1">
      <w:pPr>
        <w:pStyle w:val="3-BodyText"/>
        <w:rPr>
          <w:iCs/>
        </w:rPr>
      </w:pPr>
      <w:r w:rsidRPr="00F57F1D">
        <w:rPr>
          <w:iCs/>
        </w:rPr>
        <w:t xml:space="preserve">The PBAC </w:t>
      </w:r>
      <w:r w:rsidR="002B3E61" w:rsidRPr="00F57F1D">
        <w:rPr>
          <w:iCs/>
        </w:rPr>
        <w:t xml:space="preserve">previously </w:t>
      </w:r>
      <w:r w:rsidRPr="00F57F1D">
        <w:rPr>
          <w:iCs/>
        </w:rPr>
        <w:t xml:space="preserve">acknowledged that maribavir appears to have a different safety profile compared with standard medical management but considered that maribavir was not superior to standard medical management in terms of safety, and that a claim of non-inferior safety would be more reasonable. The PBAC noted that while there were lower rates of neutropenia and febrile neutropenia in patients treated with maribavir, the safety profile between maribavir and standard medical management was otherwise similar. </w:t>
      </w:r>
    </w:p>
    <w:p w14:paraId="6BD9EC8C" w14:textId="77777777" w:rsidR="00732F7D" w:rsidRPr="0023146D" w:rsidRDefault="00732F7D" w:rsidP="00732F7D">
      <w:pPr>
        <w:pStyle w:val="4-SubsectionHeading"/>
      </w:pPr>
      <w:bookmarkStart w:id="37" w:name="_Toc22897643"/>
      <w:bookmarkStart w:id="38" w:name="_Toc177482514"/>
      <w:r w:rsidRPr="0023146D">
        <w:t>Benefits/harms</w:t>
      </w:r>
      <w:bookmarkEnd w:id="37"/>
      <w:bookmarkEnd w:id="38"/>
    </w:p>
    <w:p w14:paraId="48AE6648" w14:textId="2ED134FE" w:rsidR="004F30C8" w:rsidRPr="00F57F1D" w:rsidRDefault="006B02AA" w:rsidP="004F30C8">
      <w:pPr>
        <w:pStyle w:val="3-BodyText"/>
      </w:pPr>
      <w:r>
        <w:t>A</w:t>
      </w:r>
      <w:r w:rsidR="004F30C8" w:rsidRPr="00F57F1D">
        <w:t xml:space="preserve"> benefits/harms summary is not presented as the comparison of maribavir with all four drugs included in the IAT arm of SOLSTICE was not clinically reasonable as they have different efficacy and safety profiles</w:t>
      </w:r>
      <w:r w:rsidR="00AF4DC7" w:rsidRPr="00F57F1D">
        <w:t xml:space="preserve"> (para </w:t>
      </w:r>
      <w:r w:rsidR="000A4CD4" w:rsidRPr="00F57F1D">
        <w:t>6.43</w:t>
      </w:r>
      <w:r w:rsidR="00AF4DC7" w:rsidRPr="00F57F1D">
        <w:t>, maribavir PSD, November 2023 PBAC meeting)</w:t>
      </w:r>
      <w:r w:rsidR="004F30C8" w:rsidRPr="00F57F1D">
        <w:t>.</w:t>
      </w:r>
    </w:p>
    <w:p w14:paraId="07EDF59D" w14:textId="77777777" w:rsidR="00732F7D" w:rsidRPr="0023146D" w:rsidRDefault="00732F7D" w:rsidP="00732F7D">
      <w:pPr>
        <w:pStyle w:val="4-SubsectionHeading"/>
      </w:pPr>
      <w:bookmarkStart w:id="39" w:name="_Toc22897644"/>
      <w:bookmarkStart w:id="40" w:name="_Toc177482515"/>
      <w:r w:rsidRPr="0023146D">
        <w:t>Clinical claim</w:t>
      </w:r>
      <w:bookmarkEnd w:id="39"/>
      <w:bookmarkEnd w:id="40"/>
    </w:p>
    <w:p w14:paraId="0E7EA93B" w14:textId="78AD1F82" w:rsidR="00852A9E" w:rsidRPr="00045880" w:rsidRDefault="00852A9E" w:rsidP="00852A9E">
      <w:pPr>
        <w:pStyle w:val="3-BodyText"/>
        <w:rPr>
          <w:iCs/>
        </w:rPr>
      </w:pPr>
      <w:r w:rsidRPr="0023146D">
        <w:t xml:space="preserve">The resubmission described maribavir as superior in terms of effectiveness compared to SoC. </w:t>
      </w:r>
      <w:r w:rsidRPr="00045880">
        <w:t xml:space="preserve">The </w:t>
      </w:r>
      <w:r w:rsidR="001A0C28" w:rsidRPr="00045880">
        <w:t>commentary considered</w:t>
      </w:r>
      <w:r w:rsidR="001A0C28">
        <w:t xml:space="preserve"> the </w:t>
      </w:r>
      <w:r w:rsidRPr="0023146D">
        <w:t xml:space="preserve">therapeutic conclusion presented in the </w:t>
      </w:r>
      <w:r w:rsidRPr="0023146D">
        <w:lastRenderedPageBreak/>
        <w:t xml:space="preserve">resubmission was not adequately supported by the </w:t>
      </w:r>
      <w:r w:rsidR="00C71915" w:rsidRPr="0023146D">
        <w:t xml:space="preserve">clinical </w:t>
      </w:r>
      <w:r w:rsidRPr="0023146D">
        <w:t xml:space="preserve">evidence. </w:t>
      </w:r>
      <w:r w:rsidR="00150333" w:rsidRPr="00F57F1D">
        <w:rPr>
          <w:iCs/>
        </w:rPr>
        <w:t xml:space="preserve">The PBAC previously considered that </w:t>
      </w:r>
      <w:r w:rsidR="00580274" w:rsidRPr="00F57F1D">
        <w:rPr>
          <w:iCs/>
        </w:rPr>
        <w:t xml:space="preserve">the level of benefit for maribavir was uncertain due to the high risk of bias in the open-label SOLSTICE trial, and that </w:t>
      </w:r>
      <w:r w:rsidR="00CC7DE3" w:rsidRPr="00F57F1D">
        <w:rPr>
          <w:iCs/>
        </w:rPr>
        <w:t xml:space="preserve">the </w:t>
      </w:r>
      <w:r w:rsidR="00580274" w:rsidRPr="00F57F1D">
        <w:rPr>
          <w:iCs/>
        </w:rPr>
        <w:t>number of patients who switched to the maribavir rescue arm (22) and the high rate of discontinuations in patients prior to 8 weeks in the IAT comparator arm (65.7%) potentially biased the outcomes in favour of maribavir</w:t>
      </w:r>
      <w:r w:rsidR="00150333" w:rsidRPr="00F57F1D">
        <w:rPr>
          <w:iCs/>
        </w:rPr>
        <w:t xml:space="preserve"> (para 7.10, 7.13 maribavir PSD, November 2023 PBAC).</w:t>
      </w:r>
      <w:r w:rsidR="007E212F" w:rsidRPr="00F57F1D">
        <w:rPr>
          <w:iCs/>
        </w:rPr>
        <w:t xml:space="preserve"> The PBAC </w:t>
      </w:r>
      <w:r w:rsidR="006B02AA">
        <w:rPr>
          <w:iCs/>
        </w:rPr>
        <w:t xml:space="preserve">previously </w:t>
      </w:r>
      <w:r w:rsidRPr="00F57F1D">
        <w:rPr>
          <w:iCs/>
        </w:rPr>
        <w:t>suggested that a resubmission for maribavir should provide additional data to support a clinical claim of superiority over standard of care (para 7.17, maribavir PSD, November 2023 PBAC meeting). The</w:t>
      </w:r>
      <w:r w:rsidRPr="00F57F1D" w:rsidDel="00E30D2C">
        <w:rPr>
          <w:iCs/>
        </w:rPr>
        <w:t xml:space="preserve"> </w:t>
      </w:r>
      <w:r w:rsidR="00B17553" w:rsidRPr="00F57F1D">
        <w:rPr>
          <w:iCs/>
        </w:rPr>
        <w:t xml:space="preserve">resubmission did not present additional </w:t>
      </w:r>
      <w:r w:rsidR="00E30D2C" w:rsidRPr="00F57F1D">
        <w:rPr>
          <w:iCs/>
        </w:rPr>
        <w:t xml:space="preserve">clinical data </w:t>
      </w:r>
      <w:r w:rsidR="00B17553" w:rsidRPr="00F57F1D">
        <w:rPr>
          <w:iCs/>
        </w:rPr>
        <w:t>to</w:t>
      </w:r>
      <w:r w:rsidR="00F45490" w:rsidRPr="00F57F1D">
        <w:rPr>
          <w:iCs/>
        </w:rPr>
        <w:t xml:space="preserve"> address</w:t>
      </w:r>
      <w:r w:rsidR="00BF3ADB" w:rsidRPr="00F57F1D">
        <w:rPr>
          <w:iCs/>
        </w:rPr>
        <w:t xml:space="preserve"> the risk of bias </w:t>
      </w:r>
      <w:r w:rsidR="00B17553" w:rsidRPr="00F57F1D">
        <w:rPr>
          <w:iCs/>
        </w:rPr>
        <w:t>and t</w:t>
      </w:r>
      <w:r w:rsidR="00AB2346" w:rsidRPr="00F57F1D">
        <w:rPr>
          <w:iCs/>
        </w:rPr>
        <w:t>he</w:t>
      </w:r>
      <w:r w:rsidR="00B17553" w:rsidRPr="00F57F1D">
        <w:rPr>
          <w:iCs/>
        </w:rPr>
        <w:t>refore the</w:t>
      </w:r>
      <w:r w:rsidR="00AB2346" w:rsidRPr="00F57F1D">
        <w:rPr>
          <w:iCs/>
        </w:rPr>
        <w:t xml:space="preserve"> magnitude of </w:t>
      </w:r>
      <w:r w:rsidR="001A3B86" w:rsidRPr="00F57F1D">
        <w:rPr>
          <w:iCs/>
        </w:rPr>
        <w:t>benefit of maribavir remain</w:t>
      </w:r>
      <w:r w:rsidR="00B17553" w:rsidRPr="00F57F1D">
        <w:rPr>
          <w:iCs/>
        </w:rPr>
        <w:t>ed</w:t>
      </w:r>
      <w:r w:rsidR="001A3B86" w:rsidRPr="00F57F1D">
        <w:rPr>
          <w:iCs/>
        </w:rPr>
        <w:t xml:space="preserve"> uncertain. </w:t>
      </w:r>
      <w:r w:rsidR="001A0C28" w:rsidRPr="00045880">
        <w:rPr>
          <w:iCs/>
        </w:rPr>
        <w:t>The ESC agreed with the commentary that the resubmission did not address the PBAC’s previous concerns and the level of benefit for maribavir remains uncertain.</w:t>
      </w:r>
    </w:p>
    <w:p w14:paraId="24974373" w14:textId="4F7B8452" w:rsidR="00852A9E" w:rsidRDefault="00852A9E" w:rsidP="00852A9E">
      <w:pPr>
        <w:pStyle w:val="3-BodyText"/>
        <w:rPr>
          <w:iCs/>
        </w:rPr>
      </w:pPr>
      <w:r w:rsidRPr="00F57F1D">
        <w:rPr>
          <w:iCs/>
        </w:rPr>
        <w:t xml:space="preserve">The </w:t>
      </w:r>
      <w:r w:rsidR="006E45E5" w:rsidRPr="00F57F1D">
        <w:rPr>
          <w:iCs/>
        </w:rPr>
        <w:t>re</w:t>
      </w:r>
      <w:r w:rsidRPr="00F57F1D">
        <w:rPr>
          <w:iCs/>
        </w:rPr>
        <w:t xml:space="preserve">submission described maribavir as non-inferior in terms of safety compared to </w:t>
      </w:r>
      <w:r w:rsidR="00B17553" w:rsidRPr="00F57F1D">
        <w:rPr>
          <w:iCs/>
        </w:rPr>
        <w:t>SoC</w:t>
      </w:r>
      <w:r w:rsidRPr="00F57F1D">
        <w:rPr>
          <w:iCs/>
        </w:rPr>
        <w:t xml:space="preserve">. </w:t>
      </w:r>
      <w:r w:rsidR="003472B6" w:rsidRPr="00F57F1D">
        <w:rPr>
          <w:iCs/>
        </w:rPr>
        <w:t>T</w:t>
      </w:r>
      <w:r w:rsidR="00031EF7" w:rsidRPr="00F57F1D">
        <w:rPr>
          <w:iCs/>
        </w:rPr>
        <w:t xml:space="preserve">he resubmission accepted the PBAC’s advice that a claim of superiority in terms of safety over </w:t>
      </w:r>
      <w:r w:rsidR="00B17553" w:rsidRPr="00F57F1D">
        <w:rPr>
          <w:iCs/>
        </w:rPr>
        <w:t>SoC</w:t>
      </w:r>
      <w:r w:rsidR="00031EF7" w:rsidRPr="00F57F1D">
        <w:rPr>
          <w:iCs/>
        </w:rPr>
        <w:t xml:space="preserve"> with respect to safety was not supported</w:t>
      </w:r>
      <w:r w:rsidR="00E14696" w:rsidRPr="00F57F1D">
        <w:rPr>
          <w:iCs/>
        </w:rPr>
        <w:t>, and that a claim of non</w:t>
      </w:r>
      <w:r w:rsidR="00B17553" w:rsidRPr="00F57F1D">
        <w:rPr>
          <w:iCs/>
        </w:rPr>
        <w:t>-</w:t>
      </w:r>
      <w:r w:rsidR="00E14696" w:rsidRPr="00F57F1D">
        <w:rPr>
          <w:iCs/>
        </w:rPr>
        <w:t>inferior safety would be more reasonable</w:t>
      </w:r>
      <w:r w:rsidR="00746608" w:rsidRPr="00F57F1D">
        <w:rPr>
          <w:iCs/>
        </w:rPr>
        <w:t xml:space="preserve"> (para 7.14, maribavir PSD, November 2023 PBAC meeting).</w:t>
      </w:r>
      <w:r w:rsidR="003472B6" w:rsidRPr="00F57F1D">
        <w:rPr>
          <w:iCs/>
        </w:rPr>
        <w:t xml:space="preserve"> </w:t>
      </w:r>
      <w:r w:rsidR="001A0C28" w:rsidRPr="00045880">
        <w:rPr>
          <w:iCs/>
        </w:rPr>
        <w:t>The ESC considered the claim of non-inferior safety was reasonable.</w:t>
      </w:r>
    </w:p>
    <w:p w14:paraId="6F3D75C1" w14:textId="407CBF38" w:rsidR="006B02AA" w:rsidRPr="006B02AA" w:rsidRDefault="006B02AA" w:rsidP="006B02AA">
      <w:pPr>
        <w:pStyle w:val="3-BodyText"/>
        <w:rPr>
          <w:snapToGrid w:val="0"/>
        </w:rPr>
      </w:pPr>
      <w:bookmarkStart w:id="41" w:name="_Hlk76376200"/>
      <w:r w:rsidRPr="00CE42B4">
        <w:rPr>
          <w:iCs/>
          <w:snapToGrid w:val="0"/>
        </w:rPr>
        <w:t>The</w:t>
      </w:r>
      <w:r w:rsidRPr="00CE42B4">
        <w:rPr>
          <w:snapToGrid w:val="0"/>
        </w:rPr>
        <w:t xml:space="preserve"> PBAC </w:t>
      </w:r>
      <w:r>
        <w:rPr>
          <w:snapToGrid w:val="0"/>
        </w:rPr>
        <w:t xml:space="preserve">recalled it had previously </w:t>
      </w:r>
      <w:r w:rsidRPr="00CE42B4">
        <w:rPr>
          <w:snapToGrid w:val="0"/>
        </w:rPr>
        <w:t xml:space="preserve">considered that the claim of </w:t>
      </w:r>
      <w:r>
        <w:rPr>
          <w:snapToGrid w:val="0"/>
        </w:rPr>
        <w:t>superior</w:t>
      </w:r>
      <w:r w:rsidRPr="00CE42B4">
        <w:rPr>
          <w:snapToGrid w:val="0"/>
        </w:rPr>
        <w:t xml:space="preserve"> comparative effectiveness was not </w:t>
      </w:r>
      <w:r>
        <w:rPr>
          <w:snapToGrid w:val="0"/>
        </w:rPr>
        <w:t>well-</w:t>
      </w:r>
      <w:r w:rsidRPr="00CE42B4">
        <w:rPr>
          <w:snapToGrid w:val="0"/>
        </w:rPr>
        <w:t>supported by the data.</w:t>
      </w:r>
      <w:r>
        <w:rPr>
          <w:snapToGrid w:val="0"/>
        </w:rPr>
        <w:t xml:space="preserve"> The PBAC noted that no additional clinical data were available to support the clinical claim, but considered that the outcome of </w:t>
      </w:r>
      <w:r w:rsidRPr="00045880">
        <w:rPr>
          <w:iCs/>
        </w:rPr>
        <w:t>recurrence</w:t>
      </w:r>
      <w:r>
        <w:rPr>
          <w:snapToGrid w:val="0"/>
        </w:rPr>
        <w:t xml:space="preserve"> requiring retreatment was likely to be clinically meaningful and the SOLSTICE trial suggested maribavir was superior to IAT for this outcome. The PBAC </w:t>
      </w:r>
      <w:r w:rsidRPr="006B02AA">
        <w:rPr>
          <w:snapToGrid w:val="0"/>
        </w:rPr>
        <w:t>maintained that there was a high level of uncertainty in the magnitude of clinical benefit for maribavir due to the limitations of the trial.</w:t>
      </w:r>
    </w:p>
    <w:p w14:paraId="2CA0BE71" w14:textId="2DDCFFE3" w:rsidR="00294EFE" w:rsidRPr="00213B0B" w:rsidRDefault="00294EFE" w:rsidP="00213B0B">
      <w:pPr>
        <w:pStyle w:val="3-BodyText"/>
        <w:rPr>
          <w:snapToGrid w:val="0"/>
        </w:rPr>
      </w:pPr>
      <w:r w:rsidRPr="006B02AA">
        <w:rPr>
          <w:snapToGrid w:val="0"/>
        </w:rPr>
        <w:t>The PBAC considered that the claim of non-inferior comparative safety was reasonable.</w:t>
      </w:r>
      <w:bookmarkEnd w:id="41"/>
    </w:p>
    <w:p w14:paraId="4747AB5A" w14:textId="77777777" w:rsidR="00732F7D" w:rsidRPr="0023146D" w:rsidRDefault="00732F7D" w:rsidP="00732F7D">
      <w:pPr>
        <w:pStyle w:val="4-SubsectionHeading"/>
      </w:pPr>
      <w:bookmarkStart w:id="42" w:name="_Toc22897645"/>
      <w:bookmarkStart w:id="43" w:name="_Toc177482516"/>
      <w:r w:rsidRPr="0023146D">
        <w:t>Economic analysis</w:t>
      </w:r>
      <w:bookmarkEnd w:id="42"/>
      <w:bookmarkEnd w:id="43"/>
      <w:r w:rsidRPr="0023146D">
        <w:t xml:space="preserve"> </w:t>
      </w:r>
    </w:p>
    <w:p w14:paraId="2EF48747" w14:textId="63FD897A" w:rsidR="0000033E" w:rsidRPr="0023146D" w:rsidRDefault="008846CB" w:rsidP="0000033E">
      <w:pPr>
        <w:pStyle w:val="3-BodyText"/>
      </w:pPr>
      <w:r w:rsidRPr="00F57F1D">
        <w:rPr>
          <w:iCs/>
        </w:rPr>
        <w:t xml:space="preserve">The </w:t>
      </w:r>
      <w:r w:rsidR="008A46AC" w:rsidRPr="00F57F1D">
        <w:rPr>
          <w:iCs/>
        </w:rPr>
        <w:t xml:space="preserve">economic evaluation </w:t>
      </w:r>
      <w:r w:rsidRPr="00F57F1D">
        <w:rPr>
          <w:iCs/>
        </w:rPr>
        <w:t>remain</w:t>
      </w:r>
      <w:r w:rsidR="00B17553" w:rsidRPr="00F57F1D">
        <w:rPr>
          <w:iCs/>
        </w:rPr>
        <w:t>ed</w:t>
      </w:r>
      <w:r w:rsidRPr="00F57F1D">
        <w:rPr>
          <w:iCs/>
        </w:rPr>
        <w:t xml:space="preserve"> largely </w:t>
      </w:r>
      <w:r w:rsidR="000F3190" w:rsidRPr="00F57F1D">
        <w:rPr>
          <w:iCs/>
        </w:rPr>
        <w:t xml:space="preserve">unchanged </w:t>
      </w:r>
      <w:r w:rsidR="00B17553" w:rsidRPr="00F57F1D">
        <w:rPr>
          <w:iCs/>
        </w:rPr>
        <w:t xml:space="preserve">from </w:t>
      </w:r>
      <w:r w:rsidR="00BC79CD" w:rsidRPr="00F57F1D">
        <w:rPr>
          <w:iCs/>
        </w:rPr>
        <w:t>that presented</w:t>
      </w:r>
      <w:r w:rsidRPr="00F57F1D">
        <w:rPr>
          <w:iCs/>
        </w:rPr>
        <w:t xml:space="preserve"> </w:t>
      </w:r>
      <w:r w:rsidR="00B17553" w:rsidRPr="00F57F1D">
        <w:rPr>
          <w:iCs/>
        </w:rPr>
        <w:t>in November 2023</w:t>
      </w:r>
      <w:r w:rsidR="00064CC2" w:rsidRPr="00F57F1D">
        <w:rPr>
          <w:iCs/>
        </w:rPr>
        <w:t>.</w:t>
      </w:r>
      <w:r w:rsidR="00064CC2" w:rsidRPr="0023146D">
        <w:t xml:space="preserve"> </w:t>
      </w:r>
      <w:r w:rsidR="00611119" w:rsidRPr="0023146D">
        <w:t xml:space="preserve">The resubmission presented a stepped economic evaluation based on evidence </w:t>
      </w:r>
      <w:r w:rsidR="00B17553" w:rsidRPr="0023146D">
        <w:t xml:space="preserve">from </w:t>
      </w:r>
      <w:r w:rsidR="00611119" w:rsidRPr="0023146D">
        <w:t xml:space="preserve">SOLSTICE, and a retrospective study of SOT and HSCT patients (TAK620-5001 and TAK620-5002; referred to as OTUS = Outcomes, Treatment Patterns and Healthcare Resource Utilization Study). </w:t>
      </w:r>
      <w:r w:rsidR="00462AB6" w:rsidRPr="0023146D">
        <w:t>Key changes include</w:t>
      </w:r>
      <w:r w:rsidR="00B17553" w:rsidRPr="0023146D">
        <w:t>d</w:t>
      </w:r>
      <w:r w:rsidR="00462AB6" w:rsidRPr="0023146D">
        <w:t xml:space="preserve"> reducing </w:t>
      </w:r>
      <w:r w:rsidR="00B17553" w:rsidRPr="0023146D">
        <w:t xml:space="preserve">the </w:t>
      </w:r>
      <w:r w:rsidR="00BA1E04" w:rsidRPr="0023146D">
        <w:t>s</w:t>
      </w:r>
      <w:r w:rsidR="00462AB6" w:rsidRPr="0023146D">
        <w:t>tage 1 duration from 78 to 39.2 weeks and updating the utilities analysis.</w:t>
      </w:r>
    </w:p>
    <w:p w14:paraId="48C2D2DA" w14:textId="757D6C4D" w:rsidR="00732F7D" w:rsidRPr="0023146D" w:rsidRDefault="00732F7D" w:rsidP="00732F7D">
      <w:pPr>
        <w:pStyle w:val="Caption"/>
        <w:jc w:val="left"/>
        <w:rPr>
          <w:rStyle w:val="CommentReference"/>
          <w:b/>
          <w:szCs w:val="24"/>
        </w:rPr>
      </w:pPr>
      <w:bookmarkStart w:id="44" w:name="_Ref175735502"/>
      <w:r w:rsidRPr="0023146D">
        <w:lastRenderedPageBreak/>
        <w:t xml:space="preserve">Table </w:t>
      </w:r>
      <w:r w:rsidR="008A7014">
        <w:fldChar w:fldCharType="begin" w:fldLock="1"/>
      </w:r>
      <w:r w:rsidR="008A7014">
        <w:instrText xml:space="preserve"> SEQ Table \* ARABIC </w:instrText>
      </w:r>
      <w:r w:rsidR="008A7014">
        <w:fldChar w:fldCharType="separate"/>
      </w:r>
      <w:r w:rsidR="008854AA">
        <w:rPr>
          <w:noProof/>
        </w:rPr>
        <w:t>7</w:t>
      </w:r>
      <w:r w:rsidR="008A7014">
        <w:rPr>
          <w:noProof/>
        </w:rPr>
        <w:fldChar w:fldCharType="end"/>
      </w:r>
      <w:bookmarkEnd w:id="44"/>
      <w:r w:rsidRPr="0023146D">
        <w:t>:</w:t>
      </w:r>
      <w:r w:rsidRPr="0023146D">
        <w:rPr>
          <w:rStyle w:val="CommentReference"/>
          <w:b/>
          <w:szCs w:val="24"/>
        </w:rPr>
        <w:t xml:space="preserve"> Summary of model structure, key inputs and rationale</w:t>
      </w:r>
    </w:p>
    <w:tbl>
      <w:tblPr>
        <w:tblStyle w:val="TableGrid"/>
        <w:tblW w:w="8926" w:type="dxa"/>
        <w:tblLook w:val="04A0" w:firstRow="1" w:lastRow="0" w:firstColumn="1" w:lastColumn="0" w:noHBand="0" w:noVBand="1"/>
        <w:tblCaption w:val="Table 7: Summary of model structure, key inputs and rationale"/>
        <w:tblDescription w:val="Table 7: Summary of model structure, key inputs and rationale"/>
      </w:tblPr>
      <w:tblGrid>
        <w:gridCol w:w="1675"/>
        <w:gridCol w:w="7251"/>
      </w:tblGrid>
      <w:tr w:rsidR="007B7F9B" w:rsidRPr="0023146D" w14:paraId="2EEEE215" w14:textId="77777777" w:rsidTr="00AA10BF">
        <w:trPr>
          <w:trHeight w:val="195"/>
        </w:trPr>
        <w:tc>
          <w:tcPr>
            <w:tcW w:w="1675" w:type="dxa"/>
          </w:tcPr>
          <w:p w14:paraId="3C3746F6" w14:textId="77777777" w:rsidR="007B7F9B" w:rsidRPr="0023146D" w:rsidRDefault="007B7F9B">
            <w:pPr>
              <w:pStyle w:val="TableH28pt"/>
              <w:spacing w:before="0" w:after="0"/>
              <w:rPr>
                <w:rFonts w:ascii="Arial Narrow" w:hAnsi="Arial Narrow"/>
                <w:sz w:val="20"/>
              </w:rPr>
            </w:pPr>
            <w:r w:rsidRPr="0023146D">
              <w:rPr>
                <w:rFonts w:ascii="Arial Narrow" w:hAnsi="Arial Narrow"/>
                <w:sz w:val="20"/>
              </w:rPr>
              <w:t xml:space="preserve">Parameter </w:t>
            </w:r>
          </w:p>
        </w:tc>
        <w:tc>
          <w:tcPr>
            <w:tcW w:w="7251" w:type="dxa"/>
          </w:tcPr>
          <w:p w14:paraId="2FAA2F8C" w14:textId="13DEA8AE" w:rsidR="007B7F9B" w:rsidRPr="0023146D" w:rsidRDefault="000B3C9C">
            <w:pPr>
              <w:pStyle w:val="TableH28pt"/>
              <w:spacing w:before="0" w:after="0"/>
              <w:rPr>
                <w:rFonts w:ascii="Arial Narrow" w:hAnsi="Arial Narrow"/>
                <w:sz w:val="20"/>
              </w:rPr>
            </w:pPr>
            <w:r w:rsidRPr="0023146D">
              <w:rPr>
                <w:rFonts w:ascii="Arial Narrow" w:hAnsi="Arial Narrow"/>
                <w:sz w:val="20"/>
              </w:rPr>
              <w:t xml:space="preserve">Summary </w:t>
            </w:r>
          </w:p>
        </w:tc>
      </w:tr>
      <w:tr w:rsidR="007B7F9B" w:rsidRPr="0023146D" w14:paraId="4B091AE3" w14:textId="77777777" w:rsidTr="00AA10BF">
        <w:tc>
          <w:tcPr>
            <w:tcW w:w="1675" w:type="dxa"/>
            <w:shd w:val="clear" w:color="auto" w:fill="C6D9F1" w:themeFill="text2" w:themeFillTint="33"/>
            <w:vAlign w:val="center"/>
          </w:tcPr>
          <w:p w14:paraId="1D63F967" w14:textId="77777777" w:rsidR="007B7F9B" w:rsidRPr="0023146D" w:rsidRDefault="007B7F9B">
            <w:pPr>
              <w:pStyle w:val="Tabletext8pt"/>
              <w:spacing w:before="0" w:after="0"/>
              <w:rPr>
                <w:rFonts w:ascii="Arial Narrow" w:hAnsi="Arial Narrow"/>
                <w:sz w:val="20"/>
                <w:szCs w:val="20"/>
              </w:rPr>
            </w:pPr>
            <w:r w:rsidRPr="0023146D">
              <w:rPr>
                <w:rFonts w:ascii="Arial Narrow" w:hAnsi="Arial Narrow"/>
                <w:sz w:val="20"/>
                <w:szCs w:val="20"/>
              </w:rPr>
              <w:t>Treatments</w:t>
            </w:r>
          </w:p>
        </w:tc>
        <w:tc>
          <w:tcPr>
            <w:tcW w:w="7251" w:type="dxa"/>
            <w:shd w:val="clear" w:color="auto" w:fill="C6D9F1" w:themeFill="text2" w:themeFillTint="33"/>
          </w:tcPr>
          <w:p w14:paraId="1F63999F" w14:textId="77777777" w:rsidR="007B7F9B" w:rsidRPr="0023146D" w:rsidRDefault="007B7F9B">
            <w:pPr>
              <w:pStyle w:val="Tabletext8pt"/>
              <w:spacing w:before="0" w:after="0"/>
              <w:rPr>
                <w:rFonts w:ascii="Arial Narrow" w:hAnsi="Arial Narrow"/>
                <w:sz w:val="20"/>
                <w:szCs w:val="20"/>
              </w:rPr>
            </w:pPr>
            <w:r w:rsidRPr="0023146D">
              <w:rPr>
                <w:rFonts w:ascii="Arial Narrow" w:hAnsi="Arial Narrow"/>
                <w:sz w:val="20"/>
                <w:szCs w:val="20"/>
              </w:rPr>
              <w:t>Maribavir vs. SoC (informed by the IAT arm of SOLSTICE) for the treatment of adults with post-transplant CMV infection and disease resistant, refractory R/R) or intolerant to one or more prior therapies.</w:t>
            </w:r>
          </w:p>
        </w:tc>
      </w:tr>
      <w:tr w:rsidR="007B7F9B" w:rsidRPr="0023146D" w14:paraId="5253CD24" w14:textId="77777777" w:rsidTr="00AA10BF">
        <w:tc>
          <w:tcPr>
            <w:tcW w:w="1675" w:type="dxa"/>
            <w:shd w:val="clear" w:color="auto" w:fill="C6D9F1" w:themeFill="text2" w:themeFillTint="33"/>
            <w:vAlign w:val="center"/>
          </w:tcPr>
          <w:p w14:paraId="37596429" w14:textId="77777777" w:rsidR="007B7F9B" w:rsidRPr="0023146D" w:rsidRDefault="007B7F9B">
            <w:pPr>
              <w:pStyle w:val="Tabletext8pt"/>
              <w:spacing w:before="0" w:after="0"/>
              <w:rPr>
                <w:rFonts w:ascii="Arial Narrow" w:hAnsi="Arial Narrow"/>
                <w:sz w:val="20"/>
                <w:szCs w:val="20"/>
              </w:rPr>
            </w:pPr>
            <w:r w:rsidRPr="0023146D">
              <w:rPr>
                <w:rFonts w:ascii="Arial Narrow" w:hAnsi="Arial Narrow"/>
                <w:sz w:val="20"/>
                <w:szCs w:val="20"/>
              </w:rPr>
              <w:t>Type of analysis</w:t>
            </w:r>
          </w:p>
        </w:tc>
        <w:tc>
          <w:tcPr>
            <w:tcW w:w="7251" w:type="dxa"/>
            <w:shd w:val="clear" w:color="auto" w:fill="C6D9F1" w:themeFill="text2" w:themeFillTint="33"/>
          </w:tcPr>
          <w:p w14:paraId="7B644FBC" w14:textId="77777777" w:rsidR="007B7F9B" w:rsidRPr="0023146D" w:rsidRDefault="007B7F9B">
            <w:pPr>
              <w:pStyle w:val="Tabletext8pt"/>
              <w:spacing w:before="0" w:after="0"/>
              <w:rPr>
                <w:rFonts w:ascii="Arial Narrow" w:hAnsi="Arial Narrow"/>
                <w:sz w:val="20"/>
                <w:szCs w:val="20"/>
              </w:rPr>
            </w:pPr>
            <w:r w:rsidRPr="0023146D">
              <w:rPr>
                <w:rFonts w:ascii="Arial Narrow" w:hAnsi="Arial Narrow"/>
                <w:sz w:val="20"/>
                <w:szCs w:val="20"/>
              </w:rPr>
              <w:t>Cost-utility analysis (cost-effectiveness analysis).</w:t>
            </w:r>
          </w:p>
        </w:tc>
      </w:tr>
      <w:tr w:rsidR="007B7F9B" w:rsidRPr="0023146D" w14:paraId="6370AB5A" w14:textId="77777777" w:rsidTr="00AA10BF">
        <w:tc>
          <w:tcPr>
            <w:tcW w:w="1675" w:type="dxa"/>
            <w:shd w:val="clear" w:color="auto" w:fill="C6D9F1" w:themeFill="text2" w:themeFillTint="33"/>
            <w:vAlign w:val="center"/>
          </w:tcPr>
          <w:p w14:paraId="73F1C301" w14:textId="77777777" w:rsidR="007B7F9B" w:rsidRPr="0023146D" w:rsidRDefault="007B7F9B">
            <w:pPr>
              <w:pStyle w:val="Tabletext8pt"/>
              <w:spacing w:before="0" w:after="0"/>
              <w:rPr>
                <w:rFonts w:ascii="Arial Narrow" w:hAnsi="Arial Narrow"/>
                <w:sz w:val="20"/>
                <w:szCs w:val="20"/>
              </w:rPr>
            </w:pPr>
            <w:r w:rsidRPr="0023146D">
              <w:rPr>
                <w:rFonts w:ascii="Arial Narrow" w:hAnsi="Arial Narrow"/>
                <w:sz w:val="20"/>
                <w:szCs w:val="20"/>
              </w:rPr>
              <w:t>Outcomes</w:t>
            </w:r>
          </w:p>
        </w:tc>
        <w:tc>
          <w:tcPr>
            <w:tcW w:w="7251" w:type="dxa"/>
            <w:shd w:val="clear" w:color="auto" w:fill="C6D9F1" w:themeFill="text2" w:themeFillTint="33"/>
          </w:tcPr>
          <w:p w14:paraId="1CD2F0E8" w14:textId="77777777" w:rsidR="007B7F9B" w:rsidRPr="0023146D" w:rsidRDefault="007B7F9B">
            <w:pPr>
              <w:pStyle w:val="Tabletext8pt"/>
              <w:spacing w:before="0" w:after="0"/>
              <w:rPr>
                <w:rFonts w:ascii="Arial Narrow" w:hAnsi="Arial Narrow"/>
                <w:sz w:val="20"/>
                <w:szCs w:val="20"/>
              </w:rPr>
            </w:pPr>
            <w:r w:rsidRPr="0023146D">
              <w:rPr>
                <w:rFonts w:ascii="Arial Narrow" w:hAnsi="Arial Narrow"/>
                <w:sz w:val="20"/>
                <w:szCs w:val="20"/>
              </w:rPr>
              <w:t>$/QALY and LYG.</w:t>
            </w:r>
          </w:p>
        </w:tc>
      </w:tr>
      <w:tr w:rsidR="007B7F9B" w:rsidRPr="0023146D" w14:paraId="45A51C32" w14:textId="77777777" w:rsidTr="00AA10BF">
        <w:tc>
          <w:tcPr>
            <w:tcW w:w="1675" w:type="dxa"/>
            <w:shd w:val="clear" w:color="auto" w:fill="C6D9F1" w:themeFill="text2" w:themeFillTint="33"/>
            <w:vAlign w:val="center"/>
          </w:tcPr>
          <w:p w14:paraId="746A88F0" w14:textId="77777777" w:rsidR="007B7F9B" w:rsidRPr="0023146D" w:rsidRDefault="007B7F9B">
            <w:pPr>
              <w:pStyle w:val="Tabletext8pt"/>
              <w:spacing w:before="0" w:after="0"/>
              <w:rPr>
                <w:rFonts w:ascii="Arial Narrow" w:hAnsi="Arial Narrow"/>
                <w:sz w:val="20"/>
                <w:szCs w:val="20"/>
              </w:rPr>
            </w:pPr>
            <w:r w:rsidRPr="0023146D">
              <w:rPr>
                <w:rFonts w:ascii="Arial Narrow" w:hAnsi="Arial Narrow"/>
                <w:sz w:val="20"/>
                <w:szCs w:val="20"/>
              </w:rPr>
              <w:t>Methods used to generate results</w:t>
            </w:r>
          </w:p>
        </w:tc>
        <w:tc>
          <w:tcPr>
            <w:tcW w:w="7251" w:type="dxa"/>
            <w:shd w:val="clear" w:color="auto" w:fill="C6D9F1" w:themeFill="text2" w:themeFillTint="33"/>
          </w:tcPr>
          <w:p w14:paraId="361458F2" w14:textId="77777777" w:rsidR="007B7F9B" w:rsidRPr="0023146D" w:rsidRDefault="007B7F9B">
            <w:pPr>
              <w:pStyle w:val="Tabletext8pt"/>
              <w:spacing w:before="0" w:after="0"/>
              <w:rPr>
                <w:rFonts w:ascii="Arial Narrow" w:hAnsi="Arial Narrow"/>
                <w:sz w:val="20"/>
                <w:szCs w:val="20"/>
              </w:rPr>
            </w:pPr>
            <w:r w:rsidRPr="0023146D">
              <w:rPr>
                <w:rFonts w:ascii="Arial Narrow" w:hAnsi="Arial Narrow"/>
                <w:sz w:val="20"/>
                <w:szCs w:val="20"/>
              </w:rPr>
              <w:t>Markov model.</w:t>
            </w:r>
          </w:p>
        </w:tc>
      </w:tr>
      <w:tr w:rsidR="007B7F9B" w:rsidRPr="0023146D" w14:paraId="2FB90E61" w14:textId="77777777" w:rsidTr="00AA10BF">
        <w:tc>
          <w:tcPr>
            <w:tcW w:w="1675" w:type="dxa"/>
            <w:shd w:val="clear" w:color="auto" w:fill="C6D9F1" w:themeFill="text2" w:themeFillTint="33"/>
            <w:vAlign w:val="center"/>
          </w:tcPr>
          <w:p w14:paraId="6A3793A9" w14:textId="77777777" w:rsidR="007B7F9B" w:rsidRPr="0023146D" w:rsidRDefault="007B7F9B">
            <w:pPr>
              <w:pStyle w:val="Tabletext8pt"/>
              <w:spacing w:before="0" w:after="0"/>
              <w:rPr>
                <w:rFonts w:ascii="Arial Narrow" w:hAnsi="Arial Narrow"/>
                <w:sz w:val="20"/>
                <w:szCs w:val="20"/>
              </w:rPr>
            </w:pPr>
            <w:r w:rsidRPr="0023146D">
              <w:rPr>
                <w:rFonts w:ascii="Arial Narrow" w:hAnsi="Arial Narrow"/>
                <w:sz w:val="20"/>
                <w:szCs w:val="20"/>
              </w:rPr>
              <w:t>Health states</w:t>
            </w:r>
          </w:p>
        </w:tc>
        <w:tc>
          <w:tcPr>
            <w:tcW w:w="7251" w:type="dxa"/>
            <w:shd w:val="clear" w:color="auto" w:fill="C6D9F1" w:themeFill="text2" w:themeFillTint="33"/>
          </w:tcPr>
          <w:p w14:paraId="7128B101" w14:textId="0E2AA4B8" w:rsidR="007B7F9B" w:rsidRPr="0023146D" w:rsidRDefault="007B7F9B">
            <w:pPr>
              <w:pStyle w:val="Tabletext8pt"/>
              <w:spacing w:before="0" w:after="0"/>
              <w:rPr>
                <w:rFonts w:ascii="Arial Narrow" w:hAnsi="Arial Narrow"/>
                <w:sz w:val="20"/>
                <w:szCs w:val="20"/>
              </w:rPr>
            </w:pPr>
            <w:r w:rsidRPr="0023146D">
              <w:rPr>
                <w:rFonts w:ascii="Arial Narrow" w:hAnsi="Arial Narrow"/>
                <w:sz w:val="20"/>
                <w:szCs w:val="20"/>
              </w:rPr>
              <w:t>The model has been separated into two stages:</w:t>
            </w:r>
          </w:p>
          <w:p w14:paraId="411B61CF" w14:textId="4933E862" w:rsidR="007B7F9B" w:rsidRPr="0023146D" w:rsidRDefault="007B7F9B">
            <w:pPr>
              <w:pStyle w:val="Tabletext8pt"/>
              <w:spacing w:before="0" w:after="0"/>
              <w:rPr>
                <w:rFonts w:ascii="Arial Narrow" w:hAnsi="Arial Narrow"/>
                <w:sz w:val="20"/>
                <w:szCs w:val="20"/>
              </w:rPr>
            </w:pPr>
            <w:r w:rsidRPr="0023146D">
              <w:rPr>
                <w:rFonts w:ascii="Arial Narrow" w:hAnsi="Arial Narrow"/>
                <w:sz w:val="20"/>
                <w:szCs w:val="20"/>
              </w:rPr>
              <w:t xml:space="preserve">Stage 1 begins with the onset of R/R CMV and includes a three state Markov model with the states being </w:t>
            </w:r>
            <w:proofErr w:type="spellStart"/>
            <w:r w:rsidRPr="0023146D">
              <w:rPr>
                <w:rFonts w:ascii="Arial Narrow" w:hAnsi="Arial Narrow"/>
                <w:sz w:val="20"/>
                <w:szCs w:val="20"/>
              </w:rPr>
              <w:t>csCMV</w:t>
            </w:r>
            <w:r w:rsidR="007832DF" w:rsidRPr="0023146D">
              <w:rPr>
                <w:rFonts w:ascii="Arial Narrow" w:hAnsi="Arial Narrow"/>
                <w:sz w:val="20"/>
                <w:szCs w:val="20"/>
                <w:vertAlign w:val="superscript"/>
              </w:rPr>
              <w:t>a</w:t>
            </w:r>
            <w:proofErr w:type="spellEnd"/>
            <w:r w:rsidRPr="0023146D">
              <w:rPr>
                <w:rFonts w:ascii="Arial Narrow" w:hAnsi="Arial Narrow"/>
                <w:sz w:val="20"/>
                <w:szCs w:val="20"/>
              </w:rPr>
              <w:t>, n-</w:t>
            </w:r>
            <w:proofErr w:type="spellStart"/>
            <w:r w:rsidRPr="0023146D">
              <w:rPr>
                <w:rFonts w:ascii="Arial Narrow" w:hAnsi="Arial Narrow"/>
                <w:sz w:val="20"/>
                <w:szCs w:val="20"/>
              </w:rPr>
              <w:t>csCMV</w:t>
            </w:r>
            <w:proofErr w:type="spellEnd"/>
            <w:r w:rsidRPr="0023146D">
              <w:rPr>
                <w:rFonts w:ascii="Arial Narrow" w:hAnsi="Arial Narrow"/>
                <w:sz w:val="20"/>
                <w:szCs w:val="20"/>
              </w:rPr>
              <w:t xml:space="preserve"> and a dead state.</w:t>
            </w:r>
          </w:p>
          <w:p w14:paraId="52841226" w14:textId="77777777" w:rsidR="007B7F9B" w:rsidRPr="0023146D" w:rsidRDefault="007B7F9B">
            <w:pPr>
              <w:pStyle w:val="Tabletext8pt"/>
              <w:spacing w:before="0" w:after="0"/>
              <w:rPr>
                <w:rFonts w:ascii="Arial Narrow" w:hAnsi="Arial Narrow"/>
                <w:sz w:val="20"/>
                <w:szCs w:val="20"/>
              </w:rPr>
            </w:pPr>
            <w:r w:rsidRPr="0023146D">
              <w:rPr>
                <w:rFonts w:ascii="Arial Narrow" w:hAnsi="Arial Narrow"/>
                <w:sz w:val="20"/>
                <w:szCs w:val="20"/>
              </w:rPr>
              <w:t>Stage 2 includes a two state Markov model with the states being alive or dead.</w:t>
            </w:r>
          </w:p>
        </w:tc>
      </w:tr>
      <w:tr w:rsidR="007B7F9B" w:rsidRPr="0023146D" w14:paraId="30C82C28" w14:textId="77777777" w:rsidTr="00AA10BF">
        <w:tc>
          <w:tcPr>
            <w:tcW w:w="1675" w:type="dxa"/>
            <w:vAlign w:val="center"/>
          </w:tcPr>
          <w:p w14:paraId="69695928" w14:textId="77777777" w:rsidR="007B7F9B" w:rsidRPr="0023146D" w:rsidRDefault="007B7F9B">
            <w:pPr>
              <w:pStyle w:val="Tabletext8pt"/>
              <w:spacing w:before="0" w:after="0"/>
              <w:rPr>
                <w:rFonts w:ascii="Arial Narrow" w:hAnsi="Arial Narrow"/>
                <w:sz w:val="20"/>
                <w:szCs w:val="20"/>
              </w:rPr>
            </w:pPr>
            <w:r w:rsidRPr="0023146D">
              <w:rPr>
                <w:rFonts w:ascii="Arial Narrow" w:hAnsi="Arial Narrow"/>
                <w:sz w:val="20"/>
                <w:szCs w:val="20"/>
              </w:rPr>
              <w:t>Duration of stage 1 model</w:t>
            </w:r>
          </w:p>
        </w:tc>
        <w:tc>
          <w:tcPr>
            <w:tcW w:w="7251" w:type="dxa"/>
          </w:tcPr>
          <w:p w14:paraId="098E3D09" w14:textId="0622CB59" w:rsidR="007B7F9B" w:rsidRPr="0023146D" w:rsidRDefault="000B3C9C">
            <w:pPr>
              <w:pStyle w:val="Tabletext8pt"/>
              <w:spacing w:before="0" w:after="0"/>
              <w:rPr>
                <w:rFonts w:ascii="Arial Narrow" w:hAnsi="Arial Narrow"/>
                <w:sz w:val="20"/>
                <w:szCs w:val="20"/>
              </w:rPr>
            </w:pPr>
            <w:r w:rsidRPr="0023146D">
              <w:rPr>
                <w:rFonts w:ascii="Arial Narrow" w:hAnsi="Arial Narrow"/>
                <w:sz w:val="20"/>
                <w:szCs w:val="20"/>
              </w:rPr>
              <w:t>39.2</w:t>
            </w:r>
            <w:r w:rsidR="007B7F9B" w:rsidRPr="0023146D">
              <w:rPr>
                <w:rFonts w:ascii="Arial Narrow" w:hAnsi="Arial Narrow"/>
                <w:sz w:val="20"/>
                <w:szCs w:val="20"/>
              </w:rPr>
              <w:t xml:space="preserve"> weeks</w:t>
            </w:r>
            <w:r w:rsidR="001A527C" w:rsidRPr="0023146D">
              <w:rPr>
                <w:rFonts w:ascii="Arial Narrow" w:hAnsi="Arial Narrow"/>
                <w:sz w:val="20"/>
                <w:szCs w:val="20"/>
              </w:rPr>
              <w:t xml:space="preserve"> (78 weeks in the November 2023 submission)</w:t>
            </w:r>
          </w:p>
        </w:tc>
      </w:tr>
      <w:tr w:rsidR="007B7F9B" w:rsidRPr="0023146D" w14:paraId="4E586660" w14:textId="77777777" w:rsidTr="00AA10BF">
        <w:tc>
          <w:tcPr>
            <w:tcW w:w="1675" w:type="dxa"/>
            <w:shd w:val="clear" w:color="auto" w:fill="C6D9F1" w:themeFill="text2" w:themeFillTint="33"/>
            <w:vAlign w:val="center"/>
          </w:tcPr>
          <w:p w14:paraId="0A52C29E" w14:textId="77777777" w:rsidR="007B7F9B" w:rsidRPr="0023146D" w:rsidRDefault="007B7F9B">
            <w:pPr>
              <w:pStyle w:val="Tabletext8pt"/>
              <w:spacing w:before="0" w:after="0"/>
              <w:rPr>
                <w:rFonts w:ascii="Arial Narrow" w:hAnsi="Arial Narrow"/>
                <w:sz w:val="20"/>
                <w:szCs w:val="20"/>
              </w:rPr>
            </w:pPr>
            <w:r w:rsidRPr="0023146D">
              <w:rPr>
                <w:rFonts w:ascii="Arial Narrow" w:hAnsi="Arial Narrow"/>
                <w:sz w:val="20"/>
                <w:szCs w:val="20"/>
              </w:rPr>
              <w:t>Cycle length</w:t>
            </w:r>
          </w:p>
        </w:tc>
        <w:tc>
          <w:tcPr>
            <w:tcW w:w="7251" w:type="dxa"/>
            <w:shd w:val="clear" w:color="auto" w:fill="C6D9F1" w:themeFill="text2" w:themeFillTint="33"/>
          </w:tcPr>
          <w:p w14:paraId="2400D0D6" w14:textId="25B25777" w:rsidR="007B7F9B" w:rsidRPr="0023146D" w:rsidRDefault="007B7F9B">
            <w:pPr>
              <w:pStyle w:val="Tabletext8pt"/>
              <w:spacing w:before="0" w:after="0"/>
              <w:rPr>
                <w:rFonts w:ascii="Arial Narrow" w:hAnsi="Arial Narrow"/>
                <w:sz w:val="20"/>
                <w:szCs w:val="20"/>
              </w:rPr>
            </w:pPr>
            <w:r w:rsidRPr="0023146D">
              <w:rPr>
                <w:rFonts w:ascii="Arial Narrow" w:hAnsi="Arial Narrow"/>
                <w:sz w:val="20"/>
                <w:szCs w:val="20"/>
              </w:rPr>
              <w:t>4-week cycle length for the first 3 years, and thereafter, annual cycles.</w:t>
            </w:r>
          </w:p>
        </w:tc>
      </w:tr>
      <w:tr w:rsidR="007B7F9B" w:rsidRPr="0023146D" w14:paraId="00DF19E5" w14:textId="77777777" w:rsidTr="00AA10BF">
        <w:tc>
          <w:tcPr>
            <w:tcW w:w="1675" w:type="dxa"/>
            <w:shd w:val="clear" w:color="auto" w:fill="C6D9F1" w:themeFill="text2" w:themeFillTint="33"/>
            <w:vAlign w:val="center"/>
          </w:tcPr>
          <w:p w14:paraId="305C5967" w14:textId="77777777" w:rsidR="007B7F9B" w:rsidRPr="0023146D" w:rsidRDefault="007B7F9B">
            <w:pPr>
              <w:pStyle w:val="Tabletext8pt"/>
              <w:spacing w:before="0" w:after="0"/>
              <w:rPr>
                <w:rFonts w:ascii="Arial Narrow" w:hAnsi="Arial Narrow"/>
                <w:sz w:val="20"/>
                <w:szCs w:val="20"/>
              </w:rPr>
            </w:pPr>
            <w:r w:rsidRPr="0023146D">
              <w:rPr>
                <w:rFonts w:ascii="Arial Narrow" w:hAnsi="Arial Narrow"/>
                <w:sz w:val="20"/>
                <w:szCs w:val="20"/>
              </w:rPr>
              <w:t>Transition probabilities</w:t>
            </w:r>
          </w:p>
        </w:tc>
        <w:tc>
          <w:tcPr>
            <w:tcW w:w="7251" w:type="dxa"/>
            <w:shd w:val="clear" w:color="auto" w:fill="C6D9F1" w:themeFill="text2" w:themeFillTint="33"/>
          </w:tcPr>
          <w:p w14:paraId="61DE86CD" w14:textId="77777777" w:rsidR="007B7F9B" w:rsidRPr="0023146D" w:rsidRDefault="007B7F9B">
            <w:pPr>
              <w:pStyle w:val="Tabletext8pt"/>
              <w:spacing w:before="0" w:after="0"/>
              <w:rPr>
                <w:rFonts w:ascii="Arial Narrow" w:hAnsi="Arial Narrow"/>
                <w:sz w:val="20"/>
                <w:szCs w:val="20"/>
              </w:rPr>
            </w:pPr>
            <w:r w:rsidRPr="0023146D">
              <w:rPr>
                <w:rFonts w:ascii="Arial Narrow" w:hAnsi="Arial Narrow"/>
                <w:sz w:val="20"/>
                <w:szCs w:val="20"/>
              </w:rPr>
              <w:t>Transition probabilities in the model are defined by three key clinical parameters: clearance, recurrence, and mortality.</w:t>
            </w:r>
          </w:p>
          <w:p w14:paraId="30E66421" w14:textId="77777777" w:rsidR="007B7F9B" w:rsidRPr="0023146D" w:rsidRDefault="007B7F9B">
            <w:pPr>
              <w:pStyle w:val="Tabletext8pt"/>
              <w:spacing w:before="0" w:after="0"/>
              <w:rPr>
                <w:rFonts w:ascii="Arial Narrow" w:hAnsi="Arial Narrow"/>
                <w:sz w:val="20"/>
                <w:szCs w:val="20"/>
              </w:rPr>
            </w:pPr>
            <w:r w:rsidRPr="0023146D">
              <w:rPr>
                <w:rFonts w:ascii="Arial Narrow" w:hAnsi="Arial Narrow"/>
                <w:sz w:val="20"/>
                <w:szCs w:val="20"/>
              </w:rPr>
              <w:t>Clearance: SOLSTICE CSR</w:t>
            </w:r>
          </w:p>
          <w:p w14:paraId="119C10EB" w14:textId="77777777" w:rsidR="007B7F9B" w:rsidRPr="0023146D" w:rsidRDefault="007B7F9B">
            <w:pPr>
              <w:pStyle w:val="Tabletext8pt"/>
              <w:spacing w:before="0" w:after="0"/>
              <w:rPr>
                <w:rFonts w:ascii="Arial Narrow" w:hAnsi="Arial Narrow"/>
                <w:sz w:val="20"/>
                <w:szCs w:val="20"/>
              </w:rPr>
            </w:pPr>
            <w:r w:rsidRPr="0023146D">
              <w:rPr>
                <w:rFonts w:ascii="Arial Narrow" w:hAnsi="Arial Narrow"/>
                <w:sz w:val="20"/>
                <w:szCs w:val="20"/>
              </w:rPr>
              <w:t>Recurrence (clinically significant): SOLSTICE and OTUS</w:t>
            </w:r>
          </w:p>
          <w:p w14:paraId="6F112C58" w14:textId="6F709248" w:rsidR="007B7F9B" w:rsidRPr="0023146D" w:rsidRDefault="007B7F9B" w:rsidP="009547B4">
            <w:pPr>
              <w:pStyle w:val="Tabletext8pt"/>
              <w:spacing w:before="0" w:after="0"/>
              <w:rPr>
                <w:rFonts w:ascii="Arial Narrow" w:hAnsi="Arial Narrow"/>
                <w:sz w:val="20"/>
                <w:szCs w:val="20"/>
              </w:rPr>
            </w:pPr>
            <w:r w:rsidRPr="0023146D">
              <w:rPr>
                <w:rFonts w:ascii="Arial Narrow" w:hAnsi="Arial Narrow"/>
                <w:sz w:val="20"/>
                <w:szCs w:val="20"/>
              </w:rPr>
              <w:t>Mortality:</w:t>
            </w:r>
            <w:r w:rsidR="00B17553" w:rsidRPr="0023146D">
              <w:rPr>
                <w:rFonts w:ascii="Arial Narrow" w:hAnsi="Arial Narrow"/>
                <w:sz w:val="20"/>
                <w:szCs w:val="20"/>
              </w:rPr>
              <w:t xml:space="preserve"> </w:t>
            </w:r>
            <w:r w:rsidRPr="0023146D">
              <w:rPr>
                <w:rFonts w:ascii="Arial Narrow" w:hAnsi="Arial Narrow"/>
                <w:sz w:val="20"/>
                <w:szCs w:val="20"/>
              </w:rPr>
              <w:t>Week 0 to 8 – SOLSTICE IPD analysis;</w:t>
            </w:r>
            <w:r w:rsidR="009547B4" w:rsidRPr="0023146D">
              <w:rPr>
                <w:rFonts w:ascii="Arial Narrow" w:hAnsi="Arial Narrow"/>
                <w:sz w:val="20"/>
                <w:szCs w:val="20"/>
              </w:rPr>
              <w:t xml:space="preserve"> </w:t>
            </w:r>
            <w:r w:rsidRPr="0023146D">
              <w:rPr>
                <w:rFonts w:ascii="Arial Narrow" w:hAnsi="Arial Narrow"/>
                <w:sz w:val="20"/>
                <w:szCs w:val="20"/>
              </w:rPr>
              <w:t>Week 8 to end-</w:t>
            </w:r>
            <w:r w:rsidR="00B876E7" w:rsidRPr="0023146D">
              <w:rPr>
                <w:rFonts w:ascii="Arial Narrow" w:hAnsi="Arial Narrow"/>
                <w:sz w:val="20"/>
                <w:szCs w:val="20"/>
              </w:rPr>
              <w:t>s</w:t>
            </w:r>
            <w:r w:rsidRPr="0023146D">
              <w:rPr>
                <w:rFonts w:ascii="Arial Narrow" w:hAnsi="Arial Narrow"/>
                <w:sz w:val="20"/>
                <w:szCs w:val="20"/>
              </w:rPr>
              <w:t>tage 1 – SOLSTICE IPD analysis;</w:t>
            </w:r>
            <w:r w:rsidR="009547B4" w:rsidRPr="0023146D">
              <w:rPr>
                <w:rFonts w:ascii="Arial Narrow" w:hAnsi="Arial Narrow"/>
                <w:sz w:val="20"/>
                <w:szCs w:val="20"/>
              </w:rPr>
              <w:t xml:space="preserve"> </w:t>
            </w:r>
            <w:r w:rsidR="00B876E7" w:rsidRPr="0023146D">
              <w:rPr>
                <w:rFonts w:ascii="Arial Narrow" w:hAnsi="Arial Narrow"/>
                <w:sz w:val="20"/>
                <w:szCs w:val="20"/>
              </w:rPr>
              <w:t>s</w:t>
            </w:r>
            <w:r w:rsidRPr="0023146D">
              <w:rPr>
                <w:rFonts w:ascii="Arial Narrow" w:hAnsi="Arial Narrow"/>
                <w:sz w:val="20"/>
                <w:szCs w:val="20"/>
              </w:rPr>
              <w:t>tage 2 – literature based, specific to SOT or HSCT.</w:t>
            </w:r>
          </w:p>
        </w:tc>
      </w:tr>
      <w:tr w:rsidR="007B7F9B" w:rsidRPr="0023146D" w14:paraId="76D97C60" w14:textId="77777777" w:rsidTr="00AA10BF">
        <w:tc>
          <w:tcPr>
            <w:tcW w:w="1675" w:type="dxa"/>
            <w:shd w:val="clear" w:color="auto" w:fill="C6D9F1" w:themeFill="text2" w:themeFillTint="33"/>
            <w:vAlign w:val="center"/>
          </w:tcPr>
          <w:p w14:paraId="09F1054A" w14:textId="77777777" w:rsidR="007B7F9B" w:rsidRPr="0023146D" w:rsidRDefault="007B7F9B">
            <w:pPr>
              <w:pStyle w:val="Tabletext8pt"/>
              <w:spacing w:before="0" w:after="0"/>
              <w:rPr>
                <w:rFonts w:ascii="Arial Narrow" w:hAnsi="Arial Narrow"/>
                <w:sz w:val="20"/>
                <w:szCs w:val="20"/>
              </w:rPr>
            </w:pPr>
            <w:r w:rsidRPr="0023146D">
              <w:rPr>
                <w:rFonts w:ascii="Arial Narrow" w:hAnsi="Arial Narrow"/>
                <w:sz w:val="20"/>
                <w:szCs w:val="20"/>
              </w:rPr>
              <w:t>Recurrence rates</w:t>
            </w:r>
          </w:p>
        </w:tc>
        <w:tc>
          <w:tcPr>
            <w:tcW w:w="7251" w:type="dxa"/>
            <w:shd w:val="clear" w:color="auto" w:fill="C6D9F1" w:themeFill="text2" w:themeFillTint="33"/>
          </w:tcPr>
          <w:p w14:paraId="7E64A9F8" w14:textId="77777777" w:rsidR="007B7F9B" w:rsidRPr="0023146D" w:rsidRDefault="007B7F9B">
            <w:pPr>
              <w:pStyle w:val="Tabletext8pt"/>
              <w:spacing w:before="0" w:after="0"/>
              <w:rPr>
                <w:rFonts w:ascii="Arial Narrow" w:hAnsi="Arial Narrow"/>
                <w:sz w:val="20"/>
                <w:szCs w:val="20"/>
              </w:rPr>
            </w:pPr>
            <w:r w:rsidRPr="0023146D">
              <w:rPr>
                <w:rFonts w:ascii="Arial Narrow" w:hAnsi="Arial Narrow"/>
                <w:sz w:val="20"/>
                <w:szCs w:val="20"/>
              </w:rPr>
              <w:t>Treatment-specific.</w:t>
            </w:r>
          </w:p>
        </w:tc>
      </w:tr>
      <w:tr w:rsidR="007B7F9B" w:rsidRPr="0023146D" w14:paraId="70ABCB97" w14:textId="77777777" w:rsidTr="00AA10BF">
        <w:tc>
          <w:tcPr>
            <w:tcW w:w="1675" w:type="dxa"/>
            <w:vAlign w:val="center"/>
          </w:tcPr>
          <w:p w14:paraId="1085590D" w14:textId="77777777" w:rsidR="007B7F9B" w:rsidRPr="0023146D" w:rsidRDefault="007B7F9B">
            <w:pPr>
              <w:pStyle w:val="Tabletext8pt"/>
              <w:spacing w:before="0" w:after="0"/>
              <w:rPr>
                <w:rFonts w:ascii="Arial Narrow" w:hAnsi="Arial Narrow"/>
                <w:sz w:val="20"/>
                <w:szCs w:val="20"/>
              </w:rPr>
            </w:pPr>
            <w:r w:rsidRPr="0023146D">
              <w:rPr>
                <w:rFonts w:ascii="Arial Narrow" w:hAnsi="Arial Narrow"/>
                <w:sz w:val="20"/>
                <w:szCs w:val="20"/>
              </w:rPr>
              <w:t>Health-related quality of life</w:t>
            </w:r>
          </w:p>
        </w:tc>
        <w:tc>
          <w:tcPr>
            <w:tcW w:w="7251" w:type="dxa"/>
          </w:tcPr>
          <w:p w14:paraId="49D1B857" w14:textId="0EBE16F5" w:rsidR="007B7F9B" w:rsidRPr="0023146D" w:rsidRDefault="0090629D">
            <w:pPr>
              <w:pStyle w:val="Tabletext8pt"/>
              <w:spacing w:before="0" w:after="0"/>
              <w:rPr>
                <w:rFonts w:ascii="Arial Narrow" w:hAnsi="Arial Narrow"/>
                <w:sz w:val="20"/>
                <w:szCs w:val="20"/>
              </w:rPr>
            </w:pPr>
            <w:r w:rsidRPr="0023146D">
              <w:rPr>
                <w:rFonts w:ascii="Arial Narrow" w:hAnsi="Arial Narrow"/>
                <w:sz w:val="20"/>
                <w:szCs w:val="20"/>
              </w:rPr>
              <w:t xml:space="preserve">Australian specific utilities based on </w:t>
            </w:r>
            <w:r w:rsidR="007B7F9B" w:rsidRPr="0023146D">
              <w:rPr>
                <w:rFonts w:ascii="Arial Narrow" w:hAnsi="Arial Narrow"/>
                <w:sz w:val="20"/>
                <w:szCs w:val="20"/>
              </w:rPr>
              <w:t xml:space="preserve">SOLSTICE and </w:t>
            </w:r>
            <w:r w:rsidR="00B17553" w:rsidRPr="0023146D">
              <w:rPr>
                <w:rFonts w:ascii="Arial Narrow" w:hAnsi="Arial Narrow"/>
                <w:sz w:val="20"/>
                <w:szCs w:val="20"/>
              </w:rPr>
              <w:t xml:space="preserve">vignette </w:t>
            </w:r>
            <w:r w:rsidR="007B7F9B" w:rsidRPr="0023146D">
              <w:rPr>
                <w:rFonts w:ascii="Arial Narrow" w:hAnsi="Arial Narrow"/>
                <w:sz w:val="20"/>
                <w:szCs w:val="20"/>
              </w:rPr>
              <w:t>study</w:t>
            </w:r>
            <w:r w:rsidR="00CD5642" w:rsidRPr="0023146D">
              <w:rPr>
                <w:rFonts w:ascii="Arial Narrow" w:hAnsi="Arial Narrow"/>
                <w:sz w:val="20"/>
                <w:szCs w:val="20"/>
              </w:rPr>
              <w:t>.</w:t>
            </w:r>
          </w:p>
          <w:p w14:paraId="28F95E3B" w14:textId="5853A836" w:rsidR="00886832" w:rsidRPr="0023146D" w:rsidRDefault="00886832">
            <w:pPr>
              <w:pStyle w:val="Tabletext8pt"/>
              <w:spacing w:before="0" w:after="0"/>
              <w:rPr>
                <w:rFonts w:ascii="Arial Narrow" w:hAnsi="Arial Narrow"/>
                <w:sz w:val="20"/>
                <w:szCs w:val="20"/>
              </w:rPr>
            </w:pPr>
            <w:r w:rsidRPr="0023146D">
              <w:rPr>
                <w:rFonts w:ascii="Arial Narrow" w:hAnsi="Arial Narrow"/>
                <w:sz w:val="20"/>
                <w:szCs w:val="20"/>
              </w:rPr>
              <w:t>Resubmission:</w:t>
            </w:r>
          </w:p>
          <w:p w14:paraId="6A4628D7" w14:textId="6FDCF826" w:rsidR="00993576" w:rsidRPr="0023146D" w:rsidRDefault="00BB1874">
            <w:pPr>
              <w:pStyle w:val="Tabletext8pt"/>
              <w:spacing w:before="0" w:after="0"/>
              <w:rPr>
                <w:rFonts w:ascii="Arial Narrow" w:hAnsi="Arial Narrow"/>
                <w:sz w:val="20"/>
                <w:szCs w:val="20"/>
              </w:rPr>
            </w:pPr>
            <w:r w:rsidRPr="0023146D">
              <w:rPr>
                <w:rFonts w:ascii="Arial Narrow" w:hAnsi="Arial Narrow"/>
                <w:sz w:val="20"/>
                <w:szCs w:val="20"/>
              </w:rPr>
              <w:t>SOT</w:t>
            </w:r>
            <w:r w:rsidR="00B435EB" w:rsidRPr="0023146D">
              <w:rPr>
                <w:rFonts w:ascii="Arial Narrow" w:hAnsi="Arial Narrow"/>
                <w:sz w:val="20"/>
                <w:szCs w:val="20"/>
              </w:rPr>
              <w:t xml:space="preserve">: </w:t>
            </w:r>
            <w:r w:rsidR="008D4C3C" w:rsidRPr="0023146D">
              <w:rPr>
                <w:rFonts w:ascii="Arial Narrow" w:hAnsi="Arial Narrow"/>
                <w:sz w:val="20"/>
                <w:szCs w:val="20"/>
              </w:rPr>
              <w:t>n-</w:t>
            </w:r>
            <w:proofErr w:type="spellStart"/>
            <w:r w:rsidR="00B60D8C" w:rsidRPr="0023146D">
              <w:rPr>
                <w:rFonts w:ascii="Arial Narrow" w:hAnsi="Arial Narrow"/>
                <w:sz w:val="20"/>
                <w:szCs w:val="20"/>
              </w:rPr>
              <w:t>csCMV</w:t>
            </w:r>
            <w:proofErr w:type="spellEnd"/>
            <w:r w:rsidR="00B60D8C" w:rsidRPr="0023146D">
              <w:rPr>
                <w:rFonts w:ascii="Arial Narrow" w:hAnsi="Arial Narrow"/>
                <w:sz w:val="20"/>
                <w:szCs w:val="20"/>
              </w:rPr>
              <w:t xml:space="preserve"> = 0.928</w:t>
            </w:r>
            <w:r w:rsidR="00844B57" w:rsidRPr="0023146D">
              <w:rPr>
                <w:rFonts w:ascii="Arial Narrow" w:hAnsi="Arial Narrow"/>
                <w:sz w:val="20"/>
                <w:szCs w:val="20"/>
              </w:rPr>
              <w:t xml:space="preserve">, </w:t>
            </w:r>
            <w:proofErr w:type="spellStart"/>
            <w:r w:rsidR="009370A2" w:rsidRPr="0023146D">
              <w:rPr>
                <w:rFonts w:ascii="Arial Narrow" w:hAnsi="Arial Narrow"/>
                <w:sz w:val="20"/>
                <w:szCs w:val="20"/>
              </w:rPr>
              <w:t>csCMV</w:t>
            </w:r>
            <w:proofErr w:type="spellEnd"/>
            <w:r w:rsidR="009C5540" w:rsidRPr="0023146D">
              <w:rPr>
                <w:rFonts w:ascii="Arial Narrow" w:hAnsi="Arial Narrow"/>
                <w:sz w:val="20"/>
                <w:szCs w:val="20"/>
              </w:rPr>
              <w:t xml:space="preserve"> </w:t>
            </w:r>
            <w:r w:rsidR="00F02194" w:rsidRPr="0023146D">
              <w:rPr>
                <w:rFonts w:ascii="Arial Narrow" w:hAnsi="Arial Narrow"/>
                <w:sz w:val="20"/>
                <w:szCs w:val="20"/>
              </w:rPr>
              <w:t xml:space="preserve">0.729, </w:t>
            </w:r>
            <w:r w:rsidR="00DA03B5" w:rsidRPr="0023146D">
              <w:rPr>
                <w:rFonts w:ascii="Arial Narrow" w:hAnsi="Arial Narrow"/>
                <w:sz w:val="20"/>
                <w:szCs w:val="20"/>
              </w:rPr>
              <w:t>background</w:t>
            </w:r>
            <w:r w:rsidR="000437B1" w:rsidRPr="0023146D">
              <w:rPr>
                <w:rFonts w:ascii="Arial Narrow" w:hAnsi="Arial Narrow"/>
                <w:sz w:val="20"/>
                <w:szCs w:val="20"/>
              </w:rPr>
              <w:t xml:space="preserve"> utility</w:t>
            </w:r>
            <w:r w:rsidR="00DA03B5" w:rsidRPr="0023146D">
              <w:rPr>
                <w:rFonts w:ascii="Arial Narrow" w:hAnsi="Arial Narrow"/>
                <w:sz w:val="20"/>
                <w:szCs w:val="20"/>
              </w:rPr>
              <w:t xml:space="preserve"> for stage 2 </w:t>
            </w:r>
            <w:r w:rsidR="004C4F63" w:rsidRPr="0023146D">
              <w:rPr>
                <w:rFonts w:ascii="Arial Narrow" w:hAnsi="Arial Narrow"/>
                <w:sz w:val="20"/>
                <w:szCs w:val="20"/>
              </w:rPr>
              <w:t xml:space="preserve">= </w:t>
            </w:r>
            <w:r w:rsidR="00993576" w:rsidRPr="0023146D">
              <w:rPr>
                <w:rFonts w:ascii="Arial Narrow" w:hAnsi="Arial Narrow"/>
                <w:sz w:val="20"/>
                <w:szCs w:val="20"/>
              </w:rPr>
              <w:t>0.892</w:t>
            </w:r>
          </w:p>
          <w:p w14:paraId="5F56A451" w14:textId="0B28BE52" w:rsidR="00DB7A20" w:rsidRPr="0023146D" w:rsidRDefault="00DB7A20" w:rsidP="00DB7A20">
            <w:pPr>
              <w:pStyle w:val="Tabletext8pt"/>
              <w:spacing w:before="0" w:after="0"/>
              <w:rPr>
                <w:rFonts w:ascii="Arial Narrow" w:hAnsi="Arial Narrow"/>
                <w:sz w:val="20"/>
                <w:szCs w:val="20"/>
              </w:rPr>
            </w:pPr>
            <w:r w:rsidRPr="0023146D">
              <w:rPr>
                <w:rFonts w:ascii="Arial Narrow" w:hAnsi="Arial Narrow"/>
                <w:sz w:val="20"/>
                <w:szCs w:val="20"/>
              </w:rPr>
              <w:t>HSC</w:t>
            </w:r>
            <w:r w:rsidR="00C17218" w:rsidRPr="0023146D">
              <w:rPr>
                <w:rFonts w:ascii="Arial Narrow" w:hAnsi="Arial Narrow"/>
                <w:sz w:val="20"/>
                <w:szCs w:val="20"/>
              </w:rPr>
              <w:t>T</w:t>
            </w:r>
            <w:r w:rsidRPr="0023146D">
              <w:rPr>
                <w:rFonts w:ascii="Arial Narrow" w:hAnsi="Arial Narrow"/>
                <w:sz w:val="20"/>
                <w:szCs w:val="20"/>
              </w:rPr>
              <w:t>: n-</w:t>
            </w:r>
            <w:proofErr w:type="spellStart"/>
            <w:r w:rsidRPr="0023146D">
              <w:rPr>
                <w:rFonts w:ascii="Arial Narrow" w:hAnsi="Arial Narrow"/>
                <w:sz w:val="20"/>
                <w:szCs w:val="20"/>
              </w:rPr>
              <w:t>csCMV</w:t>
            </w:r>
            <w:proofErr w:type="spellEnd"/>
            <w:r w:rsidRPr="0023146D">
              <w:rPr>
                <w:rFonts w:ascii="Arial Narrow" w:hAnsi="Arial Narrow"/>
                <w:sz w:val="20"/>
                <w:szCs w:val="20"/>
              </w:rPr>
              <w:t xml:space="preserve"> = 0.826, </w:t>
            </w:r>
            <w:proofErr w:type="spellStart"/>
            <w:r w:rsidRPr="0023146D">
              <w:rPr>
                <w:rFonts w:ascii="Arial Narrow" w:hAnsi="Arial Narrow"/>
                <w:sz w:val="20"/>
                <w:szCs w:val="20"/>
              </w:rPr>
              <w:t>csCMV</w:t>
            </w:r>
            <w:proofErr w:type="spellEnd"/>
            <w:r w:rsidRPr="0023146D">
              <w:rPr>
                <w:rFonts w:ascii="Arial Narrow" w:hAnsi="Arial Narrow"/>
                <w:sz w:val="20"/>
                <w:szCs w:val="20"/>
              </w:rPr>
              <w:t xml:space="preserve"> 0.</w:t>
            </w:r>
            <w:r w:rsidR="00D10A3B" w:rsidRPr="0023146D">
              <w:rPr>
                <w:rFonts w:ascii="Arial Narrow" w:hAnsi="Arial Narrow"/>
                <w:sz w:val="20"/>
                <w:szCs w:val="20"/>
              </w:rPr>
              <w:t>634</w:t>
            </w:r>
            <w:r w:rsidRPr="0023146D">
              <w:rPr>
                <w:rFonts w:ascii="Arial Narrow" w:hAnsi="Arial Narrow"/>
                <w:sz w:val="20"/>
                <w:szCs w:val="20"/>
              </w:rPr>
              <w:t xml:space="preserve">, background </w:t>
            </w:r>
            <w:r w:rsidR="000437B1" w:rsidRPr="0023146D">
              <w:rPr>
                <w:rFonts w:ascii="Arial Narrow" w:hAnsi="Arial Narrow"/>
                <w:sz w:val="20"/>
                <w:szCs w:val="20"/>
              </w:rPr>
              <w:t xml:space="preserve">utility </w:t>
            </w:r>
            <w:r w:rsidRPr="0023146D">
              <w:rPr>
                <w:rFonts w:ascii="Arial Narrow" w:hAnsi="Arial Narrow"/>
                <w:sz w:val="20"/>
                <w:szCs w:val="20"/>
              </w:rPr>
              <w:t>for stage 2 = 0.8</w:t>
            </w:r>
            <w:r w:rsidR="006D27BA" w:rsidRPr="0023146D">
              <w:rPr>
                <w:rFonts w:ascii="Arial Narrow" w:hAnsi="Arial Narrow"/>
                <w:sz w:val="20"/>
                <w:szCs w:val="20"/>
              </w:rPr>
              <w:t>64</w:t>
            </w:r>
          </w:p>
          <w:p w14:paraId="19005560" w14:textId="0F7D29C9" w:rsidR="00CD5642" w:rsidRPr="0023146D" w:rsidRDefault="00F32461">
            <w:pPr>
              <w:pStyle w:val="Tabletext8pt"/>
              <w:spacing w:before="0" w:after="0"/>
              <w:rPr>
                <w:rFonts w:ascii="Arial Narrow" w:hAnsi="Arial Narrow"/>
                <w:sz w:val="20"/>
                <w:szCs w:val="20"/>
              </w:rPr>
            </w:pPr>
            <w:r w:rsidRPr="0023146D">
              <w:rPr>
                <w:rFonts w:ascii="Arial Narrow" w:hAnsi="Arial Narrow"/>
                <w:sz w:val="20"/>
                <w:szCs w:val="20"/>
              </w:rPr>
              <w:t>November 2023 submission</w:t>
            </w:r>
            <w:r w:rsidR="002D1165" w:rsidRPr="0023146D">
              <w:rPr>
                <w:rFonts w:ascii="Arial Narrow" w:hAnsi="Arial Narrow"/>
                <w:sz w:val="20"/>
                <w:szCs w:val="20"/>
              </w:rPr>
              <w:t>:</w:t>
            </w:r>
          </w:p>
          <w:p w14:paraId="24DA391A" w14:textId="351A14A6" w:rsidR="009B5C33" w:rsidRPr="0023146D" w:rsidRDefault="009B5C33" w:rsidP="009B5C33">
            <w:pPr>
              <w:pStyle w:val="Tabletext8pt"/>
              <w:spacing w:before="0" w:after="0"/>
              <w:rPr>
                <w:rFonts w:ascii="Arial Narrow" w:hAnsi="Arial Narrow"/>
                <w:sz w:val="20"/>
                <w:szCs w:val="20"/>
              </w:rPr>
            </w:pPr>
            <w:r w:rsidRPr="0023146D">
              <w:rPr>
                <w:rFonts w:ascii="Arial Narrow" w:hAnsi="Arial Narrow"/>
                <w:sz w:val="20"/>
                <w:szCs w:val="20"/>
              </w:rPr>
              <w:t>SOT: n-</w:t>
            </w:r>
            <w:proofErr w:type="spellStart"/>
            <w:r w:rsidRPr="0023146D">
              <w:rPr>
                <w:rFonts w:ascii="Arial Narrow" w:hAnsi="Arial Narrow"/>
                <w:sz w:val="20"/>
                <w:szCs w:val="20"/>
              </w:rPr>
              <w:t>csCMV</w:t>
            </w:r>
            <w:proofErr w:type="spellEnd"/>
            <w:r w:rsidRPr="0023146D">
              <w:rPr>
                <w:rFonts w:ascii="Arial Narrow" w:hAnsi="Arial Narrow"/>
                <w:sz w:val="20"/>
                <w:szCs w:val="20"/>
              </w:rPr>
              <w:t xml:space="preserve"> = 0.834, </w:t>
            </w:r>
            <w:proofErr w:type="spellStart"/>
            <w:r w:rsidRPr="0023146D">
              <w:rPr>
                <w:rFonts w:ascii="Arial Narrow" w:hAnsi="Arial Narrow"/>
                <w:sz w:val="20"/>
                <w:szCs w:val="20"/>
              </w:rPr>
              <w:t>csCMV</w:t>
            </w:r>
            <w:proofErr w:type="spellEnd"/>
            <w:r w:rsidRPr="0023146D">
              <w:rPr>
                <w:rFonts w:ascii="Arial Narrow" w:hAnsi="Arial Narrow"/>
                <w:sz w:val="20"/>
                <w:szCs w:val="20"/>
              </w:rPr>
              <w:t xml:space="preserve"> 0.</w:t>
            </w:r>
            <w:r w:rsidR="0016508C" w:rsidRPr="0023146D">
              <w:rPr>
                <w:rFonts w:ascii="Arial Narrow" w:hAnsi="Arial Narrow"/>
                <w:sz w:val="20"/>
                <w:szCs w:val="20"/>
              </w:rPr>
              <w:t>639</w:t>
            </w:r>
            <w:r w:rsidRPr="0023146D">
              <w:rPr>
                <w:rFonts w:ascii="Arial Narrow" w:hAnsi="Arial Narrow"/>
                <w:sz w:val="20"/>
                <w:szCs w:val="20"/>
              </w:rPr>
              <w:t xml:space="preserve">, background </w:t>
            </w:r>
            <w:r w:rsidR="000437B1" w:rsidRPr="0023146D">
              <w:rPr>
                <w:rFonts w:ascii="Arial Narrow" w:hAnsi="Arial Narrow"/>
                <w:sz w:val="20"/>
                <w:szCs w:val="20"/>
              </w:rPr>
              <w:t xml:space="preserve">utility </w:t>
            </w:r>
            <w:r w:rsidRPr="0023146D">
              <w:rPr>
                <w:rFonts w:ascii="Arial Narrow" w:hAnsi="Arial Narrow"/>
                <w:sz w:val="20"/>
                <w:szCs w:val="20"/>
              </w:rPr>
              <w:t>for stage 2 = 0.8</w:t>
            </w:r>
            <w:r w:rsidR="0016508C" w:rsidRPr="0023146D">
              <w:rPr>
                <w:rFonts w:ascii="Arial Narrow" w:hAnsi="Arial Narrow"/>
                <w:sz w:val="20"/>
                <w:szCs w:val="20"/>
              </w:rPr>
              <w:t>08</w:t>
            </w:r>
          </w:p>
          <w:p w14:paraId="66B60A08" w14:textId="6F3647E5" w:rsidR="007B7F9B" w:rsidRPr="0023146D" w:rsidRDefault="009B5C33">
            <w:pPr>
              <w:pStyle w:val="Tabletext8pt"/>
              <w:spacing w:before="0" w:after="0"/>
              <w:rPr>
                <w:rFonts w:ascii="Arial Narrow" w:hAnsi="Arial Narrow"/>
                <w:sz w:val="20"/>
                <w:szCs w:val="20"/>
              </w:rPr>
            </w:pPr>
            <w:r w:rsidRPr="0023146D">
              <w:rPr>
                <w:rFonts w:ascii="Arial Narrow" w:hAnsi="Arial Narrow"/>
                <w:sz w:val="20"/>
                <w:szCs w:val="20"/>
              </w:rPr>
              <w:t>HSC</w:t>
            </w:r>
            <w:r w:rsidR="00C17218" w:rsidRPr="0023146D">
              <w:rPr>
                <w:rFonts w:ascii="Arial Narrow" w:hAnsi="Arial Narrow"/>
                <w:sz w:val="20"/>
                <w:szCs w:val="20"/>
              </w:rPr>
              <w:t>T</w:t>
            </w:r>
            <w:r w:rsidRPr="0023146D">
              <w:rPr>
                <w:rFonts w:ascii="Arial Narrow" w:hAnsi="Arial Narrow"/>
                <w:sz w:val="20"/>
                <w:szCs w:val="20"/>
              </w:rPr>
              <w:t>: n-</w:t>
            </w:r>
            <w:proofErr w:type="spellStart"/>
            <w:r w:rsidRPr="0023146D">
              <w:rPr>
                <w:rFonts w:ascii="Arial Narrow" w:hAnsi="Arial Narrow"/>
                <w:sz w:val="20"/>
                <w:szCs w:val="20"/>
              </w:rPr>
              <w:t>csCMV</w:t>
            </w:r>
            <w:proofErr w:type="spellEnd"/>
            <w:r w:rsidRPr="0023146D">
              <w:rPr>
                <w:rFonts w:ascii="Arial Narrow" w:hAnsi="Arial Narrow"/>
                <w:sz w:val="20"/>
                <w:szCs w:val="20"/>
              </w:rPr>
              <w:t xml:space="preserve"> = 0.</w:t>
            </w:r>
            <w:r w:rsidR="00BF7809" w:rsidRPr="0023146D">
              <w:rPr>
                <w:rFonts w:ascii="Arial Narrow" w:hAnsi="Arial Narrow"/>
                <w:sz w:val="20"/>
                <w:szCs w:val="20"/>
              </w:rPr>
              <w:t>694</w:t>
            </w:r>
            <w:r w:rsidRPr="0023146D">
              <w:rPr>
                <w:rFonts w:ascii="Arial Narrow" w:hAnsi="Arial Narrow"/>
                <w:sz w:val="20"/>
                <w:szCs w:val="20"/>
              </w:rPr>
              <w:t xml:space="preserve">, </w:t>
            </w:r>
            <w:proofErr w:type="spellStart"/>
            <w:r w:rsidRPr="0023146D">
              <w:rPr>
                <w:rFonts w:ascii="Arial Narrow" w:hAnsi="Arial Narrow"/>
                <w:sz w:val="20"/>
                <w:szCs w:val="20"/>
              </w:rPr>
              <w:t>csCMV</w:t>
            </w:r>
            <w:proofErr w:type="spellEnd"/>
            <w:r w:rsidRPr="0023146D">
              <w:rPr>
                <w:rFonts w:ascii="Arial Narrow" w:hAnsi="Arial Narrow"/>
                <w:sz w:val="20"/>
                <w:szCs w:val="20"/>
              </w:rPr>
              <w:t xml:space="preserve"> 0.</w:t>
            </w:r>
            <w:r w:rsidR="00AB1B17" w:rsidRPr="0023146D">
              <w:rPr>
                <w:rFonts w:ascii="Arial Narrow" w:hAnsi="Arial Narrow"/>
                <w:sz w:val="20"/>
                <w:szCs w:val="20"/>
              </w:rPr>
              <w:t>502</w:t>
            </w:r>
            <w:r w:rsidRPr="0023146D">
              <w:rPr>
                <w:rFonts w:ascii="Arial Narrow" w:hAnsi="Arial Narrow"/>
                <w:sz w:val="20"/>
                <w:szCs w:val="20"/>
              </w:rPr>
              <w:t xml:space="preserve">,background </w:t>
            </w:r>
            <w:r w:rsidR="000437B1" w:rsidRPr="0023146D">
              <w:rPr>
                <w:rFonts w:ascii="Arial Narrow" w:hAnsi="Arial Narrow"/>
                <w:sz w:val="20"/>
                <w:szCs w:val="20"/>
              </w:rPr>
              <w:t xml:space="preserve">utility </w:t>
            </w:r>
            <w:r w:rsidRPr="0023146D">
              <w:rPr>
                <w:rFonts w:ascii="Arial Narrow" w:hAnsi="Arial Narrow"/>
                <w:sz w:val="20"/>
                <w:szCs w:val="20"/>
              </w:rPr>
              <w:t>for stage 2 = 0.</w:t>
            </w:r>
            <w:r w:rsidR="00AB1B17" w:rsidRPr="0023146D">
              <w:rPr>
                <w:rFonts w:ascii="Arial Narrow" w:hAnsi="Arial Narrow"/>
                <w:sz w:val="20"/>
                <w:szCs w:val="20"/>
              </w:rPr>
              <w:t>712</w:t>
            </w:r>
          </w:p>
        </w:tc>
      </w:tr>
      <w:tr w:rsidR="007B7F9B" w:rsidRPr="0023146D" w14:paraId="1B415B45" w14:textId="77777777" w:rsidTr="00AA10BF">
        <w:tc>
          <w:tcPr>
            <w:tcW w:w="1675" w:type="dxa"/>
            <w:shd w:val="clear" w:color="auto" w:fill="C6D9F1" w:themeFill="text2" w:themeFillTint="33"/>
            <w:vAlign w:val="center"/>
          </w:tcPr>
          <w:p w14:paraId="09AE5546" w14:textId="77777777" w:rsidR="007B7F9B" w:rsidRPr="0023146D" w:rsidRDefault="007B7F9B">
            <w:pPr>
              <w:pStyle w:val="Tabletext8pt"/>
              <w:spacing w:before="0" w:after="0"/>
              <w:rPr>
                <w:rFonts w:ascii="Arial Narrow" w:hAnsi="Arial Narrow"/>
                <w:sz w:val="20"/>
                <w:szCs w:val="20"/>
              </w:rPr>
            </w:pPr>
            <w:r w:rsidRPr="0023146D">
              <w:rPr>
                <w:rFonts w:ascii="Arial Narrow" w:hAnsi="Arial Narrow"/>
                <w:sz w:val="20"/>
                <w:szCs w:val="20"/>
              </w:rPr>
              <w:t>Time horizon</w:t>
            </w:r>
          </w:p>
        </w:tc>
        <w:tc>
          <w:tcPr>
            <w:tcW w:w="7251" w:type="dxa"/>
            <w:shd w:val="clear" w:color="auto" w:fill="C6D9F1" w:themeFill="text2" w:themeFillTint="33"/>
          </w:tcPr>
          <w:p w14:paraId="000A03D3" w14:textId="77777777" w:rsidR="007B7F9B" w:rsidRPr="0023146D" w:rsidRDefault="007B7F9B">
            <w:pPr>
              <w:pStyle w:val="Tabletext8pt"/>
              <w:spacing w:before="0" w:after="0"/>
              <w:rPr>
                <w:rFonts w:ascii="Arial Narrow" w:hAnsi="Arial Narrow"/>
                <w:sz w:val="20"/>
                <w:szCs w:val="20"/>
              </w:rPr>
            </w:pPr>
            <w:r w:rsidRPr="0023146D">
              <w:rPr>
                <w:rFonts w:ascii="Arial Narrow" w:hAnsi="Arial Narrow"/>
                <w:sz w:val="20"/>
                <w:szCs w:val="20"/>
              </w:rPr>
              <w:t>10 years.</w:t>
            </w:r>
          </w:p>
        </w:tc>
      </w:tr>
      <w:tr w:rsidR="007B7F9B" w:rsidRPr="0023146D" w14:paraId="599E9676" w14:textId="77777777" w:rsidTr="00AA10BF">
        <w:tc>
          <w:tcPr>
            <w:tcW w:w="1675" w:type="dxa"/>
            <w:vAlign w:val="center"/>
          </w:tcPr>
          <w:p w14:paraId="7DE72FC4" w14:textId="77777777" w:rsidR="007B7F9B" w:rsidRPr="0023146D" w:rsidRDefault="007B7F9B">
            <w:pPr>
              <w:pStyle w:val="Tabletext8pt"/>
              <w:spacing w:before="0" w:after="0"/>
              <w:rPr>
                <w:rFonts w:ascii="Arial Narrow" w:hAnsi="Arial Narrow"/>
                <w:sz w:val="20"/>
                <w:szCs w:val="20"/>
              </w:rPr>
            </w:pPr>
            <w:r w:rsidRPr="0023146D">
              <w:rPr>
                <w:rFonts w:ascii="Arial Narrow" w:hAnsi="Arial Narrow"/>
                <w:sz w:val="20"/>
                <w:szCs w:val="20"/>
              </w:rPr>
              <w:t xml:space="preserve">Costs </w:t>
            </w:r>
          </w:p>
        </w:tc>
        <w:tc>
          <w:tcPr>
            <w:tcW w:w="7251" w:type="dxa"/>
          </w:tcPr>
          <w:p w14:paraId="29205D0D" w14:textId="74602939" w:rsidR="007B7F9B" w:rsidRPr="0023146D" w:rsidRDefault="007B7F9B">
            <w:pPr>
              <w:pStyle w:val="Tabletext8pt"/>
              <w:spacing w:before="0" w:after="0"/>
              <w:rPr>
                <w:rFonts w:ascii="Arial Narrow" w:hAnsi="Arial Narrow"/>
                <w:sz w:val="20"/>
                <w:szCs w:val="20"/>
              </w:rPr>
            </w:pPr>
            <w:r w:rsidRPr="0023146D">
              <w:rPr>
                <w:rFonts w:ascii="Arial Narrow" w:hAnsi="Arial Narrow"/>
                <w:sz w:val="20"/>
                <w:szCs w:val="20"/>
              </w:rPr>
              <w:t>202</w:t>
            </w:r>
            <w:r w:rsidR="005E39CD" w:rsidRPr="0023146D">
              <w:rPr>
                <w:rFonts w:ascii="Arial Narrow" w:hAnsi="Arial Narrow"/>
                <w:sz w:val="20"/>
                <w:szCs w:val="20"/>
              </w:rPr>
              <w:t>4</w:t>
            </w:r>
            <w:r w:rsidRPr="0023146D">
              <w:rPr>
                <w:rFonts w:ascii="Arial Narrow" w:hAnsi="Arial Narrow"/>
                <w:sz w:val="20"/>
                <w:szCs w:val="20"/>
              </w:rPr>
              <w:t xml:space="preserve"> costs.</w:t>
            </w:r>
          </w:p>
        </w:tc>
      </w:tr>
    </w:tbl>
    <w:p w14:paraId="4921DA63" w14:textId="281A6160" w:rsidR="0043326E" w:rsidRPr="0023146D" w:rsidRDefault="0043326E" w:rsidP="0043326E">
      <w:pPr>
        <w:rPr>
          <w:rFonts w:ascii="Arial Narrow" w:hAnsi="Arial Narrow"/>
          <w:sz w:val="18"/>
          <w:szCs w:val="18"/>
        </w:rPr>
      </w:pPr>
      <w:r w:rsidRPr="0023146D">
        <w:rPr>
          <w:rFonts w:ascii="Arial Narrow" w:hAnsi="Arial Narrow"/>
          <w:sz w:val="18"/>
          <w:szCs w:val="18"/>
        </w:rPr>
        <w:t>Source: Table 3.2, p135</w:t>
      </w:r>
      <w:r w:rsidR="00AD3325" w:rsidRPr="0023146D">
        <w:rPr>
          <w:rFonts w:ascii="Arial Narrow" w:hAnsi="Arial Narrow"/>
          <w:sz w:val="18"/>
          <w:szCs w:val="18"/>
        </w:rPr>
        <w:t>;</w:t>
      </w:r>
      <w:r w:rsidRPr="0023146D">
        <w:rPr>
          <w:rFonts w:ascii="Arial Narrow" w:hAnsi="Arial Narrow"/>
          <w:sz w:val="18"/>
          <w:szCs w:val="18"/>
        </w:rPr>
        <w:t xml:space="preserve"> </w:t>
      </w:r>
      <w:r w:rsidR="00AD3325" w:rsidRPr="0023146D">
        <w:rPr>
          <w:rFonts w:ascii="Arial Narrow" w:hAnsi="Arial Narrow"/>
          <w:sz w:val="18"/>
          <w:szCs w:val="18"/>
        </w:rPr>
        <w:t>Table 3.34, p140; Table 3.38, p168 of the resubmission.</w:t>
      </w:r>
    </w:p>
    <w:p w14:paraId="246AB4B7" w14:textId="10711AF9" w:rsidR="0043326E" w:rsidRPr="0023146D" w:rsidRDefault="0043326E" w:rsidP="0043326E">
      <w:pPr>
        <w:rPr>
          <w:rFonts w:ascii="Arial Narrow" w:hAnsi="Arial Narrow"/>
          <w:sz w:val="18"/>
          <w:szCs w:val="18"/>
        </w:rPr>
      </w:pPr>
      <w:r w:rsidRPr="0023146D">
        <w:rPr>
          <w:rFonts w:ascii="Arial Narrow" w:hAnsi="Arial Narrow"/>
          <w:sz w:val="18"/>
          <w:szCs w:val="18"/>
        </w:rPr>
        <w:t xml:space="preserve">CMV = cytomegalovirus; </w:t>
      </w:r>
      <w:proofErr w:type="spellStart"/>
      <w:r w:rsidRPr="0023146D">
        <w:rPr>
          <w:rFonts w:ascii="Arial Narrow" w:hAnsi="Arial Narrow"/>
          <w:sz w:val="18"/>
          <w:szCs w:val="18"/>
        </w:rPr>
        <w:t>csCMV</w:t>
      </w:r>
      <w:proofErr w:type="spellEnd"/>
      <w:r w:rsidRPr="0023146D">
        <w:rPr>
          <w:rFonts w:ascii="Arial Narrow" w:hAnsi="Arial Narrow"/>
          <w:sz w:val="18"/>
          <w:szCs w:val="18"/>
        </w:rPr>
        <w:t xml:space="preserve"> = clinically significant CMV infection; CSR = clinical study report; HSCT = </w:t>
      </w:r>
      <w:r w:rsidR="00C2182C" w:rsidRPr="0023146D">
        <w:rPr>
          <w:rFonts w:ascii="Arial Narrow" w:hAnsi="Arial Narrow"/>
          <w:sz w:val="18"/>
          <w:szCs w:val="18"/>
        </w:rPr>
        <w:t>h</w:t>
      </w:r>
      <w:r w:rsidRPr="0023146D">
        <w:rPr>
          <w:rFonts w:ascii="Arial Narrow" w:hAnsi="Arial Narrow"/>
          <w:sz w:val="18"/>
          <w:szCs w:val="18"/>
        </w:rPr>
        <w:t xml:space="preserve">aemopoietic stem cell transplant; IAT = investigator-assigned anti-CMV </w:t>
      </w:r>
      <w:r w:rsidR="00666603" w:rsidRPr="0023146D">
        <w:rPr>
          <w:rFonts w:ascii="Arial Narrow" w:hAnsi="Arial Narrow"/>
          <w:sz w:val="18"/>
          <w:szCs w:val="18"/>
        </w:rPr>
        <w:t>treatment</w:t>
      </w:r>
      <w:r w:rsidRPr="0023146D">
        <w:rPr>
          <w:rFonts w:ascii="Arial Narrow" w:hAnsi="Arial Narrow"/>
          <w:sz w:val="18"/>
          <w:szCs w:val="18"/>
        </w:rPr>
        <w:t xml:space="preserve">; IPD = individual patient data; </w:t>
      </w:r>
      <w:r w:rsidR="00FD7FD8" w:rsidRPr="0023146D">
        <w:rPr>
          <w:rFonts w:ascii="Arial Narrow" w:hAnsi="Arial Narrow"/>
          <w:sz w:val="18"/>
          <w:szCs w:val="18"/>
        </w:rPr>
        <w:t xml:space="preserve">LYG = life year gained; </w:t>
      </w:r>
      <w:r w:rsidRPr="0023146D">
        <w:rPr>
          <w:rFonts w:ascii="Arial Narrow" w:hAnsi="Arial Narrow"/>
          <w:sz w:val="18"/>
          <w:szCs w:val="18"/>
        </w:rPr>
        <w:t>n-</w:t>
      </w:r>
      <w:proofErr w:type="spellStart"/>
      <w:r w:rsidRPr="0023146D">
        <w:rPr>
          <w:rFonts w:ascii="Arial Narrow" w:hAnsi="Arial Narrow"/>
          <w:sz w:val="18"/>
          <w:szCs w:val="18"/>
        </w:rPr>
        <w:t>csCMV</w:t>
      </w:r>
      <w:proofErr w:type="spellEnd"/>
      <w:r w:rsidRPr="0023146D">
        <w:rPr>
          <w:rFonts w:ascii="Arial Narrow" w:hAnsi="Arial Narrow"/>
          <w:sz w:val="18"/>
          <w:szCs w:val="18"/>
        </w:rPr>
        <w:t xml:space="preserve"> = non-clinically significant CMV infection; </w:t>
      </w:r>
      <w:r w:rsidR="008750D7" w:rsidRPr="0023146D">
        <w:rPr>
          <w:rFonts w:ascii="Arial Narrow" w:hAnsi="Arial Narrow"/>
          <w:sz w:val="18"/>
          <w:szCs w:val="18"/>
        </w:rPr>
        <w:t>QALY = quality</w:t>
      </w:r>
      <w:r w:rsidR="00802798" w:rsidRPr="0023146D">
        <w:rPr>
          <w:rFonts w:ascii="Arial Narrow" w:hAnsi="Arial Narrow"/>
          <w:sz w:val="18"/>
          <w:szCs w:val="18"/>
        </w:rPr>
        <w:t>-</w:t>
      </w:r>
      <w:r w:rsidR="008750D7" w:rsidRPr="0023146D">
        <w:rPr>
          <w:rFonts w:ascii="Arial Narrow" w:hAnsi="Arial Narrow"/>
          <w:sz w:val="18"/>
          <w:szCs w:val="18"/>
        </w:rPr>
        <w:t xml:space="preserve">adjusted life year; </w:t>
      </w:r>
      <w:r w:rsidRPr="0023146D">
        <w:rPr>
          <w:rFonts w:ascii="Arial Narrow" w:hAnsi="Arial Narrow"/>
          <w:sz w:val="18"/>
          <w:szCs w:val="18"/>
        </w:rPr>
        <w:t>R/R = resistant, refractory; SoC = standard of care; SOT = solid organ transplant</w:t>
      </w:r>
      <w:r w:rsidR="003A5929" w:rsidRPr="0023146D">
        <w:rPr>
          <w:rFonts w:ascii="Arial Narrow" w:hAnsi="Arial Narrow"/>
          <w:sz w:val="18"/>
          <w:szCs w:val="18"/>
        </w:rPr>
        <w:t>.</w:t>
      </w:r>
    </w:p>
    <w:p w14:paraId="21C0062B" w14:textId="77777777" w:rsidR="0035146F" w:rsidRPr="0023146D" w:rsidRDefault="0035146F" w:rsidP="0035146F">
      <w:pPr>
        <w:pStyle w:val="FooterTableFigure"/>
        <w:rPr>
          <w:szCs w:val="20"/>
        </w:rPr>
      </w:pPr>
      <w:r w:rsidRPr="0023146D">
        <w:rPr>
          <w:szCs w:val="20"/>
        </w:rPr>
        <w:t>Data in blue-shade are those previously seen by the PBAC.</w:t>
      </w:r>
    </w:p>
    <w:p w14:paraId="1233A617" w14:textId="4DB3DFC8" w:rsidR="007832DF" w:rsidRPr="0023146D" w:rsidRDefault="00B60F15" w:rsidP="0035146F">
      <w:pPr>
        <w:pStyle w:val="FooterTableFigure"/>
      </w:pPr>
      <w:r w:rsidRPr="0023146D">
        <w:rPr>
          <w:vertAlign w:val="superscript"/>
        </w:rPr>
        <w:t xml:space="preserve">a </w:t>
      </w:r>
      <w:r w:rsidR="00D162D2" w:rsidRPr="0023146D">
        <w:t>P</w:t>
      </w:r>
      <w:r w:rsidR="00440018" w:rsidRPr="0023146D">
        <w:t>a</w:t>
      </w:r>
      <w:r w:rsidRPr="0023146D">
        <w:t xml:space="preserve">tients who do not achieve CMV viremia clearance </w:t>
      </w:r>
      <w:r w:rsidR="007832DF" w:rsidRPr="0023146D">
        <w:t>defined as plasma CMV DNA concentration &lt;LLOQ</w:t>
      </w:r>
      <w:r w:rsidR="00490B22" w:rsidRPr="0023146D">
        <w:t>; lower limit of quantification</w:t>
      </w:r>
      <w:r w:rsidR="007832DF" w:rsidRPr="0023146D">
        <w:t>) or patients who in a previous cycle occupied the n-</w:t>
      </w:r>
      <w:proofErr w:type="spellStart"/>
      <w:r w:rsidR="007832DF" w:rsidRPr="0023146D">
        <w:t>csCMV</w:t>
      </w:r>
      <w:proofErr w:type="spellEnd"/>
      <w:r w:rsidR="007832DF" w:rsidRPr="0023146D">
        <w:t xml:space="preserve"> health state but then experience a clinically significant recurrence</w:t>
      </w:r>
      <w:r w:rsidR="00957A03" w:rsidRPr="0023146D">
        <w:t>.</w:t>
      </w:r>
    </w:p>
    <w:p w14:paraId="1FA8053E" w14:textId="61DE1B98" w:rsidR="0017764C" w:rsidRPr="00F57F1D" w:rsidRDefault="00857A37" w:rsidP="00732F7D">
      <w:pPr>
        <w:pStyle w:val="3-BodyText"/>
      </w:pPr>
      <w:r w:rsidRPr="00F57F1D">
        <w:t xml:space="preserve">The resubmission largely </w:t>
      </w:r>
      <w:r w:rsidR="00B17553" w:rsidRPr="00F57F1D">
        <w:t xml:space="preserve">maintained </w:t>
      </w:r>
      <w:r w:rsidRPr="00F57F1D">
        <w:t xml:space="preserve">the same data sources and assumptions as used in the </w:t>
      </w:r>
      <w:r w:rsidR="00B17553" w:rsidRPr="00F57F1D">
        <w:t xml:space="preserve">November 2023 </w:t>
      </w:r>
      <w:r w:rsidRPr="00F57F1D">
        <w:t xml:space="preserve">submission. </w:t>
      </w:r>
      <w:r w:rsidR="0008565E" w:rsidRPr="00F57F1D">
        <w:t>T</w:t>
      </w:r>
      <w:r w:rsidR="0021352B" w:rsidRPr="00F57F1D">
        <w:t xml:space="preserve">he PBAC </w:t>
      </w:r>
      <w:r w:rsidR="0008565E" w:rsidRPr="00F57F1D">
        <w:t>previously</w:t>
      </w:r>
      <w:r w:rsidR="0021352B" w:rsidRPr="00F57F1D">
        <w:t xml:space="preserve"> considered the economic model for maribavir was not informative for decision making as the clinical data did not adequately support the superiority claim and because the model was based on multiple data sources and assumptions that were poorly justified (para 7.15, maribavir, PSD, November 2023 PBAC meeting). </w:t>
      </w:r>
    </w:p>
    <w:p w14:paraId="5FAC550D" w14:textId="28601ED8" w:rsidR="0021352B" w:rsidRPr="00F57F1D" w:rsidRDefault="0021352B" w:rsidP="00732F7D">
      <w:pPr>
        <w:pStyle w:val="3-BodyText"/>
      </w:pPr>
      <w:r w:rsidRPr="00F57F1D">
        <w:t xml:space="preserve">The </w:t>
      </w:r>
      <w:r w:rsidR="00735AFE" w:rsidRPr="00F57F1D">
        <w:t>PBAC</w:t>
      </w:r>
      <w:r w:rsidRPr="00F57F1D" w:rsidDel="0017764C">
        <w:t xml:space="preserve"> </w:t>
      </w:r>
      <w:r w:rsidR="00F85191" w:rsidRPr="006B02AA">
        <w:t>previously</w:t>
      </w:r>
      <w:r w:rsidR="00F85191">
        <w:t xml:space="preserve"> </w:t>
      </w:r>
      <w:r w:rsidRPr="00F57F1D">
        <w:t>considered that the cost of maribavir should reflect the uncertainty in the clinical data and the short duration of efficacy in patients who develop resistance (para 7.17, maribavir PSD, November 2023 PBAC meeting).</w:t>
      </w:r>
      <w:r w:rsidR="00665416" w:rsidRPr="00F57F1D">
        <w:t xml:space="preserve"> </w:t>
      </w:r>
      <w:r w:rsidR="00A7365D" w:rsidRPr="00F57F1D">
        <w:t>In response to this</w:t>
      </w:r>
      <w:r w:rsidR="00EF1937" w:rsidRPr="00F57F1D">
        <w:t xml:space="preserve">, the resubmission proposed </w:t>
      </w:r>
      <w:r w:rsidR="00032E2E" w:rsidRPr="00045880">
        <w:t xml:space="preserve">a </w:t>
      </w:r>
      <w:r w:rsidR="007548FA" w:rsidRPr="0027615A">
        <w:rPr>
          <w:color w:val="000000"/>
          <w:w w:val="15"/>
          <w:shd w:val="solid" w:color="000000" w:fill="000000"/>
          <w:fitText w:val="-20" w:id="-760538102"/>
          <w14:textFill>
            <w14:solidFill>
              <w14:srgbClr w14:val="000000">
                <w14:alpha w14:val="100000"/>
              </w14:srgbClr>
            </w14:solidFill>
          </w14:textFill>
        </w:rPr>
        <w:t xml:space="preserve">|  </w:t>
      </w:r>
      <w:r w:rsidR="007548FA" w:rsidRPr="0027615A">
        <w:rPr>
          <w:color w:val="000000"/>
          <w:spacing w:val="-69"/>
          <w:w w:val="15"/>
          <w:shd w:val="solid" w:color="000000" w:fill="000000"/>
          <w:fitText w:val="-20" w:id="-760538102"/>
          <w14:textFill>
            <w14:solidFill>
              <w14:srgbClr w14:val="000000">
                <w14:alpha w14:val="100000"/>
              </w14:srgbClr>
            </w14:solidFill>
          </w14:textFill>
        </w:rPr>
        <w:t>|</w:t>
      </w:r>
      <w:r w:rsidR="00F85191" w:rsidRPr="00045880">
        <w:t>%</w:t>
      </w:r>
      <w:r w:rsidR="00F85191">
        <w:t xml:space="preserve"> </w:t>
      </w:r>
      <w:r w:rsidR="00A13E9E" w:rsidRPr="00F57F1D">
        <w:t xml:space="preserve">reduction of </w:t>
      </w:r>
      <w:proofErr w:type="spellStart"/>
      <w:r w:rsidR="00A13E9E" w:rsidRPr="00F57F1D">
        <w:t>maribavir’s</w:t>
      </w:r>
      <w:proofErr w:type="spellEnd"/>
      <w:r w:rsidR="00A13E9E" w:rsidRPr="00F57F1D">
        <w:t xml:space="preserve"> </w:t>
      </w:r>
      <w:r w:rsidR="00F85191" w:rsidRPr="00045880">
        <w:t xml:space="preserve">effective </w:t>
      </w:r>
      <w:r w:rsidR="00A13E9E" w:rsidRPr="00045880">
        <w:t xml:space="preserve">price </w:t>
      </w:r>
      <w:r w:rsidR="00F85191" w:rsidRPr="00045880">
        <w:t>compared with the previous submission</w:t>
      </w:r>
      <w:r w:rsidR="00F85191">
        <w:t xml:space="preserve"> (</w:t>
      </w:r>
      <w:r w:rsidR="00A13E9E" w:rsidRPr="00F57F1D">
        <w:t>as per para</w:t>
      </w:r>
      <w:r w:rsidR="00AF1E38" w:rsidRPr="00F57F1D">
        <w:t>graph</w:t>
      </w:r>
      <w:r w:rsidR="00F85191">
        <w:t xml:space="preserve"> </w:t>
      </w:r>
      <w:r w:rsidR="00F85191">
        <w:fldChar w:fldCharType="begin" w:fldLock="1"/>
      </w:r>
      <w:r w:rsidR="00F85191">
        <w:instrText xml:space="preserve"> REF _Ref180051436 \r \h </w:instrText>
      </w:r>
      <w:r w:rsidR="00F85191">
        <w:fldChar w:fldCharType="separate"/>
      </w:r>
      <w:r w:rsidR="008854AA">
        <w:t>3.1</w:t>
      </w:r>
      <w:r w:rsidR="00F85191">
        <w:fldChar w:fldCharType="end"/>
      </w:r>
      <w:r w:rsidR="00F85191">
        <w:t>)</w:t>
      </w:r>
      <w:r w:rsidR="00A13E9E" w:rsidRPr="00F57F1D">
        <w:t>.</w:t>
      </w:r>
      <w:r w:rsidR="006B02AA">
        <w:t xml:space="preserve"> The pre-PBAC </w:t>
      </w:r>
      <w:r w:rsidR="006B02AA">
        <w:lastRenderedPageBreak/>
        <w:t>response proposed a further reduction in the price for maribavir from $</w:t>
      </w:r>
      <w:r w:rsidR="007548FA" w:rsidRPr="0027615A">
        <w:rPr>
          <w:color w:val="000000"/>
          <w:w w:val="15"/>
          <w:shd w:val="solid" w:color="000000" w:fill="000000"/>
          <w:fitText w:val="-20" w:id="-760538101"/>
          <w14:textFill>
            <w14:solidFill>
              <w14:srgbClr w14:val="000000">
                <w14:alpha w14:val="100000"/>
              </w14:srgbClr>
            </w14:solidFill>
          </w14:textFill>
        </w:rPr>
        <w:t xml:space="preserve">|  </w:t>
      </w:r>
      <w:r w:rsidR="007548FA" w:rsidRPr="0027615A">
        <w:rPr>
          <w:color w:val="000000"/>
          <w:spacing w:val="-69"/>
          <w:w w:val="15"/>
          <w:shd w:val="solid" w:color="000000" w:fill="000000"/>
          <w:fitText w:val="-20" w:id="-760538101"/>
          <w14:textFill>
            <w14:solidFill>
              <w14:srgbClr w14:val="000000">
                <w14:alpha w14:val="100000"/>
              </w14:srgbClr>
            </w14:solidFill>
          </w14:textFill>
        </w:rPr>
        <w:t>|</w:t>
      </w:r>
      <w:r w:rsidR="006B02AA">
        <w:t xml:space="preserve"> to $</w:t>
      </w:r>
      <w:r w:rsidR="007548FA" w:rsidRPr="0027615A">
        <w:rPr>
          <w:color w:val="000000"/>
          <w:w w:val="15"/>
          <w:shd w:val="solid" w:color="000000" w:fill="000000"/>
          <w:fitText w:val="-20" w:id="-760538100"/>
          <w14:textFill>
            <w14:solidFill>
              <w14:srgbClr w14:val="000000">
                <w14:alpha w14:val="100000"/>
              </w14:srgbClr>
            </w14:solidFill>
          </w14:textFill>
        </w:rPr>
        <w:t xml:space="preserve">|  </w:t>
      </w:r>
      <w:r w:rsidR="007548FA" w:rsidRPr="0027615A">
        <w:rPr>
          <w:color w:val="000000"/>
          <w:spacing w:val="-69"/>
          <w:w w:val="15"/>
          <w:shd w:val="solid" w:color="000000" w:fill="000000"/>
          <w:fitText w:val="-20" w:id="-760538100"/>
          <w14:textFill>
            <w14:solidFill>
              <w14:srgbClr w14:val="000000">
                <w14:alpha w14:val="100000"/>
              </w14:srgbClr>
            </w14:solidFill>
          </w14:textFill>
        </w:rPr>
        <w:t>|</w:t>
      </w:r>
      <w:r w:rsidR="006B02AA">
        <w:t xml:space="preserve"> (weighted public/private DPMQ).</w:t>
      </w:r>
    </w:p>
    <w:p w14:paraId="31363B6C" w14:textId="4D393CE8" w:rsidR="00AA59E5" w:rsidRPr="00F57F1D" w:rsidRDefault="00FD68D5" w:rsidP="004B41B9">
      <w:pPr>
        <w:pStyle w:val="3-BodyText"/>
      </w:pPr>
      <w:r w:rsidRPr="00F57F1D">
        <w:t xml:space="preserve">The ESC previously considered that the 10-year horizon </w:t>
      </w:r>
      <w:r w:rsidR="00F057B7" w:rsidRPr="00F57F1D">
        <w:t xml:space="preserve">used in the </w:t>
      </w:r>
      <w:r w:rsidR="00165766" w:rsidRPr="00F57F1D">
        <w:t>previous</w:t>
      </w:r>
      <w:r w:rsidR="00F057B7" w:rsidRPr="00F57F1D">
        <w:t xml:space="preserve"> </w:t>
      </w:r>
      <w:r w:rsidR="004E1280" w:rsidRPr="00F57F1D">
        <w:t>submission was</w:t>
      </w:r>
      <w:r w:rsidRPr="00F57F1D">
        <w:t xml:space="preserve"> inadequately justified, given no CMV events were assumed after 78 weeks </w:t>
      </w:r>
      <w:r w:rsidR="004E1280" w:rsidRPr="00F57F1D">
        <w:t>and t</w:t>
      </w:r>
      <w:r w:rsidRPr="00F57F1D">
        <w:t xml:space="preserve">he PBAC suggested a 2-year model would be more appropriate (para </w:t>
      </w:r>
      <w:r w:rsidR="004E1280" w:rsidRPr="00F57F1D">
        <w:t>6.60</w:t>
      </w:r>
      <w:r w:rsidR="00A13E9E" w:rsidRPr="00F57F1D">
        <w:t xml:space="preserve">, </w:t>
      </w:r>
      <w:r w:rsidRPr="00F57F1D">
        <w:t>7.15, maribavir PSD, November 2023 PBAC meeting).</w:t>
      </w:r>
      <w:r w:rsidRPr="0023146D">
        <w:rPr>
          <w:i/>
          <w:iCs/>
        </w:rPr>
        <w:t xml:space="preserve"> </w:t>
      </w:r>
      <w:r w:rsidR="003474E8" w:rsidRPr="0023146D">
        <w:t>The resubmission maintain</w:t>
      </w:r>
      <w:r w:rsidR="00B17553" w:rsidRPr="0023146D">
        <w:t>ed</w:t>
      </w:r>
      <w:r w:rsidR="003474E8" w:rsidRPr="0023146D">
        <w:t xml:space="preserve"> the 10-year time horizon, arguing it is conservative compared to lifetime horizons accepted by </w:t>
      </w:r>
      <w:r w:rsidR="00B17553" w:rsidRPr="0023146D">
        <w:t xml:space="preserve">the </w:t>
      </w:r>
      <w:r w:rsidR="00F264E5" w:rsidRPr="0023146D">
        <w:t>Canadian Agency for Drugs and Technologies in Health (</w:t>
      </w:r>
      <w:r w:rsidR="003474E8" w:rsidRPr="0023146D">
        <w:t>CADTH</w:t>
      </w:r>
      <w:r w:rsidR="00F264E5" w:rsidRPr="0023146D">
        <w:t>)</w:t>
      </w:r>
      <w:r w:rsidR="003474E8" w:rsidRPr="0023146D">
        <w:t xml:space="preserve"> and NICE</w:t>
      </w:r>
      <w:r w:rsidR="00B64A11" w:rsidRPr="0023146D">
        <w:t>, and citing it was used in</w:t>
      </w:r>
      <w:r w:rsidR="003474E8" w:rsidRPr="0023146D">
        <w:t xml:space="preserve"> a previous CMV prophylaxis assessment</w:t>
      </w:r>
      <w:r w:rsidR="002E0E96" w:rsidRPr="0023146D">
        <w:t xml:space="preserve"> (for </w:t>
      </w:r>
      <w:proofErr w:type="spellStart"/>
      <w:r w:rsidR="002E0E96" w:rsidRPr="0023146D">
        <w:t>letermovir</w:t>
      </w:r>
      <w:proofErr w:type="spellEnd"/>
      <w:r w:rsidR="002E0E96" w:rsidRPr="0023146D">
        <w:t>)</w:t>
      </w:r>
      <w:r w:rsidR="003474E8" w:rsidRPr="0023146D">
        <w:t>.</w:t>
      </w:r>
      <w:r w:rsidR="003474E8" w:rsidRPr="0023146D">
        <w:rPr>
          <w:i/>
          <w:iCs/>
        </w:rPr>
        <w:t xml:space="preserve"> </w:t>
      </w:r>
      <w:r w:rsidR="003474E8" w:rsidRPr="00F57F1D">
        <w:t>While the ESC in July 2018 indicated a 10-year horizon might capture life years gained from avoiding CMV-related deaths, it noted that the extrapolations in that submission were implausible, making the results unreliable</w:t>
      </w:r>
      <w:r w:rsidR="00FB397D" w:rsidRPr="00F57F1D">
        <w:t xml:space="preserve"> (para 6.46, </w:t>
      </w:r>
      <w:proofErr w:type="spellStart"/>
      <w:r w:rsidR="00FB397D" w:rsidRPr="00F57F1D">
        <w:t>letermovir</w:t>
      </w:r>
      <w:proofErr w:type="spellEnd"/>
      <w:r w:rsidR="00FB397D" w:rsidRPr="00F57F1D">
        <w:t xml:space="preserve"> PSD, July 2018 </w:t>
      </w:r>
      <w:r w:rsidR="00F85191" w:rsidRPr="00F57F1D">
        <w:t xml:space="preserve">PBAC </w:t>
      </w:r>
      <w:r w:rsidR="00FB397D" w:rsidRPr="00F57F1D">
        <w:t>meeting)</w:t>
      </w:r>
      <w:r w:rsidR="003474E8" w:rsidRPr="00F57F1D">
        <w:t>.</w:t>
      </w:r>
      <w:r w:rsidR="006B02AA">
        <w:t xml:space="preserve"> The PBAC considered that the 10 year time horizon was inappropriate given the high level of uncertainty in the trial outcomes and lack of long term data to inform the modelled outcomes.</w:t>
      </w:r>
      <w:r w:rsidR="00964407">
        <w:t xml:space="preserve"> The PBAC recalled that it previously </w:t>
      </w:r>
      <w:r w:rsidR="00964407">
        <w:rPr>
          <w:snapToGrid w:val="0"/>
          <w:lang w:val="en-GB" w:eastAsia="en-US"/>
        </w:rPr>
        <w:t xml:space="preserve">considered that </w:t>
      </w:r>
      <w:r w:rsidR="00964407" w:rsidRPr="004F40B5">
        <w:rPr>
          <w:snapToGrid w:val="0"/>
          <w:lang w:val="en-GB" w:eastAsia="en-US"/>
        </w:rPr>
        <w:t>a 2</w:t>
      </w:r>
      <w:r w:rsidR="00964407">
        <w:rPr>
          <w:snapToGrid w:val="0"/>
          <w:lang w:val="en-GB" w:eastAsia="en-US"/>
        </w:rPr>
        <w:noBreakHyphen/>
      </w:r>
      <w:r w:rsidR="00964407" w:rsidRPr="004F40B5">
        <w:rPr>
          <w:snapToGrid w:val="0"/>
          <w:lang w:val="en-GB" w:eastAsia="en-US"/>
        </w:rPr>
        <w:t>year model length would be more appropriate</w:t>
      </w:r>
      <w:r w:rsidR="00964407">
        <w:rPr>
          <w:snapToGrid w:val="0"/>
          <w:lang w:val="en-GB" w:eastAsia="en-US"/>
        </w:rPr>
        <w:t xml:space="preserve"> (para 7.15, maribavir PSD, November 2023 PBAC meeting).</w:t>
      </w:r>
    </w:p>
    <w:p w14:paraId="22E215AF" w14:textId="29F1E562" w:rsidR="009E63C4" w:rsidRPr="00045880" w:rsidRDefault="009A69BD" w:rsidP="009A69BD">
      <w:pPr>
        <w:pStyle w:val="3-BodyText"/>
      </w:pPr>
      <w:bookmarkStart w:id="45" w:name="_Ref180063669"/>
      <w:r w:rsidRPr="00045880">
        <w:t xml:space="preserve">The PBAC previously considered that a stage 1 length of 39.2 weeks (as used for the NICE submission) would be more appropriate as it was based on more robust data (para 7.15, maribavir PSD, November 2023 PBAC meeting). The duration of the stage 1 model </w:t>
      </w:r>
      <w:r w:rsidR="006B02AA">
        <w:t>was</w:t>
      </w:r>
      <w:r w:rsidRPr="00045880">
        <w:t xml:space="preserve"> reduced from 78 weeks to 39.2 weeks in the resubmission. The ESC noted that the issue of the duration for which the observed data for clearance and mortality can be applied in the model has not been addressed in the submission as no additional longer</w:t>
      </w:r>
      <w:r w:rsidR="00D21870" w:rsidRPr="00045880">
        <w:t>-</w:t>
      </w:r>
      <w:r w:rsidRPr="00045880">
        <w:t>term data were applied in the model. However</w:t>
      </w:r>
      <w:r w:rsidR="00D21870" w:rsidRPr="00045880">
        <w:t>,</w:t>
      </w:r>
      <w:r w:rsidRPr="00045880">
        <w:t xml:space="preserve"> the ESC considered the reduction in the duration of stage 1 of the model was appropriate and mitigates the impact of uncertainty </w:t>
      </w:r>
      <w:r w:rsidR="00532900" w:rsidRPr="00045880">
        <w:t>from</w:t>
      </w:r>
      <w:r w:rsidRPr="00045880">
        <w:t xml:space="preserve"> applying </w:t>
      </w:r>
      <w:r w:rsidR="00532900" w:rsidRPr="00045880">
        <w:t>the short term observed data on</w:t>
      </w:r>
      <w:r w:rsidRPr="00045880">
        <w:t xml:space="preserve"> clearance and mortality</w:t>
      </w:r>
      <w:r w:rsidR="00532900" w:rsidRPr="00045880">
        <w:t xml:space="preserve"> beyond the trial period</w:t>
      </w:r>
      <w:r w:rsidRPr="00045880">
        <w:t>.</w:t>
      </w:r>
      <w:bookmarkEnd w:id="45"/>
      <w:r w:rsidRPr="00045880">
        <w:t xml:space="preserve"> </w:t>
      </w:r>
    </w:p>
    <w:p w14:paraId="67099665" w14:textId="6AA59DDF" w:rsidR="00FF0EDE" w:rsidRPr="00F57F1D" w:rsidRDefault="00FF0EDE" w:rsidP="00AD3E76">
      <w:pPr>
        <w:pStyle w:val="3-BodyText"/>
        <w:rPr>
          <w:color w:val="0066FF"/>
        </w:rPr>
      </w:pPr>
      <w:r w:rsidRPr="0023146D">
        <w:t>The resubmission maintained the use of treatment-specific recurrence rates as higher in the IA</w:t>
      </w:r>
      <w:r w:rsidR="004F317B" w:rsidRPr="0023146D">
        <w:t>T</w:t>
      </w:r>
      <w:r w:rsidRPr="0023146D">
        <w:t xml:space="preserve"> group compared to maribavir</w:t>
      </w:r>
      <w:r w:rsidR="00E3373B" w:rsidRPr="0023146D">
        <w:t>, arguing this was support</w:t>
      </w:r>
      <w:r w:rsidR="00DC6FB4" w:rsidRPr="0023146D">
        <w:t>ed</w:t>
      </w:r>
      <w:r w:rsidR="00E3373B" w:rsidRPr="0023146D">
        <w:t xml:space="preserve"> by the outcome of recurrence requiring alternative treatment.</w:t>
      </w:r>
      <w:r w:rsidR="00DA56FC" w:rsidRPr="0023146D">
        <w:t xml:space="preserve"> </w:t>
      </w:r>
      <w:r w:rsidR="00AF1E38" w:rsidRPr="00F57F1D">
        <w:t>T</w:t>
      </w:r>
      <w:r w:rsidR="00E933FC" w:rsidRPr="00F57F1D">
        <w:t xml:space="preserve">here </w:t>
      </w:r>
      <w:r w:rsidR="00654110" w:rsidRPr="00F57F1D">
        <w:t>wa</w:t>
      </w:r>
      <w:r w:rsidR="00E933FC" w:rsidRPr="00F57F1D">
        <w:t xml:space="preserve">s </w:t>
      </w:r>
      <w:r w:rsidR="00654110" w:rsidRPr="00F57F1D">
        <w:t>in</w:t>
      </w:r>
      <w:r w:rsidR="00B9772D" w:rsidRPr="00F57F1D">
        <w:t>sufficient</w:t>
      </w:r>
      <w:r w:rsidR="009C3E70" w:rsidRPr="00F57F1D">
        <w:t xml:space="preserve"> evidence </w:t>
      </w:r>
      <w:r w:rsidR="00654110" w:rsidRPr="00F57F1D">
        <w:t xml:space="preserve">in the resubmission </w:t>
      </w:r>
      <w:r w:rsidR="009C3E70" w:rsidRPr="00F57F1D">
        <w:t>to</w:t>
      </w:r>
      <w:r w:rsidR="00E933FC" w:rsidRPr="00F57F1D">
        <w:t xml:space="preserve"> support the</w:t>
      </w:r>
      <w:r w:rsidR="0055464F" w:rsidRPr="00F57F1D">
        <w:t xml:space="preserve"> higher rates of recurrence in IAT</w:t>
      </w:r>
      <w:r w:rsidR="009E48C6" w:rsidRPr="00F57F1D">
        <w:t xml:space="preserve"> (</w:t>
      </w:r>
      <w:r w:rsidR="00654110" w:rsidRPr="00F57F1D">
        <w:t xml:space="preserve">see </w:t>
      </w:r>
      <w:r w:rsidR="009E48C6" w:rsidRPr="00F57F1D">
        <w:t>para</w:t>
      </w:r>
      <w:r w:rsidR="00654110" w:rsidRPr="00F57F1D">
        <w:t>graph</w:t>
      </w:r>
      <w:r w:rsidR="009E48C6" w:rsidRPr="00F57F1D">
        <w:t xml:space="preserve"> </w:t>
      </w:r>
      <w:r w:rsidR="000024B2" w:rsidRPr="00F57F1D">
        <w:fldChar w:fldCharType="begin" w:fldLock="1"/>
      </w:r>
      <w:r w:rsidR="000024B2" w:rsidRPr="00F57F1D">
        <w:instrText xml:space="preserve"> REF _Ref176090592 \r \h </w:instrText>
      </w:r>
      <w:r w:rsidR="00AC3FF7" w:rsidRPr="00F57F1D">
        <w:instrText xml:space="preserve"> \* MERGEFORMAT </w:instrText>
      </w:r>
      <w:r w:rsidR="000024B2" w:rsidRPr="00F57F1D">
        <w:fldChar w:fldCharType="separate"/>
      </w:r>
      <w:r w:rsidR="008854AA">
        <w:t>6.12</w:t>
      </w:r>
      <w:r w:rsidR="000024B2" w:rsidRPr="00F57F1D">
        <w:fldChar w:fldCharType="end"/>
      </w:r>
      <w:r w:rsidR="009E48C6" w:rsidRPr="00F57F1D">
        <w:t xml:space="preserve">). </w:t>
      </w:r>
      <w:r w:rsidRPr="00F57F1D">
        <w:t xml:space="preserve">The ESC </w:t>
      </w:r>
      <w:r w:rsidR="003022B2" w:rsidRPr="00F57F1D">
        <w:t>previously</w:t>
      </w:r>
      <w:r w:rsidRPr="00F57F1D">
        <w:t xml:space="preserve"> considered that the submission did not adequately justify the use of treatment-specific recurrence from SOLSTICE </w:t>
      </w:r>
      <w:r w:rsidR="00AE6355" w:rsidRPr="00F57F1D">
        <w:t>while</w:t>
      </w:r>
      <w:r w:rsidR="006B6D27" w:rsidRPr="00F57F1D">
        <w:t xml:space="preserve"> the PBAC noted that the </w:t>
      </w:r>
      <w:r w:rsidR="00D245C2" w:rsidRPr="00F57F1D">
        <w:t>model accepted by</w:t>
      </w:r>
      <w:r w:rsidR="00A53C6C" w:rsidRPr="00F57F1D">
        <w:t xml:space="preserve"> NICE </w:t>
      </w:r>
      <w:r w:rsidR="00A3192D" w:rsidRPr="00F57F1D">
        <w:t>was based on</w:t>
      </w:r>
      <w:r w:rsidR="006B6D27" w:rsidRPr="00F57F1D">
        <w:t xml:space="preserve"> </w:t>
      </w:r>
      <w:r w:rsidR="00AE6355" w:rsidRPr="00F57F1D">
        <w:t xml:space="preserve">treatment independent </w:t>
      </w:r>
      <w:r w:rsidR="00D245C2" w:rsidRPr="00F57F1D">
        <w:t xml:space="preserve">recurrence </w:t>
      </w:r>
      <w:r w:rsidRPr="00F57F1D">
        <w:t>(para 6.58</w:t>
      </w:r>
      <w:r w:rsidR="00595C6B" w:rsidRPr="00F57F1D">
        <w:t xml:space="preserve">, </w:t>
      </w:r>
      <w:r w:rsidRPr="00F57F1D">
        <w:t>7.15, maribavir PSD, November 2023 PBAC meeting).</w:t>
      </w:r>
      <w:r w:rsidR="00C973FD" w:rsidRPr="00F57F1D">
        <w:t xml:space="preserve"> </w:t>
      </w:r>
      <w:r w:rsidR="00F85191" w:rsidRPr="00045880">
        <w:t>The ESC reiterated its view that the use of treatment-specific recurrence rates was not adequately justified by the trial data.</w:t>
      </w:r>
      <w:r w:rsidR="006B02AA">
        <w:t xml:space="preserve"> In the pre-PBAC response the sponsor accepted this change to the model for the revised base case. </w:t>
      </w:r>
    </w:p>
    <w:p w14:paraId="50AB34C1" w14:textId="683685CD" w:rsidR="00B23C0A" w:rsidRPr="00F57F1D" w:rsidRDefault="00CF7CD1">
      <w:pPr>
        <w:pStyle w:val="3-BodyText"/>
        <w:rPr>
          <w:rFonts w:cs="Cordia New"/>
          <w:iCs/>
          <w:szCs w:val="30"/>
          <w:lang w:bidi="th-TH"/>
        </w:rPr>
      </w:pPr>
      <w:r w:rsidRPr="0023146D">
        <w:t xml:space="preserve">The resubmission maintained the approach used in November 2023 to estimate the cost of foscarnet, citing it is based on the pricing research conducted internally by the Sponsor. </w:t>
      </w:r>
      <w:r w:rsidR="00B8056E" w:rsidRPr="00F57F1D">
        <w:rPr>
          <w:iCs/>
        </w:rPr>
        <w:t xml:space="preserve">The ESC </w:t>
      </w:r>
      <w:r w:rsidR="0042384D" w:rsidRPr="006B02AA">
        <w:rPr>
          <w:iCs/>
        </w:rPr>
        <w:t>previously</w:t>
      </w:r>
      <w:r w:rsidR="0042384D">
        <w:rPr>
          <w:iCs/>
        </w:rPr>
        <w:t xml:space="preserve"> </w:t>
      </w:r>
      <w:r w:rsidR="008B6C86" w:rsidRPr="00F57F1D">
        <w:rPr>
          <w:iCs/>
        </w:rPr>
        <w:t xml:space="preserve">noted that </w:t>
      </w:r>
      <w:r w:rsidR="00082DE5" w:rsidRPr="00F57F1D">
        <w:rPr>
          <w:iCs/>
        </w:rPr>
        <w:t xml:space="preserve">the </w:t>
      </w:r>
      <w:r w:rsidR="008A5CF6" w:rsidRPr="00F57F1D">
        <w:rPr>
          <w:iCs/>
        </w:rPr>
        <w:t>assumed prices for foscarnet (and cidofovir)</w:t>
      </w:r>
      <w:r w:rsidR="00FE3663" w:rsidRPr="00F57F1D">
        <w:rPr>
          <w:iCs/>
        </w:rPr>
        <w:t xml:space="preserve">, </w:t>
      </w:r>
      <w:r w:rsidR="00082DE5" w:rsidRPr="00F57F1D">
        <w:rPr>
          <w:iCs/>
        </w:rPr>
        <w:t xml:space="preserve">were </w:t>
      </w:r>
      <w:r w:rsidR="00FE3663" w:rsidRPr="00F57F1D">
        <w:rPr>
          <w:iCs/>
        </w:rPr>
        <w:t xml:space="preserve">funded through state-level tenders or hospital </w:t>
      </w:r>
      <w:r w:rsidR="00082DE5" w:rsidRPr="00F57F1D">
        <w:rPr>
          <w:iCs/>
        </w:rPr>
        <w:t>purchases</w:t>
      </w:r>
      <w:r w:rsidR="007F3DE8" w:rsidRPr="00F57F1D">
        <w:rPr>
          <w:iCs/>
        </w:rPr>
        <w:t xml:space="preserve"> and</w:t>
      </w:r>
      <w:r w:rsidR="0083127B" w:rsidRPr="00F57F1D">
        <w:rPr>
          <w:iCs/>
        </w:rPr>
        <w:t xml:space="preserve"> were </w:t>
      </w:r>
      <w:r w:rsidR="0083127B" w:rsidRPr="00F57F1D">
        <w:rPr>
          <w:iCs/>
        </w:rPr>
        <w:lastRenderedPageBreak/>
        <w:t>inadequately justified</w:t>
      </w:r>
      <w:r w:rsidR="00082DE5" w:rsidRPr="00F57F1D">
        <w:rPr>
          <w:iCs/>
        </w:rPr>
        <w:t xml:space="preserve"> (</w:t>
      </w:r>
      <w:r w:rsidR="00F5599B" w:rsidRPr="00F57F1D">
        <w:rPr>
          <w:iCs/>
        </w:rPr>
        <w:t xml:space="preserve">para </w:t>
      </w:r>
      <w:r w:rsidR="00F81C19" w:rsidRPr="00F57F1D">
        <w:rPr>
          <w:iCs/>
        </w:rPr>
        <w:t>6.57</w:t>
      </w:r>
      <w:r w:rsidR="008B6C86" w:rsidRPr="00F57F1D">
        <w:rPr>
          <w:iCs/>
        </w:rPr>
        <w:t>, 6.6</w:t>
      </w:r>
      <w:r w:rsidR="008B7F61" w:rsidRPr="00F57F1D">
        <w:rPr>
          <w:iCs/>
        </w:rPr>
        <w:t>2</w:t>
      </w:r>
      <w:r w:rsidR="00F5599B" w:rsidRPr="00F57F1D">
        <w:rPr>
          <w:iCs/>
        </w:rPr>
        <w:t>,</w:t>
      </w:r>
      <w:r w:rsidR="008B6C86" w:rsidRPr="00F57F1D">
        <w:rPr>
          <w:iCs/>
        </w:rPr>
        <w:t xml:space="preserve"> </w:t>
      </w:r>
      <w:r w:rsidR="00082DE5" w:rsidRPr="00F57F1D">
        <w:rPr>
          <w:iCs/>
        </w:rPr>
        <w:t xml:space="preserve">maribavir, PSD, November 2023 PBAC meeting). </w:t>
      </w:r>
      <w:r w:rsidR="00F85191" w:rsidRPr="00045880">
        <w:rPr>
          <w:iCs/>
        </w:rPr>
        <w:t xml:space="preserve">The ESC </w:t>
      </w:r>
      <w:r w:rsidR="006B02AA">
        <w:rPr>
          <w:iCs/>
        </w:rPr>
        <w:t xml:space="preserve">and PBAC </w:t>
      </w:r>
      <w:r w:rsidR="00F85191" w:rsidRPr="00045880">
        <w:rPr>
          <w:iCs/>
        </w:rPr>
        <w:t xml:space="preserve">noted that the most appropriate </w:t>
      </w:r>
      <w:r w:rsidR="00B86694" w:rsidRPr="00045880">
        <w:rPr>
          <w:iCs/>
        </w:rPr>
        <w:t>price</w:t>
      </w:r>
      <w:r w:rsidR="00D21870" w:rsidRPr="00045880">
        <w:rPr>
          <w:iCs/>
        </w:rPr>
        <w:t>s</w:t>
      </w:r>
      <w:r w:rsidR="00B86694" w:rsidRPr="00045880">
        <w:rPr>
          <w:iCs/>
        </w:rPr>
        <w:t xml:space="preserve"> for</w:t>
      </w:r>
      <w:r w:rsidR="00F85191" w:rsidRPr="00045880">
        <w:rPr>
          <w:iCs/>
        </w:rPr>
        <w:t xml:space="preserve"> foscarnet </w:t>
      </w:r>
      <w:r w:rsidR="00B86694" w:rsidRPr="00045880">
        <w:rPr>
          <w:iCs/>
        </w:rPr>
        <w:t xml:space="preserve">and cidofovir </w:t>
      </w:r>
      <w:r w:rsidR="00F85191" w:rsidRPr="00045880">
        <w:rPr>
          <w:iCs/>
        </w:rPr>
        <w:t>for application in the model remain uncertain.</w:t>
      </w:r>
    </w:p>
    <w:p w14:paraId="6A69FC64" w14:textId="491F1596" w:rsidR="00121C69" w:rsidRPr="00F57F1D" w:rsidRDefault="004D74C2" w:rsidP="00867B04">
      <w:pPr>
        <w:pStyle w:val="3-BodyText"/>
        <w:keepNext/>
        <w:rPr>
          <w:iCs/>
        </w:rPr>
      </w:pPr>
      <w:r w:rsidRPr="00F57F1D">
        <w:rPr>
          <w:iCs/>
        </w:rPr>
        <w:t xml:space="preserve">The </w:t>
      </w:r>
      <w:r w:rsidR="006B02AA">
        <w:rPr>
          <w:iCs/>
        </w:rPr>
        <w:t xml:space="preserve">evaluation considered the </w:t>
      </w:r>
      <w:r w:rsidRPr="00F57F1D">
        <w:rPr>
          <w:iCs/>
        </w:rPr>
        <w:t>c</w:t>
      </w:r>
      <w:r w:rsidR="00ED292A" w:rsidRPr="00F57F1D">
        <w:rPr>
          <w:iCs/>
        </w:rPr>
        <w:t xml:space="preserve">ost of </w:t>
      </w:r>
      <w:r w:rsidR="00996146" w:rsidRPr="00F57F1D">
        <w:rPr>
          <w:iCs/>
        </w:rPr>
        <w:t xml:space="preserve">foscarnet </w:t>
      </w:r>
      <w:r w:rsidRPr="00F57F1D">
        <w:rPr>
          <w:iCs/>
        </w:rPr>
        <w:t>wa</w:t>
      </w:r>
      <w:r w:rsidR="00996146" w:rsidRPr="00F57F1D">
        <w:rPr>
          <w:iCs/>
        </w:rPr>
        <w:t xml:space="preserve">s </w:t>
      </w:r>
      <w:r w:rsidR="00262E48" w:rsidRPr="00F57F1D">
        <w:rPr>
          <w:iCs/>
        </w:rPr>
        <w:t xml:space="preserve">likely to be </w:t>
      </w:r>
      <w:r w:rsidR="00996146" w:rsidRPr="00F57F1D">
        <w:rPr>
          <w:iCs/>
        </w:rPr>
        <w:t xml:space="preserve">overestimated </w:t>
      </w:r>
      <w:r w:rsidR="00D04744" w:rsidRPr="00F57F1D">
        <w:rPr>
          <w:iCs/>
        </w:rPr>
        <w:t>due to</w:t>
      </w:r>
      <w:r w:rsidR="004B3F3B" w:rsidRPr="00F57F1D">
        <w:rPr>
          <w:iCs/>
        </w:rPr>
        <w:t xml:space="preserve"> </w:t>
      </w:r>
      <w:r w:rsidR="007F3DE8" w:rsidRPr="00F57F1D">
        <w:rPr>
          <w:iCs/>
        </w:rPr>
        <w:t xml:space="preserve">the </w:t>
      </w:r>
      <w:r w:rsidR="00D04744" w:rsidRPr="00F57F1D">
        <w:rPr>
          <w:iCs/>
        </w:rPr>
        <w:t xml:space="preserve">following </w:t>
      </w:r>
      <w:r w:rsidR="004B3F3B" w:rsidRPr="00F57F1D">
        <w:rPr>
          <w:iCs/>
        </w:rPr>
        <w:t>reasons</w:t>
      </w:r>
      <w:r w:rsidR="004A7B93" w:rsidRPr="00F57F1D">
        <w:rPr>
          <w:iCs/>
        </w:rPr>
        <w:t>:</w:t>
      </w:r>
      <w:r w:rsidR="00341A83" w:rsidRPr="00F57F1D">
        <w:rPr>
          <w:iCs/>
        </w:rPr>
        <w:t xml:space="preserve"> </w:t>
      </w:r>
    </w:p>
    <w:p w14:paraId="4B80B1CF" w14:textId="710DA892" w:rsidR="00EE6173" w:rsidRPr="00F57F1D" w:rsidRDefault="00E431A4" w:rsidP="00294EFE">
      <w:pPr>
        <w:pStyle w:val="3-BodyText"/>
        <w:numPr>
          <w:ilvl w:val="0"/>
          <w:numId w:val="10"/>
        </w:numPr>
        <w:ind w:left="1080"/>
        <w:rPr>
          <w:iCs/>
        </w:rPr>
      </w:pPr>
      <w:r w:rsidRPr="00F57F1D">
        <w:rPr>
          <w:iCs/>
        </w:rPr>
        <w:t>The</w:t>
      </w:r>
      <w:r w:rsidR="007371CA" w:rsidRPr="00F57F1D">
        <w:rPr>
          <w:iCs/>
        </w:rPr>
        <w:t xml:space="preserve"> </w:t>
      </w:r>
      <w:r w:rsidR="006B02AA">
        <w:rPr>
          <w:iCs/>
        </w:rPr>
        <w:t>evaluation</w:t>
      </w:r>
      <w:r w:rsidR="006B02AA" w:rsidRPr="00045880">
        <w:rPr>
          <w:iCs/>
        </w:rPr>
        <w:t xml:space="preserve"> </w:t>
      </w:r>
      <w:r w:rsidR="00021977" w:rsidRPr="00045880">
        <w:rPr>
          <w:iCs/>
        </w:rPr>
        <w:t>considered the</w:t>
      </w:r>
      <w:r w:rsidR="00021977">
        <w:rPr>
          <w:iCs/>
        </w:rPr>
        <w:t xml:space="preserve"> </w:t>
      </w:r>
      <w:r w:rsidR="007371CA" w:rsidRPr="00F57F1D">
        <w:rPr>
          <w:iCs/>
        </w:rPr>
        <w:t>dose</w:t>
      </w:r>
      <w:r w:rsidRPr="00F57F1D">
        <w:rPr>
          <w:iCs/>
        </w:rPr>
        <w:t xml:space="preserve"> of foscarnet </w:t>
      </w:r>
      <w:r w:rsidR="00EE6173" w:rsidRPr="00F57F1D">
        <w:rPr>
          <w:iCs/>
        </w:rPr>
        <w:t xml:space="preserve">used </w:t>
      </w:r>
      <w:r w:rsidRPr="00F57F1D">
        <w:rPr>
          <w:iCs/>
        </w:rPr>
        <w:t xml:space="preserve">in the model </w:t>
      </w:r>
      <w:r w:rsidR="007F3DE8" w:rsidRPr="00F57F1D">
        <w:rPr>
          <w:iCs/>
        </w:rPr>
        <w:t>wa</w:t>
      </w:r>
      <w:r w:rsidR="00EE6173" w:rsidRPr="00F57F1D">
        <w:rPr>
          <w:iCs/>
        </w:rPr>
        <w:t>s overestimated</w:t>
      </w:r>
      <w:r w:rsidR="001F5E26" w:rsidRPr="00F57F1D">
        <w:rPr>
          <w:iCs/>
        </w:rPr>
        <w:t xml:space="preserve">. </w:t>
      </w:r>
      <w:r w:rsidRPr="00F57F1D">
        <w:rPr>
          <w:iCs/>
        </w:rPr>
        <w:t xml:space="preserve">While the guidelines </w:t>
      </w:r>
      <w:r w:rsidR="00021977" w:rsidRPr="00045880">
        <w:rPr>
          <w:iCs/>
        </w:rPr>
        <w:t>quoted in the resubmission</w:t>
      </w:r>
      <w:r w:rsidR="00021977">
        <w:rPr>
          <w:rStyle w:val="FootnoteReference"/>
          <w:iCs/>
        </w:rPr>
        <w:footnoteReference w:id="2"/>
      </w:r>
      <w:r w:rsidR="00021977">
        <w:rPr>
          <w:iCs/>
        </w:rPr>
        <w:t xml:space="preserve"> </w:t>
      </w:r>
      <w:r w:rsidRPr="00F57F1D">
        <w:rPr>
          <w:iCs/>
        </w:rPr>
        <w:t>recommend an initial regimen of 60 mg/k</w:t>
      </w:r>
      <w:r w:rsidR="00A60EB2" w:rsidRPr="00F57F1D">
        <w:rPr>
          <w:iCs/>
        </w:rPr>
        <w:t>ilo</w:t>
      </w:r>
      <w:r w:rsidRPr="00F57F1D">
        <w:rPr>
          <w:iCs/>
        </w:rPr>
        <w:t>g</w:t>
      </w:r>
      <w:r w:rsidR="00A60EB2" w:rsidRPr="00F57F1D">
        <w:rPr>
          <w:iCs/>
        </w:rPr>
        <w:t>ram</w:t>
      </w:r>
      <w:r w:rsidRPr="00F57F1D">
        <w:rPr>
          <w:iCs/>
        </w:rPr>
        <w:t xml:space="preserve"> 3 times per day over 2–3 weeks, followed by </w:t>
      </w:r>
      <w:r w:rsidR="00A95F80" w:rsidRPr="00F57F1D">
        <w:rPr>
          <w:iCs/>
        </w:rPr>
        <w:t>once</w:t>
      </w:r>
      <w:r w:rsidRPr="00F57F1D">
        <w:rPr>
          <w:iCs/>
        </w:rPr>
        <w:t xml:space="preserve"> daily maintenance dose, the model applied </w:t>
      </w:r>
      <w:r w:rsidR="007443E4" w:rsidRPr="00F57F1D">
        <w:rPr>
          <w:iCs/>
        </w:rPr>
        <w:t xml:space="preserve">a </w:t>
      </w:r>
      <w:r w:rsidRPr="00F57F1D">
        <w:rPr>
          <w:iCs/>
        </w:rPr>
        <w:t>frequency of 3 times per day for the extended duration of a full 28 day-cycle</w:t>
      </w:r>
      <w:r w:rsidR="001B0914" w:rsidRPr="00F57F1D">
        <w:rPr>
          <w:iCs/>
        </w:rPr>
        <w:t xml:space="preserve"> (i.e., full</w:t>
      </w:r>
      <w:r w:rsidR="000A6CE7" w:rsidRPr="00F57F1D">
        <w:rPr>
          <w:iCs/>
        </w:rPr>
        <w:t xml:space="preserve"> of 4-week cycle)</w:t>
      </w:r>
      <w:r w:rsidRPr="00F57F1D">
        <w:rPr>
          <w:iCs/>
        </w:rPr>
        <w:t>.</w:t>
      </w:r>
      <w:r w:rsidR="0042384D" w:rsidRPr="0042384D">
        <w:rPr>
          <w:i/>
        </w:rPr>
        <w:t xml:space="preserve"> </w:t>
      </w:r>
      <w:r w:rsidR="0042384D" w:rsidRPr="00045880">
        <w:rPr>
          <w:iCs/>
        </w:rPr>
        <w:t xml:space="preserve">The PSCR argued that the method for estimating the use of foscarnet in the resubmission is reflective of the dosing regimen patients would receive in clinical practice, </w:t>
      </w:r>
      <w:r w:rsidR="00BE5FAE" w:rsidRPr="00045880">
        <w:rPr>
          <w:iCs/>
        </w:rPr>
        <w:t>and stated</w:t>
      </w:r>
      <w:r w:rsidR="0042384D" w:rsidRPr="00045880">
        <w:rPr>
          <w:iCs/>
        </w:rPr>
        <w:t xml:space="preserve"> that Australian clinical experts have noted that in practice, patients would receive a single dosing regimen until the CMV is cleared.</w:t>
      </w:r>
      <w:r w:rsidR="00BE5FAE" w:rsidRPr="00045880">
        <w:rPr>
          <w:iCs/>
        </w:rPr>
        <w:t xml:space="preserve"> The ESC noted that the dose of foscarnet in</w:t>
      </w:r>
      <w:r w:rsidR="0061393C" w:rsidRPr="00045880">
        <w:rPr>
          <w:iCs/>
        </w:rPr>
        <w:t xml:space="preserve"> Australian guidelines is 90 mg/kg every 12 hours</w:t>
      </w:r>
      <w:r w:rsidR="0061393C" w:rsidRPr="00045880">
        <w:rPr>
          <w:rStyle w:val="FootnoteReference"/>
          <w:iCs/>
        </w:rPr>
        <w:footnoteReference w:id="3"/>
      </w:r>
      <w:r w:rsidR="00021977" w:rsidRPr="00045880">
        <w:rPr>
          <w:iCs/>
        </w:rPr>
        <w:t xml:space="preserve">, which would be equivalent in cost to 60 mg/kg 3 times per day </w:t>
      </w:r>
      <w:r w:rsidR="00D21870" w:rsidRPr="00045880">
        <w:rPr>
          <w:iCs/>
        </w:rPr>
        <w:t>(</w:t>
      </w:r>
      <w:r w:rsidR="00021977" w:rsidRPr="00045880">
        <w:rPr>
          <w:iCs/>
        </w:rPr>
        <w:t>as used in the resubmission</w:t>
      </w:r>
      <w:r w:rsidR="00D21870" w:rsidRPr="00045880">
        <w:rPr>
          <w:iCs/>
        </w:rPr>
        <w:t>), but costs would be lower if maintenance dosing is used</w:t>
      </w:r>
      <w:r w:rsidR="0061393C" w:rsidRPr="00045880">
        <w:rPr>
          <w:iCs/>
        </w:rPr>
        <w:t>.</w:t>
      </w:r>
      <w:r w:rsidR="00BE5FAE" w:rsidRPr="00021977">
        <w:rPr>
          <w:i/>
        </w:rPr>
        <w:t xml:space="preserve"> </w:t>
      </w:r>
      <w:r w:rsidR="006B02AA">
        <w:rPr>
          <w:iCs/>
        </w:rPr>
        <w:t>The PBAC noted that input from the clinician at the sponsor hearing indicated that patients would be treated with the single dose regimen with a view to achieving full clearance.</w:t>
      </w:r>
      <w:r w:rsidR="0042384D" w:rsidRPr="00021977">
        <w:rPr>
          <w:i/>
        </w:rPr>
        <w:t xml:space="preserve"> </w:t>
      </w:r>
    </w:p>
    <w:p w14:paraId="2FC00319" w14:textId="0CBE15B3" w:rsidR="00E91F9F" w:rsidRPr="00F57F1D" w:rsidRDefault="000349A4" w:rsidP="00294EFE">
      <w:pPr>
        <w:pStyle w:val="3-BodyText"/>
        <w:numPr>
          <w:ilvl w:val="0"/>
          <w:numId w:val="10"/>
        </w:numPr>
        <w:ind w:left="1080"/>
        <w:rPr>
          <w:iCs/>
        </w:rPr>
      </w:pPr>
      <w:r w:rsidRPr="00F57F1D">
        <w:rPr>
          <w:iCs/>
        </w:rPr>
        <w:t xml:space="preserve">The </w:t>
      </w:r>
      <w:r w:rsidR="006B02AA">
        <w:rPr>
          <w:iCs/>
        </w:rPr>
        <w:t>evaluation</w:t>
      </w:r>
      <w:r w:rsidR="006B02AA" w:rsidRPr="006B02AA">
        <w:rPr>
          <w:iCs/>
        </w:rPr>
        <w:t xml:space="preserve"> </w:t>
      </w:r>
      <w:r w:rsidR="003E5794" w:rsidRPr="006B02AA">
        <w:rPr>
          <w:iCs/>
        </w:rPr>
        <w:t>considered the</w:t>
      </w:r>
      <w:r w:rsidR="003E5794">
        <w:rPr>
          <w:iCs/>
        </w:rPr>
        <w:t xml:space="preserve"> </w:t>
      </w:r>
      <w:r w:rsidRPr="00F57F1D">
        <w:rPr>
          <w:iCs/>
        </w:rPr>
        <w:t xml:space="preserve">duration of </w:t>
      </w:r>
      <w:r w:rsidR="008D5CD2" w:rsidRPr="00F57F1D">
        <w:rPr>
          <w:iCs/>
        </w:rPr>
        <w:t xml:space="preserve">treatment for foscarnet </w:t>
      </w:r>
      <w:r w:rsidR="007F3DE8" w:rsidRPr="00F57F1D">
        <w:rPr>
          <w:iCs/>
        </w:rPr>
        <w:t>wa</w:t>
      </w:r>
      <w:r w:rsidR="008D5CD2" w:rsidRPr="00F57F1D">
        <w:rPr>
          <w:iCs/>
        </w:rPr>
        <w:t xml:space="preserve">s </w:t>
      </w:r>
      <w:r w:rsidR="00E2354C" w:rsidRPr="00F57F1D">
        <w:rPr>
          <w:iCs/>
        </w:rPr>
        <w:t>overestimated</w:t>
      </w:r>
      <w:r w:rsidR="008D5CD2" w:rsidRPr="00F57F1D">
        <w:rPr>
          <w:iCs/>
        </w:rPr>
        <w:t xml:space="preserve">. </w:t>
      </w:r>
      <w:r w:rsidR="00E2354C" w:rsidRPr="00F57F1D">
        <w:rPr>
          <w:iCs/>
        </w:rPr>
        <w:t>T</w:t>
      </w:r>
      <w:r w:rsidR="00354158" w:rsidRPr="00F57F1D">
        <w:rPr>
          <w:iCs/>
        </w:rPr>
        <w:t>he model applied the mean duration of treatment</w:t>
      </w:r>
      <w:r w:rsidR="00AD7489" w:rsidRPr="00F57F1D">
        <w:rPr>
          <w:iCs/>
        </w:rPr>
        <w:t xml:space="preserve"> from IAT of</w:t>
      </w:r>
      <w:r w:rsidR="00354158" w:rsidRPr="00F57F1D">
        <w:rPr>
          <w:iCs/>
        </w:rPr>
        <w:t xml:space="preserve"> 5.14 weeks for foscarnet</w:t>
      </w:r>
      <w:r w:rsidR="00AD63B9" w:rsidRPr="00F57F1D">
        <w:rPr>
          <w:iCs/>
        </w:rPr>
        <w:t xml:space="preserve">, longer </w:t>
      </w:r>
      <w:r w:rsidR="007F3DE8" w:rsidRPr="00F57F1D">
        <w:rPr>
          <w:iCs/>
        </w:rPr>
        <w:t xml:space="preserve">than </w:t>
      </w:r>
      <w:r w:rsidR="00354158" w:rsidRPr="00F57F1D">
        <w:rPr>
          <w:iCs/>
        </w:rPr>
        <w:t xml:space="preserve">its </w:t>
      </w:r>
      <w:r w:rsidR="00E2354C" w:rsidRPr="00F57F1D">
        <w:rPr>
          <w:iCs/>
        </w:rPr>
        <w:t xml:space="preserve">exposure </w:t>
      </w:r>
      <w:r w:rsidR="00AD63B9" w:rsidRPr="00F57F1D">
        <w:rPr>
          <w:iCs/>
        </w:rPr>
        <w:t xml:space="preserve">duration </w:t>
      </w:r>
      <w:r w:rsidR="0009227F" w:rsidRPr="00F57F1D">
        <w:rPr>
          <w:iCs/>
        </w:rPr>
        <w:t xml:space="preserve">in SOLSTICE </w:t>
      </w:r>
      <w:r w:rsidR="00AD63B9" w:rsidRPr="00F57F1D">
        <w:rPr>
          <w:iCs/>
        </w:rPr>
        <w:t>of</w:t>
      </w:r>
      <w:r w:rsidR="00354158" w:rsidRPr="00F57F1D">
        <w:rPr>
          <w:iCs/>
        </w:rPr>
        <w:t xml:space="preserve"> 4.63</w:t>
      </w:r>
      <w:r w:rsidR="00AD63B9" w:rsidRPr="00F57F1D">
        <w:rPr>
          <w:iCs/>
        </w:rPr>
        <w:t xml:space="preserve"> </w:t>
      </w:r>
      <w:r w:rsidR="00354158" w:rsidRPr="00F57F1D">
        <w:rPr>
          <w:iCs/>
        </w:rPr>
        <w:t>week</w:t>
      </w:r>
      <w:r w:rsidR="00AD63B9" w:rsidRPr="00F57F1D">
        <w:rPr>
          <w:iCs/>
        </w:rPr>
        <w:t>s</w:t>
      </w:r>
      <w:r w:rsidR="00256B04" w:rsidRPr="00F57F1D">
        <w:rPr>
          <w:iCs/>
        </w:rPr>
        <w:t xml:space="preserve">. </w:t>
      </w:r>
    </w:p>
    <w:p w14:paraId="5CACEBFE" w14:textId="5D8356CF" w:rsidR="006B02AA" w:rsidRPr="006B02AA" w:rsidRDefault="006B02AA" w:rsidP="006B02AA">
      <w:pPr>
        <w:pStyle w:val="3-BodyText"/>
      </w:pPr>
      <w:r w:rsidRPr="006B02AA">
        <w:t xml:space="preserve">The ESC considered that applying the average IAT exposure duration of 5.14 weeks to all SoC drugs was inappropriate as the model is sensitive to the assumed duration of treatment for each IAT drug because differences in the costs for each IAT drug are substantial. </w:t>
      </w:r>
      <w:r w:rsidR="00353054" w:rsidRPr="006B02AA">
        <w:t>As foscarnet is the most expensive IAT drug</w:t>
      </w:r>
      <w:r w:rsidR="00353054" w:rsidRPr="006B02AA" w:rsidDel="00305B40">
        <w:t xml:space="preserve"> </w:t>
      </w:r>
      <w:r w:rsidR="00733057" w:rsidRPr="006B02AA">
        <w:t xml:space="preserve">and </w:t>
      </w:r>
      <w:r w:rsidR="005B6418" w:rsidRPr="006B02AA">
        <w:t>accounts</w:t>
      </w:r>
      <w:r w:rsidR="00733057" w:rsidRPr="006B02AA">
        <w:t xml:space="preserve"> for </w:t>
      </w:r>
      <w:r w:rsidR="005B6418" w:rsidRPr="006B02AA">
        <w:t xml:space="preserve">a </w:t>
      </w:r>
      <w:r w:rsidR="00733057" w:rsidRPr="006B02AA">
        <w:t xml:space="preserve">substantial proportion of IAT </w:t>
      </w:r>
      <w:r w:rsidR="005B6418" w:rsidRPr="006B02AA">
        <w:t>use</w:t>
      </w:r>
      <w:r w:rsidR="00B75487" w:rsidRPr="006B02AA">
        <w:t xml:space="preserve"> (4</w:t>
      </w:r>
      <w:r w:rsidR="00D41253" w:rsidRPr="006B02AA">
        <w:t>3.5%</w:t>
      </w:r>
      <w:r w:rsidR="00C356D9" w:rsidRPr="006B02AA">
        <w:t xml:space="preserve"> based on SOLSTICE</w:t>
      </w:r>
      <w:r w:rsidR="00B75487" w:rsidRPr="006B02AA">
        <w:t>)</w:t>
      </w:r>
      <w:r w:rsidR="005B6418" w:rsidRPr="006B02AA">
        <w:t xml:space="preserve">, </w:t>
      </w:r>
      <w:r w:rsidR="002D211D" w:rsidRPr="006B02AA">
        <w:t xml:space="preserve">overestimation of </w:t>
      </w:r>
      <w:r w:rsidR="00FB0EAF" w:rsidRPr="006B02AA">
        <w:t>its</w:t>
      </w:r>
      <w:r w:rsidR="00B73422" w:rsidRPr="006B02AA">
        <w:t xml:space="preserve"> </w:t>
      </w:r>
      <w:r w:rsidR="002D211D" w:rsidRPr="006B02AA">
        <w:t>cost results</w:t>
      </w:r>
      <w:r w:rsidR="00B73422" w:rsidRPr="006B02AA">
        <w:t xml:space="preserve"> </w:t>
      </w:r>
      <w:r w:rsidR="007F3DE8" w:rsidRPr="006B02AA">
        <w:t xml:space="preserve">in an </w:t>
      </w:r>
      <w:r w:rsidR="00B73422" w:rsidRPr="006B02AA">
        <w:t>overestimate</w:t>
      </w:r>
      <w:r w:rsidR="006A6ADE" w:rsidRPr="006B02AA">
        <w:t xml:space="preserve"> </w:t>
      </w:r>
      <w:r w:rsidR="007F3DE8" w:rsidRPr="006B02AA">
        <w:t xml:space="preserve">of the </w:t>
      </w:r>
      <w:r w:rsidR="008201DF" w:rsidRPr="006B02AA">
        <w:t xml:space="preserve">IAT cost. </w:t>
      </w:r>
      <w:r w:rsidRPr="006B02AA">
        <w:t>The sponsor applied treatment-specific exposure durations to the model for the revised pre-PBAC response base case.</w:t>
      </w:r>
    </w:p>
    <w:p w14:paraId="11E84254" w14:textId="4EDE5A47" w:rsidR="006B02AA" w:rsidRPr="006B02AA" w:rsidRDefault="009045DA" w:rsidP="00E0397F">
      <w:pPr>
        <w:pStyle w:val="3-BodyText"/>
        <w:rPr>
          <w:iCs/>
          <w:color w:val="0066FF"/>
        </w:rPr>
      </w:pPr>
      <w:bookmarkStart w:id="46" w:name="_Ref176694786"/>
      <w:bookmarkStart w:id="47" w:name="_Ref180063671"/>
      <w:r w:rsidRPr="00F57F1D">
        <w:rPr>
          <w:iCs/>
        </w:rPr>
        <w:t xml:space="preserve">The </w:t>
      </w:r>
      <w:r w:rsidR="006B02AA">
        <w:rPr>
          <w:iCs/>
        </w:rPr>
        <w:t xml:space="preserve">evaluation considered the </w:t>
      </w:r>
      <w:r w:rsidR="00626A17" w:rsidRPr="00F57F1D">
        <w:rPr>
          <w:iCs/>
        </w:rPr>
        <w:t>assumption</w:t>
      </w:r>
      <w:r w:rsidR="00FA655B" w:rsidRPr="00F57F1D">
        <w:rPr>
          <w:iCs/>
        </w:rPr>
        <w:t xml:space="preserve"> </w:t>
      </w:r>
      <w:r w:rsidR="00916EBD" w:rsidRPr="00F57F1D">
        <w:rPr>
          <w:iCs/>
        </w:rPr>
        <w:t xml:space="preserve">in the resubmission </w:t>
      </w:r>
      <w:r w:rsidR="006355D6" w:rsidRPr="00F57F1D">
        <w:rPr>
          <w:iCs/>
        </w:rPr>
        <w:t>that</w:t>
      </w:r>
      <w:r w:rsidR="00751013" w:rsidRPr="00F57F1D">
        <w:rPr>
          <w:iCs/>
        </w:rPr>
        <w:t xml:space="preserve"> IAT cost</w:t>
      </w:r>
      <w:r w:rsidR="0056308C" w:rsidRPr="00F57F1D">
        <w:rPr>
          <w:iCs/>
        </w:rPr>
        <w:t>s</w:t>
      </w:r>
      <w:r w:rsidR="00751013" w:rsidRPr="00F57F1D">
        <w:rPr>
          <w:iCs/>
        </w:rPr>
        <w:t xml:space="preserve"> and </w:t>
      </w:r>
      <w:r w:rsidR="00887431" w:rsidRPr="00F57F1D">
        <w:rPr>
          <w:iCs/>
        </w:rPr>
        <w:t xml:space="preserve">CMV </w:t>
      </w:r>
      <w:r w:rsidR="00C24E60" w:rsidRPr="00F57F1D">
        <w:rPr>
          <w:iCs/>
        </w:rPr>
        <w:t>viremia clearance at week 8</w:t>
      </w:r>
      <w:r w:rsidR="0056308C" w:rsidRPr="00F57F1D">
        <w:rPr>
          <w:iCs/>
        </w:rPr>
        <w:t xml:space="preserve"> would apply</w:t>
      </w:r>
      <w:r w:rsidR="00FF6550" w:rsidRPr="00F57F1D">
        <w:rPr>
          <w:iCs/>
        </w:rPr>
        <w:t xml:space="preserve"> to those receiving retreatment </w:t>
      </w:r>
      <w:r w:rsidR="006D5160" w:rsidRPr="00F57F1D">
        <w:rPr>
          <w:iCs/>
        </w:rPr>
        <w:t xml:space="preserve">for recurrence </w:t>
      </w:r>
      <w:r w:rsidR="006B02AA">
        <w:rPr>
          <w:iCs/>
        </w:rPr>
        <w:t>wa</w:t>
      </w:r>
      <w:r w:rsidR="00FF6550" w:rsidRPr="00F57F1D">
        <w:rPr>
          <w:iCs/>
        </w:rPr>
        <w:t xml:space="preserve">s inadequately justified. </w:t>
      </w:r>
    </w:p>
    <w:p w14:paraId="67F50429" w14:textId="1E0DA0AA" w:rsidR="006B02AA" w:rsidRPr="006B02AA" w:rsidRDefault="006B02AA" w:rsidP="006B02AA">
      <w:pPr>
        <w:pStyle w:val="3-BodyText"/>
      </w:pPr>
      <w:r>
        <w:lastRenderedPageBreak/>
        <w:t>In terms of the proportion of IAT use, t</w:t>
      </w:r>
      <w:r w:rsidRPr="006B02AA">
        <w:t>he PSCR</w:t>
      </w:r>
      <w:r w:rsidR="00FA44C0">
        <w:t xml:space="preserve"> </w:t>
      </w:r>
      <w:r w:rsidRPr="006B02AA">
        <w:t>stated that the treatment in the model is consistent with what was presented in the SOLSTICE trial.</w:t>
      </w:r>
      <w:r>
        <w:t xml:space="preserve"> However, t</w:t>
      </w:r>
      <w:r w:rsidRPr="006B02AA">
        <w:t>he</w:t>
      </w:r>
      <w:r>
        <w:t xml:space="preserve"> trial did not capture the proportion of IAT drugs in retreatment and</w:t>
      </w:r>
      <w:r w:rsidRPr="006B02AA">
        <w:t xml:space="preserve"> ESC noted that the proportion of use of IAT drugs is uncertain.</w:t>
      </w:r>
      <w:r>
        <w:t xml:space="preserve"> The pre-PBAC response </w:t>
      </w:r>
      <w:r w:rsidRPr="006B02AA">
        <w:t>argued that by assuming the same proportion of valganciclovir and ganciclovir use in retreatment as in initial treatment, the model potentially underestimates the use of foscarnet</w:t>
      </w:r>
      <w:r>
        <w:t xml:space="preserve"> because </w:t>
      </w:r>
      <w:r w:rsidRPr="006B02AA">
        <w:t>there is likely</w:t>
      </w:r>
      <w:r>
        <w:t xml:space="preserve"> to be</w:t>
      </w:r>
      <w:r w:rsidRPr="006B02AA">
        <w:t xml:space="preserve"> a higher proportion of foscarnet use </w:t>
      </w:r>
      <w:r>
        <w:t>where</w:t>
      </w:r>
      <w:r w:rsidRPr="006B02AA">
        <w:t xml:space="preserve"> patients previously failed valganciclovir</w:t>
      </w:r>
      <w:r>
        <w:t xml:space="preserve">. However, the 43.5% of patients who received foscarnet as the initial treatment in the SOLSTICE trial would also be less likely to be re-treated with foscarnet, so assuming the same </w:t>
      </w:r>
      <w:r w:rsidRPr="006B02AA">
        <w:t>proportion of valganciclovir and ganciclovir use in retreatment</w:t>
      </w:r>
      <w:r>
        <w:t xml:space="preserve"> is not necessarily conservative.</w:t>
      </w:r>
    </w:p>
    <w:p w14:paraId="675E0231" w14:textId="11E35651" w:rsidR="001B7238" w:rsidRPr="00F57F1D" w:rsidRDefault="00495D7C" w:rsidP="00E0397F">
      <w:pPr>
        <w:pStyle w:val="3-BodyText"/>
        <w:rPr>
          <w:iCs/>
          <w:color w:val="0066FF"/>
        </w:rPr>
      </w:pPr>
      <w:r w:rsidRPr="00F57F1D">
        <w:rPr>
          <w:iCs/>
        </w:rPr>
        <w:t xml:space="preserve">The PBAC </w:t>
      </w:r>
      <w:r w:rsidR="009E63C4" w:rsidRPr="006B02AA">
        <w:rPr>
          <w:iCs/>
        </w:rPr>
        <w:t>previously</w:t>
      </w:r>
      <w:r w:rsidR="009E63C4">
        <w:rPr>
          <w:iCs/>
        </w:rPr>
        <w:t xml:space="preserve"> </w:t>
      </w:r>
      <w:r w:rsidRPr="00F57F1D">
        <w:rPr>
          <w:iCs/>
        </w:rPr>
        <w:t xml:space="preserve">noted that no evidence </w:t>
      </w:r>
      <w:r w:rsidR="002D4C31" w:rsidRPr="00F57F1D">
        <w:rPr>
          <w:iCs/>
        </w:rPr>
        <w:t xml:space="preserve">was provided </w:t>
      </w:r>
      <w:r w:rsidRPr="00F57F1D">
        <w:rPr>
          <w:iCs/>
        </w:rPr>
        <w:t xml:space="preserve">to support the use of CMV viremia clearance at week 8 </w:t>
      </w:r>
      <w:r w:rsidR="00684679" w:rsidRPr="00F57F1D">
        <w:rPr>
          <w:iCs/>
        </w:rPr>
        <w:t xml:space="preserve">from IAT </w:t>
      </w:r>
      <w:r w:rsidR="00311367" w:rsidRPr="00F57F1D">
        <w:rPr>
          <w:iCs/>
        </w:rPr>
        <w:t xml:space="preserve">being </w:t>
      </w:r>
      <w:r w:rsidRPr="00F57F1D">
        <w:rPr>
          <w:iCs/>
        </w:rPr>
        <w:t>appl</w:t>
      </w:r>
      <w:r w:rsidR="001D1991" w:rsidRPr="00F57F1D">
        <w:rPr>
          <w:iCs/>
        </w:rPr>
        <w:t>ied up to</w:t>
      </w:r>
      <w:r w:rsidRPr="00F57F1D">
        <w:rPr>
          <w:iCs/>
        </w:rPr>
        <w:t xml:space="preserve"> week 78 by the November</w:t>
      </w:r>
      <w:r w:rsidR="00311367" w:rsidRPr="00F57F1D">
        <w:rPr>
          <w:iCs/>
        </w:rPr>
        <w:t xml:space="preserve"> 2023</w:t>
      </w:r>
      <w:r w:rsidRPr="00F57F1D">
        <w:rPr>
          <w:iCs/>
        </w:rPr>
        <w:t xml:space="preserve"> submission (paras 6.58, 7.15, maribavir PSD, November 2023 PBAC meeting). The ESC also </w:t>
      </w:r>
      <w:r w:rsidR="009E63C4" w:rsidRPr="006B02AA">
        <w:rPr>
          <w:iCs/>
        </w:rPr>
        <w:t>previously</w:t>
      </w:r>
      <w:r w:rsidR="009E63C4">
        <w:rPr>
          <w:iCs/>
        </w:rPr>
        <w:t xml:space="preserve"> </w:t>
      </w:r>
      <w:r w:rsidRPr="00F57F1D">
        <w:rPr>
          <w:iCs/>
        </w:rPr>
        <w:t>considered that assuming the IAT treatment duration from SOLSTICE</w:t>
      </w:r>
      <w:r w:rsidR="00387C20" w:rsidRPr="00F57F1D">
        <w:rPr>
          <w:iCs/>
        </w:rPr>
        <w:t xml:space="preserve"> (</w:t>
      </w:r>
      <w:r w:rsidRPr="00F57F1D">
        <w:rPr>
          <w:iCs/>
        </w:rPr>
        <w:t xml:space="preserve">5.14 weeks </w:t>
      </w:r>
      <w:r w:rsidR="00387C20" w:rsidRPr="00F57F1D">
        <w:rPr>
          <w:iCs/>
        </w:rPr>
        <w:t>or</w:t>
      </w:r>
      <w:r w:rsidRPr="00F57F1D">
        <w:rPr>
          <w:iCs/>
        </w:rPr>
        <w:t xml:space="preserve"> 35.98 days) </w:t>
      </w:r>
      <w:r w:rsidR="0046230A" w:rsidRPr="00F57F1D">
        <w:rPr>
          <w:iCs/>
        </w:rPr>
        <w:t>was</w:t>
      </w:r>
      <w:r w:rsidRPr="00F57F1D">
        <w:rPr>
          <w:iCs/>
        </w:rPr>
        <w:t xml:space="preserve"> </w:t>
      </w:r>
      <w:r w:rsidR="0046230A" w:rsidRPr="00F57F1D">
        <w:rPr>
          <w:iCs/>
        </w:rPr>
        <w:t>un</w:t>
      </w:r>
      <w:r w:rsidRPr="00F57F1D">
        <w:rPr>
          <w:iCs/>
        </w:rPr>
        <w:t>likely to represent actual treatment duration</w:t>
      </w:r>
      <w:r w:rsidR="0046230A" w:rsidRPr="00F57F1D">
        <w:rPr>
          <w:iCs/>
        </w:rPr>
        <w:t xml:space="preserve">, which </w:t>
      </w:r>
      <w:r w:rsidRPr="00F57F1D">
        <w:rPr>
          <w:iCs/>
        </w:rPr>
        <w:t>may vary across recurrence events (para 6.56, maribavir PSD, November 2023 PBAC meeting)</w:t>
      </w:r>
      <w:r w:rsidR="002A3018" w:rsidRPr="00F57F1D">
        <w:rPr>
          <w:iCs/>
        </w:rPr>
        <w:t>. The evaluation further note</w:t>
      </w:r>
      <w:r w:rsidR="00AA7C0E">
        <w:rPr>
          <w:iCs/>
        </w:rPr>
        <w:t>d</w:t>
      </w:r>
      <w:r w:rsidR="002A3018" w:rsidRPr="00F57F1D">
        <w:rPr>
          <w:iCs/>
        </w:rPr>
        <w:t xml:space="preserve"> that assuming the retreatment IAT clearance effect to be the same as at week 8 in SOLSTICE is inherently uncertain, affected by the risk of bias in assessing the IAT effect from SOLSTICE.</w:t>
      </w:r>
      <w:r w:rsidR="003543E9" w:rsidRPr="00F57F1D">
        <w:rPr>
          <w:iCs/>
        </w:rPr>
        <w:t xml:space="preserve"> </w:t>
      </w:r>
      <w:r w:rsidR="001B7238" w:rsidRPr="00F57F1D">
        <w:rPr>
          <w:iCs/>
        </w:rPr>
        <w:t xml:space="preserve">Applying the same viremia clearance effect over time is unrealistic, as drug resistance may dilute the clearance effect. </w:t>
      </w:r>
      <w:r w:rsidR="00435359" w:rsidRPr="00F57F1D">
        <w:rPr>
          <w:iCs/>
        </w:rPr>
        <w:t>Additionally, applying</w:t>
      </w:r>
      <w:r w:rsidR="001B7238" w:rsidRPr="00F57F1D">
        <w:rPr>
          <w:iCs/>
        </w:rPr>
        <w:t xml:space="preserve"> th</w:t>
      </w:r>
      <w:r w:rsidR="00435359" w:rsidRPr="00F57F1D">
        <w:rPr>
          <w:iCs/>
        </w:rPr>
        <w:t>is</w:t>
      </w:r>
      <w:r w:rsidR="001B7238" w:rsidRPr="00F57F1D">
        <w:rPr>
          <w:iCs/>
        </w:rPr>
        <w:t xml:space="preserve"> assumption to all patients not achieving CMV clearance </w:t>
      </w:r>
      <w:r w:rsidR="00F14015" w:rsidRPr="00F57F1D">
        <w:rPr>
          <w:iCs/>
        </w:rPr>
        <w:t xml:space="preserve">does not reflect the evidence from </w:t>
      </w:r>
      <w:r w:rsidR="001B7238" w:rsidRPr="00F57F1D">
        <w:rPr>
          <w:iCs/>
        </w:rPr>
        <w:t>SOLSTICE</w:t>
      </w:r>
      <w:r w:rsidR="00EB2B60" w:rsidRPr="00F57F1D">
        <w:rPr>
          <w:iCs/>
        </w:rPr>
        <w:t xml:space="preserve"> wherein </w:t>
      </w:r>
      <w:r w:rsidR="001B7238" w:rsidRPr="00F57F1D">
        <w:rPr>
          <w:iCs/>
        </w:rPr>
        <w:t xml:space="preserve">a substantial </w:t>
      </w:r>
      <w:r w:rsidR="00EB2B60" w:rsidRPr="00F57F1D">
        <w:rPr>
          <w:iCs/>
        </w:rPr>
        <w:t>proportion</w:t>
      </w:r>
      <w:r w:rsidR="001B7238" w:rsidRPr="00F57F1D">
        <w:rPr>
          <w:iCs/>
        </w:rPr>
        <w:t xml:space="preserve"> of </w:t>
      </w:r>
      <w:r w:rsidR="00EB2B60" w:rsidRPr="00F57F1D">
        <w:rPr>
          <w:iCs/>
        </w:rPr>
        <w:t xml:space="preserve">IAT </w:t>
      </w:r>
      <w:r w:rsidR="001B7238" w:rsidRPr="00F57F1D">
        <w:rPr>
          <w:iCs/>
        </w:rPr>
        <w:t>patients discontinued before completing 8 weeks of treatment (79/117; 65.7%) and information regarding their subsequent treatment is unknown.</w:t>
      </w:r>
      <w:bookmarkEnd w:id="46"/>
      <w:r w:rsidR="001B7238" w:rsidRPr="00F57F1D">
        <w:rPr>
          <w:iCs/>
        </w:rPr>
        <w:t xml:space="preserve"> </w:t>
      </w:r>
      <w:r w:rsidR="009E63C4" w:rsidRPr="00045880">
        <w:rPr>
          <w:iCs/>
        </w:rPr>
        <w:t>Overall, the ESC considered that the modelled costs and effects for retreatment were highly uncertain.</w:t>
      </w:r>
      <w:bookmarkEnd w:id="47"/>
    </w:p>
    <w:p w14:paraId="25318854" w14:textId="5717F9B1" w:rsidR="00006F0C" w:rsidRPr="0023146D" w:rsidRDefault="00CB7DFB" w:rsidP="00006F0C">
      <w:pPr>
        <w:pStyle w:val="3-BodyText"/>
      </w:pPr>
      <w:r w:rsidRPr="0023146D">
        <w:t>A summary of the disaggregated and aggregated results for resource items is presented in</w:t>
      </w:r>
      <w:r w:rsidR="009762E5" w:rsidRPr="0023146D">
        <w:t xml:space="preserve"> </w:t>
      </w:r>
      <w:r w:rsidR="009762E5" w:rsidRPr="0023146D">
        <w:fldChar w:fldCharType="begin" w:fldLock="1"/>
      </w:r>
      <w:r w:rsidR="009762E5" w:rsidRPr="0023146D">
        <w:instrText xml:space="preserve"> REF _Ref175722472 \h </w:instrText>
      </w:r>
      <w:r w:rsidR="009762E5" w:rsidRPr="0023146D">
        <w:fldChar w:fldCharType="separate"/>
      </w:r>
      <w:r w:rsidR="008854AA" w:rsidRPr="0023146D">
        <w:t xml:space="preserve">Table </w:t>
      </w:r>
      <w:r w:rsidR="008854AA">
        <w:rPr>
          <w:noProof/>
        </w:rPr>
        <w:t>8</w:t>
      </w:r>
      <w:r w:rsidR="009762E5" w:rsidRPr="0023146D">
        <w:fldChar w:fldCharType="end"/>
      </w:r>
      <w:r w:rsidR="009762E5" w:rsidRPr="0023146D">
        <w:t>.</w:t>
      </w:r>
    </w:p>
    <w:p w14:paraId="1488596B" w14:textId="16B364B2" w:rsidR="009762E5" w:rsidRPr="0023146D" w:rsidRDefault="009762E5" w:rsidP="00601E82">
      <w:pPr>
        <w:pStyle w:val="TableFigureHeading"/>
        <w:keepLines/>
        <w:rPr>
          <w:rStyle w:val="CommentReference"/>
          <w:b/>
          <w:szCs w:val="24"/>
        </w:rPr>
      </w:pPr>
      <w:bookmarkStart w:id="48" w:name="_Ref175722472"/>
      <w:r w:rsidRPr="0023146D">
        <w:lastRenderedPageBreak/>
        <w:t xml:space="preserve">Table </w:t>
      </w:r>
      <w:r w:rsidR="008A7014">
        <w:fldChar w:fldCharType="begin" w:fldLock="1"/>
      </w:r>
      <w:r w:rsidR="008A7014">
        <w:instrText xml:space="preserve"> SEQ Table \* ARABIC </w:instrText>
      </w:r>
      <w:r w:rsidR="008A7014">
        <w:fldChar w:fldCharType="separate"/>
      </w:r>
      <w:r w:rsidR="008854AA">
        <w:rPr>
          <w:noProof/>
        </w:rPr>
        <w:t>8</w:t>
      </w:r>
      <w:r w:rsidR="008A7014">
        <w:rPr>
          <w:noProof/>
        </w:rPr>
        <w:fldChar w:fldCharType="end"/>
      </w:r>
      <w:bookmarkEnd w:id="48"/>
      <w:r w:rsidRPr="0023146D">
        <w:t>:</w:t>
      </w:r>
      <w:r w:rsidRPr="0023146D">
        <w:rPr>
          <w:rStyle w:val="CommentReference"/>
          <w:b/>
          <w:szCs w:val="24"/>
        </w:rPr>
        <w:t xml:space="preserve"> Health care resource items: disaggregated summary of cost impacts</w:t>
      </w:r>
    </w:p>
    <w:tbl>
      <w:tblPr>
        <w:tblStyle w:val="TableGrid"/>
        <w:tblW w:w="4958" w:type="pct"/>
        <w:tblLook w:val="04A0" w:firstRow="1" w:lastRow="0" w:firstColumn="1" w:lastColumn="0" w:noHBand="0" w:noVBand="1"/>
        <w:tblCaption w:val="Table 8: Health care resource items: disaggregated summary of cost impacts"/>
        <w:tblDescription w:val="Table 8: Health care resource items: disaggregated summary of cost impacts"/>
      </w:tblPr>
      <w:tblGrid>
        <w:gridCol w:w="4035"/>
        <w:gridCol w:w="1112"/>
        <w:gridCol w:w="967"/>
        <w:gridCol w:w="1082"/>
        <w:gridCol w:w="1745"/>
      </w:tblGrid>
      <w:tr w:rsidR="008C4FB1" w:rsidRPr="0023146D" w14:paraId="576C9D04" w14:textId="77777777" w:rsidTr="00AA10BF">
        <w:trPr>
          <w:trHeight w:val="20"/>
        </w:trPr>
        <w:tc>
          <w:tcPr>
            <w:tcW w:w="2256" w:type="pct"/>
            <w:noWrap/>
            <w:vAlign w:val="center"/>
          </w:tcPr>
          <w:p w14:paraId="297D4F96" w14:textId="77777777" w:rsidR="009762E5" w:rsidRPr="0023146D" w:rsidRDefault="009762E5" w:rsidP="00601E82">
            <w:pPr>
              <w:keepNext/>
              <w:keepLines/>
              <w:rPr>
                <w:rFonts w:ascii="Arial Narrow" w:hAnsi="Arial Narrow"/>
                <w:sz w:val="20"/>
                <w:szCs w:val="20"/>
              </w:rPr>
            </w:pPr>
          </w:p>
        </w:tc>
        <w:tc>
          <w:tcPr>
            <w:tcW w:w="622" w:type="pct"/>
            <w:noWrap/>
            <w:vAlign w:val="center"/>
          </w:tcPr>
          <w:p w14:paraId="4762E90F" w14:textId="77777777" w:rsidR="009762E5" w:rsidRPr="0023146D" w:rsidRDefault="009762E5" w:rsidP="00601E82">
            <w:pPr>
              <w:keepNext/>
              <w:keepLines/>
              <w:jc w:val="center"/>
              <w:rPr>
                <w:rFonts w:ascii="Arial Narrow" w:hAnsi="Arial Narrow"/>
                <w:b/>
                <w:sz w:val="20"/>
                <w:szCs w:val="20"/>
              </w:rPr>
            </w:pPr>
            <w:r w:rsidRPr="0023146D">
              <w:rPr>
                <w:rFonts w:ascii="Arial Narrow" w:hAnsi="Arial Narrow"/>
                <w:b/>
                <w:sz w:val="20"/>
                <w:szCs w:val="20"/>
              </w:rPr>
              <w:t>Maribavir</w:t>
            </w:r>
          </w:p>
        </w:tc>
        <w:tc>
          <w:tcPr>
            <w:tcW w:w="541" w:type="pct"/>
            <w:noWrap/>
            <w:vAlign w:val="center"/>
          </w:tcPr>
          <w:p w14:paraId="3893CDCD" w14:textId="77777777" w:rsidR="009762E5" w:rsidRPr="0023146D" w:rsidRDefault="009762E5" w:rsidP="00601E82">
            <w:pPr>
              <w:keepNext/>
              <w:keepLines/>
              <w:jc w:val="center"/>
              <w:rPr>
                <w:rFonts w:ascii="Arial Narrow" w:hAnsi="Arial Narrow"/>
                <w:b/>
                <w:sz w:val="20"/>
                <w:szCs w:val="20"/>
              </w:rPr>
            </w:pPr>
            <w:r w:rsidRPr="0023146D">
              <w:rPr>
                <w:rFonts w:ascii="Arial Narrow" w:hAnsi="Arial Narrow"/>
                <w:b/>
                <w:sz w:val="20"/>
                <w:szCs w:val="20"/>
              </w:rPr>
              <w:t>SoC</w:t>
            </w:r>
          </w:p>
        </w:tc>
        <w:tc>
          <w:tcPr>
            <w:tcW w:w="605" w:type="pct"/>
            <w:noWrap/>
            <w:vAlign w:val="center"/>
          </w:tcPr>
          <w:p w14:paraId="194AF3C9" w14:textId="5791F489" w:rsidR="009762E5" w:rsidRPr="0023146D" w:rsidRDefault="009762E5" w:rsidP="00601E82">
            <w:pPr>
              <w:keepNext/>
              <w:keepLines/>
              <w:jc w:val="center"/>
              <w:rPr>
                <w:rFonts w:ascii="Arial Narrow" w:hAnsi="Arial Narrow"/>
                <w:b/>
                <w:sz w:val="20"/>
                <w:szCs w:val="20"/>
              </w:rPr>
            </w:pPr>
            <w:r w:rsidRPr="0023146D">
              <w:rPr>
                <w:rFonts w:ascii="Arial Narrow" w:hAnsi="Arial Narrow"/>
                <w:b/>
                <w:sz w:val="20"/>
                <w:szCs w:val="20"/>
              </w:rPr>
              <w:t>Increment</w:t>
            </w:r>
          </w:p>
        </w:tc>
        <w:tc>
          <w:tcPr>
            <w:tcW w:w="976" w:type="pct"/>
            <w:vAlign w:val="center"/>
          </w:tcPr>
          <w:p w14:paraId="6B773657" w14:textId="087BA060" w:rsidR="009762E5" w:rsidRPr="0023146D" w:rsidRDefault="00BE24BE" w:rsidP="00601E82">
            <w:pPr>
              <w:keepNext/>
              <w:keepLines/>
              <w:jc w:val="center"/>
              <w:rPr>
                <w:rFonts w:ascii="Arial Narrow" w:hAnsi="Arial Narrow"/>
                <w:b/>
                <w:bCs/>
                <w:sz w:val="20"/>
                <w:szCs w:val="20"/>
              </w:rPr>
            </w:pPr>
            <w:r w:rsidRPr="0023146D">
              <w:rPr>
                <w:rFonts w:ascii="Arial Narrow" w:hAnsi="Arial Narrow"/>
                <w:b/>
                <w:bCs/>
                <w:sz w:val="20"/>
                <w:szCs w:val="20"/>
              </w:rPr>
              <w:t>% of total incremental cost</w:t>
            </w:r>
          </w:p>
        </w:tc>
      </w:tr>
      <w:tr w:rsidR="008C4FB1" w:rsidRPr="0023146D" w14:paraId="33A56888" w14:textId="77777777" w:rsidTr="00AA10BF">
        <w:trPr>
          <w:trHeight w:val="20"/>
        </w:trPr>
        <w:tc>
          <w:tcPr>
            <w:tcW w:w="2256" w:type="pct"/>
            <w:noWrap/>
            <w:vAlign w:val="center"/>
            <w:hideMark/>
          </w:tcPr>
          <w:p w14:paraId="7CD09491" w14:textId="097FFCFE" w:rsidR="009762E5" w:rsidRPr="0023146D" w:rsidRDefault="00C65EB2" w:rsidP="00601E82">
            <w:pPr>
              <w:keepNext/>
              <w:keepLines/>
              <w:rPr>
                <w:rFonts w:ascii="Arial Narrow" w:hAnsi="Arial Narrow"/>
                <w:b/>
                <w:bCs/>
                <w:sz w:val="20"/>
                <w:szCs w:val="20"/>
              </w:rPr>
            </w:pPr>
            <w:r w:rsidRPr="0023146D">
              <w:rPr>
                <w:rFonts w:ascii="Arial Narrow" w:hAnsi="Arial Narrow"/>
                <w:b/>
                <w:bCs/>
                <w:sz w:val="20"/>
                <w:szCs w:val="20"/>
              </w:rPr>
              <w:t xml:space="preserve">Initial treatment </w:t>
            </w:r>
            <w:r w:rsidR="002D3231" w:rsidRPr="0023146D">
              <w:rPr>
                <w:rFonts w:ascii="Arial Narrow" w:hAnsi="Arial Narrow"/>
                <w:b/>
                <w:bCs/>
                <w:sz w:val="20"/>
                <w:szCs w:val="20"/>
              </w:rPr>
              <w:t>(proposed drug and comparator)</w:t>
            </w:r>
            <w:r w:rsidR="009C0DAC" w:rsidRPr="0023146D">
              <w:rPr>
                <w:rFonts w:ascii="Arial Narrow" w:hAnsi="Arial Narrow"/>
                <w:b/>
                <w:bCs/>
                <w:sz w:val="20"/>
                <w:szCs w:val="20"/>
              </w:rPr>
              <w:t xml:space="preserve"> </w:t>
            </w:r>
          </w:p>
        </w:tc>
        <w:tc>
          <w:tcPr>
            <w:tcW w:w="622" w:type="pct"/>
            <w:noWrap/>
            <w:vAlign w:val="center"/>
            <w:hideMark/>
          </w:tcPr>
          <w:p w14:paraId="68E07104" w14:textId="4018AB5E" w:rsidR="009762E5" w:rsidRPr="0023146D" w:rsidRDefault="009762E5" w:rsidP="00601E82">
            <w:pPr>
              <w:keepNext/>
              <w:keepLines/>
              <w:jc w:val="center"/>
              <w:rPr>
                <w:rFonts w:ascii="Arial Narrow" w:hAnsi="Arial Narrow"/>
                <w:b/>
                <w:bCs/>
                <w:sz w:val="20"/>
                <w:szCs w:val="20"/>
              </w:rPr>
            </w:pPr>
            <w:r w:rsidRPr="0023146D">
              <w:rPr>
                <w:rFonts w:ascii="Arial Narrow" w:hAnsi="Arial Narrow"/>
                <w:b/>
                <w:sz w:val="20"/>
                <w:szCs w:val="20"/>
                <w:lang w:val="de-DE"/>
              </w:rPr>
              <w:t>$</w:t>
            </w:r>
            <w:r w:rsidR="007548FA" w:rsidRPr="003B6666">
              <w:rPr>
                <w:rFonts w:ascii="Arial Narrow" w:hAnsi="Arial Narrow"/>
                <w:b/>
                <w:color w:val="000000"/>
                <w:spacing w:val="108"/>
                <w:sz w:val="20"/>
                <w:szCs w:val="20"/>
                <w:shd w:val="solid" w:color="000000" w:fill="000000"/>
                <w:fitText w:val="200" w:id="-760538099"/>
                <w:lang w:val="de-DE"/>
                <w14:textFill>
                  <w14:solidFill>
                    <w14:srgbClr w14:val="000000">
                      <w14:alpha w14:val="100000"/>
                    </w14:srgbClr>
                  </w14:solidFill>
                </w14:textFill>
              </w:rPr>
              <w:t>|</w:t>
            </w:r>
            <w:r w:rsidR="007548FA" w:rsidRPr="003B6666">
              <w:rPr>
                <w:rFonts w:ascii="Arial Narrow" w:hAnsi="Arial Narrow"/>
                <w:b/>
                <w:color w:val="000000"/>
                <w:sz w:val="20"/>
                <w:szCs w:val="20"/>
                <w:shd w:val="solid" w:color="000000" w:fill="000000"/>
                <w:fitText w:val="200" w:id="-760538099"/>
                <w:lang w:val="de-DE"/>
                <w14:textFill>
                  <w14:solidFill>
                    <w14:srgbClr w14:val="000000">
                      <w14:alpha w14:val="100000"/>
                    </w14:srgbClr>
                  </w14:solidFill>
                </w14:textFill>
              </w:rPr>
              <w:t>|</w:t>
            </w:r>
          </w:p>
        </w:tc>
        <w:tc>
          <w:tcPr>
            <w:tcW w:w="541" w:type="pct"/>
            <w:noWrap/>
            <w:vAlign w:val="center"/>
            <w:hideMark/>
          </w:tcPr>
          <w:p w14:paraId="055C877D" w14:textId="77777777" w:rsidR="009762E5" w:rsidRPr="0023146D" w:rsidRDefault="009762E5" w:rsidP="00601E82">
            <w:pPr>
              <w:keepNext/>
              <w:keepLines/>
              <w:jc w:val="center"/>
              <w:rPr>
                <w:rFonts w:ascii="Arial Narrow" w:hAnsi="Arial Narrow"/>
                <w:b/>
                <w:bCs/>
                <w:sz w:val="20"/>
                <w:szCs w:val="20"/>
              </w:rPr>
            </w:pPr>
            <w:r w:rsidRPr="0023146D">
              <w:rPr>
                <w:rFonts w:ascii="Arial Narrow" w:hAnsi="Arial Narrow"/>
                <w:b/>
                <w:bCs/>
                <w:sz w:val="20"/>
                <w:szCs w:val="20"/>
              </w:rPr>
              <w:t>$11,746</w:t>
            </w:r>
          </w:p>
        </w:tc>
        <w:tc>
          <w:tcPr>
            <w:tcW w:w="605" w:type="pct"/>
            <w:noWrap/>
            <w:vAlign w:val="center"/>
            <w:hideMark/>
          </w:tcPr>
          <w:p w14:paraId="49C68281" w14:textId="2F2DC370" w:rsidR="009762E5" w:rsidRPr="0023146D" w:rsidRDefault="009762E5" w:rsidP="00601E82">
            <w:pPr>
              <w:keepNext/>
              <w:keepLines/>
              <w:jc w:val="center"/>
              <w:rPr>
                <w:rFonts w:ascii="Arial Narrow" w:hAnsi="Arial Narrow"/>
                <w:b/>
                <w:bCs/>
                <w:sz w:val="20"/>
                <w:szCs w:val="20"/>
              </w:rPr>
            </w:pPr>
            <w:r w:rsidRPr="0023146D">
              <w:rPr>
                <w:rFonts w:ascii="Arial Narrow" w:hAnsi="Arial Narrow"/>
                <w:b/>
                <w:bCs/>
                <w:sz w:val="20"/>
                <w:szCs w:val="20"/>
              </w:rPr>
              <w:t>$</w:t>
            </w:r>
            <w:r w:rsidR="007548FA" w:rsidRPr="003B6666">
              <w:rPr>
                <w:rFonts w:ascii="Arial Narrow" w:hAnsi="Arial Narrow"/>
                <w:b/>
                <w:color w:val="000000"/>
                <w:spacing w:val="37"/>
                <w:sz w:val="20"/>
                <w:szCs w:val="20"/>
                <w:shd w:val="solid" w:color="000000" w:fill="000000"/>
                <w:fitText w:val="213" w:id="-760538098"/>
                <w14:textFill>
                  <w14:solidFill>
                    <w14:srgbClr w14:val="000000">
                      <w14:alpha w14:val="100000"/>
                    </w14:srgbClr>
                  </w14:solidFill>
                </w14:textFill>
              </w:rPr>
              <w:t>||</w:t>
            </w:r>
            <w:r w:rsidR="007548FA" w:rsidRPr="003B6666">
              <w:rPr>
                <w:rFonts w:ascii="Arial Narrow" w:hAnsi="Arial Narrow"/>
                <w:b/>
                <w:color w:val="000000"/>
                <w:spacing w:val="2"/>
                <w:sz w:val="20"/>
                <w:szCs w:val="20"/>
                <w:shd w:val="solid" w:color="000000" w:fill="000000"/>
                <w:fitText w:val="213" w:id="-760538098"/>
                <w14:textFill>
                  <w14:solidFill>
                    <w14:srgbClr w14:val="000000">
                      <w14:alpha w14:val="100000"/>
                    </w14:srgbClr>
                  </w14:solidFill>
                </w14:textFill>
              </w:rPr>
              <w:t>|</w:t>
            </w:r>
          </w:p>
        </w:tc>
        <w:tc>
          <w:tcPr>
            <w:tcW w:w="976" w:type="pct"/>
            <w:vAlign w:val="center"/>
          </w:tcPr>
          <w:p w14:paraId="5F895C43" w14:textId="51FE896E" w:rsidR="009762E5" w:rsidRPr="0023146D" w:rsidRDefault="007548FA" w:rsidP="00601E82">
            <w:pPr>
              <w:keepNext/>
              <w:keepLines/>
              <w:jc w:val="center"/>
              <w:rPr>
                <w:rFonts w:ascii="Arial Narrow" w:hAnsi="Arial Narrow" w:cs="Calibri"/>
                <w:b/>
                <w:bCs/>
                <w:i/>
                <w:iCs/>
                <w:color w:val="000000"/>
                <w:sz w:val="20"/>
                <w:szCs w:val="20"/>
              </w:rPr>
            </w:pPr>
            <w:r w:rsidRPr="007548FA">
              <w:rPr>
                <w:rFonts w:ascii="Arial Narrow" w:hAnsi="Arial Narrow" w:cs="Calibri"/>
                <w:b/>
                <w:i/>
                <w:color w:val="000000"/>
                <w:sz w:val="20"/>
                <w:szCs w:val="20"/>
                <w:shd w:val="solid" w:color="000000" w:fill="000000"/>
                <w14:textFill>
                  <w14:solidFill>
                    <w14:srgbClr w14:val="000000">
                      <w14:alpha w14:val="100000"/>
                    </w14:srgbClr>
                  </w14:solidFill>
                </w14:textFill>
              </w:rPr>
              <w:t>|</w:t>
            </w:r>
            <w:r w:rsidR="009762E5" w:rsidRPr="0023146D">
              <w:rPr>
                <w:rFonts w:ascii="Arial Narrow" w:hAnsi="Arial Narrow" w:cs="Calibri"/>
                <w:b/>
                <w:bCs/>
                <w:i/>
                <w:iCs/>
                <w:color w:val="000000"/>
                <w:sz w:val="20"/>
                <w:szCs w:val="20"/>
              </w:rPr>
              <w:t>%</w:t>
            </w:r>
          </w:p>
        </w:tc>
      </w:tr>
      <w:tr w:rsidR="008C4FB1" w:rsidRPr="0023146D" w14:paraId="1FF98F16" w14:textId="77777777" w:rsidTr="00AA10BF">
        <w:trPr>
          <w:trHeight w:val="20"/>
        </w:trPr>
        <w:tc>
          <w:tcPr>
            <w:tcW w:w="2256" w:type="pct"/>
            <w:noWrap/>
            <w:vAlign w:val="center"/>
            <w:hideMark/>
          </w:tcPr>
          <w:p w14:paraId="6BA7FC59" w14:textId="77777777" w:rsidR="009762E5" w:rsidRPr="0023146D" w:rsidRDefault="009762E5" w:rsidP="00601E82">
            <w:pPr>
              <w:keepNext/>
              <w:keepLines/>
              <w:rPr>
                <w:rFonts w:ascii="Arial Narrow" w:hAnsi="Arial Narrow"/>
                <w:sz w:val="20"/>
                <w:szCs w:val="20"/>
              </w:rPr>
            </w:pPr>
            <w:r w:rsidRPr="0023146D">
              <w:rPr>
                <w:rFonts w:ascii="Arial Narrow" w:hAnsi="Arial Narrow"/>
                <w:sz w:val="20"/>
                <w:szCs w:val="20"/>
              </w:rPr>
              <w:t xml:space="preserve">   Total acquisition costs</w:t>
            </w:r>
          </w:p>
        </w:tc>
        <w:tc>
          <w:tcPr>
            <w:tcW w:w="622" w:type="pct"/>
            <w:noWrap/>
            <w:vAlign w:val="center"/>
            <w:hideMark/>
          </w:tcPr>
          <w:p w14:paraId="2688E575" w14:textId="2F3825B0" w:rsidR="009762E5" w:rsidRPr="0023146D" w:rsidRDefault="009762E5" w:rsidP="00601E82">
            <w:pPr>
              <w:keepNext/>
              <w:keepLines/>
              <w:jc w:val="center"/>
              <w:rPr>
                <w:rFonts w:ascii="Arial Narrow" w:hAnsi="Arial Narrow"/>
                <w:sz w:val="20"/>
                <w:szCs w:val="20"/>
              </w:rPr>
            </w:pPr>
            <w:r w:rsidRPr="0023146D">
              <w:rPr>
                <w:rFonts w:ascii="Arial Narrow" w:hAnsi="Arial Narrow"/>
                <w:sz w:val="20"/>
                <w:szCs w:val="20"/>
              </w:rPr>
              <w:t>$</w:t>
            </w:r>
            <w:r w:rsidR="007548FA" w:rsidRPr="003B6666">
              <w:rPr>
                <w:rFonts w:ascii="Arial Narrow" w:hAnsi="Arial Narrow" w:hint="eastAsia"/>
                <w:color w:val="000000"/>
                <w:w w:val="30"/>
                <w:sz w:val="20"/>
                <w:szCs w:val="20"/>
                <w:shd w:val="solid" w:color="000000" w:fill="000000"/>
                <w:fitText w:val="134" w:id="-760538097"/>
                <w14:textFill>
                  <w14:solidFill>
                    <w14:srgbClr w14:val="000000">
                      <w14:alpha w14:val="100000"/>
                    </w14:srgbClr>
                  </w14:solidFill>
                </w14:textFill>
              </w:rPr>
              <w:t xml:space="preserve">　</w:t>
            </w:r>
            <w:r w:rsidR="007548FA" w:rsidRPr="003B6666">
              <w:rPr>
                <w:rFonts w:ascii="Arial Narrow" w:hAnsi="Arial Narrow"/>
                <w:color w:val="000000"/>
                <w:w w:val="30"/>
                <w:sz w:val="20"/>
                <w:szCs w:val="20"/>
                <w:shd w:val="solid" w:color="000000" w:fill="000000"/>
                <w:fitText w:val="134" w:id="-760538097"/>
                <w14:textFill>
                  <w14:solidFill>
                    <w14:srgbClr w14:val="000000">
                      <w14:alpha w14:val="100000"/>
                    </w14:srgbClr>
                  </w14:solidFill>
                </w14:textFill>
              </w:rPr>
              <w:t>|</w:t>
            </w:r>
            <w:r w:rsidR="007548FA" w:rsidRPr="003B6666">
              <w:rPr>
                <w:rFonts w:ascii="Arial Narrow" w:hAnsi="Arial Narrow" w:hint="eastAsia"/>
                <w:color w:val="000000"/>
                <w:w w:val="30"/>
                <w:sz w:val="20"/>
                <w:szCs w:val="20"/>
                <w:shd w:val="solid" w:color="000000" w:fill="000000"/>
                <w:fitText w:val="134" w:id="-760538097"/>
                <w14:textFill>
                  <w14:solidFill>
                    <w14:srgbClr w14:val="000000">
                      <w14:alpha w14:val="100000"/>
                    </w14:srgbClr>
                  </w14:solidFill>
                </w14:textFill>
              </w:rPr>
              <w:t xml:space="preserve">　</w:t>
            </w:r>
          </w:p>
        </w:tc>
        <w:tc>
          <w:tcPr>
            <w:tcW w:w="541" w:type="pct"/>
            <w:noWrap/>
            <w:vAlign w:val="center"/>
            <w:hideMark/>
          </w:tcPr>
          <w:p w14:paraId="6CD78E8C" w14:textId="77777777" w:rsidR="009762E5" w:rsidRPr="0023146D" w:rsidRDefault="009762E5" w:rsidP="00601E82">
            <w:pPr>
              <w:keepNext/>
              <w:keepLines/>
              <w:jc w:val="center"/>
              <w:rPr>
                <w:rFonts w:ascii="Arial Narrow" w:hAnsi="Arial Narrow"/>
                <w:sz w:val="20"/>
                <w:szCs w:val="20"/>
              </w:rPr>
            </w:pPr>
            <w:r w:rsidRPr="0023146D">
              <w:rPr>
                <w:rFonts w:ascii="Arial Narrow" w:hAnsi="Arial Narrow"/>
                <w:sz w:val="20"/>
                <w:szCs w:val="20"/>
              </w:rPr>
              <w:t>$7,808</w:t>
            </w:r>
          </w:p>
        </w:tc>
        <w:tc>
          <w:tcPr>
            <w:tcW w:w="605" w:type="pct"/>
            <w:noWrap/>
            <w:vAlign w:val="center"/>
            <w:hideMark/>
          </w:tcPr>
          <w:p w14:paraId="248470EB" w14:textId="3A4BE507" w:rsidR="009762E5" w:rsidRPr="0023146D" w:rsidRDefault="009762E5" w:rsidP="00601E82">
            <w:pPr>
              <w:keepNext/>
              <w:keepLines/>
              <w:jc w:val="center"/>
              <w:rPr>
                <w:rFonts w:ascii="Arial Narrow" w:hAnsi="Arial Narrow"/>
                <w:sz w:val="20"/>
                <w:szCs w:val="20"/>
              </w:rPr>
            </w:pPr>
            <w:r w:rsidRPr="0023146D">
              <w:rPr>
                <w:rFonts w:ascii="Arial Narrow" w:hAnsi="Arial Narrow"/>
                <w:sz w:val="20"/>
                <w:szCs w:val="20"/>
              </w:rPr>
              <w:t>$</w:t>
            </w:r>
            <w:r w:rsidR="007548FA" w:rsidRPr="003B6666">
              <w:rPr>
                <w:rFonts w:ascii="Arial Narrow" w:hAnsi="Arial Narrow" w:hint="eastAsia"/>
                <w:color w:val="000000"/>
                <w:w w:val="33"/>
                <w:sz w:val="20"/>
                <w:szCs w:val="20"/>
                <w:shd w:val="solid" w:color="000000" w:fill="000000"/>
                <w:fitText w:val="147" w:id="-760538096"/>
                <w14:textFill>
                  <w14:solidFill>
                    <w14:srgbClr w14:val="000000">
                      <w14:alpha w14:val="100000"/>
                    </w14:srgbClr>
                  </w14:solidFill>
                </w14:textFill>
              </w:rPr>
              <w:t xml:space="preserve">　</w:t>
            </w:r>
            <w:r w:rsidR="007548FA" w:rsidRPr="003B6666">
              <w:rPr>
                <w:rFonts w:ascii="Arial Narrow" w:hAnsi="Arial Narrow"/>
                <w:color w:val="000000"/>
                <w:w w:val="33"/>
                <w:sz w:val="20"/>
                <w:szCs w:val="20"/>
                <w:shd w:val="solid" w:color="000000" w:fill="000000"/>
                <w:fitText w:val="147" w:id="-760538096"/>
                <w14:textFill>
                  <w14:solidFill>
                    <w14:srgbClr w14:val="000000">
                      <w14:alpha w14:val="100000"/>
                    </w14:srgbClr>
                  </w14:solidFill>
                </w14:textFill>
              </w:rPr>
              <w:t>|</w:t>
            </w:r>
            <w:r w:rsidR="007548FA" w:rsidRPr="003B6666">
              <w:rPr>
                <w:rFonts w:ascii="Arial Narrow" w:hAnsi="Arial Narrow" w:hint="eastAsia"/>
                <w:color w:val="000000"/>
                <w:w w:val="33"/>
                <w:sz w:val="20"/>
                <w:szCs w:val="20"/>
                <w:shd w:val="solid" w:color="000000" w:fill="000000"/>
                <w:fitText w:val="147" w:id="-760538096"/>
                <w14:textFill>
                  <w14:solidFill>
                    <w14:srgbClr w14:val="000000">
                      <w14:alpha w14:val="100000"/>
                    </w14:srgbClr>
                  </w14:solidFill>
                </w14:textFill>
              </w:rPr>
              <w:t xml:space="preserve">　</w:t>
            </w:r>
          </w:p>
        </w:tc>
        <w:tc>
          <w:tcPr>
            <w:tcW w:w="976" w:type="pct"/>
            <w:vAlign w:val="center"/>
          </w:tcPr>
          <w:p w14:paraId="07ECBC1E" w14:textId="77777777" w:rsidR="009762E5" w:rsidRPr="0023146D" w:rsidRDefault="009762E5" w:rsidP="00601E82">
            <w:pPr>
              <w:keepNext/>
              <w:keepLines/>
              <w:jc w:val="center"/>
              <w:rPr>
                <w:rFonts w:ascii="Arial Narrow" w:hAnsi="Arial Narrow" w:cs="Calibri"/>
                <w:i/>
                <w:iCs/>
                <w:color w:val="000000"/>
                <w:sz w:val="20"/>
                <w:szCs w:val="20"/>
              </w:rPr>
            </w:pPr>
          </w:p>
        </w:tc>
      </w:tr>
      <w:tr w:rsidR="008C4FB1" w:rsidRPr="0023146D" w14:paraId="60D1C210" w14:textId="77777777" w:rsidTr="00AA10BF">
        <w:trPr>
          <w:trHeight w:val="20"/>
        </w:trPr>
        <w:tc>
          <w:tcPr>
            <w:tcW w:w="2256" w:type="pct"/>
            <w:noWrap/>
            <w:vAlign w:val="center"/>
            <w:hideMark/>
          </w:tcPr>
          <w:p w14:paraId="43F2FDB5" w14:textId="77777777" w:rsidR="009762E5" w:rsidRPr="0023146D" w:rsidRDefault="009762E5" w:rsidP="00601E82">
            <w:pPr>
              <w:keepNext/>
              <w:keepLines/>
              <w:rPr>
                <w:rFonts w:ascii="Arial Narrow" w:hAnsi="Arial Narrow"/>
                <w:sz w:val="20"/>
                <w:szCs w:val="20"/>
              </w:rPr>
            </w:pPr>
            <w:r w:rsidRPr="0023146D">
              <w:rPr>
                <w:rFonts w:ascii="Arial Narrow" w:hAnsi="Arial Narrow"/>
                <w:sz w:val="20"/>
                <w:szCs w:val="20"/>
              </w:rPr>
              <w:t xml:space="preserve">   Total administration costs</w:t>
            </w:r>
          </w:p>
        </w:tc>
        <w:tc>
          <w:tcPr>
            <w:tcW w:w="622" w:type="pct"/>
            <w:noWrap/>
            <w:vAlign w:val="center"/>
            <w:hideMark/>
          </w:tcPr>
          <w:p w14:paraId="5BFBE3DE" w14:textId="77777777" w:rsidR="009762E5" w:rsidRPr="0023146D" w:rsidRDefault="009762E5" w:rsidP="00601E82">
            <w:pPr>
              <w:keepNext/>
              <w:keepLines/>
              <w:jc w:val="center"/>
              <w:rPr>
                <w:rFonts w:ascii="Arial Narrow" w:hAnsi="Arial Narrow"/>
                <w:sz w:val="20"/>
                <w:szCs w:val="20"/>
              </w:rPr>
            </w:pPr>
            <w:r w:rsidRPr="0023146D">
              <w:rPr>
                <w:rFonts w:ascii="Arial Narrow" w:hAnsi="Arial Narrow"/>
                <w:sz w:val="20"/>
                <w:szCs w:val="20"/>
              </w:rPr>
              <w:t>$0</w:t>
            </w:r>
          </w:p>
        </w:tc>
        <w:tc>
          <w:tcPr>
            <w:tcW w:w="541" w:type="pct"/>
            <w:noWrap/>
            <w:vAlign w:val="center"/>
            <w:hideMark/>
          </w:tcPr>
          <w:p w14:paraId="696190B1" w14:textId="77777777" w:rsidR="009762E5" w:rsidRPr="0023146D" w:rsidRDefault="009762E5" w:rsidP="00601E82">
            <w:pPr>
              <w:keepNext/>
              <w:keepLines/>
              <w:jc w:val="center"/>
              <w:rPr>
                <w:rFonts w:ascii="Arial Narrow" w:hAnsi="Arial Narrow"/>
                <w:sz w:val="20"/>
                <w:szCs w:val="20"/>
              </w:rPr>
            </w:pPr>
            <w:r w:rsidRPr="0023146D">
              <w:rPr>
                <w:rFonts w:ascii="Arial Narrow" w:hAnsi="Arial Narrow"/>
                <w:sz w:val="20"/>
                <w:szCs w:val="20"/>
              </w:rPr>
              <w:t>$2,981</w:t>
            </w:r>
          </w:p>
        </w:tc>
        <w:tc>
          <w:tcPr>
            <w:tcW w:w="605" w:type="pct"/>
            <w:noWrap/>
            <w:vAlign w:val="center"/>
            <w:hideMark/>
          </w:tcPr>
          <w:p w14:paraId="5EF8B65B" w14:textId="77777777" w:rsidR="009762E5" w:rsidRPr="0023146D" w:rsidRDefault="009762E5" w:rsidP="00601E82">
            <w:pPr>
              <w:keepNext/>
              <w:keepLines/>
              <w:jc w:val="center"/>
              <w:rPr>
                <w:rFonts w:ascii="Arial Narrow" w:hAnsi="Arial Narrow"/>
                <w:sz w:val="20"/>
                <w:szCs w:val="20"/>
              </w:rPr>
            </w:pPr>
            <w:r w:rsidRPr="0023146D">
              <w:rPr>
                <w:rFonts w:ascii="Arial Narrow" w:hAnsi="Arial Narrow"/>
                <w:sz w:val="20"/>
                <w:szCs w:val="20"/>
              </w:rPr>
              <w:t>-$2,981</w:t>
            </w:r>
          </w:p>
        </w:tc>
        <w:tc>
          <w:tcPr>
            <w:tcW w:w="976" w:type="pct"/>
            <w:vAlign w:val="center"/>
          </w:tcPr>
          <w:p w14:paraId="0678BC05" w14:textId="77777777" w:rsidR="009762E5" w:rsidRPr="0023146D" w:rsidRDefault="009762E5" w:rsidP="00601E82">
            <w:pPr>
              <w:keepNext/>
              <w:keepLines/>
              <w:jc w:val="center"/>
              <w:rPr>
                <w:rFonts w:ascii="Arial Narrow" w:hAnsi="Arial Narrow" w:cs="Calibri"/>
                <w:i/>
                <w:iCs/>
                <w:color w:val="000000"/>
                <w:sz w:val="20"/>
                <w:szCs w:val="20"/>
              </w:rPr>
            </w:pPr>
          </w:p>
        </w:tc>
      </w:tr>
      <w:tr w:rsidR="008C4FB1" w:rsidRPr="0023146D" w14:paraId="7BB26C48" w14:textId="77777777" w:rsidTr="00AA10BF">
        <w:trPr>
          <w:trHeight w:val="20"/>
        </w:trPr>
        <w:tc>
          <w:tcPr>
            <w:tcW w:w="2256" w:type="pct"/>
            <w:noWrap/>
            <w:vAlign w:val="center"/>
            <w:hideMark/>
          </w:tcPr>
          <w:p w14:paraId="6A0ECD21" w14:textId="77777777" w:rsidR="009762E5" w:rsidRPr="0023146D" w:rsidRDefault="009762E5" w:rsidP="00601E82">
            <w:pPr>
              <w:keepNext/>
              <w:keepLines/>
              <w:rPr>
                <w:rFonts w:ascii="Arial Narrow" w:hAnsi="Arial Narrow"/>
                <w:sz w:val="20"/>
                <w:szCs w:val="20"/>
              </w:rPr>
            </w:pPr>
            <w:r w:rsidRPr="0023146D">
              <w:rPr>
                <w:rFonts w:ascii="Arial Narrow" w:hAnsi="Arial Narrow"/>
                <w:sz w:val="20"/>
                <w:szCs w:val="20"/>
              </w:rPr>
              <w:t xml:space="preserve">   Total monitoring costs</w:t>
            </w:r>
          </w:p>
        </w:tc>
        <w:tc>
          <w:tcPr>
            <w:tcW w:w="622" w:type="pct"/>
            <w:noWrap/>
            <w:vAlign w:val="center"/>
            <w:hideMark/>
          </w:tcPr>
          <w:p w14:paraId="54E06BB7" w14:textId="77777777" w:rsidR="009762E5" w:rsidRPr="0023146D" w:rsidRDefault="009762E5" w:rsidP="00601E82">
            <w:pPr>
              <w:keepNext/>
              <w:keepLines/>
              <w:jc w:val="center"/>
              <w:rPr>
                <w:rFonts w:ascii="Arial Narrow" w:hAnsi="Arial Narrow"/>
                <w:sz w:val="20"/>
                <w:szCs w:val="20"/>
              </w:rPr>
            </w:pPr>
            <w:r w:rsidRPr="0023146D">
              <w:rPr>
                <w:rFonts w:ascii="Arial Narrow" w:hAnsi="Arial Narrow"/>
                <w:sz w:val="20"/>
                <w:szCs w:val="20"/>
              </w:rPr>
              <w:t>$1,113</w:t>
            </w:r>
          </w:p>
        </w:tc>
        <w:tc>
          <w:tcPr>
            <w:tcW w:w="541" w:type="pct"/>
            <w:noWrap/>
            <w:vAlign w:val="center"/>
            <w:hideMark/>
          </w:tcPr>
          <w:p w14:paraId="40912791" w14:textId="77777777" w:rsidR="009762E5" w:rsidRPr="0023146D" w:rsidRDefault="009762E5" w:rsidP="00601E82">
            <w:pPr>
              <w:keepNext/>
              <w:keepLines/>
              <w:jc w:val="center"/>
              <w:rPr>
                <w:rFonts w:ascii="Arial Narrow" w:hAnsi="Arial Narrow"/>
                <w:sz w:val="20"/>
                <w:szCs w:val="20"/>
              </w:rPr>
            </w:pPr>
            <w:r w:rsidRPr="0023146D">
              <w:rPr>
                <w:rFonts w:ascii="Arial Narrow" w:hAnsi="Arial Narrow"/>
                <w:sz w:val="20"/>
                <w:szCs w:val="20"/>
              </w:rPr>
              <w:t>$957</w:t>
            </w:r>
          </w:p>
        </w:tc>
        <w:tc>
          <w:tcPr>
            <w:tcW w:w="605" w:type="pct"/>
            <w:noWrap/>
            <w:vAlign w:val="center"/>
            <w:hideMark/>
          </w:tcPr>
          <w:p w14:paraId="1BA7C895" w14:textId="77777777" w:rsidR="009762E5" w:rsidRPr="0023146D" w:rsidRDefault="009762E5" w:rsidP="00601E82">
            <w:pPr>
              <w:keepNext/>
              <w:keepLines/>
              <w:jc w:val="center"/>
              <w:rPr>
                <w:rFonts w:ascii="Arial Narrow" w:hAnsi="Arial Narrow"/>
                <w:sz w:val="20"/>
                <w:szCs w:val="20"/>
              </w:rPr>
            </w:pPr>
            <w:r w:rsidRPr="0023146D">
              <w:rPr>
                <w:rFonts w:ascii="Arial Narrow" w:hAnsi="Arial Narrow"/>
                <w:sz w:val="20"/>
                <w:szCs w:val="20"/>
              </w:rPr>
              <w:t>$156</w:t>
            </w:r>
          </w:p>
        </w:tc>
        <w:tc>
          <w:tcPr>
            <w:tcW w:w="976" w:type="pct"/>
            <w:vAlign w:val="center"/>
          </w:tcPr>
          <w:p w14:paraId="0EC6CCFB" w14:textId="77777777" w:rsidR="009762E5" w:rsidRPr="0023146D" w:rsidRDefault="009762E5" w:rsidP="00601E82">
            <w:pPr>
              <w:keepNext/>
              <w:keepLines/>
              <w:jc w:val="center"/>
              <w:rPr>
                <w:rFonts w:ascii="Arial Narrow" w:hAnsi="Arial Narrow" w:cs="Calibri"/>
                <w:i/>
                <w:iCs/>
                <w:color w:val="000000"/>
                <w:sz w:val="20"/>
                <w:szCs w:val="20"/>
              </w:rPr>
            </w:pPr>
          </w:p>
        </w:tc>
      </w:tr>
      <w:tr w:rsidR="008C4FB1" w:rsidRPr="0023146D" w14:paraId="778F0B7E" w14:textId="77777777" w:rsidTr="00AA10BF">
        <w:trPr>
          <w:trHeight w:val="20"/>
        </w:trPr>
        <w:tc>
          <w:tcPr>
            <w:tcW w:w="2256" w:type="pct"/>
            <w:noWrap/>
            <w:vAlign w:val="center"/>
            <w:hideMark/>
          </w:tcPr>
          <w:p w14:paraId="06F101B8" w14:textId="5ED9E6D4" w:rsidR="009762E5" w:rsidRPr="006B02AA" w:rsidRDefault="008A6353" w:rsidP="00601E82">
            <w:pPr>
              <w:keepNext/>
              <w:keepLines/>
              <w:rPr>
                <w:rFonts w:ascii="Arial Narrow" w:hAnsi="Arial Narrow"/>
                <w:b/>
                <w:bCs/>
                <w:sz w:val="20"/>
                <w:szCs w:val="20"/>
              </w:rPr>
            </w:pPr>
            <w:r w:rsidRPr="006B02AA">
              <w:rPr>
                <w:rFonts w:ascii="Arial Narrow" w:hAnsi="Arial Narrow"/>
                <w:b/>
                <w:bCs/>
                <w:sz w:val="20"/>
                <w:szCs w:val="20"/>
              </w:rPr>
              <w:t>Subsequent treatment</w:t>
            </w:r>
            <w:r w:rsidR="006B02AA">
              <w:rPr>
                <w:rFonts w:ascii="Arial Narrow" w:hAnsi="Arial Narrow"/>
                <w:b/>
                <w:bCs/>
                <w:sz w:val="20"/>
                <w:szCs w:val="20"/>
              </w:rPr>
              <w:t xml:space="preserve"> (retreatment)</w:t>
            </w:r>
            <w:r w:rsidRPr="006B02AA">
              <w:rPr>
                <w:rFonts w:ascii="Arial Narrow" w:hAnsi="Arial Narrow"/>
                <w:b/>
                <w:bCs/>
                <w:sz w:val="20"/>
                <w:szCs w:val="20"/>
              </w:rPr>
              <w:t xml:space="preserve"> </w:t>
            </w:r>
            <w:r w:rsidR="009762E5" w:rsidRPr="006B02AA">
              <w:rPr>
                <w:rFonts w:ascii="Arial Narrow" w:hAnsi="Arial Narrow"/>
                <w:b/>
                <w:bCs/>
                <w:sz w:val="20"/>
                <w:szCs w:val="20"/>
              </w:rPr>
              <w:t>costs</w:t>
            </w:r>
          </w:p>
        </w:tc>
        <w:tc>
          <w:tcPr>
            <w:tcW w:w="622" w:type="pct"/>
            <w:noWrap/>
            <w:vAlign w:val="center"/>
            <w:hideMark/>
          </w:tcPr>
          <w:p w14:paraId="66DB912F" w14:textId="66BF8756" w:rsidR="009762E5" w:rsidRPr="0023146D" w:rsidRDefault="009762E5" w:rsidP="00601E82">
            <w:pPr>
              <w:keepNext/>
              <w:keepLines/>
              <w:jc w:val="center"/>
              <w:rPr>
                <w:rFonts w:ascii="Arial Narrow" w:hAnsi="Arial Narrow"/>
                <w:b/>
                <w:bCs/>
                <w:sz w:val="20"/>
                <w:szCs w:val="20"/>
              </w:rPr>
            </w:pPr>
            <w:r w:rsidRPr="0023146D">
              <w:rPr>
                <w:rFonts w:ascii="Arial Narrow" w:hAnsi="Arial Narrow"/>
                <w:b/>
                <w:bCs/>
                <w:sz w:val="20"/>
                <w:szCs w:val="20"/>
              </w:rPr>
              <w:t>$</w:t>
            </w:r>
            <w:r w:rsidR="007548FA" w:rsidRPr="003B6666">
              <w:rPr>
                <w:rFonts w:ascii="Arial Narrow" w:hAnsi="Arial Narrow"/>
                <w:b/>
                <w:color w:val="000000"/>
                <w:spacing w:val="108"/>
                <w:sz w:val="20"/>
                <w:szCs w:val="20"/>
                <w:shd w:val="solid" w:color="000000" w:fill="000000"/>
                <w:fitText w:val="200" w:id="-760538112"/>
                <w14:textFill>
                  <w14:solidFill>
                    <w14:srgbClr w14:val="000000">
                      <w14:alpha w14:val="100000"/>
                    </w14:srgbClr>
                  </w14:solidFill>
                </w14:textFill>
              </w:rPr>
              <w:t>|</w:t>
            </w:r>
            <w:r w:rsidR="007548FA" w:rsidRPr="003B6666">
              <w:rPr>
                <w:rFonts w:ascii="Arial Narrow" w:hAnsi="Arial Narrow"/>
                <w:b/>
                <w:color w:val="000000"/>
                <w:sz w:val="20"/>
                <w:szCs w:val="20"/>
                <w:shd w:val="solid" w:color="000000" w:fill="000000"/>
                <w:fitText w:val="200" w:id="-760538112"/>
                <w14:textFill>
                  <w14:solidFill>
                    <w14:srgbClr w14:val="000000">
                      <w14:alpha w14:val="100000"/>
                    </w14:srgbClr>
                  </w14:solidFill>
                </w14:textFill>
              </w:rPr>
              <w:t>|</w:t>
            </w:r>
          </w:p>
        </w:tc>
        <w:tc>
          <w:tcPr>
            <w:tcW w:w="541" w:type="pct"/>
            <w:noWrap/>
            <w:vAlign w:val="center"/>
            <w:hideMark/>
          </w:tcPr>
          <w:p w14:paraId="105DB1C3" w14:textId="77777777" w:rsidR="009762E5" w:rsidRPr="0023146D" w:rsidRDefault="009762E5" w:rsidP="00601E82">
            <w:pPr>
              <w:keepNext/>
              <w:keepLines/>
              <w:jc w:val="center"/>
              <w:rPr>
                <w:rFonts w:ascii="Arial Narrow" w:hAnsi="Arial Narrow"/>
                <w:b/>
                <w:bCs/>
                <w:sz w:val="20"/>
                <w:szCs w:val="20"/>
              </w:rPr>
            </w:pPr>
            <w:r w:rsidRPr="0023146D">
              <w:rPr>
                <w:rFonts w:ascii="Arial Narrow" w:hAnsi="Arial Narrow"/>
                <w:b/>
                <w:bCs/>
                <w:sz w:val="20"/>
                <w:szCs w:val="20"/>
              </w:rPr>
              <w:t>$21,636</w:t>
            </w:r>
          </w:p>
        </w:tc>
        <w:tc>
          <w:tcPr>
            <w:tcW w:w="605" w:type="pct"/>
            <w:noWrap/>
            <w:vAlign w:val="center"/>
            <w:hideMark/>
          </w:tcPr>
          <w:p w14:paraId="757938B7" w14:textId="2BEAA724" w:rsidR="009762E5" w:rsidRPr="0023146D" w:rsidRDefault="009762E5" w:rsidP="00601E82">
            <w:pPr>
              <w:keepNext/>
              <w:keepLines/>
              <w:jc w:val="center"/>
              <w:rPr>
                <w:rFonts w:ascii="Arial Narrow" w:hAnsi="Arial Narrow"/>
                <w:b/>
                <w:bCs/>
                <w:sz w:val="20"/>
                <w:szCs w:val="20"/>
              </w:rPr>
            </w:pPr>
            <w:r w:rsidRPr="0023146D">
              <w:rPr>
                <w:rFonts w:ascii="Arial Narrow" w:hAnsi="Arial Narrow"/>
                <w:b/>
                <w:bCs/>
                <w:sz w:val="20"/>
                <w:szCs w:val="20"/>
              </w:rPr>
              <w:t>-$</w:t>
            </w:r>
            <w:r w:rsidR="007548FA" w:rsidRPr="003B6666">
              <w:rPr>
                <w:rFonts w:ascii="Arial Narrow" w:hAnsi="Arial Narrow"/>
                <w:b/>
                <w:color w:val="000000"/>
                <w:spacing w:val="148"/>
                <w:sz w:val="20"/>
                <w:szCs w:val="20"/>
                <w:shd w:val="solid" w:color="000000" w:fill="000000"/>
                <w:fitText w:val="240" w:id="-760538111"/>
                <w14:textFill>
                  <w14:solidFill>
                    <w14:srgbClr w14:val="000000">
                      <w14:alpha w14:val="100000"/>
                    </w14:srgbClr>
                  </w14:solidFill>
                </w14:textFill>
              </w:rPr>
              <w:t>|</w:t>
            </w:r>
            <w:r w:rsidR="007548FA" w:rsidRPr="003B6666">
              <w:rPr>
                <w:rFonts w:ascii="Arial Narrow" w:hAnsi="Arial Narrow"/>
                <w:b/>
                <w:color w:val="000000"/>
                <w:sz w:val="20"/>
                <w:szCs w:val="20"/>
                <w:shd w:val="solid" w:color="000000" w:fill="000000"/>
                <w:fitText w:val="240" w:id="-760538111"/>
                <w14:textFill>
                  <w14:solidFill>
                    <w14:srgbClr w14:val="000000">
                      <w14:alpha w14:val="100000"/>
                    </w14:srgbClr>
                  </w14:solidFill>
                </w14:textFill>
              </w:rPr>
              <w:t>|</w:t>
            </w:r>
          </w:p>
        </w:tc>
        <w:tc>
          <w:tcPr>
            <w:tcW w:w="976" w:type="pct"/>
            <w:vAlign w:val="center"/>
          </w:tcPr>
          <w:p w14:paraId="4681AB22" w14:textId="4272E128" w:rsidR="009762E5" w:rsidRPr="0023146D" w:rsidRDefault="009762E5" w:rsidP="00601E82">
            <w:pPr>
              <w:keepNext/>
              <w:keepLines/>
              <w:jc w:val="center"/>
              <w:rPr>
                <w:rFonts w:ascii="Arial Narrow" w:hAnsi="Arial Narrow" w:cs="Calibri"/>
                <w:b/>
                <w:bCs/>
                <w:i/>
                <w:iCs/>
                <w:color w:val="000000"/>
                <w:sz w:val="20"/>
                <w:szCs w:val="20"/>
              </w:rPr>
            </w:pPr>
            <w:r w:rsidRPr="0023146D">
              <w:rPr>
                <w:rFonts w:ascii="Arial Narrow" w:hAnsi="Arial Narrow" w:cs="Calibri"/>
                <w:b/>
                <w:bCs/>
                <w:i/>
                <w:iCs/>
                <w:color w:val="000000"/>
                <w:sz w:val="20"/>
                <w:szCs w:val="20"/>
              </w:rPr>
              <w:t>-</w:t>
            </w:r>
            <w:r w:rsidR="007548FA" w:rsidRPr="007548FA">
              <w:rPr>
                <w:rFonts w:ascii="Arial Narrow" w:hAnsi="Arial Narrow" w:cs="Calibri"/>
                <w:b/>
                <w:i/>
                <w:color w:val="000000"/>
                <w:sz w:val="20"/>
                <w:szCs w:val="20"/>
                <w:shd w:val="solid" w:color="000000" w:fill="000000"/>
                <w14:textFill>
                  <w14:solidFill>
                    <w14:srgbClr w14:val="000000">
                      <w14:alpha w14:val="100000"/>
                    </w14:srgbClr>
                  </w14:solidFill>
                </w14:textFill>
              </w:rPr>
              <w:t>|</w:t>
            </w:r>
            <w:r w:rsidRPr="0023146D">
              <w:rPr>
                <w:rFonts w:ascii="Arial Narrow" w:hAnsi="Arial Narrow" w:cs="Calibri"/>
                <w:b/>
                <w:bCs/>
                <w:i/>
                <w:iCs/>
                <w:color w:val="000000"/>
                <w:sz w:val="20"/>
                <w:szCs w:val="20"/>
              </w:rPr>
              <w:t>%</w:t>
            </w:r>
          </w:p>
        </w:tc>
      </w:tr>
      <w:tr w:rsidR="008C4FB1" w:rsidRPr="0023146D" w14:paraId="145408E7" w14:textId="77777777" w:rsidTr="00AA10BF">
        <w:trPr>
          <w:trHeight w:val="20"/>
        </w:trPr>
        <w:tc>
          <w:tcPr>
            <w:tcW w:w="2256" w:type="pct"/>
            <w:noWrap/>
            <w:vAlign w:val="center"/>
            <w:hideMark/>
          </w:tcPr>
          <w:p w14:paraId="45B8E04D" w14:textId="77777777" w:rsidR="009762E5" w:rsidRPr="0023146D" w:rsidRDefault="009762E5" w:rsidP="00601E82">
            <w:pPr>
              <w:keepNext/>
              <w:keepLines/>
              <w:rPr>
                <w:rFonts w:ascii="Arial Narrow" w:hAnsi="Arial Narrow"/>
                <w:sz w:val="20"/>
                <w:szCs w:val="20"/>
              </w:rPr>
            </w:pPr>
            <w:r w:rsidRPr="0023146D">
              <w:rPr>
                <w:rFonts w:ascii="Arial Narrow" w:hAnsi="Arial Narrow"/>
                <w:sz w:val="20"/>
                <w:szCs w:val="20"/>
              </w:rPr>
              <w:t xml:space="preserve">   Total acquisition costs</w:t>
            </w:r>
          </w:p>
        </w:tc>
        <w:tc>
          <w:tcPr>
            <w:tcW w:w="622" w:type="pct"/>
            <w:noWrap/>
            <w:vAlign w:val="center"/>
            <w:hideMark/>
          </w:tcPr>
          <w:p w14:paraId="6081C9CE" w14:textId="1901FD59" w:rsidR="009762E5" w:rsidRPr="0023146D" w:rsidRDefault="009762E5" w:rsidP="00601E82">
            <w:pPr>
              <w:keepNext/>
              <w:keepLines/>
              <w:jc w:val="center"/>
              <w:rPr>
                <w:rFonts w:ascii="Arial Narrow" w:hAnsi="Arial Narrow"/>
                <w:sz w:val="20"/>
                <w:szCs w:val="20"/>
              </w:rPr>
            </w:pPr>
            <w:r w:rsidRPr="0023146D">
              <w:rPr>
                <w:rFonts w:ascii="Arial Narrow" w:hAnsi="Arial Narrow"/>
                <w:sz w:val="20"/>
                <w:szCs w:val="20"/>
              </w:rPr>
              <w:t>$</w:t>
            </w:r>
            <w:r w:rsidR="007548FA" w:rsidRPr="003B6666">
              <w:rPr>
                <w:rFonts w:ascii="Arial Narrow" w:hAnsi="Arial Narrow" w:hint="eastAsia"/>
                <w:color w:val="000000"/>
                <w:w w:val="30"/>
                <w:sz w:val="20"/>
                <w:szCs w:val="20"/>
                <w:shd w:val="solid" w:color="000000" w:fill="000000"/>
                <w:fitText w:val="134" w:id="-760538110"/>
                <w14:textFill>
                  <w14:solidFill>
                    <w14:srgbClr w14:val="000000">
                      <w14:alpha w14:val="100000"/>
                    </w14:srgbClr>
                  </w14:solidFill>
                </w14:textFill>
              </w:rPr>
              <w:t xml:space="preserve">　</w:t>
            </w:r>
            <w:r w:rsidR="007548FA" w:rsidRPr="003B6666">
              <w:rPr>
                <w:rFonts w:ascii="Arial Narrow" w:hAnsi="Arial Narrow"/>
                <w:color w:val="000000"/>
                <w:w w:val="30"/>
                <w:sz w:val="20"/>
                <w:szCs w:val="20"/>
                <w:shd w:val="solid" w:color="000000" w:fill="000000"/>
                <w:fitText w:val="134" w:id="-760538110"/>
                <w14:textFill>
                  <w14:solidFill>
                    <w14:srgbClr w14:val="000000">
                      <w14:alpha w14:val="100000"/>
                    </w14:srgbClr>
                  </w14:solidFill>
                </w14:textFill>
              </w:rPr>
              <w:t>|</w:t>
            </w:r>
            <w:r w:rsidR="007548FA" w:rsidRPr="003B6666">
              <w:rPr>
                <w:rFonts w:ascii="Arial Narrow" w:hAnsi="Arial Narrow" w:hint="eastAsia"/>
                <w:color w:val="000000"/>
                <w:w w:val="30"/>
                <w:sz w:val="20"/>
                <w:szCs w:val="20"/>
                <w:shd w:val="solid" w:color="000000" w:fill="000000"/>
                <w:fitText w:val="134" w:id="-760538110"/>
                <w14:textFill>
                  <w14:solidFill>
                    <w14:srgbClr w14:val="000000">
                      <w14:alpha w14:val="100000"/>
                    </w14:srgbClr>
                  </w14:solidFill>
                </w14:textFill>
              </w:rPr>
              <w:t xml:space="preserve">　</w:t>
            </w:r>
          </w:p>
        </w:tc>
        <w:tc>
          <w:tcPr>
            <w:tcW w:w="541" w:type="pct"/>
            <w:noWrap/>
            <w:vAlign w:val="center"/>
            <w:hideMark/>
          </w:tcPr>
          <w:p w14:paraId="6E27C9E3" w14:textId="77777777" w:rsidR="009762E5" w:rsidRPr="0023146D" w:rsidRDefault="009762E5" w:rsidP="00601E82">
            <w:pPr>
              <w:keepNext/>
              <w:keepLines/>
              <w:jc w:val="center"/>
              <w:rPr>
                <w:rFonts w:ascii="Arial Narrow" w:hAnsi="Arial Narrow"/>
                <w:sz w:val="20"/>
                <w:szCs w:val="20"/>
              </w:rPr>
            </w:pPr>
            <w:r w:rsidRPr="0023146D">
              <w:rPr>
                <w:rFonts w:ascii="Arial Narrow" w:hAnsi="Arial Narrow"/>
                <w:sz w:val="20"/>
                <w:szCs w:val="20"/>
              </w:rPr>
              <w:t>$14,171</w:t>
            </w:r>
          </w:p>
        </w:tc>
        <w:tc>
          <w:tcPr>
            <w:tcW w:w="605" w:type="pct"/>
            <w:noWrap/>
            <w:vAlign w:val="center"/>
            <w:hideMark/>
          </w:tcPr>
          <w:p w14:paraId="0778F271" w14:textId="52A0705C" w:rsidR="009762E5" w:rsidRPr="0023146D" w:rsidRDefault="009762E5" w:rsidP="00601E82">
            <w:pPr>
              <w:keepNext/>
              <w:keepLines/>
              <w:jc w:val="center"/>
              <w:rPr>
                <w:rFonts w:ascii="Arial Narrow" w:hAnsi="Arial Narrow"/>
                <w:sz w:val="20"/>
                <w:szCs w:val="20"/>
              </w:rPr>
            </w:pPr>
            <w:r w:rsidRPr="0023146D">
              <w:rPr>
                <w:rFonts w:ascii="Arial Narrow" w:hAnsi="Arial Narrow"/>
                <w:sz w:val="20"/>
                <w:szCs w:val="20"/>
              </w:rPr>
              <w:t>-$</w:t>
            </w:r>
            <w:r w:rsidR="007548FA" w:rsidRPr="003B6666">
              <w:rPr>
                <w:rFonts w:ascii="Arial Narrow" w:hAnsi="Arial Narrow"/>
                <w:color w:val="000000"/>
                <w:spacing w:val="87"/>
                <w:sz w:val="20"/>
                <w:szCs w:val="20"/>
                <w:shd w:val="solid" w:color="000000" w:fill="000000"/>
                <w:fitText w:val="173" w:id="-760538109"/>
                <w14:textFill>
                  <w14:solidFill>
                    <w14:srgbClr w14:val="000000">
                      <w14:alpha w14:val="100000"/>
                    </w14:srgbClr>
                  </w14:solidFill>
                </w14:textFill>
              </w:rPr>
              <w:t>|</w:t>
            </w:r>
            <w:r w:rsidR="007548FA" w:rsidRPr="003B6666">
              <w:rPr>
                <w:rFonts w:ascii="Arial Narrow" w:hAnsi="Arial Narrow"/>
                <w:color w:val="000000"/>
                <w:sz w:val="20"/>
                <w:szCs w:val="20"/>
                <w:shd w:val="solid" w:color="000000" w:fill="000000"/>
                <w:fitText w:val="173" w:id="-760538109"/>
                <w14:textFill>
                  <w14:solidFill>
                    <w14:srgbClr w14:val="000000">
                      <w14:alpha w14:val="100000"/>
                    </w14:srgbClr>
                  </w14:solidFill>
                </w14:textFill>
              </w:rPr>
              <w:t>|</w:t>
            </w:r>
          </w:p>
        </w:tc>
        <w:tc>
          <w:tcPr>
            <w:tcW w:w="976" w:type="pct"/>
            <w:vAlign w:val="center"/>
          </w:tcPr>
          <w:p w14:paraId="45F99EF5" w14:textId="77777777" w:rsidR="009762E5" w:rsidRPr="0023146D" w:rsidRDefault="009762E5" w:rsidP="00601E82">
            <w:pPr>
              <w:keepNext/>
              <w:keepLines/>
              <w:jc w:val="center"/>
              <w:rPr>
                <w:rFonts w:ascii="Arial Narrow" w:hAnsi="Arial Narrow" w:cs="Calibri"/>
                <w:i/>
                <w:iCs/>
                <w:color w:val="000000"/>
                <w:sz w:val="20"/>
                <w:szCs w:val="20"/>
              </w:rPr>
            </w:pPr>
          </w:p>
        </w:tc>
      </w:tr>
      <w:tr w:rsidR="008C4FB1" w:rsidRPr="0023146D" w14:paraId="123592DD" w14:textId="77777777" w:rsidTr="00AA10BF">
        <w:trPr>
          <w:trHeight w:val="20"/>
        </w:trPr>
        <w:tc>
          <w:tcPr>
            <w:tcW w:w="2256" w:type="pct"/>
            <w:noWrap/>
            <w:vAlign w:val="center"/>
            <w:hideMark/>
          </w:tcPr>
          <w:p w14:paraId="76E64EF8" w14:textId="77777777" w:rsidR="009762E5" w:rsidRPr="0023146D" w:rsidRDefault="009762E5" w:rsidP="00601E82">
            <w:pPr>
              <w:keepNext/>
              <w:keepLines/>
              <w:rPr>
                <w:rFonts w:ascii="Arial Narrow" w:hAnsi="Arial Narrow"/>
                <w:sz w:val="20"/>
                <w:szCs w:val="20"/>
              </w:rPr>
            </w:pPr>
            <w:r w:rsidRPr="0023146D">
              <w:rPr>
                <w:rFonts w:ascii="Arial Narrow" w:hAnsi="Arial Narrow"/>
                <w:sz w:val="20"/>
                <w:szCs w:val="20"/>
              </w:rPr>
              <w:t xml:space="preserve">   Total administration costs</w:t>
            </w:r>
          </w:p>
        </w:tc>
        <w:tc>
          <w:tcPr>
            <w:tcW w:w="622" w:type="pct"/>
            <w:noWrap/>
            <w:vAlign w:val="center"/>
            <w:hideMark/>
          </w:tcPr>
          <w:p w14:paraId="7C70841D" w14:textId="77777777" w:rsidR="009762E5" w:rsidRPr="0023146D" w:rsidRDefault="009762E5" w:rsidP="00601E82">
            <w:pPr>
              <w:keepNext/>
              <w:keepLines/>
              <w:jc w:val="center"/>
              <w:rPr>
                <w:rFonts w:ascii="Arial Narrow" w:hAnsi="Arial Narrow"/>
                <w:sz w:val="20"/>
                <w:szCs w:val="20"/>
              </w:rPr>
            </w:pPr>
            <w:r w:rsidRPr="0023146D">
              <w:rPr>
                <w:rFonts w:ascii="Arial Narrow" w:hAnsi="Arial Narrow"/>
                <w:sz w:val="20"/>
                <w:szCs w:val="20"/>
              </w:rPr>
              <w:t>$3,770</w:t>
            </w:r>
          </w:p>
        </w:tc>
        <w:tc>
          <w:tcPr>
            <w:tcW w:w="541" w:type="pct"/>
            <w:noWrap/>
            <w:vAlign w:val="center"/>
            <w:hideMark/>
          </w:tcPr>
          <w:p w14:paraId="03894ED7" w14:textId="77777777" w:rsidR="009762E5" w:rsidRPr="0023146D" w:rsidRDefault="009762E5" w:rsidP="00601E82">
            <w:pPr>
              <w:keepNext/>
              <w:keepLines/>
              <w:jc w:val="center"/>
              <w:rPr>
                <w:rFonts w:ascii="Arial Narrow" w:hAnsi="Arial Narrow"/>
                <w:sz w:val="20"/>
                <w:szCs w:val="20"/>
              </w:rPr>
            </w:pPr>
            <w:r w:rsidRPr="0023146D">
              <w:rPr>
                <w:rFonts w:ascii="Arial Narrow" w:hAnsi="Arial Narrow"/>
                <w:sz w:val="20"/>
                <w:szCs w:val="20"/>
              </w:rPr>
              <w:t>$5,411</w:t>
            </w:r>
          </w:p>
        </w:tc>
        <w:tc>
          <w:tcPr>
            <w:tcW w:w="605" w:type="pct"/>
            <w:noWrap/>
            <w:vAlign w:val="center"/>
            <w:hideMark/>
          </w:tcPr>
          <w:p w14:paraId="45A23CC9" w14:textId="77777777" w:rsidR="009762E5" w:rsidRPr="0023146D" w:rsidRDefault="009762E5" w:rsidP="00601E82">
            <w:pPr>
              <w:keepNext/>
              <w:keepLines/>
              <w:jc w:val="center"/>
              <w:rPr>
                <w:rFonts w:ascii="Arial Narrow" w:hAnsi="Arial Narrow"/>
                <w:sz w:val="20"/>
                <w:szCs w:val="20"/>
              </w:rPr>
            </w:pPr>
            <w:r w:rsidRPr="0023146D">
              <w:rPr>
                <w:rFonts w:ascii="Arial Narrow" w:hAnsi="Arial Narrow"/>
                <w:sz w:val="20"/>
                <w:szCs w:val="20"/>
              </w:rPr>
              <w:t>-$1,640</w:t>
            </w:r>
          </w:p>
        </w:tc>
        <w:tc>
          <w:tcPr>
            <w:tcW w:w="976" w:type="pct"/>
            <w:vAlign w:val="center"/>
          </w:tcPr>
          <w:p w14:paraId="7C02CB13" w14:textId="77777777" w:rsidR="009762E5" w:rsidRPr="0023146D" w:rsidRDefault="009762E5" w:rsidP="00601E82">
            <w:pPr>
              <w:keepNext/>
              <w:keepLines/>
              <w:jc w:val="center"/>
              <w:rPr>
                <w:rFonts w:ascii="Arial Narrow" w:hAnsi="Arial Narrow" w:cs="Calibri"/>
                <w:i/>
                <w:iCs/>
                <w:color w:val="000000"/>
                <w:sz w:val="20"/>
                <w:szCs w:val="20"/>
              </w:rPr>
            </w:pPr>
          </w:p>
        </w:tc>
      </w:tr>
      <w:tr w:rsidR="008C4FB1" w:rsidRPr="0023146D" w14:paraId="29658AFA" w14:textId="77777777" w:rsidTr="00AA10BF">
        <w:trPr>
          <w:trHeight w:val="20"/>
        </w:trPr>
        <w:tc>
          <w:tcPr>
            <w:tcW w:w="2256" w:type="pct"/>
            <w:noWrap/>
            <w:vAlign w:val="center"/>
            <w:hideMark/>
          </w:tcPr>
          <w:p w14:paraId="2C4FDE9C" w14:textId="77777777" w:rsidR="009762E5" w:rsidRPr="0023146D" w:rsidRDefault="009762E5" w:rsidP="00601E82">
            <w:pPr>
              <w:keepNext/>
              <w:keepLines/>
              <w:rPr>
                <w:rFonts w:ascii="Arial Narrow" w:hAnsi="Arial Narrow"/>
                <w:sz w:val="20"/>
                <w:szCs w:val="20"/>
              </w:rPr>
            </w:pPr>
            <w:r w:rsidRPr="0023146D">
              <w:rPr>
                <w:rFonts w:ascii="Arial Narrow" w:hAnsi="Arial Narrow"/>
                <w:sz w:val="20"/>
                <w:szCs w:val="20"/>
              </w:rPr>
              <w:t xml:space="preserve">   Total monitoring costs</w:t>
            </w:r>
          </w:p>
        </w:tc>
        <w:tc>
          <w:tcPr>
            <w:tcW w:w="622" w:type="pct"/>
            <w:noWrap/>
            <w:vAlign w:val="center"/>
            <w:hideMark/>
          </w:tcPr>
          <w:p w14:paraId="0F1BD49A" w14:textId="77777777" w:rsidR="009762E5" w:rsidRPr="0023146D" w:rsidRDefault="009762E5" w:rsidP="00601E82">
            <w:pPr>
              <w:keepNext/>
              <w:keepLines/>
              <w:jc w:val="center"/>
              <w:rPr>
                <w:rFonts w:ascii="Arial Narrow" w:hAnsi="Arial Narrow"/>
                <w:sz w:val="20"/>
                <w:szCs w:val="20"/>
              </w:rPr>
            </w:pPr>
            <w:r w:rsidRPr="0023146D">
              <w:rPr>
                <w:rFonts w:ascii="Arial Narrow" w:hAnsi="Arial Narrow"/>
                <w:sz w:val="20"/>
                <w:szCs w:val="20"/>
              </w:rPr>
              <w:t>$1,431</w:t>
            </w:r>
          </w:p>
        </w:tc>
        <w:tc>
          <w:tcPr>
            <w:tcW w:w="541" w:type="pct"/>
            <w:noWrap/>
            <w:vAlign w:val="center"/>
            <w:hideMark/>
          </w:tcPr>
          <w:p w14:paraId="39B7C7D3" w14:textId="77777777" w:rsidR="009762E5" w:rsidRPr="0023146D" w:rsidRDefault="009762E5" w:rsidP="00601E82">
            <w:pPr>
              <w:keepNext/>
              <w:keepLines/>
              <w:jc w:val="center"/>
              <w:rPr>
                <w:rFonts w:ascii="Arial Narrow" w:hAnsi="Arial Narrow"/>
                <w:sz w:val="20"/>
                <w:szCs w:val="20"/>
              </w:rPr>
            </w:pPr>
            <w:r w:rsidRPr="0023146D">
              <w:rPr>
                <w:rFonts w:ascii="Arial Narrow" w:hAnsi="Arial Narrow"/>
                <w:sz w:val="20"/>
                <w:szCs w:val="20"/>
              </w:rPr>
              <w:t>$2,054</w:t>
            </w:r>
          </w:p>
        </w:tc>
        <w:tc>
          <w:tcPr>
            <w:tcW w:w="605" w:type="pct"/>
            <w:noWrap/>
            <w:vAlign w:val="center"/>
            <w:hideMark/>
          </w:tcPr>
          <w:p w14:paraId="5A79C61D" w14:textId="77777777" w:rsidR="009762E5" w:rsidRPr="0023146D" w:rsidRDefault="009762E5" w:rsidP="00601E82">
            <w:pPr>
              <w:keepNext/>
              <w:keepLines/>
              <w:jc w:val="center"/>
              <w:rPr>
                <w:rFonts w:ascii="Arial Narrow" w:hAnsi="Arial Narrow"/>
                <w:sz w:val="20"/>
                <w:szCs w:val="20"/>
              </w:rPr>
            </w:pPr>
            <w:r w:rsidRPr="0023146D">
              <w:rPr>
                <w:rFonts w:ascii="Arial Narrow" w:hAnsi="Arial Narrow"/>
                <w:sz w:val="20"/>
                <w:szCs w:val="20"/>
              </w:rPr>
              <w:t>-$623</w:t>
            </w:r>
          </w:p>
        </w:tc>
        <w:tc>
          <w:tcPr>
            <w:tcW w:w="976" w:type="pct"/>
            <w:vAlign w:val="center"/>
          </w:tcPr>
          <w:p w14:paraId="0CB225EC" w14:textId="77777777" w:rsidR="009762E5" w:rsidRPr="0023146D" w:rsidRDefault="009762E5" w:rsidP="00601E82">
            <w:pPr>
              <w:keepNext/>
              <w:keepLines/>
              <w:jc w:val="center"/>
              <w:rPr>
                <w:rFonts w:ascii="Arial Narrow" w:hAnsi="Arial Narrow" w:cs="Calibri"/>
                <w:i/>
                <w:iCs/>
                <w:color w:val="000000"/>
                <w:sz w:val="20"/>
                <w:szCs w:val="20"/>
              </w:rPr>
            </w:pPr>
          </w:p>
        </w:tc>
      </w:tr>
      <w:tr w:rsidR="008C4FB1" w:rsidRPr="0023146D" w14:paraId="1F127198" w14:textId="77777777" w:rsidTr="00AA10BF">
        <w:trPr>
          <w:trHeight w:val="20"/>
        </w:trPr>
        <w:tc>
          <w:tcPr>
            <w:tcW w:w="2256" w:type="pct"/>
            <w:noWrap/>
            <w:vAlign w:val="center"/>
            <w:hideMark/>
          </w:tcPr>
          <w:p w14:paraId="37917429" w14:textId="77777777" w:rsidR="009762E5" w:rsidRPr="0023146D" w:rsidRDefault="009762E5" w:rsidP="00601E82">
            <w:pPr>
              <w:keepNext/>
              <w:keepLines/>
              <w:jc w:val="left"/>
              <w:rPr>
                <w:rFonts w:ascii="Arial Narrow" w:hAnsi="Arial Narrow"/>
                <w:b/>
                <w:bCs/>
                <w:sz w:val="20"/>
                <w:szCs w:val="20"/>
              </w:rPr>
            </w:pPr>
            <w:r w:rsidRPr="0023146D">
              <w:rPr>
                <w:rFonts w:ascii="Arial Narrow" w:hAnsi="Arial Narrow"/>
                <w:b/>
                <w:bCs/>
                <w:sz w:val="20"/>
                <w:szCs w:val="20"/>
              </w:rPr>
              <w:t>Total health resource utilisation</w:t>
            </w:r>
          </w:p>
        </w:tc>
        <w:tc>
          <w:tcPr>
            <w:tcW w:w="622" w:type="pct"/>
            <w:noWrap/>
            <w:vAlign w:val="center"/>
            <w:hideMark/>
          </w:tcPr>
          <w:p w14:paraId="62220C7A" w14:textId="77777777" w:rsidR="009762E5" w:rsidRPr="0023146D" w:rsidRDefault="009762E5" w:rsidP="00601E82">
            <w:pPr>
              <w:keepNext/>
              <w:keepLines/>
              <w:jc w:val="center"/>
              <w:rPr>
                <w:rFonts w:ascii="Arial Narrow" w:hAnsi="Arial Narrow"/>
                <w:b/>
                <w:bCs/>
                <w:sz w:val="20"/>
                <w:szCs w:val="20"/>
              </w:rPr>
            </w:pPr>
            <w:r w:rsidRPr="0023146D">
              <w:rPr>
                <w:rFonts w:ascii="Arial Narrow" w:hAnsi="Arial Narrow"/>
                <w:b/>
                <w:bCs/>
                <w:sz w:val="20"/>
                <w:szCs w:val="20"/>
              </w:rPr>
              <w:t>$11,284</w:t>
            </w:r>
          </w:p>
        </w:tc>
        <w:tc>
          <w:tcPr>
            <w:tcW w:w="541" w:type="pct"/>
            <w:noWrap/>
            <w:vAlign w:val="center"/>
            <w:hideMark/>
          </w:tcPr>
          <w:p w14:paraId="4F459E61" w14:textId="77777777" w:rsidR="009762E5" w:rsidRPr="0023146D" w:rsidRDefault="009762E5" w:rsidP="00601E82">
            <w:pPr>
              <w:keepNext/>
              <w:keepLines/>
              <w:jc w:val="center"/>
              <w:rPr>
                <w:rFonts w:ascii="Arial Narrow" w:hAnsi="Arial Narrow"/>
                <w:b/>
                <w:bCs/>
                <w:sz w:val="20"/>
                <w:szCs w:val="20"/>
              </w:rPr>
            </w:pPr>
            <w:r w:rsidRPr="0023146D">
              <w:rPr>
                <w:rFonts w:ascii="Arial Narrow" w:hAnsi="Arial Narrow"/>
                <w:b/>
                <w:bCs/>
                <w:sz w:val="20"/>
                <w:szCs w:val="20"/>
              </w:rPr>
              <w:t>$13,807</w:t>
            </w:r>
          </w:p>
        </w:tc>
        <w:tc>
          <w:tcPr>
            <w:tcW w:w="605" w:type="pct"/>
            <w:noWrap/>
            <w:vAlign w:val="center"/>
            <w:hideMark/>
          </w:tcPr>
          <w:p w14:paraId="3CD9C4F5" w14:textId="77777777" w:rsidR="009762E5" w:rsidRPr="0023146D" w:rsidRDefault="009762E5" w:rsidP="00601E82">
            <w:pPr>
              <w:keepNext/>
              <w:keepLines/>
              <w:jc w:val="center"/>
              <w:rPr>
                <w:rFonts w:ascii="Arial Narrow" w:hAnsi="Arial Narrow"/>
                <w:b/>
                <w:bCs/>
                <w:sz w:val="20"/>
                <w:szCs w:val="20"/>
              </w:rPr>
            </w:pPr>
            <w:r w:rsidRPr="0023146D">
              <w:rPr>
                <w:rFonts w:ascii="Arial Narrow" w:hAnsi="Arial Narrow"/>
                <w:b/>
                <w:bCs/>
                <w:sz w:val="20"/>
                <w:szCs w:val="20"/>
              </w:rPr>
              <w:t>-$2,523</w:t>
            </w:r>
          </w:p>
        </w:tc>
        <w:tc>
          <w:tcPr>
            <w:tcW w:w="976" w:type="pct"/>
            <w:vAlign w:val="center"/>
          </w:tcPr>
          <w:p w14:paraId="0965BD0E" w14:textId="77777777" w:rsidR="009762E5" w:rsidRPr="0023146D" w:rsidRDefault="009762E5" w:rsidP="00601E82">
            <w:pPr>
              <w:keepNext/>
              <w:keepLines/>
              <w:jc w:val="center"/>
              <w:rPr>
                <w:rFonts w:ascii="Arial Narrow" w:hAnsi="Arial Narrow" w:cs="Calibri"/>
                <w:b/>
                <w:bCs/>
                <w:i/>
                <w:iCs/>
                <w:color w:val="000000"/>
                <w:sz w:val="20"/>
                <w:szCs w:val="20"/>
              </w:rPr>
            </w:pPr>
            <w:r w:rsidRPr="0023146D">
              <w:rPr>
                <w:rFonts w:ascii="Arial Narrow" w:hAnsi="Arial Narrow" w:cs="Calibri"/>
                <w:b/>
                <w:bCs/>
                <w:i/>
                <w:iCs/>
                <w:color w:val="000000"/>
                <w:sz w:val="20"/>
                <w:szCs w:val="20"/>
              </w:rPr>
              <w:t>-42.51%</w:t>
            </w:r>
          </w:p>
        </w:tc>
      </w:tr>
      <w:tr w:rsidR="008C4FB1" w:rsidRPr="0023146D" w14:paraId="01F14950" w14:textId="77777777" w:rsidTr="00AA10BF">
        <w:trPr>
          <w:trHeight w:val="20"/>
        </w:trPr>
        <w:tc>
          <w:tcPr>
            <w:tcW w:w="2256" w:type="pct"/>
            <w:noWrap/>
            <w:vAlign w:val="center"/>
            <w:hideMark/>
          </w:tcPr>
          <w:p w14:paraId="5AB8F79C" w14:textId="77777777" w:rsidR="009762E5" w:rsidRPr="0023146D" w:rsidRDefault="009762E5" w:rsidP="00601E82">
            <w:pPr>
              <w:keepNext/>
              <w:keepLines/>
              <w:rPr>
                <w:rFonts w:ascii="Arial Narrow" w:hAnsi="Arial Narrow"/>
                <w:sz w:val="20"/>
                <w:szCs w:val="20"/>
              </w:rPr>
            </w:pPr>
            <w:r w:rsidRPr="0023146D">
              <w:rPr>
                <w:rFonts w:ascii="Arial Narrow" w:hAnsi="Arial Narrow"/>
                <w:sz w:val="20"/>
                <w:szCs w:val="20"/>
              </w:rPr>
              <w:t xml:space="preserve">   Hospitalisations</w:t>
            </w:r>
          </w:p>
        </w:tc>
        <w:tc>
          <w:tcPr>
            <w:tcW w:w="622" w:type="pct"/>
            <w:noWrap/>
            <w:vAlign w:val="center"/>
            <w:hideMark/>
          </w:tcPr>
          <w:p w14:paraId="05001429" w14:textId="77777777" w:rsidR="009762E5" w:rsidRPr="0023146D" w:rsidRDefault="009762E5" w:rsidP="00601E82">
            <w:pPr>
              <w:keepNext/>
              <w:keepLines/>
              <w:jc w:val="center"/>
              <w:rPr>
                <w:rFonts w:ascii="Arial Narrow" w:hAnsi="Arial Narrow"/>
                <w:sz w:val="20"/>
                <w:szCs w:val="20"/>
              </w:rPr>
            </w:pPr>
            <w:r w:rsidRPr="0023146D">
              <w:rPr>
                <w:rFonts w:ascii="Arial Narrow" w:hAnsi="Arial Narrow"/>
                <w:sz w:val="20"/>
                <w:szCs w:val="20"/>
              </w:rPr>
              <w:t>$11,284</w:t>
            </w:r>
          </w:p>
        </w:tc>
        <w:tc>
          <w:tcPr>
            <w:tcW w:w="541" w:type="pct"/>
            <w:noWrap/>
            <w:vAlign w:val="center"/>
            <w:hideMark/>
          </w:tcPr>
          <w:p w14:paraId="6F121F5D" w14:textId="77777777" w:rsidR="009762E5" w:rsidRPr="0023146D" w:rsidRDefault="009762E5" w:rsidP="00601E82">
            <w:pPr>
              <w:keepNext/>
              <w:keepLines/>
              <w:jc w:val="center"/>
              <w:rPr>
                <w:rFonts w:ascii="Arial Narrow" w:hAnsi="Arial Narrow"/>
                <w:sz w:val="20"/>
                <w:szCs w:val="20"/>
              </w:rPr>
            </w:pPr>
            <w:r w:rsidRPr="0023146D">
              <w:rPr>
                <w:rFonts w:ascii="Arial Narrow" w:hAnsi="Arial Narrow"/>
                <w:sz w:val="20"/>
                <w:szCs w:val="20"/>
              </w:rPr>
              <w:t>$13,807</w:t>
            </w:r>
          </w:p>
        </w:tc>
        <w:tc>
          <w:tcPr>
            <w:tcW w:w="605" w:type="pct"/>
            <w:noWrap/>
            <w:vAlign w:val="center"/>
            <w:hideMark/>
          </w:tcPr>
          <w:p w14:paraId="254A3503" w14:textId="77777777" w:rsidR="009762E5" w:rsidRPr="0023146D" w:rsidRDefault="009762E5" w:rsidP="00601E82">
            <w:pPr>
              <w:keepNext/>
              <w:keepLines/>
              <w:jc w:val="center"/>
              <w:rPr>
                <w:rFonts w:ascii="Arial Narrow" w:hAnsi="Arial Narrow"/>
                <w:sz w:val="20"/>
                <w:szCs w:val="20"/>
              </w:rPr>
            </w:pPr>
            <w:r w:rsidRPr="0023146D">
              <w:rPr>
                <w:rFonts w:ascii="Arial Narrow" w:hAnsi="Arial Narrow"/>
                <w:sz w:val="20"/>
                <w:szCs w:val="20"/>
              </w:rPr>
              <w:t>-$2,523</w:t>
            </w:r>
          </w:p>
        </w:tc>
        <w:tc>
          <w:tcPr>
            <w:tcW w:w="976" w:type="pct"/>
            <w:vAlign w:val="center"/>
          </w:tcPr>
          <w:p w14:paraId="2AE0823E" w14:textId="77777777" w:rsidR="009762E5" w:rsidRPr="0023146D" w:rsidRDefault="009762E5" w:rsidP="00601E82">
            <w:pPr>
              <w:keepNext/>
              <w:keepLines/>
              <w:jc w:val="center"/>
              <w:rPr>
                <w:rFonts w:ascii="Arial Narrow" w:hAnsi="Arial Narrow" w:cs="Calibri"/>
                <w:i/>
                <w:iCs/>
                <w:color w:val="000000"/>
                <w:sz w:val="20"/>
                <w:szCs w:val="20"/>
              </w:rPr>
            </w:pPr>
          </w:p>
        </w:tc>
      </w:tr>
      <w:tr w:rsidR="008C4FB1" w:rsidRPr="0023146D" w14:paraId="7621F20B" w14:textId="77777777" w:rsidTr="00AA10BF">
        <w:trPr>
          <w:trHeight w:val="20"/>
        </w:trPr>
        <w:tc>
          <w:tcPr>
            <w:tcW w:w="2256" w:type="pct"/>
            <w:noWrap/>
            <w:vAlign w:val="center"/>
            <w:hideMark/>
          </w:tcPr>
          <w:p w14:paraId="20962BCD" w14:textId="77777777" w:rsidR="009762E5" w:rsidRPr="0023146D" w:rsidRDefault="009762E5" w:rsidP="00601E82">
            <w:pPr>
              <w:keepNext/>
              <w:keepLines/>
              <w:rPr>
                <w:rFonts w:ascii="Arial Narrow" w:hAnsi="Arial Narrow"/>
                <w:b/>
                <w:bCs/>
                <w:sz w:val="20"/>
                <w:szCs w:val="20"/>
              </w:rPr>
            </w:pPr>
            <w:r w:rsidRPr="0023146D">
              <w:rPr>
                <w:rFonts w:ascii="Arial Narrow" w:hAnsi="Arial Narrow"/>
                <w:b/>
                <w:bCs/>
                <w:sz w:val="20"/>
                <w:szCs w:val="20"/>
              </w:rPr>
              <w:t>Total adverse events</w:t>
            </w:r>
          </w:p>
        </w:tc>
        <w:tc>
          <w:tcPr>
            <w:tcW w:w="622" w:type="pct"/>
            <w:noWrap/>
            <w:vAlign w:val="center"/>
            <w:hideMark/>
          </w:tcPr>
          <w:p w14:paraId="3C1B119F" w14:textId="77777777" w:rsidR="009762E5" w:rsidRPr="0023146D" w:rsidRDefault="009762E5" w:rsidP="00601E82">
            <w:pPr>
              <w:keepNext/>
              <w:keepLines/>
              <w:jc w:val="center"/>
              <w:rPr>
                <w:rFonts w:ascii="Arial Narrow" w:hAnsi="Arial Narrow"/>
                <w:b/>
                <w:bCs/>
                <w:sz w:val="20"/>
                <w:szCs w:val="20"/>
              </w:rPr>
            </w:pPr>
            <w:r w:rsidRPr="0023146D">
              <w:rPr>
                <w:rFonts w:ascii="Arial Narrow" w:hAnsi="Arial Narrow"/>
                <w:b/>
                <w:bCs/>
                <w:sz w:val="20"/>
                <w:szCs w:val="20"/>
              </w:rPr>
              <w:t>$8,897</w:t>
            </w:r>
          </w:p>
        </w:tc>
        <w:tc>
          <w:tcPr>
            <w:tcW w:w="541" w:type="pct"/>
            <w:noWrap/>
            <w:vAlign w:val="center"/>
            <w:hideMark/>
          </w:tcPr>
          <w:p w14:paraId="757FC970" w14:textId="77777777" w:rsidR="009762E5" w:rsidRPr="0023146D" w:rsidRDefault="009762E5" w:rsidP="00601E82">
            <w:pPr>
              <w:keepNext/>
              <w:keepLines/>
              <w:jc w:val="center"/>
              <w:rPr>
                <w:rFonts w:ascii="Arial Narrow" w:hAnsi="Arial Narrow"/>
                <w:b/>
                <w:bCs/>
                <w:sz w:val="20"/>
                <w:szCs w:val="20"/>
              </w:rPr>
            </w:pPr>
            <w:r w:rsidRPr="0023146D">
              <w:rPr>
                <w:rFonts w:ascii="Arial Narrow" w:hAnsi="Arial Narrow"/>
                <w:b/>
                <w:bCs/>
                <w:sz w:val="20"/>
                <w:szCs w:val="20"/>
              </w:rPr>
              <w:t>$11,890</w:t>
            </w:r>
          </w:p>
        </w:tc>
        <w:tc>
          <w:tcPr>
            <w:tcW w:w="605" w:type="pct"/>
            <w:noWrap/>
            <w:vAlign w:val="center"/>
            <w:hideMark/>
          </w:tcPr>
          <w:p w14:paraId="425FD53C" w14:textId="55D00BAE" w:rsidR="009762E5" w:rsidRPr="0023146D" w:rsidRDefault="009762E5" w:rsidP="00601E82">
            <w:pPr>
              <w:keepNext/>
              <w:keepLines/>
              <w:jc w:val="center"/>
              <w:rPr>
                <w:rFonts w:ascii="Arial Narrow" w:hAnsi="Arial Narrow"/>
                <w:b/>
                <w:bCs/>
                <w:sz w:val="20"/>
                <w:szCs w:val="20"/>
              </w:rPr>
            </w:pPr>
            <w:r w:rsidRPr="0023146D">
              <w:rPr>
                <w:rFonts w:ascii="Arial Narrow" w:hAnsi="Arial Narrow"/>
                <w:b/>
                <w:bCs/>
                <w:sz w:val="20"/>
                <w:szCs w:val="20"/>
              </w:rPr>
              <w:t>-$2,993</w:t>
            </w:r>
          </w:p>
        </w:tc>
        <w:tc>
          <w:tcPr>
            <w:tcW w:w="976" w:type="pct"/>
            <w:vAlign w:val="center"/>
          </w:tcPr>
          <w:p w14:paraId="718428E6" w14:textId="77777777" w:rsidR="009762E5" w:rsidRPr="0023146D" w:rsidRDefault="009762E5" w:rsidP="00601E82">
            <w:pPr>
              <w:keepNext/>
              <w:keepLines/>
              <w:jc w:val="center"/>
              <w:rPr>
                <w:rFonts w:ascii="Arial Narrow" w:hAnsi="Arial Narrow" w:cs="Calibri"/>
                <w:b/>
                <w:bCs/>
                <w:i/>
                <w:iCs/>
                <w:color w:val="000000"/>
                <w:sz w:val="20"/>
                <w:szCs w:val="20"/>
              </w:rPr>
            </w:pPr>
            <w:r w:rsidRPr="0023146D">
              <w:rPr>
                <w:rFonts w:ascii="Arial Narrow" w:hAnsi="Arial Narrow" w:cs="Calibri"/>
                <w:b/>
                <w:bCs/>
                <w:i/>
                <w:iCs/>
                <w:color w:val="000000"/>
                <w:sz w:val="20"/>
                <w:szCs w:val="20"/>
              </w:rPr>
              <w:t>-50.43%</w:t>
            </w:r>
          </w:p>
        </w:tc>
      </w:tr>
      <w:tr w:rsidR="008C4FB1" w:rsidRPr="0023146D" w14:paraId="5F6C3706" w14:textId="77777777" w:rsidTr="00AA10BF">
        <w:trPr>
          <w:trHeight w:val="20"/>
        </w:trPr>
        <w:tc>
          <w:tcPr>
            <w:tcW w:w="2256" w:type="pct"/>
            <w:noWrap/>
            <w:vAlign w:val="center"/>
            <w:hideMark/>
          </w:tcPr>
          <w:p w14:paraId="22770C73" w14:textId="77777777" w:rsidR="009762E5" w:rsidRPr="0023146D" w:rsidRDefault="009762E5" w:rsidP="00601E82">
            <w:pPr>
              <w:keepNext/>
              <w:keepLines/>
              <w:rPr>
                <w:rFonts w:ascii="Arial Narrow" w:hAnsi="Arial Narrow"/>
                <w:b/>
                <w:bCs/>
                <w:sz w:val="20"/>
                <w:szCs w:val="20"/>
              </w:rPr>
            </w:pPr>
            <w:r w:rsidRPr="0023146D">
              <w:rPr>
                <w:rFonts w:ascii="Arial Narrow" w:hAnsi="Arial Narrow"/>
                <w:b/>
                <w:bCs/>
                <w:sz w:val="20"/>
                <w:szCs w:val="20"/>
              </w:rPr>
              <w:t>Total graft loss</w:t>
            </w:r>
          </w:p>
        </w:tc>
        <w:tc>
          <w:tcPr>
            <w:tcW w:w="622" w:type="pct"/>
            <w:noWrap/>
            <w:vAlign w:val="center"/>
            <w:hideMark/>
          </w:tcPr>
          <w:p w14:paraId="4C254B1A" w14:textId="77777777" w:rsidR="009762E5" w:rsidRPr="0023146D" w:rsidRDefault="009762E5" w:rsidP="00601E82">
            <w:pPr>
              <w:keepNext/>
              <w:keepLines/>
              <w:jc w:val="center"/>
              <w:rPr>
                <w:rFonts w:ascii="Arial Narrow" w:hAnsi="Arial Narrow"/>
                <w:b/>
                <w:bCs/>
                <w:sz w:val="20"/>
                <w:szCs w:val="20"/>
              </w:rPr>
            </w:pPr>
            <w:r w:rsidRPr="0023146D">
              <w:rPr>
                <w:rFonts w:ascii="Arial Narrow" w:hAnsi="Arial Narrow"/>
                <w:b/>
                <w:bCs/>
                <w:sz w:val="20"/>
                <w:szCs w:val="20"/>
              </w:rPr>
              <w:t>$3,154</w:t>
            </w:r>
          </w:p>
        </w:tc>
        <w:tc>
          <w:tcPr>
            <w:tcW w:w="541" w:type="pct"/>
            <w:noWrap/>
            <w:vAlign w:val="center"/>
            <w:hideMark/>
          </w:tcPr>
          <w:p w14:paraId="4DBF0E8B" w14:textId="77777777" w:rsidR="009762E5" w:rsidRPr="0023146D" w:rsidRDefault="009762E5" w:rsidP="00601E82">
            <w:pPr>
              <w:keepNext/>
              <w:keepLines/>
              <w:jc w:val="center"/>
              <w:rPr>
                <w:rFonts w:ascii="Arial Narrow" w:hAnsi="Arial Narrow"/>
                <w:b/>
                <w:bCs/>
                <w:sz w:val="20"/>
                <w:szCs w:val="20"/>
              </w:rPr>
            </w:pPr>
            <w:r w:rsidRPr="0023146D">
              <w:rPr>
                <w:rFonts w:ascii="Arial Narrow" w:hAnsi="Arial Narrow"/>
                <w:b/>
                <w:bCs/>
                <w:sz w:val="20"/>
                <w:szCs w:val="20"/>
              </w:rPr>
              <w:t>$3,602</w:t>
            </w:r>
          </w:p>
        </w:tc>
        <w:tc>
          <w:tcPr>
            <w:tcW w:w="605" w:type="pct"/>
            <w:noWrap/>
            <w:vAlign w:val="center"/>
            <w:hideMark/>
          </w:tcPr>
          <w:p w14:paraId="359DCC21" w14:textId="77777777" w:rsidR="009762E5" w:rsidRPr="0023146D" w:rsidRDefault="009762E5" w:rsidP="00601E82">
            <w:pPr>
              <w:keepNext/>
              <w:keepLines/>
              <w:jc w:val="center"/>
              <w:rPr>
                <w:rFonts w:ascii="Arial Narrow" w:hAnsi="Arial Narrow"/>
                <w:b/>
                <w:bCs/>
                <w:sz w:val="20"/>
                <w:szCs w:val="20"/>
              </w:rPr>
            </w:pPr>
            <w:r w:rsidRPr="0023146D">
              <w:rPr>
                <w:rFonts w:ascii="Arial Narrow" w:hAnsi="Arial Narrow"/>
                <w:b/>
                <w:bCs/>
                <w:sz w:val="20"/>
                <w:szCs w:val="20"/>
              </w:rPr>
              <w:t>-$448</w:t>
            </w:r>
          </w:p>
        </w:tc>
        <w:tc>
          <w:tcPr>
            <w:tcW w:w="976" w:type="pct"/>
            <w:vAlign w:val="center"/>
          </w:tcPr>
          <w:p w14:paraId="01ACDB78" w14:textId="77777777" w:rsidR="009762E5" w:rsidRPr="0023146D" w:rsidRDefault="009762E5" w:rsidP="00601E82">
            <w:pPr>
              <w:keepNext/>
              <w:keepLines/>
              <w:jc w:val="center"/>
              <w:rPr>
                <w:rFonts w:ascii="Arial Narrow" w:hAnsi="Arial Narrow" w:cs="Calibri"/>
                <w:b/>
                <w:bCs/>
                <w:i/>
                <w:iCs/>
                <w:color w:val="000000"/>
                <w:sz w:val="20"/>
                <w:szCs w:val="20"/>
              </w:rPr>
            </w:pPr>
            <w:r w:rsidRPr="0023146D">
              <w:rPr>
                <w:rFonts w:ascii="Arial Narrow" w:hAnsi="Arial Narrow" w:cs="Calibri"/>
                <w:b/>
                <w:bCs/>
                <w:i/>
                <w:iCs/>
                <w:color w:val="000000"/>
                <w:sz w:val="20"/>
                <w:szCs w:val="20"/>
              </w:rPr>
              <w:t>-7.55%</w:t>
            </w:r>
          </w:p>
        </w:tc>
      </w:tr>
      <w:tr w:rsidR="008C4FB1" w:rsidRPr="0023146D" w14:paraId="48716FC4" w14:textId="77777777" w:rsidTr="00AA10BF">
        <w:trPr>
          <w:trHeight w:val="20"/>
        </w:trPr>
        <w:tc>
          <w:tcPr>
            <w:tcW w:w="2256" w:type="pct"/>
            <w:noWrap/>
            <w:vAlign w:val="center"/>
            <w:hideMark/>
          </w:tcPr>
          <w:p w14:paraId="5587D65E" w14:textId="77777777" w:rsidR="009762E5" w:rsidRPr="0023146D" w:rsidRDefault="009762E5" w:rsidP="00601E82">
            <w:pPr>
              <w:keepNext/>
              <w:keepLines/>
              <w:rPr>
                <w:rFonts w:ascii="Arial Narrow" w:hAnsi="Arial Narrow"/>
                <w:sz w:val="20"/>
                <w:szCs w:val="20"/>
              </w:rPr>
            </w:pPr>
            <w:r w:rsidRPr="0023146D">
              <w:rPr>
                <w:rFonts w:ascii="Arial Narrow" w:hAnsi="Arial Narrow"/>
                <w:sz w:val="20"/>
                <w:szCs w:val="20"/>
              </w:rPr>
              <w:t xml:space="preserve">   Heart</w:t>
            </w:r>
          </w:p>
        </w:tc>
        <w:tc>
          <w:tcPr>
            <w:tcW w:w="622" w:type="pct"/>
            <w:noWrap/>
            <w:vAlign w:val="center"/>
            <w:hideMark/>
          </w:tcPr>
          <w:p w14:paraId="5737C849" w14:textId="77777777" w:rsidR="009762E5" w:rsidRPr="0023146D" w:rsidRDefault="009762E5" w:rsidP="00601E82">
            <w:pPr>
              <w:keepNext/>
              <w:keepLines/>
              <w:jc w:val="center"/>
              <w:rPr>
                <w:rFonts w:ascii="Arial Narrow" w:hAnsi="Arial Narrow"/>
                <w:sz w:val="20"/>
                <w:szCs w:val="20"/>
              </w:rPr>
            </w:pPr>
            <w:r w:rsidRPr="0023146D">
              <w:rPr>
                <w:rFonts w:ascii="Arial Narrow" w:hAnsi="Arial Narrow"/>
                <w:sz w:val="20"/>
                <w:szCs w:val="20"/>
              </w:rPr>
              <w:t>$352</w:t>
            </w:r>
          </w:p>
        </w:tc>
        <w:tc>
          <w:tcPr>
            <w:tcW w:w="541" w:type="pct"/>
            <w:noWrap/>
            <w:vAlign w:val="center"/>
            <w:hideMark/>
          </w:tcPr>
          <w:p w14:paraId="120B8731" w14:textId="77777777" w:rsidR="009762E5" w:rsidRPr="0023146D" w:rsidRDefault="009762E5" w:rsidP="00601E82">
            <w:pPr>
              <w:keepNext/>
              <w:keepLines/>
              <w:jc w:val="center"/>
              <w:rPr>
                <w:rFonts w:ascii="Arial Narrow" w:hAnsi="Arial Narrow"/>
                <w:sz w:val="20"/>
                <w:szCs w:val="20"/>
              </w:rPr>
            </w:pPr>
            <w:r w:rsidRPr="0023146D">
              <w:rPr>
                <w:rFonts w:ascii="Arial Narrow" w:hAnsi="Arial Narrow"/>
                <w:sz w:val="20"/>
                <w:szCs w:val="20"/>
              </w:rPr>
              <w:t>$401</w:t>
            </w:r>
          </w:p>
        </w:tc>
        <w:tc>
          <w:tcPr>
            <w:tcW w:w="605" w:type="pct"/>
            <w:noWrap/>
            <w:vAlign w:val="center"/>
            <w:hideMark/>
          </w:tcPr>
          <w:p w14:paraId="5F4E2124" w14:textId="77777777" w:rsidR="009762E5" w:rsidRPr="0023146D" w:rsidRDefault="009762E5" w:rsidP="00601E82">
            <w:pPr>
              <w:keepNext/>
              <w:keepLines/>
              <w:jc w:val="center"/>
              <w:rPr>
                <w:rFonts w:ascii="Arial Narrow" w:hAnsi="Arial Narrow"/>
                <w:sz w:val="20"/>
                <w:szCs w:val="20"/>
              </w:rPr>
            </w:pPr>
            <w:r w:rsidRPr="0023146D">
              <w:rPr>
                <w:rFonts w:ascii="Arial Narrow" w:hAnsi="Arial Narrow"/>
                <w:sz w:val="20"/>
                <w:szCs w:val="20"/>
              </w:rPr>
              <w:t>-$50</w:t>
            </w:r>
          </w:p>
        </w:tc>
        <w:tc>
          <w:tcPr>
            <w:tcW w:w="976" w:type="pct"/>
            <w:vAlign w:val="center"/>
          </w:tcPr>
          <w:p w14:paraId="535A40B6" w14:textId="77777777" w:rsidR="009762E5" w:rsidRPr="0023146D" w:rsidRDefault="009762E5" w:rsidP="00601E82">
            <w:pPr>
              <w:keepNext/>
              <w:keepLines/>
              <w:jc w:val="center"/>
              <w:rPr>
                <w:rFonts w:ascii="Arial Narrow" w:hAnsi="Arial Narrow" w:cs="Calibri"/>
                <w:i/>
                <w:iCs/>
                <w:color w:val="000000"/>
                <w:sz w:val="20"/>
                <w:szCs w:val="20"/>
              </w:rPr>
            </w:pPr>
          </w:p>
        </w:tc>
      </w:tr>
      <w:tr w:rsidR="008C4FB1" w:rsidRPr="0023146D" w14:paraId="653FD7C3" w14:textId="77777777" w:rsidTr="00AA10BF">
        <w:trPr>
          <w:trHeight w:val="20"/>
        </w:trPr>
        <w:tc>
          <w:tcPr>
            <w:tcW w:w="2256" w:type="pct"/>
            <w:noWrap/>
            <w:vAlign w:val="center"/>
            <w:hideMark/>
          </w:tcPr>
          <w:p w14:paraId="42D99063" w14:textId="77777777" w:rsidR="009762E5" w:rsidRPr="0023146D" w:rsidRDefault="009762E5" w:rsidP="00601E82">
            <w:pPr>
              <w:keepNext/>
              <w:keepLines/>
              <w:rPr>
                <w:rFonts w:ascii="Arial Narrow" w:hAnsi="Arial Narrow"/>
                <w:sz w:val="20"/>
                <w:szCs w:val="20"/>
              </w:rPr>
            </w:pPr>
            <w:r w:rsidRPr="0023146D">
              <w:rPr>
                <w:rFonts w:ascii="Arial Narrow" w:hAnsi="Arial Narrow"/>
                <w:sz w:val="20"/>
                <w:szCs w:val="20"/>
              </w:rPr>
              <w:t xml:space="preserve">   Kidney</w:t>
            </w:r>
          </w:p>
        </w:tc>
        <w:tc>
          <w:tcPr>
            <w:tcW w:w="622" w:type="pct"/>
            <w:noWrap/>
            <w:vAlign w:val="center"/>
            <w:hideMark/>
          </w:tcPr>
          <w:p w14:paraId="2F850C2B" w14:textId="77777777" w:rsidR="009762E5" w:rsidRPr="0023146D" w:rsidRDefault="009762E5" w:rsidP="00601E82">
            <w:pPr>
              <w:keepNext/>
              <w:keepLines/>
              <w:jc w:val="center"/>
              <w:rPr>
                <w:rFonts w:ascii="Arial Narrow" w:hAnsi="Arial Narrow"/>
                <w:sz w:val="20"/>
                <w:szCs w:val="20"/>
              </w:rPr>
            </w:pPr>
            <w:r w:rsidRPr="0023146D">
              <w:rPr>
                <w:rFonts w:ascii="Arial Narrow" w:hAnsi="Arial Narrow"/>
                <w:sz w:val="20"/>
                <w:szCs w:val="20"/>
              </w:rPr>
              <w:t>$1,921</w:t>
            </w:r>
          </w:p>
        </w:tc>
        <w:tc>
          <w:tcPr>
            <w:tcW w:w="541" w:type="pct"/>
            <w:noWrap/>
            <w:vAlign w:val="center"/>
            <w:hideMark/>
          </w:tcPr>
          <w:p w14:paraId="1E309E2C" w14:textId="77777777" w:rsidR="009762E5" w:rsidRPr="0023146D" w:rsidRDefault="009762E5" w:rsidP="00601E82">
            <w:pPr>
              <w:keepNext/>
              <w:keepLines/>
              <w:jc w:val="center"/>
              <w:rPr>
                <w:rFonts w:ascii="Arial Narrow" w:hAnsi="Arial Narrow"/>
                <w:sz w:val="20"/>
                <w:szCs w:val="20"/>
              </w:rPr>
            </w:pPr>
            <w:r w:rsidRPr="0023146D">
              <w:rPr>
                <w:rFonts w:ascii="Arial Narrow" w:hAnsi="Arial Narrow"/>
                <w:sz w:val="20"/>
                <w:szCs w:val="20"/>
              </w:rPr>
              <w:t>$2,194</w:t>
            </w:r>
          </w:p>
        </w:tc>
        <w:tc>
          <w:tcPr>
            <w:tcW w:w="605" w:type="pct"/>
            <w:noWrap/>
            <w:vAlign w:val="center"/>
            <w:hideMark/>
          </w:tcPr>
          <w:p w14:paraId="4A30BB93" w14:textId="77777777" w:rsidR="009762E5" w:rsidRPr="0023146D" w:rsidRDefault="009762E5" w:rsidP="00601E82">
            <w:pPr>
              <w:keepNext/>
              <w:keepLines/>
              <w:jc w:val="center"/>
              <w:rPr>
                <w:rFonts w:ascii="Arial Narrow" w:hAnsi="Arial Narrow"/>
                <w:sz w:val="20"/>
                <w:szCs w:val="20"/>
              </w:rPr>
            </w:pPr>
            <w:r w:rsidRPr="0023146D">
              <w:rPr>
                <w:rFonts w:ascii="Arial Narrow" w:hAnsi="Arial Narrow"/>
                <w:sz w:val="20"/>
                <w:szCs w:val="20"/>
              </w:rPr>
              <w:t>-$273</w:t>
            </w:r>
          </w:p>
        </w:tc>
        <w:tc>
          <w:tcPr>
            <w:tcW w:w="976" w:type="pct"/>
            <w:vAlign w:val="center"/>
          </w:tcPr>
          <w:p w14:paraId="4A98DC14" w14:textId="77777777" w:rsidR="009762E5" w:rsidRPr="0023146D" w:rsidRDefault="009762E5" w:rsidP="00601E82">
            <w:pPr>
              <w:keepNext/>
              <w:keepLines/>
              <w:jc w:val="center"/>
              <w:rPr>
                <w:rFonts w:ascii="Arial Narrow" w:hAnsi="Arial Narrow" w:cs="Calibri"/>
                <w:i/>
                <w:iCs/>
                <w:color w:val="000000"/>
                <w:sz w:val="20"/>
                <w:szCs w:val="20"/>
              </w:rPr>
            </w:pPr>
          </w:p>
        </w:tc>
      </w:tr>
      <w:tr w:rsidR="008C4FB1" w:rsidRPr="0023146D" w14:paraId="01691E59" w14:textId="77777777" w:rsidTr="00AA10BF">
        <w:trPr>
          <w:trHeight w:val="20"/>
        </w:trPr>
        <w:tc>
          <w:tcPr>
            <w:tcW w:w="2256" w:type="pct"/>
            <w:noWrap/>
            <w:vAlign w:val="center"/>
            <w:hideMark/>
          </w:tcPr>
          <w:p w14:paraId="5D452E47" w14:textId="77777777" w:rsidR="009762E5" w:rsidRPr="0023146D" w:rsidRDefault="009762E5" w:rsidP="00601E82">
            <w:pPr>
              <w:keepNext/>
              <w:keepLines/>
              <w:rPr>
                <w:rFonts w:ascii="Arial Narrow" w:hAnsi="Arial Narrow"/>
                <w:sz w:val="20"/>
                <w:szCs w:val="20"/>
              </w:rPr>
            </w:pPr>
            <w:r w:rsidRPr="0023146D">
              <w:rPr>
                <w:rFonts w:ascii="Arial Narrow" w:hAnsi="Arial Narrow"/>
                <w:sz w:val="20"/>
                <w:szCs w:val="20"/>
              </w:rPr>
              <w:t xml:space="preserve">   Lung</w:t>
            </w:r>
          </w:p>
        </w:tc>
        <w:tc>
          <w:tcPr>
            <w:tcW w:w="622" w:type="pct"/>
            <w:noWrap/>
            <w:vAlign w:val="center"/>
            <w:hideMark/>
          </w:tcPr>
          <w:p w14:paraId="420D3CD9" w14:textId="77777777" w:rsidR="009762E5" w:rsidRPr="0023146D" w:rsidRDefault="009762E5" w:rsidP="00601E82">
            <w:pPr>
              <w:keepNext/>
              <w:keepLines/>
              <w:jc w:val="center"/>
              <w:rPr>
                <w:rFonts w:ascii="Arial Narrow" w:hAnsi="Arial Narrow"/>
                <w:sz w:val="20"/>
                <w:szCs w:val="20"/>
              </w:rPr>
            </w:pPr>
            <w:r w:rsidRPr="0023146D">
              <w:rPr>
                <w:rFonts w:ascii="Arial Narrow" w:hAnsi="Arial Narrow"/>
                <w:sz w:val="20"/>
                <w:szCs w:val="20"/>
              </w:rPr>
              <w:t>$714</w:t>
            </w:r>
          </w:p>
        </w:tc>
        <w:tc>
          <w:tcPr>
            <w:tcW w:w="541" w:type="pct"/>
            <w:noWrap/>
            <w:vAlign w:val="center"/>
            <w:hideMark/>
          </w:tcPr>
          <w:p w14:paraId="10E42F9F" w14:textId="77777777" w:rsidR="009762E5" w:rsidRPr="0023146D" w:rsidRDefault="009762E5" w:rsidP="00601E82">
            <w:pPr>
              <w:keepNext/>
              <w:keepLines/>
              <w:jc w:val="center"/>
              <w:rPr>
                <w:rFonts w:ascii="Arial Narrow" w:hAnsi="Arial Narrow"/>
                <w:sz w:val="20"/>
                <w:szCs w:val="20"/>
              </w:rPr>
            </w:pPr>
            <w:r w:rsidRPr="0023146D">
              <w:rPr>
                <w:rFonts w:ascii="Arial Narrow" w:hAnsi="Arial Narrow"/>
                <w:sz w:val="20"/>
                <w:szCs w:val="20"/>
              </w:rPr>
              <w:t>$816</w:t>
            </w:r>
          </w:p>
        </w:tc>
        <w:tc>
          <w:tcPr>
            <w:tcW w:w="605" w:type="pct"/>
            <w:noWrap/>
            <w:vAlign w:val="center"/>
            <w:hideMark/>
          </w:tcPr>
          <w:p w14:paraId="1D0391A0" w14:textId="77777777" w:rsidR="009762E5" w:rsidRPr="0023146D" w:rsidRDefault="009762E5" w:rsidP="00601E82">
            <w:pPr>
              <w:keepNext/>
              <w:keepLines/>
              <w:jc w:val="center"/>
              <w:rPr>
                <w:rFonts w:ascii="Arial Narrow" w:hAnsi="Arial Narrow"/>
                <w:sz w:val="20"/>
                <w:szCs w:val="20"/>
              </w:rPr>
            </w:pPr>
            <w:r w:rsidRPr="0023146D">
              <w:rPr>
                <w:rFonts w:ascii="Arial Narrow" w:hAnsi="Arial Narrow"/>
                <w:sz w:val="20"/>
                <w:szCs w:val="20"/>
              </w:rPr>
              <w:t>-$101</w:t>
            </w:r>
          </w:p>
        </w:tc>
        <w:tc>
          <w:tcPr>
            <w:tcW w:w="976" w:type="pct"/>
            <w:vAlign w:val="center"/>
          </w:tcPr>
          <w:p w14:paraId="2CF656B5" w14:textId="77777777" w:rsidR="009762E5" w:rsidRPr="0023146D" w:rsidRDefault="009762E5" w:rsidP="00601E82">
            <w:pPr>
              <w:keepNext/>
              <w:keepLines/>
              <w:jc w:val="center"/>
              <w:rPr>
                <w:rFonts w:ascii="Arial Narrow" w:hAnsi="Arial Narrow" w:cs="Calibri"/>
                <w:i/>
                <w:iCs/>
                <w:color w:val="000000"/>
                <w:sz w:val="20"/>
                <w:szCs w:val="20"/>
              </w:rPr>
            </w:pPr>
          </w:p>
        </w:tc>
      </w:tr>
      <w:tr w:rsidR="008C4FB1" w:rsidRPr="0023146D" w14:paraId="4087F110" w14:textId="77777777" w:rsidTr="00AA10BF">
        <w:trPr>
          <w:trHeight w:val="20"/>
        </w:trPr>
        <w:tc>
          <w:tcPr>
            <w:tcW w:w="2256" w:type="pct"/>
            <w:noWrap/>
            <w:vAlign w:val="center"/>
            <w:hideMark/>
          </w:tcPr>
          <w:p w14:paraId="38BDDF79" w14:textId="77777777" w:rsidR="009762E5" w:rsidRPr="0023146D" w:rsidRDefault="009762E5" w:rsidP="00601E82">
            <w:pPr>
              <w:keepNext/>
              <w:keepLines/>
              <w:rPr>
                <w:rFonts w:ascii="Arial Narrow" w:hAnsi="Arial Narrow"/>
                <w:sz w:val="20"/>
                <w:szCs w:val="20"/>
              </w:rPr>
            </w:pPr>
            <w:r w:rsidRPr="0023146D">
              <w:rPr>
                <w:rFonts w:ascii="Arial Narrow" w:hAnsi="Arial Narrow"/>
                <w:sz w:val="20"/>
                <w:szCs w:val="20"/>
              </w:rPr>
              <w:t xml:space="preserve">   Liver</w:t>
            </w:r>
          </w:p>
        </w:tc>
        <w:tc>
          <w:tcPr>
            <w:tcW w:w="622" w:type="pct"/>
            <w:noWrap/>
            <w:vAlign w:val="center"/>
            <w:hideMark/>
          </w:tcPr>
          <w:p w14:paraId="67330610" w14:textId="77777777" w:rsidR="009762E5" w:rsidRPr="0023146D" w:rsidRDefault="009762E5" w:rsidP="00601E82">
            <w:pPr>
              <w:keepNext/>
              <w:keepLines/>
              <w:jc w:val="center"/>
              <w:rPr>
                <w:rFonts w:ascii="Arial Narrow" w:hAnsi="Arial Narrow"/>
                <w:sz w:val="20"/>
                <w:szCs w:val="20"/>
              </w:rPr>
            </w:pPr>
            <w:r w:rsidRPr="0023146D">
              <w:rPr>
                <w:rFonts w:ascii="Arial Narrow" w:hAnsi="Arial Narrow"/>
                <w:sz w:val="20"/>
                <w:szCs w:val="20"/>
              </w:rPr>
              <w:t>$76</w:t>
            </w:r>
          </w:p>
        </w:tc>
        <w:tc>
          <w:tcPr>
            <w:tcW w:w="541" w:type="pct"/>
            <w:noWrap/>
            <w:vAlign w:val="center"/>
            <w:hideMark/>
          </w:tcPr>
          <w:p w14:paraId="2B7C88B4" w14:textId="77777777" w:rsidR="009762E5" w:rsidRPr="0023146D" w:rsidRDefault="009762E5" w:rsidP="00601E82">
            <w:pPr>
              <w:keepNext/>
              <w:keepLines/>
              <w:jc w:val="center"/>
              <w:rPr>
                <w:rFonts w:ascii="Arial Narrow" w:hAnsi="Arial Narrow"/>
                <w:sz w:val="20"/>
                <w:szCs w:val="20"/>
              </w:rPr>
            </w:pPr>
            <w:r w:rsidRPr="0023146D">
              <w:rPr>
                <w:rFonts w:ascii="Arial Narrow" w:hAnsi="Arial Narrow"/>
                <w:sz w:val="20"/>
                <w:szCs w:val="20"/>
              </w:rPr>
              <w:t>$87</w:t>
            </w:r>
          </w:p>
        </w:tc>
        <w:tc>
          <w:tcPr>
            <w:tcW w:w="605" w:type="pct"/>
            <w:noWrap/>
            <w:vAlign w:val="center"/>
            <w:hideMark/>
          </w:tcPr>
          <w:p w14:paraId="639522A7" w14:textId="42FA299E" w:rsidR="009762E5" w:rsidRPr="0023146D" w:rsidRDefault="009762E5" w:rsidP="00601E82">
            <w:pPr>
              <w:keepNext/>
              <w:keepLines/>
              <w:jc w:val="center"/>
              <w:rPr>
                <w:rFonts w:ascii="Arial Narrow" w:hAnsi="Arial Narrow"/>
                <w:sz w:val="20"/>
                <w:szCs w:val="20"/>
              </w:rPr>
            </w:pPr>
            <w:r w:rsidRPr="0023146D">
              <w:rPr>
                <w:rFonts w:ascii="Arial Narrow" w:hAnsi="Arial Narrow"/>
                <w:sz w:val="20"/>
                <w:szCs w:val="20"/>
              </w:rPr>
              <w:t>-$11</w:t>
            </w:r>
          </w:p>
        </w:tc>
        <w:tc>
          <w:tcPr>
            <w:tcW w:w="976" w:type="pct"/>
            <w:vAlign w:val="center"/>
          </w:tcPr>
          <w:p w14:paraId="6B5F4286" w14:textId="77777777" w:rsidR="009762E5" w:rsidRPr="0023146D" w:rsidRDefault="009762E5" w:rsidP="00601E82">
            <w:pPr>
              <w:keepNext/>
              <w:keepLines/>
              <w:jc w:val="center"/>
              <w:rPr>
                <w:rFonts w:ascii="Arial Narrow" w:hAnsi="Arial Narrow" w:cs="Calibri"/>
                <w:i/>
                <w:iCs/>
                <w:color w:val="000000"/>
                <w:sz w:val="20"/>
                <w:szCs w:val="20"/>
              </w:rPr>
            </w:pPr>
          </w:p>
        </w:tc>
      </w:tr>
      <w:tr w:rsidR="008C4FB1" w:rsidRPr="0023146D" w14:paraId="46C1A1C0" w14:textId="77777777" w:rsidTr="00AA10BF">
        <w:trPr>
          <w:trHeight w:val="20"/>
        </w:trPr>
        <w:tc>
          <w:tcPr>
            <w:tcW w:w="2256" w:type="pct"/>
            <w:noWrap/>
            <w:vAlign w:val="center"/>
            <w:hideMark/>
          </w:tcPr>
          <w:p w14:paraId="3A37B952" w14:textId="77777777" w:rsidR="009762E5" w:rsidRPr="0023146D" w:rsidRDefault="009762E5" w:rsidP="00601E82">
            <w:pPr>
              <w:keepNext/>
              <w:keepLines/>
              <w:rPr>
                <w:rFonts w:ascii="Arial Narrow" w:hAnsi="Arial Narrow"/>
                <w:sz w:val="20"/>
                <w:szCs w:val="20"/>
              </w:rPr>
            </w:pPr>
            <w:r w:rsidRPr="0023146D">
              <w:rPr>
                <w:rFonts w:ascii="Arial Narrow" w:hAnsi="Arial Narrow"/>
                <w:sz w:val="20"/>
                <w:szCs w:val="20"/>
              </w:rPr>
              <w:t xml:space="preserve">   Other</w:t>
            </w:r>
          </w:p>
        </w:tc>
        <w:tc>
          <w:tcPr>
            <w:tcW w:w="622" w:type="pct"/>
            <w:noWrap/>
            <w:vAlign w:val="center"/>
            <w:hideMark/>
          </w:tcPr>
          <w:p w14:paraId="06CD55B6" w14:textId="77777777" w:rsidR="009762E5" w:rsidRPr="0023146D" w:rsidRDefault="009762E5" w:rsidP="00601E82">
            <w:pPr>
              <w:keepNext/>
              <w:keepLines/>
              <w:jc w:val="center"/>
              <w:rPr>
                <w:rFonts w:ascii="Arial Narrow" w:hAnsi="Arial Narrow"/>
                <w:sz w:val="20"/>
                <w:szCs w:val="20"/>
              </w:rPr>
            </w:pPr>
            <w:r w:rsidRPr="0023146D">
              <w:rPr>
                <w:rFonts w:ascii="Arial Narrow" w:hAnsi="Arial Narrow"/>
                <w:sz w:val="20"/>
                <w:szCs w:val="20"/>
              </w:rPr>
              <w:t>$91</w:t>
            </w:r>
          </w:p>
        </w:tc>
        <w:tc>
          <w:tcPr>
            <w:tcW w:w="541" w:type="pct"/>
            <w:noWrap/>
            <w:vAlign w:val="center"/>
            <w:hideMark/>
          </w:tcPr>
          <w:p w14:paraId="0E5DCF35" w14:textId="77777777" w:rsidR="009762E5" w:rsidRPr="0023146D" w:rsidRDefault="009762E5" w:rsidP="00601E82">
            <w:pPr>
              <w:keepNext/>
              <w:keepLines/>
              <w:jc w:val="center"/>
              <w:rPr>
                <w:rFonts w:ascii="Arial Narrow" w:hAnsi="Arial Narrow"/>
                <w:sz w:val="20"/>
                <w:szCs w:val="20"/>
              </w:rPr>
            </w:pPr>
            <w:r w:rsidRPr="0023146D">
              <w:rPr>
                <w:rFonts w:ascii="Arial Narrow" w:hAnsi="Arial Narrow"/>
                <w:sz w:val="20"/>
                <w:szCs w:val="20"/>
              </w:rPr>
              <w:t>$103</w:t>
            </w:r>
          </w:p>
        </w:tc>
        <w:tc>
          <w:tcPr>
            <w:tcW w:w="605" w:type="pct"/>
            <w:noWrap/>
            <w:vAlign w:val="center"/>
            <w:hideMark/>
          </w:tcPr>
          <w:p w14:paraId="3FE2DE8C" w14:textId="77777777" w:rsidR="009762E5" w:rsidRPr="0023146D" w:rsidRDefault="009762E5" w:rsidP="00601E82">
            <w:pPr>
              <w:keepNext/>
              <w:keepLines/>
              <w:jc w:val="center"/>
              <w:rPr>
                <w:rFonts w:ascii="Arial Narrow" w:hAnsi="Arial Narrow"/>
                <w:sz w:val="20"/>
                <w:szCs w:val="20"/>
              </w:rPr>
            </w:pPr>
            <w:r w:rsidRPr="0023146D">
              <w:rPr>
                <w:rFonts w:ascii="Arial Narrow" w:hAnsi="Arial Narrow"/>
                <w:sz w:val="20"/>
                <w:szCs w:val="20"/>
              </w:rPr>
              <w:t>-$13</w:t>
            </w:r>
          </w:p>
        </w:tc>
        <w:tc>
          <w:tcPr>
            <w:tcW w:w="976" w:type="pct"/>
            <w:vAlign w:val="center"/>
          </w:tcPr>
          <w:p w14:paraId="7D8086D5" w14:textId="77777777" w:rsidR="009762E5" w:rsidRPr="0023146D" w:rsidRDefault="009762E5" w:rsidP="00601E82">
            <w:pPr>
              <w:keepNext/>
              <w:keepLines/>
              <w:jc w:val="center"/>
              <w:rPr>
                <w:rFonts w:ascii="Arial Narrow" w:hAnsi="Arial Narrow" w:cs="Calibri"/>
                <w:i/>
                <w:iCs/>
                <w:color w:val="000000"/>
                <w:sz w:val="20"/>
                <w:szCs w:val="20"/>
              </w:rPr>
            </w:pPr>
          </w:p>
        </w:tc>
      </w:tr>
      <w:tr w:rsidR="008C4FB1" w:rsidRPr="0023146D" w14:paraId="483962EA" w14:textId="77777777" w:rsidTr="00AA10BF">
        <w:trPr>
          <w:trHeight w:val="20"/>
        </w:trPr>
        <w:tc>
          <w:tcPr>
            <w:tcW w:w="2256" w:type="pct"/>
            <w:noWrap/>
            <w:vAlign w:val="center"/>
            <w:hideMark/>
          </w:tcPr>
          <w:p w14:paraId="03636240" w14:textId="77777777" w:rsidR="009762E5" w:rsidRPr="0023146D" w:rsidRDefault="009762E5" w:rsidP="00601E82">
            <w:pPr>
              <w:keepNext/>
              <w:keepLines/>
              <w:rPr>
                <w:rFonts w:ascii="Arial Narrow" w:hAnsi="Arial Narrow"/>
                <w:b/>
                <w:bCs/>
                <w:sz w:val="20"/>
                <w:szCs w:val="20"/>
              </w:rPr>
            </w:pPr>
            <w:r w:rsidRPr="0023146D">
              <w:rPr>
                <w:rFonts w:ascii="Arial Narrow" w:hAnsi="Arial Narrow"/>
                <w:b/>
                <w:bCs/>
                <w:sz w:val="20"/>
                <w:szCs w:val="20"/>
              </w:rPr>
              <w:t>Total costs</w:t>
            </w:r>
          </w:p>
        </w:tc>
        <w:tc>
          <w:tcPr>
            <w:tcW w:w="622" w:type="pct"/>
            <w:noWrap/>
            <w:vAlign w:val="center"/>
            <w:hideMark/>
          </w:tcPr>
          <w:p w14:paraId="16BCEB19" w14:textId="219B2C03" w:rsidR="009762E5" w:rsidRPr="0023146D" w:rsidRDefault="009762E5" w:rsidP="00601E82">
            <w:pPr>
              <w:keepNext/>
              <w:keepLines/>
              <w:jc w:val="center"/>
              <w:rPr>
                <w:rFonts w:ascii="Arial Narrow" w:hAnsi="Arial Narrow"/>
                <w:b/>
                <w:bCs/>
                <w:sz w:val="20"/>
                <w:szCs w:val="20"/>
              </w:rPr>
            </w:pPr>
            <w:r w:rsidRPr="0023146D">
              <w:rPr>
                <w:rFonts w:ascii="Arial Narrow" w:hAnsi="Arial Narrow"/>
                <w:b/>
                <w:bCs/>
                <w:sz w:val="20"/>
                <w:szCs w:val="20"/>
              </w:rPr>
              <w:t>$</w:t>
            </w:r>
            <w:r w:rsidR="007548FA" w:rsidRPr="003B6666">
              <w:rPr>
                <w:rFonts w:ascii="Arial Narrow" w:hAnsi="Arial Narrow"/>
                <w:b/>
                <w:color w:val="000000"/>
                <w:spacing w:val="108"/>
                <w:sz w:val="20"/>
                <w:szCs w:val="20"/>
                <w:shd w:val="solid" w:color="000000" w:fill="000000"/>
                <w:fitText w:val="200" w:id="-760538108"/>
                <w14:textFill>
                  <w14:solidFill>
                    <w14:srgbClr w14:val="000000">
                      <w14:alpha w14:val="100000"/>
                    </w14:srgbClr>
                  </w14:solidFill>
                </w14:textFill>
              </w:rPr>
              <w:t>|</w:t>
            </w:r>
            <w:r w:rsidR="007548FA" w:rsidRPr="003B6666">
              <w:rPr>
                <w:rFonts w:ascii="Arial Narrow" w:hAnsi="Arial Narrow"/>
                <w:b/>
                <w:color w:val="000000"/>
                <w:sz w:val="20"/>
                <w:szCs w:val="20"/>
                <w:shd w:val="solid" w:color="000000" w:fill="000000"/>
                <w:fitText w:val="200" w:id="-760538108"/>
                <w14:textFill>
                  <w14:solidFill>
                    <w14:srgbClr w14:val="000000">
                      <w14:alpha w14:val="100000"/>
                    </w14:srgbClr>
                  </w14:solidFill>
                </w14:textFill>
              </w:rPr>
              <w:t>|</w:t>
            </w:r>
          </w:p>
        </w:tc>
        <w:tc>
          <w:tcPr>
            <w:tcW w:w="541" w:type="pct"/>
            <w:noWrap/>
            <w:vAlign w:val="center"/>
            <w:hideMark/>
          </w:tcPr>
          <w:p w14:paraId="6893DA3F" w14:textId="77777777" w:rsidR="009762E5" w:rsidRPr="0023146D" w:rsidRDefault="009762E5" w:rsidP="00601E82">
            <w:pPr>
              <w:keepNext/>
              <w:keepLines/>
              <w:jc w:val="center"/>
              <w:rPr>
                <w:rFonts w:ascii="Arial Narrow" w:hAnsi="Arial Narrow"/>
                <w:b/>
                <w:bCs/>
                <w:sz w:val="20"/>
                <w:szCs w:val="20"/>
              </w:rPr>
            </w:pPr>
            <w:r w:rsidRPr="0023146D">
              <w:rPr>
                <w:rFonts w:ascii="Arial Narrow" w:hAnsi="Arial Narrow"/>
                <w:b/>
                <w:bCs/>
                <w:sz w:val="20"/>
                <w:szCs w:val="20"/>
              </w:rPr>
              <w:t>$62,681</w:t>
            </w:r>
          </w:p>
        </w:tc>
        <w:tc>
          <w:tcPr>
            <w:tcW w:w="605" w:type="pct"/>
            <w:noWrap/>
            <w:vAlign w:val="center"/>
            <w:hideMark/>
          </w:tcPr>
          <w:p w14:paraId="0B289D9F" w14:textId="71BD1EED" w:rsidR="009762E5" w:rsidRPr="0023146D" w:rsidRDefault="009762E5" w:rsidP="00601E82">
            <w:pPr>
              <w:keepNext/>
              <w:keepLines/>
              <w:jc w:val="center"/>
              <w:rPr>
                <w:rFonts w:ascii="Arial Narrow" w:hAnsi="Arial Narrow"/>
                <w:b/>
                <w:bCs/>
                <w:sz w:val="20"/>
                <w:szCs w:val="20"/>
              </w:rPr>
            </w:pPr>
            <w:r w:rsidRPr="0023146D">
              <w:rPr>
                <w:rFonts w:ascii="Arial Narrow" w:hAnsi="Arial Narrow"/>
                <w:b/>
                <w:bCs/>
                <w:sz w:val="20"/>
                <w:szCs w:val="20"/>
              </w:rPr>
              <w:t>$</w:t>
            </w:r>
            <w:r w:rsidR="007548FA" w:rsidRPr="003B6666">
              <w:rPr>
                <w:rFonts w:ascii="Arial Narrow" w:hAnsi="Arial Narrow"/>
                <w:b/>
                <w:color w:val="000000"/>
                <w:spacing w:val="37"/>
                <w:sz w:val="20"/>
                <w:szCs w:val="20"/>
                <w:shd w:val="solid" w:color="000000" w:fill="000000"/>
                <w:fitText w:val="213" w:id="-760538107"/>
                <w14:textFill>
                  <w14:solidFill>
                    <w14:srgbClr w14:val="000000">
                      <w14:alpha w14:val="100000"/>
                    </w14:srgbClr>
                  </w14:solidFill>
                </w14:textFill>
              </w:rPr>
              <w:t>||</w:t>
            </w:r>
            <w:r w:rsidR="007548FA" w:rsidRPr="003B6666">
              <w:rPr>
                <w:rFonts w:ascii="Arial Narrow" w:hAnsi="Arial Narrow"/>
                <w:b/>
                <w:color w:val="000000"/>
                <w:spacing w:val="2"/>
                <w:sz w:val="20"/>
                <w:szCs w:val="20"/>
                <w:shd w:val="solid" w:color="000000" w:fill="000000"/>
                <w:fitText w:val="213" w:id="-760538107"/>
                <w14:textFill>
                  <w14:solidFill>
                    <w14:srgbClr w14:val="000000">
                      <w14:alpha w14:val="100000"/>
                    </w14:srgbClr>
                  </w14:solidFill>
                </w14:textFill>
              </w:rPr>
              <w:t>|</w:t>
            </w:r>
          </w:p>
        </w:tc>
        <w:tc>
          <w:tcPr>
            <w:tcW w:w="976" w:type="pct"/>
            <w:vAlign w:val="center"/>
          </w:tcPr>
          <w:p w14:paraId="3033A478" w14:textId="069D0192" w:rsidR="009762E5" w:rsidRPr="0023146D" w:rsidRDefault="007548FA" w:rsidP="00601E82">
            <w:pPr>
              <w:keepNext/>
              <w:keepLines/>
              <w:jc w:val="center"/>
              <w:rPr>
                <w:rFonts w:ascii="Arial Narrow" w:hAnsi="Arial Narrow" w:cs="Calibri"/>
                <w:b/>
                <w:bCs/>
                <w:i/>
                <w:iCs/>
                <w:color w:val="000000"/>
                <w:sz w:val="20"/>
                <w:szCs w:val="20"/>
              </w:rPr>
            </w:pPr>
            <w:r w:rsidRPr="007548FA">
              <w:rPr>
                <w:rFonts w:ascii="Arial Narrow" w:hAnsi="Arial Narrow" w:cs="Calibri"/>
                <w:b/>
                <w:i/>
                <w:color w:val="000000"/>
                <w:sz w:val="20"/>
                <w:szCs w:val="20"/>
                <w:shd w:val="solid" w:color="000000" w:fill="000000"/>
                <w14:textFill>
                  <w14:solidFill>
                    <w14:srgbClr w14:val="000000">
                      <w14:alpha w14:val="100000"/>
                    </w14:srgbClr>
                  </w14:solidFill>
                </w14:textFill>
              </w:rPr>
              <w:t>|</w:t>
            </w:r>
            <w:r w:rsidR="009762E5" w:rsidRPr="0023146D">
              <w:rPr>
                <w:rFonts w:ascii="Arial Narrow" w:hAnsi="Arial Narrow" w:cs="Calibri"/>
                <w:b/>
                <w:bCs/>
                <w:i/>
                <w:iCs/>
                <w:color w:val="000000"/>
                <w:sz w:val="20"/>
                <w:szCs w:val="20"/>
              </w:rPr>
              <w:t>%</w:t>
            </w:r>
          </w:p>
        </w:tc>
      </w:tr>
    </w:tbl>
    <w:p w14:paraId="5C94843F" w14:textId="40A5345D" w:rsidR="009762E5" w:rsidRPr="0023146D" w:rsidRDefault="009762E5" w:rsidP="00601E82">
      <w:pPr>
        <w:pStyle w:val="TableFigureHeading"/>
        <w:keepLines/>
        <w:rPr>
          <w:rStyle w:val="CommentReference"/>
          <w:bCs w:val="0"/>
          <w:sz w:val="18"/>
          <w:szCs w:val="18"/>
        </w:rPr>
      </w:pPr>
      <w:r w:rsidRPr="0023146D">
        <w:rPr>
          <w:rStyle w:val="CommentReference"/>
          <w:bCs w:val="0"/>
          <w:sz w:val="18"/>
          <w:szCs w:val="18"/>
        </w:rPr>
        <w:t>Source: Table 3.64, p186 of the resubmission.</w:t>
      </w:r>
    </w:p>
    <w:p w14:paraId="48A24B8A" w14:textId="7A3D71BD" w:rsidR="009762E5" w:rsidRPr="0023146D" w:rsidRDefault="009762E5" w:rsidP="00601E82">
      <w:pPr>
        <w:pStyle w:val="TableFigureHeading"/>
        <w:keepLines/>
        <w:rPr>
          <w:rStyle w:val="CommentReference"/>
          <w:sz w:val="18"/>
          <w:szCs w:val="18"/>
        </w:rPr>
      </w:pPr>
      <w:r w:rsidRPr="0023146D">
        <w:rPr>
          <w:rStyle w:val="CommentReference"/>
          <w:bCs w:val="0"/>
          <w:sz w:val="18"/>
          <w:szCs w:val="18"/>
        </w:rPr>
        <w:t>SoC = standard of care</w:t>
      </w:r>
    </w:p>
    <w:p w14:paraId="6A9A4AFB" w14:textId="3E3FDA22" w:rsidR="00910864" w:rsidRPr="00F57F1D" w:rsidRDefault="00E643C4">
      <w:pPr>
        <w:pStyle w:val="3-BodyText"/>
      </w:pPr>
      <w:r w:rsidRPr="00F57F1D">
        <w:t xml:space="preserve">The model estimated </w:t>
      </w:r>
      <w:r w:rsidR="002425E9" w:rsidRPr="00F57F1D">
        <w:t>a</w:t>
      </w:r>
      <w:r w:rsidRPr="00F57F1D">
        <w:t xml:space="preserve"> subsequent treatment cost for SoC of $21,636 which is higher than for maribavir </w:t>
      </w:r>
      <w:r w:rsidR="00654FD4" w:rsidRPr="00F57F1D">
        <w:t xml:space="preserve">at </w:t>
      </w:r>
      <w:r w:rsidRPr="00F57F1D">
        <w:t>$</w:t>
      </w:r>
      <w:r w:rsidR="007548FA" w:rsidRPr="0027615A">
        <w:rPr>
          <w:color w:val="000000"/>
          <w:w w:val="15"/>
          <w:shd w:val="solid" w:color="000000" w:fill="000000"/>
          <w:fitText w:val="-20" w:id="-760538106"/>
          <w14:textFill>
            <w14:solidFill>
              <w14:srgbClr w14:val="000000">
                <w14:alpha w14:val="100000"/>
              </w14:srgbClr>
            </w14:solidFill>
          </w14:textFill>
        </w:rPr>
        <w:t xml:space="preserve">|  </w:t>
      </w:r>
      <w:r w:rsidR="007548FA" w:rsidRPr="0027615A">
        <w:rPr>
          <w:color w:val="000000"/>
          <w:spacing w:val="-69"/>
          <w:w w:val="15"/>
          <w:shd w:val="solid" w:color="000000" w:fill="000000"/>
          <w:fitText w:val="-20" w:id="-760538106"/>
          <w14:textFill>
            <w14:solidFill>
              <w14:srgbClr w14:val="000000">
                <w14:alpha w14:val="100000"/>
              </w14:srgbClr>
            </w14:solidFill>
          </w14:textFill>
        </w:rPr>
        <w:t>|</w:t>
      </w:r>
      <w:r w:rsidR="00DE7818" w:rsidRPr="00F57F1D">
        <w:t xml:space="preserve">, and accounts for </w:t>
      </w:r>
      <w:r w:rsidR="00F11FD9" w:rsidRPr="00F57F1D">
        <w:t xml:space="preserve">the largest </w:t>
      </w:r>
      <w:r w:rsidR="004C30D4" w:rsidRPr="00F57F1D">
        <w:t>cost offset</w:t>
      </w:r>
      <w:r w:rsidR="00F571C3" w:rsidRPr="00F57F1D">
        <w:t xml:space="preserve"> </w:t>
      </w:r>
      <w:r w:rsidR="004C30D4" w:rsidRPr="00F57F1D">
        <w:t>estimated</w:t>
      </w:r>
      <w:r w:rsidR="00F571C3" w:rsidRPr="00F57F1D">
        <w:t xml:space="preserve"> by listing maribavir (-</w:t>
      </w:r>
      <w:r w:rsidR="007548FA" w:rsidRPr="0027615A">
        <w:rPr>
          <w:color w:val="000000"/>
          <w:w w:val="15"/>
          <w:shd w:val="solid" w:color="000000" w:fill="000000"/>
          <w:fitText w:val="-20" w:id="-760538105"/>
          <w14:textFill>
            <w14:solidFill>
              <w14:srgbClr w14:val="000000">
                <w14:alpha w14:val="100000"/>
              </w14:srgbClr>
            </w14:solidFill>
          </w14:textFill>
        </w:rPr>
        <w:t xml:space="preserve">|  </w:t>
      </w:r>
      <w:r w:rsidR="007548FA" w:rsidRPr="0027615A">
        <w:rPr>
          <w:color w:val="000000"/>
          <w:spacing w:val="-69"/>
          <w:w w:val="15"/>
          <w:shd w:val="solid" w:color="000000" w:fill="000000"/>
          <w:fitText w:val="-20" w:id="-760538105"/>
          <w14:textFill>
            <w14:solidFill>
              <w14:srgbClr w14:val="000000">
                <w14:alpha w14:val="100000"/>
              </w14:srgbClr>
            </w14:solidFill>
          </w14:textFill>
        </w:rPr>
        <w:t>|</w:t>
      </w:r>
      <w:r w:rsidR="004C30D4" w:rsidRPr="00F57F1D">
        <w:t>%).</w:t>
      </w:r>
      <w:r w:rsidR="007929A7" w:rsidRPr="00F57F1D">
        <w:t xml:space="preserve"> This estimate is uncertain given the </w:t>
      </w:r>
      <w:r w:rsidR="006F4BF7" w:rsidRPr="00F57F1D">
        <w:t>o</w:t>
      </w:r>
      <w:r w:rsidR="00033821" w:rsidRPr="00F57F1D">
        <w:t xml:space="preserve">verestimated </w:t>
      </w:r>
      <w:r w:rsidR="009E63C4">
        <w:t xml:space="preserve">duration of </w:t>
      </w:r>
      <w:r w:rsidR="00033821" w:rsidRPr="00F57F1D">
        <w:t>use</w:t>
      </w:r>
      <w:r w:rsidR="006E437E" w:rsidRPr="00F57F1D">
        <w:t xml:space="preserve"> </w:t>
      </w:r>
      <w:r w:rsidR="00033821" w:rsidRPr="00F57F1D">
        <w:t>of foscarnet</w:t>
      </w:r>
      <w:r w:rsidR="00395E7F" w:rsidRPr="00F57F1D">
        <w:t xml:space="preserve"> </w:t>
      </w:r>
      <w:r w:rsidR="00033821" w:rsidRPr="00F57F1D">
        <w:t>inflat</w:t>
      </w:r>
      <w:r w:rsidR="00BE7402" w:rsidRPr="00F57F1D">
        <w:t>ing</w:t>
      </w:r>
      <w:r w:rsidR="00033821" w:rsidRPr="00F57F1D">
        <w:t xml:space="preserve"> subsequent </w:t>
      </w:r>
      <w:r w:rsidR="006E437E" w:rsidRPr="00F57F1D">
        <w:t>treatment</w:t>
      </w:r>
      <w:r w:rsidR="00033821" w:rsidRPr="00F57F1D">
        <w:t xml:space="preserve"> costs in both maribavir and S</w:t>
      </w:r>
      <w:r w:rsidR="00E4630E" w:rsidRPr="00F57F1D">
        <w:t>o</w:t>
      </w:r>
      <w:r w:rsidR="00033821" w:rsidRPr="00F57F1D">
        <w:t>C</w:t>
      </w:r>
      <w:r w:rsidR="006B02AA">
        <w:t xml:space="preserve"> in the resubmission base case</w:t>
      </w:r>
      <w:r w:rsidR="005E061F" w:rsidRPr="00F57F1D">
        <w:t>. H</w:t>
      </w:r>
      <w:r w:rsidR="00033821" w:rsidRPr="00F57F1D">
        <w:t>owever</w:t>
      </w:r>
      <w:r w:rsidR="002425E9" w:rsidRPr="00F57F1D">
        <w:t>,</w:t>
      </w:r>
      <w:r w:rsidR="00033821" w:rsidRPr="00F57F1D">
        <w:t xml:space="preserve"> given</w:t>
      </w:r>
      <w:r w:rsidR="002425E9" w:rsidRPr="00F57F1D">
        <w:t xml:space="preserve"> a higher</w:t>
      </w:r>
      <w:r w:rsidR="00033821" w:rsidRPr="00F57F1D">
        <w:t xml:space="preserve"> proportion of</w:t>
      </w:r>
      <w:r w:rsidR="00192E97" w:rsidRPr="00F57F1D">
        <w:t xml:space="preserve"> patients with clinically significant CMV infection</w:t>
      </w:r>
      <w:r w:rsidR="00033821" w:rsidRPr="00F57F1D">
        <w:t xml:space="preserve"> </w:t>
      </w:r>
      <w:r w:rsidR="00192E97" w:rsidRPr="00F57F1D">
        <w:t>(</w:t>
      </w:r>
      <w:proofErr w:type="spellStart"/>
      <w:r w:rsidR="00447B9D" w:rsidRPr="00F57F1D">
        <w:t>cs</w:t>
      </w:r>
      <w:r w:rsidR="00033821" w:rsidRPr="00F57F1D">
        <w:t>CMV</w:t>
      </w:r>
      <w:proofErr w:type="spellEnd"/>
      <w:r w:rsidR="00192E97" w:rsidRPr="00F57F1D">
        <w:t>)</w:t>
      </w:r>
      <w:r w:rsidR="00033821" w:rsidRPr="00F57F1D">
        <w:t xml:space="preserve"> in SoC than maribavir, it disproportionately impacts SoC </w:t>
      </w:r>
      <w:r w:rsidR="003445CD" w:rsidRPr="00F57F1D">
        <w:t xml:space="preserve">more </w:t>
      </w:r>
      <w:r w:rsidR="00033821" w:rsidRPr="00F57F1D">
        <w:t>than maribavir</w:t>
      </w:r>
      <w:r w:rsidR="009047B1" w:rsidRPr="00F57F1D">
        <w:t xml:space="preserve">. </w:t>
      </w:r>
      <w:r w:rsidR="00D00BB5" w:rsidRPr="00F57F1D">
        <w:t xml:space="preserve">Overall, </w:t>
      </w:r>
      <w:r w:rsidR="00C74018" w:rsidRPr="00F57F1D">
        <w:t xml:space="preserve">the </w:t>
      </w:r>
      <w:r w:rsidR="00AA5EC9" w:rsidRPr="00F57F1D">
        <w:t>cost offsets from subsequent treatments</w:t>
      </w:r>
      <w:r w:rsidR="009F62D2" w:rsidRPr="00F57F1D">
        <w:t xml:space="preserve"> </w:t>
      </w:r>
      <w:r w:rsidR="003E6ACB" w:rsidRPr="00F57F1D">
        <w:t>are</w:t>
      </w:r>
      <w:r w:rsidR="00C74018" w:rsidRPr="00F57F1D">
        <w:t xml:space="preserve"> likely overestimated</w:t>
      </w:r>
      <w:r w:rsidR="002425E9" w:rsidRPr="00F57F1D">
        <w:t xml:space="preserve"> in favour of maribavir</w:t>
      </w:r>
      <w:r w:rsidR="00C74018" w:rsidRPr="00F57F1D">
        <w:t>.</w:t>
      </w:r>
      <w:r w:rsidR="009F62D2" w:rsidRPr="00F57F1D">
        <w:t xml:space="preserve"> </w:t>
      </w:r>
    </w:p>
    <w:p w14:paraId="712456DE" w14:textId="6B4BC901" w:rsidR="00910864" w:rsidRPr="0023146D" w:rsidRDefault="00910864" w:rsidP="00910864">
      <w:pPr>
        <w:pStyle w:val="3-BodyText"/>
      </w:pPr>
      <w:r w:rsidRPr="0023146D">
        <w:t xml:space="preserve">A summary of the model traces over time for maribavir and IAT </w:t>
      </w:r>
      <w:r w:rsidR="00C65ED0" w:rsidRPr="0023146D">
        <w:t xml:space="preserve">for stage 1 </w:t>
      </w:r>
      <w:r w:rsidRPr="0023146D">
        <w:t xml:space="preserve">is presented in </w:t>
      </w:r>
      <w:r w:rsidR="00A20FD0" w:rsidRPr="0023146D">
        <w:fldChar w:fldCharType="begin" w:fldLock="1"/>
      </w:r>
      <w:r w:rsidR="00A20FD0" w:rsidRPr="0023146D">
        <w:instrText xml:space="preserve"> REF _Ref175901578 \h </w:instrText>
      </w:r>
      <w:r w:rsidR="00A20FD0" w:rsidRPr="0023146D">
        <w:fldChar w:fldCharType="separate"/>
      </w:r>
      <w:r w:rsidR="008854AA" w:rsidRPr="0023146D">
        <w:t xml:space="preserve">Figure </w:t>
      </w:r>
      <w:r w:rsidR="008854AA">
        <w:rPr>
          <w:noProof/>
        </w:rPr>
        <w:t>1</w:t>
      </w:r>
      <w:r w:rsidR="00A20FD0" w:rsidRPr="0023146D">
        <w:fldChar w:fldCharType="end"/>
      </w:r>
      <w:r w:rsidRPr="0023146D">
        <w:t xml:space="preserve">. </w:t>
      </w:r>
    </w:p>
    <w:p w14:paraId="6963A530" w14:textId="1251637C" w:rsidR="00A20FD0" w:rsidRPr="0023146D" w:rsidRDefault="00A20FD0" w:rsidP="00213B0B">
      <w:pPr>
        <w:pStyle w:val="Caption"/>
        <w:rPr>
          <w:i/>
          <w:iCs/>
        </w:rPr>
      </w:pPr>
      <w:bookmarkStart w:id="49" w:name="_Ref175901578"/>
      <w:r w:rsidRPr="0023146D">
        <w:t xml:space="preserve">Figure </w:t>
      </w:r>
      <w:r w:rsidR="008A7014">
        <w:fldChar w:fldCharType="begin" w:fldLock="1"/>
      </w:r>
      <w:r w:rsidR="008A7014">
        <w:instrText xml:space="preserve"> SEQ Figure \* ARABIC </w:instrText>
      </w:r>
      <w:r w:rsidR="008A7014">
        <w:fldChar w:fldCharType="separate"/>
      </w:r>
      <w:r w:rsidR="008854AA">
        <w:rPr>
          <w:noProof/>
        </w:rPr>
        <w:t>1</w:t>
      </w:r>
      <w:r w:rsidR="008A7014">
        <w:rPr>
          <w:noProof/>
        </w:rPr>
        <w:fldChar w:fldCharType="end"/>
      </w:r>
      <w:bookmarkEnd w:id="49"/>
      <w:r w:rsidRPr="0023146D">
        <w:t>: Markov traces between maribavir and IAT for stage 1</w:t>
      </w:r>
      <w:r w:rsidR="006A6145" w:rsidRPr="0023146D">
        <w:t>.</w:t>
      </w:r>
    </w:p>
    <w:p w14:paraId="3709E165" w14:textId="2529BA11" w:rsidR="008A4CFA" w:rsidRPr="0023146D" w:rsidRDefault="002F663F" w:rsidP="00213B0B">
      <w:pPr>
        <w:pStyle w:val="3-BodyText"/>
        <w:keepNext/>
        <w:keepLines/>
        <w:numPr>
          <w:ilvl w:val="0"/>
          <w:numId w:val="0"/>
        </w:numPr>
        <w:spacing w:before="0" w:after="0"/>
        <w:rPr>
          <w:i/>
          <w:iCs/>
        </w:rPr>
      </w:pPr>
      <w:r w:rsidRPr="0023146D">
        <w:rPr>
          <w:i/>
          <w:iCs/>
          <w:noProof/>
        </w:rPr>
        <w:drawing>
          <wp:inline distT="0" distB="0" distL="0" distR="0" wp14:anchorId="66E07230" wp14:editId="7E8FA673">
            <wp:extent cx="5763986" cy="2004621"/>
            <wp:effectExtent l="0" t="0" r="0" b="0"/>
            <wp:docPr id="379711121" name="Picture 4" descr="Figure 1: Markov traces between maribavir and IAT for st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711121" name="Picture 4" descr="Figure 1: Markov traces between maribavir and IAT for st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8003" cy="2023407"/>
                    </a:xfrm>
                    <a:prstGeom prst="rect">
                      <a:avLst/>
                    </a:prstGeom>
                    <a:noFill/>
                  </pic:spPr>
                </pic:pic>
              </a:graphicData>
            </a:graphic>
          </wp:inline>
        </w:drawing>
      </w:r>
      <w:r w:rsidR="00CB3314" w:rsidRPr="0023146D" w:rsidDel="00CB3314">
        <w:rPr>
          <w:noProof/>
        </w:rPr>
        <w:t xml:space="preserve"> </w:t>
      </w:r>
    </w:p>
    <w:p w14:paraId="17874FA3" w14:textId="5D9C15B4" w:rsidR="00CB3314" w:rsidRPr="0023146D" w:rsidRDefault="00A75943" w:rsidP="00213B0B">
      <w:pPr>
        <w:pStyle w:val="3-BodyText"/>
        <w:keepNext/>
        <w:keepLines/>
        <w:numPr>
          <w:ilvl w:val="0"/>
          <w:numId w:val="0"/>
        </w:numPr>
        <w:spacing w:before="0" w:after="0"/>
        <w:rPr>
          <w:rFonts w:ascii="Arial Narrow" w:hAnsi="Arial Narrow"/>
          <w:sz w:val="18"/>
          <w:szCs w:val="16"/>
        </w:rPr>
      </w:pPr>
      <w:r w:rsidRPr="0023146D">
        <w:rPr>
          <w:rFonts w:ascii="Arial Narrow" w:hAnsi="Arial Narrow"/>
          <w:sz w:val="18"/>
          <w:szCs w:val="16"/>
        </w:rPr>
        <w:t>Source:</w:t>
      </w:r>
      <w:r w:rsidR="00A61FF6" w:rsidRPr="0023146D">
        <w:rPr>
          <w:rFonts w:ascii="Arial Narrow" w:hAnsi="Arial Narrow"/>
          <w:sz w:val="18"/>
          <w:szCs w:val="16"/>
        </w:rPr>
        <w:t xml:space="preserve"> sheet ‘</w:t>
      </w:r>
      <w:r w:rsidRPr="0023146D">
        <w:rPr>
          <w:rFonts w:ascii="Arial Narrow" w:hAnsi="Arial Narrow"/>
          <w:sz w:val="18"/>
          <w:szCs w:val="16"/>
        </w:rPr>
        <w:t>Deterministic Results</w:t>
      </w:r>
      <w:r w:rsidR="00A61FF6" w:rsidRPr="0023146D">
        <w:rPr>
          <w:rFonts w:ascii="Arial Narrow" w:hAnsi="Arial Narrow"/>
          <w:sz w:val="18"/>
          <w:szCs w:val="16"/>
        </w:rPr>
        <w:t>’ of the economic Excel model</w:t>
      </w:r>
    </w:p>
    <w:p w14:paraId="3F36A718" w14:textId="6B16F715" w:rsidR="00272BA7" w:rsidRPr="0023146D" w:rsidRDefault="00272BA7" w:rsidP="006B02AA">
      <w:pPr>
        <w:spacing w:after="120"/>
      </w:pPr>
      <w:proofErr w:type="spellStart"/>
      <w:r w:rsidRPr="0023146D">
        <w:rPr>
          <w:rFonts w:ascii="Arial Narrow" w:hAnsi="Arial Narrow"/>
          <w:sz w:val="18"/>
          <w:szCs w:val="18"/>
        </w:rPr>
        <w:t>csCMV</w:t>
      </w:r>
      <w:proofErr w:type="spellEnd"/>
      <w:r w:rsidRPr="0023146D">
        <w:rPr>
          <w:rFonts w:ascii="Arial Narrow" w:hAnsi="Arial Narrow"/>
          <w:sz w:val="18"/>
          <w:szCs w:val="18"/>
        </w:rPr>
        <w:t xml:space="preserve"> = clinically significant CMV infection; n-</w:t>
      </w:r>
      <w:proofErr w:type="spellStart"/>
      <w:r w:rsidRPr="0023146D">
        <w:rPr>
          <w:rFonts w:ascii="Arial Narrow" w:hAnsi="Arial Narrow"/>
          <w:sz w:val="18"/>
          <w:szCs w:val="18"/>
        </w:rPr>
        <w:t>csCMV</w:t>
      </w:r>
      <w:proofErr w:type="spellEnd"/>
      <w:r w:rsidRPr="0023146D">
        <w:rPr>
          <w:rFonts w:ascii="Arial Narrow" w:hAnsi="Arial Narrow"/>
          <w:sz w:val="18"/>
          <w:szCs w:val="18"/>
        </w:rPr>
        <w:t xml:space="preserve"> = non-clinically significant CMV infection</w:t>
      </w:r>
    </w:p>
    <w:p w14:paraId="5745CFF7" w14:textId="1148F64D" w:rsidR="00B27F63" w:rsidRPr="00F57F1D" w:rsidRDefault="00D45FB8" w:rsidP="00E0397F">
      <w:pPr>
        <w:pStyle w:val="3-BodyText"/>
      </w:pPr>
      <w:r w:rsidRPr="00F57F1D">
        <w:lastRenderedPageBreak/>
        <w:t xml:space="preserve">The model </w:t>
      </w:r>
      <w:r w:rsidR="000D79FE" w:rsidRPr="00F57F1D">
        <w:t>predicts</w:t>
      </w:r>
      <w:r w:rsidR="00965F6F" w:rsidRPr="00F57F1D">
        <w:t xml:space="preserve"> that patients with non-clinically significant CMV infection (</w:t>
      </w:r>
      <w:r w:rsidR="000D79FE" w:rsidRPr="00F57F1D">
        <w:t>n-</w:t>
      </w:r>
      <w:proofErr w:type="spellStart"/>
      <w:r w:rsidR="001C6339" w:rsidRPr="00F57F1D">
        <w:t>csCMV</w:t>
      </w:r>
      <w:proofErr w:type="spellEnd"/>
      <w:r w:rsidR="00965F6F" w:rsidRPr="00F57F1D">
        <w:t>)</w:t>
      </w:r>
      <w:r w:rsidR="001C6339" w:rsidRPr="00F57F1D">
        <w:t xml:space="preserve"> would account for 55.7% of maribavir patients and </w:t>
      </w:r>
      <w:r w:rsidR="00C002FF" w:rsidRPr="00F57F1D">
        <w:t>23.9% of IAT patients at week 8</w:t>
      </w:r>
      <w:r w:rsidR="003E7F16" w:rsidRPr="00F57F1D">
        <w:t xml:space="preserve">, consistent with </w:t>
      </w:r>
      <w:r w:rsidR="00A27F4D" w:rsidRPr="00F57F1D">
        <w:t>CMV viremia clearance effect</w:t>
      </w:r>
      <w:r w:rsidR="0029479A" w:rsidRPr="00F57F1D">
        <w:t xml:space="preserve"> observed</w:t>
      </w:r>
      <w:r w:rsidR="00A27F4D" w:rsidRPr="00F57F1D">
        <w:t xml:space="preserve"> at week 8 in SOLSTICE.</w:t>
      </w:r>
      <w:r w:rsidR="0017362F" w:rsidRPr="00F57F1D">
        <w:t xml:space="preserve"> </w:t>
      </w:r>
      <w:r w:rsidR="00B27F63" w:rsidRPr="00F57F1D">
        <w:t xml:space="preserve">After </w:t>
      </w:r>
      <w:r w:rsidR="0017362F" w:rsidRPr="00F57F1D">
        <w:t>that</w:t>
      </w:r>
      <w:r w:rsidR="00B27F63" w:rsidRPr="00F57F1D">
        <w:t xml:space="preserve">, the model predicts </w:t>
      </w:r>
      <w:r w:rsidR="00FB5314" w:rsidRPr="00F57F1D">
        <w:t>an increase in</w:t>
      </w:r>
      <w:r w:rsidR="00B27F63" w:rsidRPr="00F57F1D">
        <w:t xml:space="preserve"> patients with </w:t>
      </w:r>
      <w:r w:rsidR="0017362F" w:rsidRPr="00F57F1D">
        <w:t>n-</w:t>
      </w:r>
      <w:proofErr w:type="spellStart"/>
      <w:r w:rsidR="0017362F" w:rsidRPr="00F57F1D">
        <w:t>csCMV</w:t>
      </w:r>
      <w:proofErr w:type="spellEnd"/>
      <w:r w:rsidR="0017362F" w:rsidRPr="00F57F1D" w:rsidDel="0017362F">
        <w:t xml:space="preserve"> </w:t>
      </w:r>
      <w:r w:rsidR="002E6EB2" w:rsidRPr="00F57F1D">
        <w:t xml:space="preserve">up to the end of stage 1 period for both maribavir and IAT. </w:t>
      </w:r>
      <w:r w:rsidR="00B27F63" w:rsidRPr="00F57F1D">
        <w:t xml:space="preserve">However, this </w:t>
      </w:r>
      <w:r w:rsidR="006A5737" w:rsidRPr="00F57F1D">
        <w:t>constant</w:t>
      </w:r>
      <w:r w:rsidR="00B27F63" w:rsidRPr="00F57F1D">
        <w:t xml:space="preserve"> improvement in</w:t>
      </w:r>
      <w:r w:rsidR="006C6FB8" w:rsidRPr="00F57F1D">
        <w:t xml:space="preserve"> patients with</w:t>
      </w:r>
      <w:r w:rsidR="00B27F63" w:rsidRPr="00F57F1D">
        <w:t xml:space="preserve"> CMV</w:t>
      </w:r>
      <w:r w:rsidR="006C6FB8" w:rsidRPr="00F57F1D">
        <w:t xml:space="preserve"> </w:t>
      </w:r>
      <w:r w:rsidR="00B03863" w:rsidRPr="00F57F1D">
        <w:t>viremia</w:t>
      </w:r>
      <w:r w:rsidR="00B27F63" w:rsidRPr="00F57F1D">
        <w:t xml:space="preserve"> clearance over time is unlikely, </w:t>
      </w:r>
      <w:r w:rsidR="00161BD3" w:rsidRPr="00F57F1D">
        <w:t>considering that</w:t>
      </w:r>
      <w:r w:rsidR="00B27F63" w:rsidRPr="00F57F1D">
        <w:t xml:space="preserve"> resistance is </w:t>
      </w:r>
      <w:r w:rsidR="00161BD3" w:rsidRPr="00F57F1D">
        <w:t>likely</w:t>
      </w:r>
      <w:r w:rsidR="00B27F63" w:rsidRPr="00F57F1D">
        <w:t xml:space="preserve"> to develop. </w:t>
      </w:r>
      <w:r w:rsidR="005E4469" w:rsidRPr="00F57F1D">
        <w:t>Thus</w:t>
      </w:r>
      <w:r w:rsidR="00B27F63" w:rsidRPr="00F57F1D">
        <w:t xml:space="preserve">, the model likely </w:t>
      </w:r>
      <w:r w:rsidR="002425E9" w:rsidRPr="00F57F1D">
        <w:t xml:space="preserve">overestimated </w:t>
      </w:r>
      <w:r w:rsidR="00B27F63" w:rsidRPr="00F57F1D">
        <w:t>the clearance benefits in both the maribavir and IAT arms during the post</w:t>
      </w:r>
      <w:r w:rsidR="00D77CA4" w:rsidRPr="00F57F1D">
        <w:t>-</w:t>
      </w:r>
      <w:r w:rsidR="00B27F63" w:rsidRPr="00F57F1D">
        <w:t>trial</w:t>
      </w:r>
      <w:r w:rsidR="00D77CA4" w:rsidRPr="00F57F1D">
        <w:t xml:space="preserve"> period</w:t>
      </w:r>
      <w:r w:rsidR="00B27F63" w:rsidRPr="00F57F1D">
        <w:t xml:space="preserve">. In terms of effect, this </w:t>
      </w:r>
      <w:r w:rsidR="002478AD" w:rsidRPr="00F57F1D">
        <w:t>appear</w:t>
      </w:r>
      <w:r w:rsidR="006B02AA">
        <w:t>ed</w:t>
      </w:r>
      <w:r w:rsidR="002478AD" w:rsidRPr="00F57F1D">
        <w:t xml:space="preserve"> to</w:t>
      </w:r>
      <w:r w:rsidR="00183C51" w:rsidRPr="00F57F1D">
        <w:t xml:space="preserve"> </w:t>
      </w:r>
      <w:r w:rsidR="00B27F63" w:rsidRPr="00F57F1D">
        <w:t xml:space="preserve">favour IAT; however, whether the model truly favours IAT depends on </w:t>
      </w:r>
      <w:r w:rsidR="006F5CCA" w:rsidRPr="00F57F1D">
        <w:t>whether this effect outweighs the</w:t>
      </w:r>
      <w:r w:rsidR="00F32C92" w:rsidRPr="00F57F1D">
        <w:t xml:space="preserve"> likely overestimate of IAT </w:t>
      </w:r>
      <w:r w:rsidR="006F5CCA" w:rsidRPr="00F57F1D">
        <w:t>costs in the model.</w:t>
      </w:r>
    </w:p>
    <w:p w14:paraId="2C647E95" w14:textId="7A36978C" w:rsidR="00C10C1A" w:rsidRPr="00045880" w:rsidRDefault="00C10C1A" w:rsidP="00E0397F">
      <w:pPr>
        <w:pStyle w:val="3-BodyText"/>
      </w:pPr>
      <w:r w:rsidRPr="0023146D">
        <w:t>The resubmission provide</w:t>
      </w:r>
      <w:r w:rsidR="00F32C92" w:rsidRPr="0023146D">
        <w:t>d</w:t>
      </w:r>
      <w:r w:rsidRPr="0023146D">
        <w:t xml:space="preserve"> revised utility values </w:t>
      </w:r>
      <w:r w:rsidR="00351D04" w:rsidRPr="0023146D">
        <w:t>using</w:t>
      </w:r>
      <w:r w:rsidRPr="0023146D">
        <w:t xml:space="preserve"> </w:t>
      </w:r>
      <w:r w:rsidR="003F06C7" w:rsidRPr="0023146D">
        <w:t>an</w:t>
      </w:r>
      <w:r w:rsidRPr="0023146D">
        <w:t xml:space="preserve"> Australian specific tariff (Norman et al., 2023) for EQ-5D-5L</w:t>
      </w:r>
      <w:r w:rsidR="00D54E10" w:rsidRPr="0023146D">
        <w:t xml:space="preserve"> data </w:t>
      </w:r>
      <w:r w:rsidR="002A552E" w:rsidRPr="0023146D">
        <w:t>from</w:t>
      </w:r>
      <w:r w:rsidR="00EC6455" w:rsidRPr="0023146D">
        <w:t xml:space="preserve"> SOLSTICE and </w:t>
      </w:r>
      <w:r w:rsidR="00082164" w:rsidRPr="0023146D">
        <w:t>v</w:t>
      </w:r>
      <w:r w:rsidR="00EC6455" w:rsidRPr="0023146D">
        <w:t>ignette stud</w:t>
      </w:r>
      <w:r w:rsidR="002A552E" w:rsidRPr="0023146D">
        <w:t>ies</w:t>
      </w:r>
      <w:r w:rsidR="00EC6455" w:rsidRPr="0023146D">
        <w:t xml:space="preserve"> </w:t>
      </w:r>
      <w:r w:rsidR="00FE1E6D" w:rsidRPr="0023146D">
        <w:t xml:space="preserve">presented in the </w:t>
      </w:r>
      <w:r w:rsidR="00C136FF" w:rsidRPr="0023146D">
        <w:t>previous</w:t>
      </w:r>
      <w:r w:rsidR="00FE1E6D" w:rsidRPr="0023146D">
        <w:t xml:space="preserve"> submission. </w:t>
      </w:r>
      <w:r w:rsidR="008202F6" w:rsidRPr="00F57F1D">
        <w:rPr>
          <w:iCs/>
        </w:rPr>
        <w:t xml:space="preserve">The updated </w:t>
      </w:r>
      <w:r w:rsidR="0068287C" w:rsidRPr="00F57F1D">
        <w:rPr>
          <w:iCs/>
        </w:rPr>
        <w:t xml:space="preserve">utility </w:t>
      </w:r>
      <w:r w:rsidR="00A87D09" w:rsidRPr="00F57F1D">
        <w:rPr>
          <w:iCs/>
        </w:rPr>
        <w:t xml:space="preserve">values </w:t>
      </w:r>
      <w:r w:rsidR="008202F6" w:rsidRPr="00F57F1D">
        <w:rPr>
          <w:iCs/>
        </w:rPr>
        <w:t>are</w:t>
      </w:r>
      <w:r w:rsidR="00A87D09" w:rsidRPr="00F57F1D">
        <w:rPr>
          <w:iCs/>
        </w:rPr>
        <w:t xml:space="preserve"> </w:t>
      </w:r>
      <w:r w:rsidR="003F7E53" w:rsidRPr="00F57F1D">
        <w:rPr>
          <w:iCs/>
        </w:rPr>
        <w:t>all</w:t>
      </w:r>
      <w:r w:rsidR="00A87D09" w:rsidRPr="00F57F1D">
        <w:rPr>
          <w:iCs/>
        </w:rPr>
        <w:t xml:space="preserve"> higher than </w:t>
      </w:r>
      <w:r w:rsidR="0085401E" w:rsidRPr="00F57F1D">
        <w:rPr>
          <w:iCs/>
        </w:rPr>
        <w:t xml:space="preserve">those in the </w:t>
      </w:r>
      <w:r w:rsidR="00F32C92" w:rsidRPr="00F57F1D">
        <w:rPr>
          <w:iCs/>
        </w:rPr>
        <w:t xml:space="preserve">November 2023 </w:t>
      </w:r>
      <w:r w:rsidR="00A87D09" w:rsidRPr="00F57F1D">
        <w:rPr>
          <w:iCs/>
        </w:rPr>
        <w:t>submission</w:t>
      </w:r>
      <w:r w:rsidR="002F752E" w:rsidRPr="00F57F1D">
        <w:rPr>
          <w:iCs/>
        </w:rPr>
        <w:t xml:space="preserve"> (</w:t>
      </w:r>
      <w:r w:rsidR="000A52E0" w:rsidRPr="00F57F1D">
        <w:rPr>
          <w:iCs/>
        </w:rPr>
        <w:t xml:space="preserve">see </w:t>
      </w:r>
      <w:r w:rsidR="000A52E0" w:rsidRPr="00F57F1D">
        <w:rPr>
          <w:iCs/>
        </w:rPr>
        <w:fldChar w:fldCharType="begin" w:fldLock="1"/>
      </w:r>
      <w:r w:rsidR="000A52E0" w:rsidRPr="00F57F1D">
        <w:rPr>
          <w:iCs/>
        </w:rPr>
        <w:instrText xml:space="preserve"> REF _Ref175735502 \h  \* MERGEFORMAT </w:instrText>
      </w:r>
      <w:r w:rsidR="000A52E0" w:rsidRPr="00F57F1D">
        <w:rPr>
          <w:iCs/>
        </w:rPr>
      </w:r>
      <w:r w:rsidR="000A52E0" w:rsidRPr="00F57F1D">
        <w:rPr>
          <w:iCs/>
        </w:rPr>
        <w:fldChar w:fldCharType="separate"/>
      </w:r>
      <w:r w:rsidR="008854AA" w:rsidRPr="008854AA">
        <w:rPr>
          <w:iCs/>
        </w:rPr>
        <w:t xml:space="preserve">Table </w:t>
      </w:r>
      <w:r w:rsidR="008854AA" w:rsidRPr="008854AA">
        <w:rPr>
          <w:iCs/>
          <w:noProof/>
        </w:rPr>
        <w:t>7</w:t>
      </w:r>
      <w:r w:rsidR="000A52E0" w:rsidRPr="00F57F1D">
        <w:rPr>
          <w:iCs/>
        </w:rPr>
        <w:fldChar w:fldCharType="end"/>
      </w:r>
      <w:r w:rsidR="002F752E" w:rsidRPr="00F57F1D">
        <w:rPr>
          <w:iCs/>
        </w:rPr>
        <w:t>)</w:t>
      </w:r>
      <w:r w:rsidR="00A87D09" w:rsidRPr="00F57F1D">
        <w:rPr>
          <w:iCs/>
        </w:rPr>
        <w:t xml:space="preserve">. </w:t>
      </w:r>
      <w:r w:rsidR="00021221" w:rsidRPr="00F57F1D">
        <w:rPr>
          <w:iCs/>
        </w:rPr>
        <w:t>In addition</w:t>
      </w:r>
      <w:r w:rsidR="008202F6" w:rsidRPr="00F57F1D">
        <w:rPr>
          <w:iCs/>
        </w:rPr>
        <w:t xml:space="preserve">, </w:t>
      </w:r>
      <w:r w:rsidR="00021221" w:rsidRPr="00F57F1D">
        <w:rPr>
          <w:iCs/>
        </w:rPr>
        <w:t>t</w:t>
      </w:r>
      <w:r w:rsidRPr="00F57F1D">
        <w:rPr>
          <w:iCs/>
        </w:rPr>
        <w:t>he utility values</w:t>
      </w:r>
      <w:r w:rsidR="00CF08B7" w:rsidRPr="00F57F1D">
        <w:rPr>
          <w:iCs/>
        </w:rPr>
        <w:t>, especially</w:t>
      </w:r>
      <w:r w:rsidR="00ED254C" w:rsidRPr="00F57F1D">
        <w:rPr>
          <w:iCs/>
        </w:rPr>
        <w:t xml:space="preserve"> th</w:t>
      </w:r>
      <w:r w:rsidR="005F5EFC" w:rsidRPr="00F57F1D">
        <w:rPr>
          <w:iCs/>
        </w:rPr>
        <w:t>e value of</w:t>
      </w:r>
      <w:r w:rsidR="00ED254C" w:rsidRPr="00F57F1D">
        <w:rPr>
          <w:iCs/>
        </w:rPr>
        <w:t xml:space="preserve"> </w:t>
      </w:r>
      <w:r w:rsidRPr="00F57F1D">
        <w:rPr>
          <w:iCs/>
        </w:rPr>
        <w:t>0.928</w:t>
      </w:r>
      <w:r w:rsidR="00ED254C" w:rsidRPr="00F57F1D">
        <w:rPr>
          <w:iCs/>
        </w:rPr>
        <w:t xml:space="preserve"> applied for SOT patients </w:t>
      </w:r>
      <w:r w:rsidR="005E16B9" w:rsidRPr="00F57F1D">
        <w:rPr>
          <w:iCs/>
        </w:rPr>
        <w:t xml:space="preserve">with </w:t>
      </w:r>
      <w:r w:rsidR="00613CF3" w:rsidRPr="00F57F1D">
        <w:rPr>
          <w:iCs/>
        </w:rPr>
        <w:t xml:space="preserve">CMV </w:t>
      </w:r>
      <w:r w:rsidR="00B5524A" w:rsidRPr="00F57F1D">
        <w:rPr>
          <w:iCs/>
        </w:rPr>
        <w:t>vir</w:t>
      </w:r>
      <w:r w:rsidR="00613CF3" w:rsidRPr="00F57F1D">
        <w:rPr>
          <w:iCs/>
        </w:rPr>
        <w:t>emia</w:t>
      </w:r>
      <w:r w:rsidR="005E16B9" w:rsidRPr="00F57F1D">
        <w:rPr>
          <w:iCs/>
        </w:rPr>
        <w:t xml:space="preserve"> clearance during stage 1</w:t>
      </w:r>
      <w:r w:rsidR="00DC5DBC" w:rsidRPr="00F57F1D">
        <w:rPr>
          <w:iCs/>
        </w:rPr>
        <w:t xml:space="preserve"> </w:t>
      </w:r>
      <w:r w:rsidR="00CF08B7" w:rsidRPr="00F57F1D">
        <w:rPr>
          <w:iCs/>
        </w:rPr>
        <w:t>(</w:t>
      </w:r>
      <w:r w:rsidR="00ED254C" w:rsidRPr="00F57F1D">
        <w:rPr>
          <w:iCs/>
        </w:rPr>
        <w:t>n</w:t>
      </w:r>
      <w:r w:rsidR="00815400" w:rsidRPr="00F57F1D">
        <w:rPr>
          <w:iCs/>
        </w:rPr>
        <w:t>on</w:t>
      </w:r>
      <w:r w:rsidR="00ED254C" w:rsidRPr="00F57F1D">
        <w:rPr>
          <w:iCs/>
        </w:rPr>
        <w:t>-</w:t>
      </w:r>
      <w:proofErr w:type="spellStart"/>
      <w:r w:rsidR="00ED254C" w:rsidRPr="00F57F1D">
        <w:rPr>
          <w:iCs/>
        </w:rPr>
        <w:t>csCMV</w:t>
      </w:r>
      <w:proofErr w:type="spellEnd"/>
      <w:r w:rsidR="00DC5DBC" w:rsidRPr="00F57F1D">
        <w:rPr>
          <w:iCs/>
        </w:rPr>
        <w:t xml:space="preserve"> state) </w:t>
      </w:r>
      <w:r w:rsidR="006F6EFB" w:rsidRPr="00F57F1D">
        <w:rPr>
          <w:iCs/>
        </w:rPr>
        <w:t>and</w:t>
      </w:r>
      <w:r w:rsidR="00815400" w:rsidRPr="00F57F1D">
        <w:rPr>
          <w:iCs/>
        </w:rPr>
        <w:t xml:space="preserve"> th</w:t>
      </w:r>
      <w:r w:rsidR="005F5EFC" w:rsidRPr="00F57F1D">
        <w:rPr>
          <w:iCs/>
        </w:rPr>
        <w:t xml:space="preserve">e value of </w:t>
      </w:r>
      <w:r w:rsidR="006F6EFB" w:rsidRPr="00F57F1D">
        <w:rPr>
          <w:iCs/>
        </w:rPr>
        <w:t>0.864</w:t>
      </w:r>
      <w:r w:rsidR="00815400" w:rsidRPr="00F57F1D">
        <w:rPr>
          <w:iCs/>
        </w:rPr>
        <w:t xml:space="preserve"> </w:t>
      </w:r>
      <w:r w:rsidR="00920A03" w:rsidRPr="00F57F1D">
        <w:rPr>
          <w:iCs/>
        </w:rPr>
        <w:t xml:space="preserve">background utility </w:t>
      </w:r>
      <w:r w:rsidR="00815400" w:rsidRPr="00F57F1D">
        <w:rPr>
          <w:iCs/>
        </w:rPr>
        <w:t xml:space="preserve">applied for HSCT </w:t>
      </w:r>
      <w:r w:rsidR="005B40BE" w:rsidRPr="00F57F1D">
        <w:rPr>
          <w:iCs/>
        </w:rPr>
        <w:t>patient</w:t>
      </w:r>
      <w:r w:rsidR="00920A03" w:rsidRPr="00F57F1D">
        <w:rPr>
          <w:iCs/>
        </w:rPr>
        <w:t>s</w:t>
      </w:r>
      <w:r w:rsidR="005B40BE" w:rsidRPr="00F57F1D">
        <w:rPr>
          <w:iCs/>
        </w:rPr>
        <w:t xml:space="preserve"> during stage 2</w:t>
      </w:r>
      <w:r w:rsidR="005F5EFC" w:rsidRPr="00F57F1D">
        <w:rPr>
          <w:iCs/>
        </w:rPr>
        <w:t>,</w:t>
      </w:r>
      <w:r w:rsidR="005B40BE" w:rsidRPr="00F57F1D">
        <w:rPr>
          <w:iCs/>
        </w:rPr>
        <w:t xml:space="preserve"> </w:t>
      </w:r>
      <w:r w:rsidR="009975E2" w:rsidRPr="00F57F1D">
        <w:rPr>
          <w:iCs/>
        </w:rPr>
        <w:t xml:space="preserve">are </w:t>
      </w:r>
      <w:r w:rsidRPr="00F57F1D">
        <w:rPr>
          <w:iCs/>
        </w:rPr>
        <w:t>relative</w:t>
      </w:r>
      <w:r w:rsidR="009975E2" w:rsidRPr="00F57F1D">
        <w:rPr>
          <w:iCs/>
        </w:rPr>
        <w:t>ly high</w:t>
      </w:r>
      <w:r w:rsidRPr="00F57F1D">
        <w:rPr>
          <w:iCs/>
        </w:rPr>
        <w:t xml:space="preserve"> </w:t>
      </w:r>
      <w:r w:rsidR="002F3639" w:rsidRPr="00F57F1D">
        <w:rPr>
          <w:iCs/>
        </w:rPr>
        <w:t>comp</w:t>
      </w:r>
      <w:r w:rsidR="00D11EB5" w:rsidRPr="00F57F1D">
        <w:rPr>
          <w:iCs/>
        </w:rPr>
        <w:t>ar</w:t>
      </w:r>
      <w:r w:rsidR="002F3639" w:rsidRPr="00F57F1D">
        <w:rPr>
          <w:iCs/>
        </w:rPr>
        <w:t>ed</w:t>
      </w:r>
      <w:r w:rsidRPr="00F57F1D">
        <w:rPr>
          <w:iCs/>
        </w:rPr>
        <w:t xml:space="preserve"> to the Australian norm (e.g., 0.86 by Redwood et al., 2024). The ESC previously noted that the utility values for post-transplant and CMV infection</w:t>
      </w:r>
      <w:r w:rsidR="006162A6" w:rsidRPr="00F57F1D">
        <w:rPr>
          <w:iCs/>
        </w:rPr>
        <w:t xml:space="preserve"> patients</w:t>
      </w:r>
      <w:r w:rsidRPr="00F57F1D">
        <w:rPr>
          <w:iCs/>
        </w:rPr>
        <w:t xml:space="preserve">, both 0.9, in the </w:t>
      </w:r>
      <w:proofErr w:type="spellStart"/>
      <w:r w:rsidRPr="00F57F1D">
        <w:rPr>
          <w:iCs/>
        </w:rPr>
        <w:t>letermovir</w:t>
      </w:r>
      <w:proofErr w:type="spellEnd"/>
      <w:r w:rsidRPr="00F57F1D">
        <w:rPr>
          <w:iCs/>
        </w:rPr>
        <w:t xml:space="preserve"> submission appeared implausibly high, considering th</w:t>
      </w:r>
      <w:r w:rsidR="00570590" w:rsidRPr="00F57F1D">
        <w:rPr>
          <w:iCs/>
        </w:rPr>
        <w:t>at the</w:t>
      </w:r>
      <w:r w:rsidR="002478AD" w:rsidRPr="00F57F1D">
        <w:rPr>
          <w:iCs/>
        </w:rPr>
        <w:t>se</w:t>
      </w:r>
      <w:r w:rsidR="00570590" w:rsidRPr="00F57F1D">
        <w:rPr>
          <w:iCs/>
        </w:rPr>
        <w:t xml:space="preserve"> patient</w:t>
      </w:r>
      <w:r w:rsidR="00B87298" w:rsidRPr="00F57F1D">
        <w:rPr>
          <w:iCs/>
        </w:rPr>
        <w:t xml:space="preserve">s </w:t>
      </w:r>
      <w:r w:rsidR="0029601A" w:rsidRPr="00F57F1D">
        <w:rPr>
          <w:iCs/>
        </w:rPr>
        <w:t>were</w:t>
      </w:r>
      <w:r w:rsidR="00B87298" w:rsidRPr="00F57F1D">
        <w:rPr>
          <w:iCs/>
        </w:rPr>
        <w:t xml:space="preserve"> </w:t>
      </w:r>
      <w:r w:rsidR="001205D1" w:rsidRPr="00F57F1D">
        <w:rPr>
          <w:iCs/>
        </w:rPr>
        <w:t xml:space="preserve">considerably </w:t>
      </w:r>
      <w:r w:rsidRPr="00F57F1D">
        <w:rPr>
          <w:iCs/>
        </w:rPr>
        <w:t>unwell</w:t>
      </w:r>
      <w:r w:rsidR="007F4D44" w:rsidRPr="00F57F1D">
        <w:rPr>
          <w:iCs/>
        </w:rPr>
        <w:t xml:space="preserve"> </w:t>
      </w:r>
      <w:r w:rsidRPr="00F57F1D">
        <w:rPr>
          <w:iCs/>
        </w:rPr>
        <w:t xml:space="preserve">(para 6.35, 6.38, and 6.42, </w:t>
      </w:r>
      <w:proofErr w:type="spellStart"/>
      <w:r w:rsidRPr="00F57F1D">
        <w:rPr>
          <w:iCs/>
        </w:rPr>
        <w:t>letermovir</w:t>
      </w:r>
      <w:proofErr w:type="spellEnd"/>
      <w:r w:rsidRPr="00F57F1D">
        <w:rPr>
          <w:iCs/>
        </w:rPr>
        <w:t xml:space="preserve"> PSD, July 2018 PBAC meeting).</w:t>
      </w:r>
      <w:r w:rsidR="00815400" w:rsidRPr="0023146D">
        <w:t xml:space="preserve"> </w:t>
      </w:r>
      <w:r w:rsidR="00532900" w:rsidRPr="00045880">
        <w:t xml:space="preserve">The ESC agreed with the commentary that the updated </w:t>
      </w:r>
      <w:r w:rsidR="009B1436" w:rsidRPr="00045880">
        <w:t xml:space="preserve">utility </w:t>
      </w:r>
      <w:r w:rsidR="00532900" w:rsidRPr="00045880">
        <w:t xml:space="preserve">values appear implausibly high and noted that it was unclear whether the decrement values for </w:t>
      </w:r>
      <w:proofErr w:type="spellStart"/>
      <w:r w:rsidR="00532900" w:rsidRPr="00045880">
        <w:t>csCMV</w:t>
      </w:r>
      <w:proofErr w:type="spellEnd"/>
      <w:r w:rsidR="00532900" w:rsidRPr="00045880">
        <w:t xml:space="preserve"> were from the updated analysis. The ESC noted that applying the utility values from the November</w:t>
      </w:r>
      <w:r w:rsidR="001D4A3F">
        <w:t> </w:t>
      </w:r>
      <w:r w:rsidR="00532900" w:rsidRPr="00045880">
        <w:t xml:space="preserve">2023 submission increased the ICER to </w:t>
      </w:r>
      <w:r w:rsidR="002931C5" w:rsidRPr="002931C5">
        <w:t xml:space="preserve">$55,000 to &lt; $75,000 </w:t>
      </w:r>
      <w:r w:rsidR="00532900" w:rsidRPr="00045880">
        <w:t>per QALY (</w:t>
      </w:r>
      <w:r w:rsidR="007548FA" w:rsidRPr="0027615A">
        <w:rPr>
          <w:color w:val="000000"/>
          <w:w w:val="15"/>
          <w:shd w:val="solid" w:color="000000" w:fill="000000"/>
          <w:fitText w:val="-20" w:id="-760538104"/>
          <w14:textFill>
            <w14:solidFill>
              <w14:srgbClr w14:val="000000">
                <w14:alpha w14:val="100000"/>
              </w14:srgbClr>
            </w14:solidFill>
          </w14:textFill>
        </w:rPr>
        <w:t xml:space="preserve">|  </w:t>
      </w:r>
      <w:r w:rsidR="007548FA" w:rsidRPr="0027615A">
        <w:rPr>
          <w:color w:val="000000"/>
          <w:spacing w:val="-69"/>
          <w:w w:val="15"/>
          <w:shd w:val="solid" w:color="000000" w:fill="000000"/>
          <w:fitText w:val="-20" w:id="-760538104"/>
          <w14:textFill>
            <w14:solidFill>
              <w14:srgbClr w14:val="000000">
                <w14:alpha w14:val="100000"/>
              </w14:srgbClr>
            </w14:solidFill>
          </w14:textFill>
        </w:rPr>
        <w:t>|</w:t>
      </w:r>
      <w:r w:rsidR="00532900" w:rsidRPr="00045880">
        <w:t>% increase).</w:t>
      </w:r>
    </w:p>
    <w:p w14:paraId="0FD7BC42" w14:textId="33C5BED2" w:rsidR="00732F7D" w:rsidRPr="0023146D" w:rsidRDefault="00970618">
      <w:pPr>
        <w:pStyle w:val="3-BodyText"/>
      </w:pPr>
      <w:r w:rsidRPr="0023146D">
        <w:t>A</w:t>
      </w:r>
      <w:r w:rsidR="00732F7D" w:rsidRPr="0023146D">
        <w:t xml:space="preserve"> summary of the key drivers of the model </w:t>
      </w:r>
      <w:r w:rsidRPr="0023146D">
        <w:t>is presented in</w:t>
      </w:r>
      <w:r w:rsidR="00732F7D" w:rsidRPr="0023146D">
        <w:t xml:space="preserve"> </w:t>
      </w:r>
      <w:r w:rsidR="00732F7D" w:rsidRPr="0023146D">
        <w:fldChar w:fldCharType="begin" w:fldLock="1"/>
      </w:r>
      <w:r w:rsidR="00732F7D" w:rsidRPr="0023146D">
        <w:instrText xml:space="preserve"> REF _Ref104805122 \h  \* MERGEFORMAT </w:instrText>
      </w:r>
      <w:r w:rsidR="00732F7D" w:rsidRPr="0023146D">
        <w:fldChar w:fldCharType="separate"/>
      </w:r>
      <w:r w:rsidR="008854AA" w:rsidRPr="0023146D">
        <w:t xml:space="preserve">Table </w:t>
      </w:r>
      <w:r w:rsidR="008854AA">
        <w:t>9</w:t>
      </w:r>
      <w:r w:rsidR="00732F7D" w:rsidRPr="0023146D">
        <w:fldChar w:fldCharType="end"/>
      </w:r>
      <w:r w:rsidR="00732F7D" w:rsidRPr="0023146D">
        <w:t>.</w:t>
      </w:r>
      <w:r w:rsidR="00732F7D" w:rsidRPr="0023146D">
        <w:rPr>
          <w:color w:val="0066FF"/>
        </w:rPr>
        <w:t xml:space="preserve"> </w:t>
      </w:r>
    </w:p>
    <w:p w14:paraId="2FBD230B" w14:textId="66CD40D0" w:rsidR="00732F7D" w:rsidRPr="0023146D" w:rsidRDefault="00732F7D" w:rsidP="001D4A3F">
      <w:pPr>
        <w:pStyle w:val="Caption"/>
        <w:jc w:val="left"/>
        <w:rPr>
          <w:rStyle w:val="CommentReference"/>
          <w:b/>
          <w:szCs w:val="24"/>
        </w:rPr>
      </w:pPr>
      <w:bookmarkStart w:id="50" w:name="_Ref104805122"/>
      <w:r w:rsidRPr="0023146D">
        <w:lastRenderedPageBreak/>
        <w:t xml:space="preserve">Table </w:t>
      </w:r>
      <w:r w:rsidR="008A7014">
        <w:fldChar w:fldCharType="begin" w:fldLock="1"/>
      </w:r>
      <w:r w:rsidR="008A7014">
        <w:instrText xml:space="preserve"> SEQ Table \* ARABIC </w:instrText>
      </w:r>
      <w:r w:rsidR="008A7014">
        <w:fldChar w:fldCharType="separate"/>
      </w:r>
      <w:r w:rsidR="008854AA">
        <w:rPr>
          <w:noProof/>
        </w:rPr>
        <w:t>9</w:t>
      </w:r>
      <w:r w:rsidR="008A7014">
        <w:rPr>
          <w:noProof/>
        </w:rPr>
        <w:fldChar w:fldCharType="end"/>
      </w:r>
      <w:bookmarkEnd w:id="50"/>
      <w:r w:rsidRPr="0023146D">
        <w:t>:</w:t>
      </w:r>
      <w:r w:rsidRPr="0023146D">
        <w:rPr>
          <w:rStyle w:val="CommentReference"/>
          <w:b/>
          <w:szCs w:val="24"/>
        </w:rPr>
        <w:t xml:space="preserve"> Key drivers of the model</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9: Key drivers of the model"/>
        <w:tblDescription w:val="Table 9: Key drivers of the model"/>
      </w:tblPr>
      <w:tblGrid>
        <w:gridCol w:w="1697"/>
        <w:gridCol w:w="3819"/>
        <w:gridCol w:w="3643"/>
      </w:tblGrid>
      <w:tr w:rsidR="00996844" w:rsidRPr="00F57F1D" w14:paraId="6345969A" w14:textId="77777777" w:rsidTr="00AA10BF">
        <w:trPr>
          <w:tblHeader/>
        </w:trPr>
        <w:tc>
          <w:tcPr>
            <w:tcW w:w="926" w:type="pct"/>
            <w:shd w:val="clear" w:color="auto" w:fill="auto"/>
            <w:vAlign w:val="center"/>
          </w:tcPr>
          <w:p w14:paraId="05F62E26" w14:textId="77777777" w:rsidR="00732F7D" w:rsidRPr="00F57F1D" w:rsidRDefault="00732F7D" w:rsidP="001D4A3F">
            <w:pPr>
              <w:pStyle w:val="In-tableHeading"/>
            </w:pPr>
            <w:r w:rsidRPr="00F57F1D">
              <w:t>Description</w:t>
            </w:r>
          </w:p>
        </w:tc>
        <w:tc>
          <w:tcPr>
            <w:tcW w:w="2085" w:type="pct"/>
            <w:shd w:val="clear" w:color="auto" w:fill="auto"/>
            <w:vAlign w:val="center"/>
          </w:tcPr>
          <w:p w14:paraId="5055106A" w14:textId="77777777" w:rsidR="00732F7D" w:rsidRPr="00F57F1D" w:rsidRDefault="00732F7D" w:rsidP="001D4A3F">
            <w:pPr>
              <w:pStyle w:val="In-tableHeading"/>
            </w:pPr>
            <w:r w:rsidRPr="00F57F1D">
              <w:t>Method/Value</w:t>
            </w:r>
          </w:p>
        </w:tc>
        <w:tc>
          <w:tcPr>
            <w:tcW w:w="1989" w:type="pct"/>
            <w:shd w:val="clear" w:color="auto" w:fill="auto"/>
            <w:vAlign w:val="center"/>
          </w:tcPr>
          <w:p w14:paraId="6A639D94" w14:textId="77777777" w:rsidR="00732F7D" w:rsidRPr="00F57F1D" w:rsidRDefault="00732F7D" w:rsidP="001D4A3F">
            <w:pPr>
              <w:pStyle w:val="In-tableHeading"/>
            </w:pPr>
            <w:r w:rsidRPr="00F57F1D">
              <w:t>Impact</w:t>
            </w:r>
          </w:p>
          <w:p w14:paraId="0AA12643" w14:textId="402F0DE6" w:rsidR="00732F7D" w:rsidRPr="00F57F1D" w:rsidRDefault="00732F7D" w:rsidP="001D4A3F">
            <w:pPr>
              <w:pStyle w:val="In-tableHeading"/>
            </w:pPr>
            <w:r w:rsidRPr="00F57F1D">
              <w:t xml:space="preserve">Base case: </w:t>
            </w:r>
            <w:r w:rsidRPr="00F57F1D">
              <w:rPr>
                <w:szCs w:val="20"/>
                <w:lang w:val="de-DE"/>
              </w:rPr>
              <w:t>$</w:t>
            </w:r>
            <w:r w:rsidR="007548FA" w:rsidRPr="003B6666">
              <w:rPr>
                <w:color w:val="000000"/>
                <w:spacing w:val="58"/>
                <w:szCs w:val="20"/>
                <w:shd w:val="solid" w:color="000000" w:fill="000000"/>
                <w:fitText w:val="360" w:id="-760538103"/>
                <w:lang w:val="de-DE"/>
                <w14:textFill>
                  <w14:solidFill>
                    <w14:srgbClr w14:val="000000">
                      <w14:alpha w14:val="100000"/>
                    </w14:srgbClr>
                  </w14:solidFill>
                </w14:textFill>
              </w:rPr>
              <w:t>|||</w:t>
            </w:r>
            <w:r w:rsidR="007548FA" w:rsidRPr="003B6666">
              <w:rPr>
                <w:color w:val="000000"/>
                <w:spacing w:val="3"/>
                <w:szCs w:val="20"/>
                <w:shd w:val="solid" w:color="000000" w:fill="000000"/>
                <w:fitText w:val="360" w:id="-760538103"/>
                <w:lang w:val="de-DE"/>
                <w14:textFill>
                  <w14:solidFill>
                    <w14:srgbClr w14:val="000000">
                      <w14:alpha w14:val="100000"/>
                    </w14:srgbClr>
                  </w14:solidFill>
                </w14:textFill>
              </w:rPr>
              <w:t>|</w:t>
            </w:r>
            <w:r w:rsidR="00B3246C" w:rsidRPr="003C22BB">
              <w:rPr>
                <w:szCs w:val="20"/>
                <w:vertAlign w:val="superscript"/>
                <w:lang w:val="de-DE"/>
              </w:rPr>
              <w:t>1</w:t>
            </w:r>
            <w:r w:rsidRPr="00F57F1D">
              <w:t>/QALY gained.</w:t>
            </w:r>
          </w:p>
        </w:tc>
      </w:tr>
      <w:tr w:rsidR="003A1650" w:rsidRPr="00F57F1D" w14:paraId="45E9FC0D" w14:textId="77777777" w:rsidTr="00AA10BF">
        <w:trPr>
          <w:tblHeader/>
        </w:trPr>
        <w:tc>
          <w:tcPr>
            <w:tcW w:w="926" w:type="pct"/>
            <w:shd w:val="clear" w:color="auto" w:fill="auto"/>
            <w:vAlign w:val="center"/>
          </w:tcPr>
          <w:p w14:paraId="075D98E5" w14:textId="45C2047D" w:rsidR="003A1650" w:rsidRPr="00F57F1D" w:rsidRDefault="003A1650" w:rsidP="001D4A3F">
            <w:pPr>
              <w:pStyle w:val="TableText0"/>
            </w:pPr>
            <w:proofErr w:type="spellStart"/>
            <w:r w:rsidRPr="00F57F1D">
              <w:t>Maribavir’s</w:t>
            </w:r>
            <w:proofErr w:type="spellEnd"/>
            <w:r w:rsidRPr="00F57F1D">
              <w:t xml:space="preserve"> clearance effect</w:t>
            </w:r>
          </w:p>
        </w:tc>
        <w:tc>
          <w:tcPr>
            <w:tcW w:w="2085" w:type="pct"/>
            <w:shd w:val="clear" w:color="auto" w:fill="auto"/>
            <w:vAlign w:val="center"/>
          </w:tcPr>
          <w:p w14:paraId="2CBF4BCE" w14:textId="5281DBF9" w:rsidR="003A1650" w:rsidRPr="00F57F1D" w:rsidRDefault="003A1650" w:rsidP="001D4A3F">
            <w:pPr>
              <w:pStyle w:val="TableText0"/>
            </w:pPr>
            <w:proofErr w:type="spellStart"/>
            <w:r w:rsidRPr="00F57F1D">
              <w:t>Maribavir’s</w:t>
            </w:r>
            <w:proofErr w:type="spellEnd"/>
            <w:r w:rsidRPr="00F57F1D">
              <w:t xml:space="preserve"> clearance effect at week 8 was considered uncertain and likely overestimated. </w:t>
            </w:r>
          </w:p>
        </w:tc>
        <w:tc>
          <w:tcPr>
            <w:tcW w:w="1989" w:type="pct"/>
            <w:shd w:val="clear" w:color="auto" w:fill="auto"/>
            <w:vAlign w:val="center"/>
          </w:tcPr>
          <w:p w14:paraId="41CBE3AB" w14:textId="353D2916" w:rsidR="003A1650" w:rsidRPr="00F57F1D" w:rsidRDefault="006330AD" w:rsidP="001D4A3F">
            <w:pPr>
              <w:pStyle w:val="TableText0"/>
            </w:pPr>
            <w:r w:rsidRPr="00F57F1D">
              <w:t>M</w:t>
            </w:r>
            <w:r w:rsidR="008E3F9C" w:rsidRPr="00F57F1D">
              <w:t>oderate</w:t>
            </w:r>
            <w:r w:rsidRPr="00F57F1D">
              <w:t>-h</w:t>
            </w:r>
            <w:r w:rsidR="003A1650" w:rsidRPr="00F57F1D">
              <w:t xml:space="preserve">igh, favours maribavir. </w:t>
            </w:r>
            <w:r w:rsidR="00A667AE" w:rsidRPr="00F57F1D">
              <w:t xml:space="preserve">Reduce </w:t>
            </w:r>
            <w:proofErr w:type="spellStart"/>
            <w:r w:rsidR="00A667AE" w:rsidRPr="00F57F1D">
              <w:t>maribavir’s</w:t>
            </w:r>
            <w:proofErr w:type="spellEnd"/>
            <w:r w:rsidR="00A667AE" w:rsidRPr="00F57F1D">
              <w:t xml:space="preserve"> clearance effect by </w:t>
            </w:r>
            <w:r w:rsidR="007548FA" w:rsidRPr="003B6666">
              <w:rPr>
                <w:color w:val="000000"/>
                <w:spacing w:val="49"/>
                <w:shd w:val="solid" w:color="000000" w:fill="000000"/>
                <w:fitText w:val="320" w:id="-760538102"/>
                <w14:textFill>
                  <w14:solidFill>
                    <w14:srgbClr w14:val="000000">
                      <w14:alpha w14:val="100000"/>
                    </w14:srgbClr>
                  </w14:solidFill>
                </w14:textFill>
              </w:rPr>
              <w:t>|||</w:t>
            </w:r>
            <w:r w:rsidR="007548FA" w:rsidRPr="003B6666">
              <w:rPr>
                <w:color w:val="000000"/>
                <w:spacing w:val="3"/>
                <w:shd w:val="solid" w:color="000000" w:fill="000000"/>
                <w:fitText w:val="320" w:id="-760538102"/>
                <w14:textFill>
                  <w14:solidFill>
                    <w14:srgbClr w14:val="000000">
                      <w14:alpha w14:val="100000"/>
                    </w14:srgbClr>
                  </w14:solidFill>
                </w14:textFill>
              </w:rPr>
              <w:t>|</w:t>
            </w:r>
            <w:r w:rsidR="00A667AE" w:rsidRPr="00F57F1D">
              <w:t>%</w:t>
            </w:r>
            <w:r w:rsidR="003A1650" w:rsidRPr="00F57F1D">
              <w:t xml:space="preserve"> the ICER to $</w:t>
            </w:r>
            <w:r w:rsidR="007548FA" w:rsidRPr="003B6666">
              <w:rPr>
                <w:color w:val="000000"/>
                <w:spacing w:val="57"/>
                <w:w w:val="87"/>
                <w:shd w:val="solid" w:color="000000" w:fill="000000"/>
                <w:fitText w:val="320" w:id="-760538101"/>
                <w14:textFill>
                  <w14:solidFill>
                    <w14:srgbClr w14:val="000000">
                      <w14:alpha w14:val="100000"/>
                    </w14:srgbClr>
                  </w14:solidFill>
                </w14:textFill>
              </w:rPr>
              <w:t>|||</w:t>
            </w:r>
            <w:r w:rsidR="007548FA" w:rsidRPr="003B6666">
              <w:rPr>
                <w:color w:val="000000"/>
                <w:spacing w:val="1"/>
                <w:w w:val="87"/>
                <w:shd w:val="solid" w:color="000000" w:fill="000000"/>
                <w:fitText w:val="320" w:id="-760538101"/>
                <w14:textFill>
                  <w14:solidFill>
                    <w14:srgbClr w14:val="000000">
                      <w14:alpha w14:val="100000"/>
                    </w14:srgbClr>
                  </w14:solidFill>
                </w14:textFill>
              </w:rPr>
              <w:t>|</w:t>
            </w:r>
            <w:r w:rsidR="00021B69" w:rsidRPr="00EA37EE">
              <w:rPr>
                <w:vertAlign w:val="superscript"/>
              </w:rPr>
              <w:t>2</w:t>
            </w:r>
            <w:r w:rsidR="003A1650" w:rsidRPr="00F57F1D">
              <w:t xml:space="preserve">/QALY gained. </w:t>
            </w:r>
          </w:p>
        </w:tc>
      </w:tr>
      <w:tr w:rsidR="008B46F6" w:rsidRPr="00F57F1D" w14:paraId="382A71BB" w14:textId="77777777" w:rsidTr="00AA10BF">
        <w:trPr>
          <w:tblHeader/>
        </w:trPr>
        <w:tc>
          <w:tcPr>
            <w:tcW w:w="926" w:type="pct"/>
            <w:shd w:val="clear" w:color="auto" w:fill="auto"/>
            <w:vAlign w:val="center"/>
          </w:tcPr>
          <w:p w14:paraId="4D2885E6" w14:textId="77777777" w:rsidR="008B46F6" w:rsidRPr="00F57F1D" w:rsidRDefault="008B46F6" w:rsidP="001D4A3F">
            <w:pPr>
              <w:pStyle w:val="TableText0"/>
            </w:pPr>
            <w:r w:rsidRPr="00F57F1D">
              <w:t>Foscarnet’s proportion in subsequent treatment</w:t>
            </w:r>
          </w:p>
        </w:tc>
        <w:tc>
          <w:tcPr>
            <w:tcW w:w="2085" w:type="pct"/>
            <w:shd w:val="clear" w:color="auto" w:fill="auto"/>
            <w:vAlign w:val="center"/>
          </w:tcPr>
          <w:p w14:paraId="26A5B534" w14:textId="77777777" w:rsidR="008B46F6" w:rsidRPr="00F57F1D" w:rsidRDefault="008B46F6" w:rsidP="001D4A3F">
            <w:pPr>
              <w:pStyle w:val="TableText0"/>
            </w:pPr>
            <w:r w:rsidRPr="00F57F1D">
              <w:t xml:space="preserve">Foscarnet accounts for 43.5% of retreatment IAT. </w:t>
            </w:r>
          </w:p>
        </w:tc>
        <w:tc>
          <w:tcPr>
            <w:tcW w:w="1989" w:type="pct"/>
            <w:shd w:val="clear" w:color="auto" w:fill="auto"/>
            <w:vAlign w:val="center"/>
          </w:tcPr>
          <w:p w14:paraId="3E254DE7" w14:textId="375FDC82" w:rsidR="008B46F6" w:rsidRPr="00F57F1D" w:rsidRDefault="006330AD" w:rsidP="001D4A3F">
            <w:pPr>
              <w:pStyle w:val="TableText0"/>
            </w:pPr>
            <w:r w:rsidRPr="00F57F1D">
              <w:rPr>
                <w:rFonts w:cs="Calibri"/>
                <w:color w:val="000000"/>
              </w:rPr>
              <w:t>Moderate-h</w:t>
            </w:r>
            <w:r w:rsidR="008B46F6" w:rsidRPr="00F57F1D">
              <w:rPr>
                <w:rFonts w:cs="Calibri"/>
                <w:color w:val="000000"/>
              </w:rPr>
              <w:t xml:space="preserve">igh, </w:t>
            </w:r>
            <w:r w:rsidR="008B46F6" w:rsidRPr="00F57F1D">
              <w:t xml:space="preserve">favours maribavir. Reducing its use by </w:t>
            </w:r>
            <w:r w:rsidR="007548FA" w:rsidRPr="003B6666">
              <w:rPr>
                <w:color w:val="000000"/>
                <w:spacing w:val="57"/>
                <w:w w:val="87"/>
                <w:shd w:val="solid" w:color="000000" w:fill="000000"/>
                <w:fitText w:val="320" w:id="-760538100"/>
                <w14:textFill>
                  <w14:solidFill>
                    <w14:srgbClr w14:val="000000">
                      <w14:alpha w14:val="100000"/>
                    </w14:srgbClr>
                  </w14:solidFill>
                </w14:textFill>
              </w:rPr>
              <w:t>|||</w:t>
            </w:r>
            <w:r w:rsidR="007548FA" w:rsidRPr="003B6666">
              <w:rPr>
                <w:color w:val="000000"/>
                <w:spacing w:val="1"/>
                <w:w w:val="87"/>
                <w:shd w:val="solid" w:color="000000" w:fill="000000"/>
                <w:fitText w:val="320" w:id="-760538100"/>
                <w14:textFill>
                  <w14:solidFill>
                    <w14:srgbClr w14:val="000000">
                      <w14:alpha w14:val="100000"/>
                    </w14:srgbClr>
                  </w14:solidFill>
                </w14:textFill>
              </w:rPr>
              <w:t>|</w:t>
            </w:r>
            <w:r w:rsidR="008B46F6" w:rsidRPr="00F57F1D">
              <w:t>% increased the ICER to $</w:t>
            </w:r>
            <w:r w:rsidR="007548FA" w:rsidRPr="003B6666">
              <w:rPr>
                <w:color w:val="000000"/>
                <w:spacing w:val="54"/>
                <w:shd w:val="solid" w:color="000000" w:fill="000000"/>
                <w:fitText w:val="333" w:id="-760538099"/>
                <w14:textFill>
                  <w14:solidFill>
                    <w14:srgbClr w14:val="000000">
                      <w14:alpha w14:val="100000"/>
                    </w14:srgbClr>
                  </w14:solidFill>
                </w14:textFill>
              </w:rPr>
              <w:t>|||</w:t>
            </w:r>
            <w:r w:rsidR="007548FA" w:rsidRPr="003B6666">
              <w:rPr>
                <w:color w:val="000000"/>
                <w:spacing w:val="1"/>
                <w:shd w:val="solid" w:color="000000" w:fill="000000"/>
                <w:fitText w:val="333" w:id="-760538099"/>
                <w14:textFill>
                  <w14:solidFill>
                    <w14:srgbClr w14:val="000000">
                      <w14:alpha w14:val="100000"/>
                    </w14:srgbClr>
                  </w14:solidFill>
                </w14:textFill>
              </w:rPr>
              <w:t>|</w:t>
            </w:r>
            <w:r w:rsidR="00EA37EE" w:rsidRPr="00EA37EE">
              <w:rPr>
                <w:vertAlign w:val="superscript"/>
              </w:rPr>
              <w:t>2</w:t>
            </w:r>
            <w:r w:rsidR="008B46F6" w:rsidRPr="00F57F1D">
              <w:t>/QALY gained.</w:t>
            </w:r>
          </w:p>
        </w:tc>
      </w:tr>
      <w:tr w:rsidR="003A1650" w:rsidRPr="00F57F1D" w14:paraId="5C789055" w14:textId="77777777" w:rsidTr="00AA10BF">
        <w:trPr>
          <w:tblHeader/>
        </w:trPr>
        <w:tc>
          <w:tcPr>
            <w:tcW w:w="926" w:type="pct"/>
            <w:shd w:val="clear" w:color="auto" w:fill="auto"/>
            <w:vAlign w:val="center"/>
          </w:tcPr>
          <w:p w14:paraId="7FAF8FF9" w14:textId="77777777" w:rsidR="003A1650" w:rsidRPr="00F57F1D" w:rsidRDefault="003A1650" w:rsidP="001D4A3F">
            <w:pPr>
              <w:pStyle w:val="TableText0"/>
            </w:pPr>
            <w:r w:rsidRPr="00F57F1D">
              <w:t>Recurrence</w:t>
            </w:r>
          </w:p>
        </w:tc>
        <w:tc>
          <w:tcPr>
            <w:tcW w:w="2085" w:type="pct"/>
            <w:shd w:val="clear" w:color="auto" w:fill="auto"/>
            <w:vAlign w:val="center"/>
          </w:tcPr>
          <w:p w14:paraId="0D33313B" w14:textId="25D73D42" w:rsidR="003A1650" w:rsidRPr="00F57F1D" w:rsidRDefault="003A1650" w:rsidP="001D4A3F">
            <w:pPr>
              <w:pStyle w:val="TableText0"/>
            </w:pPr>
            <w:r w:rsidRPr="00F57F1D">
              <w:t>Treatment-specific recurrence (higher in IAT than maribavir) not supported by evidence.</w:t>
            </w:r>
          </w:p>
        </w:tc>
        <w:tc>
          <w:tcPr>
            <w:tcW w:w="1989" w:type="pct"/>
            <w:shd w:val="clear" w:color="auto" w:fill="auto"/>
            <w:vAlign w:val="center"/>
          </w:tcPr>
          <w:p w14:paraId="7FF45BF4" w14:textId="4932E016" w:rsidR="003A1650" w:rsidRPr="00F57F1D" w:rsidRDefault="00964E91" w:rsidP="001D4A3F">
            <w:pPr>
              <w:pStyle w:val="TableText0"/>
            </w:pPr>
            <w:r w:rsidRPr="00F57F1D">
              <w:t>M</w:t>
            </w:r>
            <w:r w:rsidR="006330AD" w:rsidRPr="00F57F1D">
              <w:t>oderate-h</w:t>
            </w:r>
            <w:r w:rsidR="003A1650" w:rsidRPr="00F57F1D">
              <w:t>igh, favours maribavir. Use of treatment-independent recurrence increased the ICER to $</w:t>
            </w:r>
            <w:r w:rsidR="007548FA" w:rsidRPr="003B6666">
              <w:rPr>
                <w:color w:val="000000"/>
                <w:spacing w:val="58"/>
                <w:w w:val="85"/>
                <w:shd w:val="solid" w:color="000000" w:fill="000000"/>
                <w:fitText w:val="320" w:id="-760538098"/>
                <w14:textFill>
                  <w14:solidFill>
                    <w14:srgbClr w14:val="000000">
                      <w14:alpha w14:val="100000"/>
                    </w14:srgbClr>
                  </w14:solidFill>
                </w14:textFill>
              </w:rPr>
              <w:t>|||</w:t>
            </w:r>
            <w:r w:rsidR="007548FA" w:rsidRPr="003B6666">
              <w:rPr>
                <w:color w:val="000000"/>
                <w:spacing w:val="2"/>
                <w:w w:val="85"/>
                <w:shd w:val="solid" w:color="000000" w:fill="000000"/>
                <w:fitText w:val="320" w:id="-760538098"/>
                <w14:textFill>
                  <w14:solidFill>
                    <w14:srgbClr w14:val="000000">
                      <w14:alpha w14:val="100000"/>
                    </w14:srgbClr>
                  </w14:solidFill>
                </w14:textFill>
              </w:rPr>
              <w:t>|</w:t>
            </w:r>
            <w:r w:rsidR="00EA37EE" w:rsidRPr="00EA37EE">
              <w:rPr>
                <w:vertAlign w:val="superscript"/>
              </w:rPr>
              <w:t>2</w:t>
            </w:r>
            <w:r w:rsidR="003A1650" w:rsidRPr="00F57F1D">
              <w:t xml:space="preserve">/QALY gained. </w:t>
            </w:r>
          </w:p>
        </w:tc>
      </w:tr>
      <w:tr w:rsidR="003A1650" w:rsidRPr="00F57F1D" w14:paraId="721090A8" w14:textId="77777777" w:rsidTr="00AA10BF">
        <w:trPr>
          <w:tblHeader/>
        </w:trPr>
        <w:tc>
          <w:tcPr>
            <w:tcW w:w="926" w:type="pct"/>
            <w:shd w:val="clear" w:color="auto" w:fill="auto"/>
            <w:vAlign w:val="center"/>
          </w:tcPr>
          <w:p w14:paraId="1845EDEA" w14:textId="371DACC2" w:rsidR="003A1650" w:rsidRPr="00F57F1D" w:rsidRDefault="003A1650" w:rsidP="001D4A3F">
            <w:pPr>
              <w:pStyle w:val="TableText0"/>
            </w:pPr>
            <w:r w:rsidRPr="00F57F1D">
              <w:t xml:space="preserve">Foscarnet’s </w:t>
            </w:r>
            <w:r w:rsidR="006B02AA">
              <w:t>duration</w:t>
            </w:r>
          </w:p>
        </w:tc>
        <w:tc>
          <w:tcPr>
            <w:tcW w:w="2085" w:type="pct"/>
            <w:shd w:val="clear" w:color="auto" w:fill="auto"/>
            <w:vAlign w:val="center"/>
          </w:tcPr>
          <w:p w14:paraId="4DC4E61A" w14:textId="08D87BB0" w:rsidR="003A1650" w:rsidRPr="00F57F1D" w:rsidRDefault="003A1650" w:rsidP="001D4A3F">
            <w:pPr>
              <w:pStyle w:val="TableText0"/>
            </w:pPr>
            <w:r w:rsidRPr="00F57F1D">
              <w:t>Overestimate use of foscarnet</w:t>
            </w:r>
            <w:r w:rsidR="00B82ACF">
              <w:t xml:space="preserve"> duration</w:t>
            </w:r>
            <w:r w:rsidRPr="00F57F1D">
              <w:t>.</w:t>
            </w:r>
            <w:r w:rsidR="00B82ACF">
              <w:t xml:space="preserve"> </w:t>
            </w:r>
          </w:p>
        </w:tc>
        <w:tc>
          <w:tcPr>
            <w:tcW w:w="1989" w:type="pct"/>
            <w:shd w:val="clear" w:color="auto" w:fill="auto"/>
            <w:vAlign w:val="center"/>
          </w:tcPr>
          <w:p w14:paraId="15BC40D9" w14:textId="4446D9A9" w:rsidR="003A1650" w:rsidRPr="00F57F1D" w:rsidRDefault="00B82ACF" w:rsidP="001D4A3F">
            <w:pPr>
              <w:pStyle w:val="TableText0"/>
            </w:pPr>
            <w:r>
              <w:t>Moderate</w:t>
            </w:r>
            <w:r w:rsidR="003A1650" w:rsidRPr="00F57F1D">
              <w:t xml:space="preserve">, favours maribavir. </w:t>
            </w:r>
            <w:r>
              <w:t>Use of individual IAT duration</w:t>
            </w:r>
            <w:r w:rsidR="003A1650" w:rsidRPr="00F57F1D">
              <w:t xml:space="preserve"> of treatment of increased the ICER to $</w:t>
            </w:r>
            <w:r w:rsidR="007548FA" w:rsidRPr="003B6666">
              <w:rPr>
                <w:color w:val="000000"/>
                <w:spacing w:val="49"/>
                <w:shd w:val="solid" w:color="000000" w:fill="000000"/>
                <w:fitText w:val="320" w:id="-760538097"/>
                <w14:textFill>
                  <w14:solidFill>
                    <w14:srgbClr w14:val="000000">
                      <w14:alpha w14:val="100000"/>
                    </w14:srgbClr>
                  </w14:solidFill>
                </w14:textFill>
              </w:rPr>
              <w:t>|||</w:t>
            </w:r>
            <w:r w:rsidR="007548FA" w:rsidRPr="003B6666">
              <w:rPr>
                <w:color w:val="000000"/>
                <w:spacing w:val="3"/>
                <w:shd w:val="solid" w:color="000000" w:fill="000000"/>
                <w:fitText w:val="320" w:id="-760538097"/>
                <w14:textFill>
                  <w14:solidFill>
                    <w14:srgbClr w14:val="000000">
                      <w14:alpha w14:val="100000"/>
                    </w14:srgbClr>
                  </w14:solidFill>
                </w14:textFill>
              </w:rPr>
              <w:t>|</w:t>
            </w:r>
            <w:r w:rsidR="00EA37EE" w:rsidRPr="00EA37EE">
              <w:rPr>
                <w:vertAlign w:val="superscript"/>
              </w:rPr>
              <w:t>2</w:t>
            </w:r>
            <w:r w:rsidR="003A1650" w:rsidRPr="00F57F1D">
              <w:t xml:space="preserve">/QALY gained. </w:t>
            </w:r>
          </w:p>
        </w:tc>
      </w:tr>
    </w:tbl>
    <w:p w14:paraId="48EAE328" w14:textId="369CBD96" w:rsidR="00732F7D" w:rsidRPr="0023146D" w:rsidRDefault="00732F7D" w:rsidP="001D4A3F">
      <w:pPr>
        <w:pStyle w:val="FooterTableFigure"/>
        <w:keepNext/>
        <w:keepLines/>
      </w:pPr>
      <w:r w:rsidRPr="0023146D">
        <w:t xml:space="preserve">Source: </w:t>
      </w:r>
      <w:r w:rsidR="00792E77" w:rsidRPr="0023146D">
        <w:t xml:space="preserve">compiled during the evaluation. </w:t>
      </w:r>
    </w:p>
    <w:p w14:paraId="7B32845D" w14:textId="77777777" w:rsidR="00784004" w:rsidRDefault="00A6219A" w:rsidP="001D4A3F">
      <w:pPr>
        <w:pStyle w:val="FooterTableFigure"/>
        <w:keepNext/>
        <w:keepLines/>
        <w:rPr>
          <w:szCs w:val="18"/>
        </w:rPr>
      </w:pPr>
      <w:r w:rsidRPr="0023146D">
        <w:rPr>
          <w:szCs w:val="18"/>
        </w:rPr>
        <w:t>IAT = investigator-assigned treatment; ICER = incremental cost effectiveness ratio; QALY = quality-adjusted life year</w:t>
      </w:r>
      <w:r w:rsidR="00CD3E5D" w:rsidRPr="0023146D">
        <w:rPr>
          <w:szCs w:val="18"/>
        </w:rPr>
        <w:t>.</w:t>
      </w:r>
      <w:r w:rsidRPr="0023146D">
        <w:rPr>
          <w:szCs w:val="18"/>
        </w:rPr>
        <w:t xml:space="preserve"> </w:t>
      </w:r>
    </w:p>
    <w:p w14:paraId="05545CB3" w14:textId="5B0573A6" w:rsidR="00784004" w:rsidRPr="00784004" w:rsidRDefault="00784004" w:rsidP="001D4A3F">
      <w:pPr>
        <w:pStyle w:val="FooterTableFigure"/>
        <w:keepNext/>
        <w:keepLines/>
        <w:rPr>
          <w:i/>
          <w:szCs w:val="18"/>
        </w:rPr>
      </w:pPr>
      <w:r w:rsidRPr="00784004">
        <w:rPr>
          <w:i/>
          <w:szCs w:val="18"/>
        </w:rPr>
        <w:t xml:space="preserve">The redacted values correspond to the following ranges: </w:t>
      </w:r>
    </w:p>
    <w:p w14:paraId="1074FCB2" w14:textId="1C14C2D6" w:rsidR="00784004" w:rsidRPr="00784004" w:rsidRDefault="00784004" w:rsidP="001D4A3F">
      <w:pPr>
        <w:pStyle w:val="FooterTableFigure"/>
        <w:keepNext/>
        <w:keepLines/>
        <w:rPr>
          <w:i/>
          <w:szCs w:val="18"/>
        </w:rPr>
      </w:pPr>
      <w:r w:rsidRPr="00784004">
        <w:rPr>
          <w:i/>
          <w:szCs w:val="18"/>
        </w:rPr>
        <w:t>1 $</w:t>
      </w:r>
      <w:r w:rsidR="00021B69">
        <w:rPr>
          <w:i/>
          <w:szCs w:val="18"/>
        </w:rPr>
        <w:t>4</w:t>
      </w:r>
      <w:r w:rsidRPr="00784004">
        <w:rPr>
          <w:i/>
          <w:szCs w:val="18"/>
        </w:rPr>
        <w:t>5,000 to &lt; $</w:t>
      </w:r>
      <w:r w:rsidR="00021B69">
        <w:rPr>
          <w:i/>
          <w:szCs w:val="18"/>
        </w:rPr>
        <w:t>5</w:t>
      </w:r>
      <w:r w:rsidRPr="00784004">
        <w:rPr>
          <w:i/>
          <w:szCs w:val="18"/>
        </w:rPr>
        <w:t xml:space="preserve">5,000 </w:t>
      </w:r>
    </w:p>
    <w:p w14:paraId="5851B0BF" w14:textId="6383474F" w:rsidR="00A6219A" w:rsidRPr="00213B0B" w:rsidRDefault="003C22BB" w:rsidP="00732F7D">
      <w:pPr>
        <w:pStyle w:val="FooterTableFigure"/>
        <w:rPr>
          <w:i/>
          <w:szCs w:val="18"/>
        </w:rPr>
      </w:pPr>
      <w:r>
        <w:rPr>
          <w:i/>
          <w:szCs w:val="18"/>
        </w:rPr>
        <w:t>2</w:t>
      </w:r>
      <w:r w:rsidRPr="003C22BB">
        <w:rPr>
          <w:i/>
          <w:szCs w:val="18"/>
        </w:rPr>
        <w:t xml:space="preserve"> $55,000 to &lt; $75,000 </w:t>
      </w:r>
    </w:p>
    <w:p w14:paraId="1BAD1E45" w14:textId="053591EC" w:rsidR="00BE5D27" w:rsidRPr="00213B0B" w:rsidRDefault="00E80963" w:rsidP="00213B0B">
      <w:pPr>
        <w:pStyle w:val="3-BodyText"/>
        <w:rPr>
          <w:color w:val="0066FF"/>
        </w:rPr>
      </w:pPr>
      <w:r w:rsidRPr="0023146D">
        <w:t>A summary of the results from the economic model is presented in</w:t>
      </w:r>
      <w:r w:rsidR="00732F7D" w:rsidRPr="0023146D">
        <w:t xml:space="preserve"> </w:t>
      </w:r>
      <w:r w:rsidR="00732F7D" w:rsidRPr="0023146D">
        <w:fldChar w:fldCharType="begin" w:fldLock="1"/>
      </w:r>
      <w:r w:rsidR="00732F7D" w:rsidRPr="0023146D">
        <w:instrText xml:space="preserve"> REF _Ref104805160 \h  \* MERGEFORMAT </w:instrText>
      </w:r>
      <w:r w:rsidR="00732F7D" w:rsidRPr="0023146D">
        <w:fldChar w:fldCharType="separate"/>
      </w:r>
      <w:r w:rsidR="008854AA" w:rsidRPr="0023146D">
        <w:t xml:space="preserve">Table </w:t>
      </w:r>
      <w:r w:rsidR="008854AA">
        <w:t>10</w:t>
      </w:r>
      <w:r w:rsidR="00732F7D" w:rsidRPr="0023146D">
        <w:fldChar w:fldCharType="end"/>
      </w:r>
      <w:r w:rsidRPr="0023146D">
        <w:t>.</w:t>
      </w:r>
    </w:p>
    <w:p w14:paraId="72F684E8" w14:textId="28B448D3" w:rsidR="00732F7D" w:rsidRPr="0023146D" w:rsidRDefault="00732F7D" w:rsidP="00C33C18">
      <w:pPr>
        <w:pStyle w:val="Caption"/>
        <w:rPr>
          <w:rStyle w:val="CommentReference"/>
          <w:b/>
          <w:szCs w:val="24"/>
        </w:rPr>
      </w:pPr>
      <w:bookmarkStart w:id="51" w:name="_Ref104805160"/>
      <w:r w:rsidRPr="0023146D">
        <w:lastRenderedPageBreak/>
        <w:t xml:space="preserve">Table </w:t>
      </w:r>
      <w:r w:rsidR="008A7014">
        <w:fldChar w:fldCharType="begin" w:fldLock="1"/>
      </w:r>
      <w:r w:rsidR="008A7014">
        <w:instrText xml:space="preserve"> SEQ Table \* ARABIC </w:instrText>
      </w:r>
      <w:r w:rsidR="008A7014">
        <w:fldChar w:fldCharType="separate"/>
      </w:r>
      <w:r w:rsidR="008854AA">
        <w:rPr>
          <w:noProof/>
        </w:rPr>
        <w:t>10</w:t>
      </w:r>
      <w:r w:rsidR="008A7014">
        <w:rPr>
          <w:noProof/>
        </w:rPr>
        <w:fldChar w:fldCharType="end"/>
      </w:r>
      <w:bookmarkEnd w:id="51"/>
      <w:r w:rsidRPr="0023146D">
        <w:t>:</w:t>
      </w:r>
      <w:r w:rsidRPr="0023146D">
        <w:rPr>
          <w:rStyle w:val="CommentReference"/>
          <w:b/>
          <w:szCs w:val="24"/>
        </w:rPr>
        <w:t xml:space="preserve"> Results of the stepped economic evaluation</w:t>
      </w:r>
    </w:p>
    <w:tbl>
      <w:tblPr>
        <w:tblStyle w:val="TableGrid"/>
        <w:tblW w:w="5000" w:type="pct"/>
        <w:tblLook w:val="01E0" w:firstRow="1" w:lastRow="1" w:firstColumn="1" w:lastColumn="1" w:noHBand="0" w:noVBand="0"/>
        <w:tblCaption w:val="Table 10: Results of the stepped economic evaluation"/>
        <w:tblDescription w:val="Table 10: Results of the stepped economic evaluation"/>
      </w:tblPr>
      <w:tblGrid>
        <w:gridCol w:w="2429"/>
        <w:gridCol w:w="2923"/>
        <w:gridCol w:w="1874"/>
        <w:gridCol w:w="1791"/>
      </w:tblGrid>
      <w:tr w:rsidR="00B75095" w:rsidRPr="0023146D" w14:paraId="350D844A" w14:textId="77777777" w:rsidTr="0061124B">
        <w:trPr>
          <w:trHeight w:val="20"/>
        </w:trPr>
        <w:tc>
          <w:tcPr>
            <w:tcW w:w="1347" w:type="pct"/>
          </w:tcPr>
          <w:p w14:paraId="57385102" w14:textId="77777777" w:rsidR="00ED1436" w:rsidRPr="0023146D" w:rsidRDefault="00ED1436" w:rsidP="00C33C18">
            <w:pPr>
              <w:pStyle w:val="FooterTableFigure"/>
              <w:keepNext/>
              <w:keepLines/>
              <w:spacing w:after="0"/>
              <w:rPr>
                <w:b/>
                <w:sz w:val="20"/>
                <w:szCs w:val="24"/>
              </w:rPr>
            </w:pPr>
            <w:r w:rsidRPr="0023146D">
              <w:rPr>
                <w:b/>
                <w:sz w:val="20"/>
                <w:szCs w:val="24"/>
              </w:rPr>
              <w:t>Step and component</w:t>
            </w:r>
          </w:p>
        </w:tc>
        <w:tc>
          <w:tcPr>
            <w:tcW w:w="1621" w:type="pct"/>
          </w:tcPr>
          <w:p w14:paraId="2688AACC" w14:textId="77777777" w:rsidR="00ED1436" w:rsidRPr="0023146D" w:rsidRDefault="00ED1436" w:rsidP="00C33C18">
            <w:pPr>
              <w:pStyle w:val="FooterTableFigure"/>
              <w:keepNext/>
              <w:keepLines/>
              <w:spacing w:after="0"/>
              <w:jc w:val="center"/>
              <w:rPr>
                <w:b/>
                <w:sz w:val="20"/>
                <w:szCs w:val="24"/>
              </w:rPr>
            </w:pPr>
            <w:r w:rsidRPr="0023146D">
              <w:rPr>
                <w:b/>
                <w:sz w:val="20"/>
                <w:szCs w:val="24"/>
              </w:rPr>
              <w:t>Maribavir</w:t>
            </w:r>
          </w:p>
        </w:tc>
        <w:tc>
          <w:tcPr>
            <w:tcW w:w="1039" w:type="pct"/>
          </w:tcPr>
          <w:p w14:paraId="640D0B41" w14:textId="77777777" w:rsidR="00ED1436" w:rsidRPr="0023146D" w:rsidRDefault="00ED1436" w:rsidP="00C33C18">
            <w:pPr>
              <w:pStyle w:val="FooterTableFigure"/>
              <w:keepNext/>
              <w:keepLines/>
              <w:spacing w:after="0"/>
              <w:jc w:val="center"/>
              <w:rPr>
                <w:b/>
                <w:sz w:val="20"/>
                <w:szCs w:val="24"/>
              </w:rPr>
            </w:pPr>
            <w:r w:rsidRPr="0023146D">
              <w:rPr>
                <w:b/>
                <w:sz w:val="20"/>
                <w:szCs w:val="24"/>
              </w:rPr>
              <w:t>SoC</w:t>
            </w:r>
          </w:p>
        </w:tc>
        <w:tc>
          <w:tcPr>
            <w:tcW w:w="994" w:type="pct"/>
          </w:tcPr>
          <w:p w14:paraId="6375B0D3" w14:textId="77777777" w:rsidR="00ED1436" w:rsidRPr="0023146D" w:rsidRDefault="00ED1436" w:rsidP="00C33C18">
            <w:pPr>
              <w:pStyle w:val="FooterTableFigure"/>
              <w:keepNext/>
              <w:keepLines/>
              <w:spacing w:after="0"/>
              <w:jc w:val="center"/>
              <w:rPr>
                <w:b/>
                <w:sz w:val="20"/>
                <w:szCs w:val="24"/>
              </w:rPr>
            </w:pPr>
            <w:r w:rsidRPr="0023146D">
              <w:rPr>
                <w:b/>
                <w:sz w:val="20"/>
                <w:szCs w:val="24"/>
              </w:rPr>
              <w:t>Increment</w:t>
            </w:r>
          </w:p>
        </w:tc>
      </w:tr>
      <w:tr w:rsidR="00ED1436" w:rsidRPr="0023146D" w14:paraId="1F8E133E" w14:textId="77777777" w:rsidTr="0061124B">
        <w:trPr>
          <w:trHeight w:val="20"/>
        </w:trPr>
        <w:tc>
          <w:tcPr>
            <w:tcW w:w="5000" w:type="pct"/>
            <w:gridSpan w:val="4"/>
          </w:tcPr>
          <w:p w14:paraId="6298EB77" w14:textId="77777777" w:rsidR="00ED1436" w:rsidRPr="0023146D" w:rsidRDefault="00ED1436" w:rsidP="00C33C18">
            <w:pPr>
              <w:keepNext/>
              <w:keepLines/>
              <w:jc w:val="left"/>
              <w:rPr>
                <w:rFonts w:ascii="Arial Narrow" w:hAnsi="Arial Narrow"/>
                <w:b/>
                <w:bCs/>
                <w:sz w:val="20"/>
                <w:szCs w:val="20"/>
              </w:rPr>
            </w:pPr>
            <w:r w:rsidRPr="0023146D">
              <w:rPr>
                <w:rFonts w:ascii="Arial Narrow" w:hAnsi="Arial Narrow"/>
                <w:b/>
                <w:bCs/>
                <w:sz w:val="20"/>
                <w:szCs w:val="20"/>
              </w:rPr>
              <w:t>Step 1: Trial-based costs and outcomes at 8 weeks</w:t>
            </w:r>
          </w:p>
        </w:tc>
      </w:tr>
      <w:tr w:rsidR="00B75095" w:rsidRPr="0023146D" w14:paraId="0C003C37" w14:textId="77777777" w:rsidTr="0061124B">
        <w:trPr>
          <w:trHeight w:val="20"/>
        </w:trPr>
        <w:tc>
          <w:tcPr>
            <w:tcW w:w="1347" w:type="pct"/>
          </w:tcPr>
          <w:p w14:paraId="2884F14A" w14:textId="77777777" w:rsidR="00ED1436" w:rsidRPr="0023146D" w:rsidRDefault="00ED1436" w:rsidP="00C33C18">
            <w:pPr>
              <w:keepNext/>
              <w:keepLines/>
              <w:jc w:val="left"/>
              <w:rPr>
                <w:rFonts w:ascii="Arial Narrow" w:hAnsi="Arial Narrow"/>
                <w:sz w:val="20"/>
                <w:szCs w:val="20"/>
              </w:rPr>
            </w:pPr>
            <w:r w:rsidRPr="0023146D">
              <w:rPr>
                <w:rFonts w:ascii="Arial Narrow" w:hAnsi="Arial Narrow"/>
                <w:sz w:val="20"/>
                <w:szCs w:val="20"/>
              </w:rPr>
              <w:t>Costs</w:t>
            </w:r>
          </w:p>
        </w:tc>
        <w:tc>
          <w:tcPr>
            <w:tcW w:w="1621" w:type="pct"/>
          </w:tcPr>
          <w:p w14:paraId="0F296D77" w14:textId="1AB3366E" w:rsidR="00ED1436" w:rsidRPr="0023146D" w:rsidRDefault="00ED1436" w:rsidP="00C33C18">
            <w:pPr>
              <w:keepNext/>
              <w:keepLines/>
              <w:jc w:val="center"/>
              <w:rPr>
                <w:rFonts w:ascii="Arial Narrow" w:hAnsi="Arial Narrow"/>
                <w:sz w:val="20"/>
                <w:szCs w:val="20"/>
              </w:rPr>
            </w:pPr>
            <w:r w:rsidRPr="0023146D">
              <w:rPr>
                <w:rFonts w:ascii="Arial Narrow" w:hAnsi="Arial Narrow"/>
                <w:sz w:val="20"/>
                <w:szCs w:val="20"/>
                <w:lang w:val="de-DE"/>
              </w:rPr>
              <w:t>$</w:t>
            </w:r>
            <w:r w:rsidR="007548FA" w:rsidRPr="007548FA">
              <w:rPr>
                <w:rFonts w:ascii="Arial Narrow" w:hAnsi="Arial Narrow"/>
                <w:color w:val="000000"/>
                <w:sz w:val="20"/>
                <w:szCs w:val="20"/>
                <w:shd w:val="solid" w:color="000000" w:fill="000000"/>
                <w:lang w:val="de-DE"/>
                <w14:textFill>
                  <w14:solidFill>
                    <w14:srgbClr w14:val="000000">
                      <w14:alpha w14:val="100000"/>
                    </w14:srgbClr>
                  </w14:solidFill>
                </w14:textFill>
              </w:rPr>
              <w:t>|</w:t>
            </w:r>
          </w:p>
        </w:tc>
        <w:tc>
          <w:tcPr>
            <w:tcW w:w="1039" w:type="pct"/>
          </w:tcPr>
          <w:p w14:paraId="43592FF1" w14:textId="35164AB3" w:rsidR="00ED1436" w:rsidRPr="0023146D" w:rsidRDefault="00ED1436" w:rsidP="00C33C18">
            <w:pPr>
              <w:keepNext/>
              <w:keepLines/>
              <w:jc w:val="center"/>
              <w:rPr>
                <w:rFonts w:ascii="Arial Narrow" w:hAnsi="Arial Narrow"/>
                <w:sz w:val="20"/>
                <w:szCs w:val="20"/>
              </w:rPr>
            </w:pPr>
            <w:r w:rsidRPr="00601E82">
              <w:rPr>
                <w:rFonts w:ascii="Arial Narrow" w:hAnsi="Arial Narrow"/>
                <w:sz w:val="20"/>
                <w:szCs w:val="20"/>
                <w:lang w:val="de-DE"/>
              </w:rPr>
              <w:t>$</w:t>
            </w:r>
            <w:r w:rsidR="008A7014">
              <w:rPr>
                <w:rFonts w:ascii="Arial Narrow" w:hAnsi="Arial Narrow"/>
                <w:sz w:val="20"/>
                <w:szCs w:val="20"/>
                <w:lang w:val="de-DE"/>
              </w:rPr>
              <w:t>13,216</w:t>
            </w:r>
          </w:p>
        </w:tc>
        <w:tc>
          <w:tcPr>
            <w:tcW w:w="994" w:type="pct"/>
          </w:tcPr>
          <w:p w14:paraId="4F9115DA" w14:textId="784FED6B" w:rsidR="00ED1436" w:rsidRPr="0023146D" w:rsidRDefault="00ED1436" w:rsidP="00C33C18">
            <w:pPr>
              <w:keepNext/>
              <w:keepLines/>
              <w:jc w:val="center"/>
              <w:rPr>
                <w:rFonts w:ascii="Arial Narrow" w:hAnsi="Arial Narrow"/>
                <w:sz w:val="20"/>
                <w:szCs w:val="20"/>
              </w:rPr>
            </w:pPr>
            <w:r w:rsidRPr="0023146D">
              <w:rPr>
                <w:rFonts w:ascii="Arial Narrow" w:hAnsi="Arial Narrow"/>
                <w:sz w:val="20"/>
                <w:szCs w:val="20"/>
                <w:lang w:val="de-DE"/>
              </w:rPr>
              <w:t>$</w:t>
            </w:r>
            <w:r w:rsidR="007548FA" w:rsidRPr="007548FA">
              <w:rPr>
                <w:rFonts w:ascii="Arial Narrow" w:hAnsi="Arial Narrow"/>
                <w:color w:val="000000"/>
                <w:sz w:val="20"/>
                <w:szCs w:val="20"/>
                <w:shd w:val="solid" w:color="000000" w:fill="000000"/>
                <w:lang w:val="de-DE"/>
                <w14:textFill>
                  <w14:solidFill>
                    <w14:srgbClr w14:val="000000">
                      <w14:alpha w14:val="100000"/>
                    </w14:srgbClr>
                  </w14:solidFill>
                </w14:textFill>
              </w:rPr>
              <w:t>|</w:t>
            </w:r>
          </w:p>
        </w:tc>
      </w:tr>
      <w:tr w:rsidR="00B75095" w:rsidRPr="0023146D" w14:paraId="70DA0BD8" w14:textId="77777777" w:rsidTr="0061124B">
        <w:trPr>
          <w:trHeight w:val="20"/>
        </w:trPr>
        <w:tc>
          <w:tcPr>
            <w:tcW w:w="1347" w:type="pct"/>
          </w:tcPr>
          <w:p w14:paraId="0012D2AA" w14:textId="77777777" w:rsidR="00ED1436" w:rsidRPr="0023146D" w:rsidRDefault="00ED1436" w:rsidP="00C33C18">
            <w:pPr>
              <w:keepNext/>
              <w:keepLines/>
              <w:jc w:val="left"/>
              <w:rPr>
                <w:rFonts w:ascii="Arial Narrow" w:hAnsi="Arial Narrow"/>
                <w:sz w:val="20"/>
                <w:szCs w:val="20"/>
              </w:rPr>
            </w:pPr>
            <w:r w:rsidRPr="0023146D">
              <w:rPr>
                <w:rFonts w:ascii="Arial Narrow" w:hAnsi="Arial Narrow"/>
                <w:sz w:val="20"/>
                <w:szCs w:val="20"/>
              </w:rPr>
              <w:t>Responder (clearance)</w:t>
            </w:r>
          </w:p>
        </w:tc>
        <w:tc>
          <w:tcPr>
            <w:tcW w:w="1621" w:type="pct"/>
          </w:tcPr>
          <w:p w14:paraId="6D287E93" w14:textId="77777777" w:rsidR="00ED1436" w:rsidRPr="0023146D" w:rsidRDefault="00ED1436" w:rsidP="00C33C18">
            <w:pPr>
              <w:keepNext/>
              <w:keepLines/>
              <w:jc w:val="center"/>
              <w:rPr>
                <w:rFonts w:ascii="Arial Narrow" w:hAnsi="Arial Narrow"/>
                <w:sz w:val="20"/>
                <w:szCs w:val="20"/>
              </w:rPr>
            </w:pPr>
            <w:r w:rsidRPr="0023146D">
              <w:rPr>
                <w:rFonts w:ascii="Arial Narrow" w:hAnsi="Arial Narrow"/>
                <w:sz w:val="20"/>
                <w:szCs w:val="20"/>
              </w:rPr>
              <w:t>55.70%</w:t>
            </w:r>
          </w:p>
        </w:tc>
        <w:tc>
          <w:tcPr>
            <w:tcW w:w="1039" w:type="pct"/>
          </w:tcPr>
          <w:p w14:paraId="458CBDCC" w14:textId="77777777" w:rsidR="00ED1436" w:rsidRPr="0023146D" w:rsidRDefault="00ED1436" w:rsidP="00C33C18">
            <w:pPr>
              <w:keepNext/>
              <w:keepLines/>
              <w:jc w:val="center"/>
              <w:rPr>
                <w:rFonts w:ascii="Arial Narrow" w:hAnsi="Arial Narrow"/>
                <w:sz w:val="20"/>
                <w:szCs w:val="20"/>
              </w:rPr>
            </w:pPr>
            <w:r w:rsidRPr="0023146D">
              <w:rPr>
                <w:rFonts w:ascii="Arial Narrow" w:hAnsi="Arial Narrow"/>
                <w:sz w:val="20"/>
                <w:szCs w:val="20"/>
              </w:rPr>
              <w:t>23.90%</w:t>
            </w:r>
          </w:p>
        </w:tc>
        <w:tc>
          <w:tcPr>
            <w:tcW w:w="994" w:type="pct"/>
          </w:tcPr>
          <w:p w14:paraId="435A0E0E" w14:textId="77777777" w:rsidR="00ED1436" w:rsidRPr="0023146D" w:rsidRDefault="00ED1436" w:rsidP="00C33C18">
            <w:pPr>
              <w:keepNext/>
              <w:keepLines/>
              <w:jc w:val="center"/>
              <w:rPr>
                <w:rFonts w:ascii="Arial Narrow" w:hAnsi="Arial Narrow"/>
                <w:sz w:val="20"/>
                <w:szCs w:val="20"/>
              </w:rPr>
            </w:pPr>
            <w:r w:rsidRPr="0023146D">
              <w:rPr>
                <w:rFonts w:ascii="Arial Narrow" w:hAnsi="Arial Narrow"/>
                <w:sz w:val="20"/>
                <w:szCs w:val="20"/>
              </w:rPr>
              <w:t>31.80%</w:t>
            </w:r>
          </w:p>
        </w:tc>
      </w:tr>
      <w:tr w:rsidR="00ED1436" w:rsidRPr="0023146D" w14:paraId="5962A815" w14:textId="77777777" w:rsidTr="0061124B">
        <w:trPr>
          <w:trHeight w:val="20"/>
        </w:trPr>
        <w:tc>
          <w:tcPr>
            <w:tcW w:w="2968" w:type="pct"/>
            <w:gridSpan w:val="2"/>
          </w:tcPr>
          <w:p w14:paraId="780558B9" w14:textId="77777777" w:rsidR="00ED1436" w:rsidRPr="0023146D" w:rsidRDefault="00ED1436" w:rsidP="00C33C18">
            <w:pPr>
              <w:keepNext/>
              <w:keepLines/>
              <w:jc w:val="left"/>
              <w:rPr>
                <w:rFonts w:ascii="Arial Narrow" w:hAnsi="Arial Narrow"/>
                <w:sz w:val="20"/>
                <w:szCs w:val="20"/>
              </w:rPr>
            </w:pPr>
            <w:r w:rsidRPr="0023146D">
              <w:rPr>
                <w:rFonts w:ascii="Arial Narrow" w:hAnsi="Arial Narrow"/>
                <w:sz w:val="20"/>
                <w:szCs w:val="20"/>
              </w:rPr>
              <w:t>Incremental cost/responder</w:t>
            </w:r>
          </w:p>
        </w:tc>
        <w:tc>
          <w:tcPr>
            <w:tcW w:w="2032" w:type="pct"/>
            <w:gridSpan w:val="2"/>
          </w:tcPr>
          <w:p w14:paraId="0029A9C5" w14:textId="4CB9EF6C" w:rsidR="00ED1436" w:rsidRPr="0023146D" w:rsidRDefault="007548FA" w:rsidP="00C33C18">
            <w:pPr>
              <w:keepNext/>
              <w:keepLines/>
              <w:jc w:val="center"/>
              <w:rPr>
                <w:rFonts w:ascii="Arial Narrow" w:hAnsi="Arial Narrow"/>
                <w:sz w:val="20"/>
                <w:szCs w:val="20"/>
              </w:rPr>
            </w:pPr>
            <w:r w:rsidRPr="007548FA">
              <w:rPr>
                <w:rFonts w:ascii="Arial Narrow" w:hAnsi="Arial Narrow"/>
                <w:color w:val="000000"/>
                <w:sz w:val="20"/>
                <w:szCs w:val="20"/>
                <w:shd w:val="solid" w:color="000000" w:fill="000000"/>
                <w:lang w:val="de-DE"/>
                <w14:textFill>
                  <w14:solidFill>
                    <w14:srgbClr w14:val="000000">
                      <w14:alpha w14:val="100000"/>
                    </w14:srgbClr>
                  </w14:solidFill>
                </w14:textFill>
              </w:rPr>
              <w:t>|</w:t>
            </w:r>
            <w:r w:rsidR="00801B4B" w:rsidRPr="00801B4B">
              <w:rPr>
                <w:rFonts w:ascii="Arial Narrow" w:hAnsi="Arial Narrow"/>
                <w:sz w:val="20"/>
                <w:szCs w:val="20"/>
                <w:vertAlign w:val="superscript"/>
                <w:lang w:val="de-DE"/>
              </w:rPr>
              <w:t>1</w:t>
            </w:r>
          </w:p>
        </w:tc>
      </w:tr>
      <w:tr w:rsidR="00ED1436" w:rsidRPr="0023146D" w14:paraId="2D013E3F" w14:textId="77777777" w:rsidTr="0061124B">
        <w:trPr>
          <w:trHeight w:val="20"/>
        </w:trPr>
        <w:tc>
          <w:tcPr>
            <w:tcW w:w="5000" w:type="pct"/>
            <w:gridSpan w:val="4"/>
          </w:tcPr>
          <w:p w14:paraId="38D70C57" w14:textId="77777777" w:rsidR="00ED1436" w:rsidRPr="0023146D" w:rsidRDefault="00ED1436" w:rsidP="00C33C18">
            <w:pPr>
              <w:keepNext/>
              <w:keepLines/>
              <w:jc w:val="left"/>
              <w:rPr>
                <w:rFonts w:ascii="Arial Narrow" w:hAnsi="Arial Narrow"/>
                <w:b/>
                <w:bCs/>
                <w:sz w:val="20"/>
                <w:szCs w:val="20"/>
              </w:rPr>
            </w:pPr>
            <w:r w:rsidRPr="0023146D">
              <w:rPr>
                <w:rFonts w:ascii="Arial Narrow" w:hAnsi="Arial Narrow"/>
                <w:b/>
                <w:bCs/>
                <w:sz w:val="20"/>
                <w:szCs w:val="20"/>
              </w:rPr>
              <w:t>Step 2: Time horizon extended to 39.2 weeks</w:t>
            </w:r>
          </w:p>
        </w:tc>
      </w:tr>
      <w:tr w:rsidR="00B75095" w:rsidRPr="0023146D" w14:paraId="7D333B0A" w14:textId="77777777" w:rsidTr="0061124B">
        <w:trPr>
          <w:trHeight w:val="20"/>
        </w:trPr>
        <w:tc>
          <w:tcPr>
            <w:tcW w:w="1347" w:type="pct"/>
          </w:tcPr>
          <w:p w14:paraId="23BDCC28" w14:textId="77777777" w:rsidR="00ED1436" w:rsidRPr="0023146D" w:rsidRDefault="00ED1436" w:rsidP="00C33C18">
            <w:pPr>
              <w:keepNext/>
              <w:keepLines/>
              <w:jc w:val="left"/>
              <w:rPr>
                <w:rFonts w:ascii="Arial Narrow" w:hAnsi="Arial Narrow"/>
                <w:sz w:val="20"/>
                <w:szCs w:val="20"/>
              </w:rPr>
            </w:pPr>
            <w:r w:rsidRPr="0023146D">
              <w:rPr>
                <w:rFonts w:ascii="Arial Narrow" w:hAnsi="Arial Narrow"/>
                <w:sz w:val="20"/>
                <w:szCs w:val="20"/>
              </w:rPr>
              <w:t>Costs</w:t>
            </w:r>
          </w:p>
        </w:tc>
        <w:tc>
          <w:tcPr>
            <w:tcW w:w="1621" w:type="pct"/>
          </w:tcPr>
          <w:p w14:paraId="434DE922" w14:textId="7F6D4042" w:rsidR="00ED1436" w:rsidRPr="0023146D" w:rsidRDefault="00ED1436" w:rsidP="00C33C18">
            <w:pPr>
              <w:keepNext/>
              <w:keepLines/>
              <w:jc w:val="center"/>
              <w:rPr>
                <w:rFonts w:ascii="Arial Narrow" w:hAnsi="Arial Narrow"/>
                <w:sz w:val="20"/>
                <w:szCs w:val="20"/>
              </w:rPr>
            </w:pPr>
            <w:r w:rsidRPr="0023146D">
              <w:rPr>
                <w:rFonts w:ascii="Arial Narrow" w:hAnsi="Arial Narrow"/>
                <w:sz w:val="20"/>
                <w:szCs w:val="20"/>
                <w:lang w:val="de-DE"/>
              </w:rPr>
              <w:t>$</w:t>
            </w:r>
            <w:r w:rsidR="007548FA" w:rsidRPr="007548FA">
              <w:rPr>
                <w:rFonts w:ascii="Arial Narrow" w:hAnsi="Arial Narrow"/>
                <w:color w:val="000000"/>
                <w:sz w:val="20"/>
                <w:szCs w:val="20"/>
                <w:shd w:val="solid" w:color="000000" w:fill="000000"/>
                <w:lang w:val="de-DE"/>
                <w14:textFill>
                  <w14:solidFill>
                    <w14:srgbClr w14:val="000000">
                      <w14:alpha w14:val="100000"/>
                    </w14:srgbClr>
                  </w14:solidFill>
                </w14:textFill>
              </w:rPr>
              <w:t>|</w:t>
            </w:r>
          </w:p>
        </w:tc>
        <w:tc>
          <w:tcPr>
            <w:tcW w:w="1039" w:type="pct"/>
          </w:tcPr>
          <w:p w14:paraId="1EF58596" w14:textId="77777777" w:rsidR="00ED1436" w:rsidRPr="0023146D" w:rsidRDefault="00ED1436" w:rsidP="00C33C18">
            <w:pPr>
              <w:keepNext/>
              <w:keepLines/>
              <w:jc w:val="center"/>
              <w:rPr>
                <w:rFonts w:ascii="Arial Narrow" w:hAnsi="Arial Narrow"/>
                <w:sz w:val="20"/>
                <w:szCs w:val="20"/>
              </w:rPr>
            </w:pPr>
            <w:r w:rsidRPr="0023146D">
              <w:rPr>
                <w:rFonts w:ascii="Arial Narrow" w:hAnsi="Arial Narrow"/>
                <w:sz w:val="20"/>
                <w:szCs w:val="20"/>
                <w:lang w:val="de-DE"/>
              </w:rPr>
              <w:t>$56,348</w:t>
            </w:r>
          </w:p>
        </w:tc>
        <w:tc>
          <w:tcPr>
            <w:tcW w:w="994" w:type="pct"/>
          </w:tcPr>
          <w:p w14:paraId="4C1282DD" w14:textId="3ABCF051" w:rsidR="00ED1436" w:rsidRPr="0023146D" w:rsidRDefault="00ED1436" w:rsidP="00C33C18">
            <w:pPr>
              <w:keepNext/>
              <w:keepLines/>
              <w:jc w:val="center"/>
              <w:rPr>
                <w:rFonts w:ascii="Arial Narrow" w:hAnsi="Arial Narrow"/>
                <w:sz w:val="20"/>
                <w:szCs w:val="20"/>
              </w:rPr>
            </w:pPr>
            <w:r w:rsidRPr="00801B4B">
              <w:rPr>
                <w:rFonts w:ascii="Arial Narrow" w:hAnsi="Arial Narrow"/>
                <w:sz w:val="20"/>
                <w:szCs w:val="20"/>
                <w:lang w:val="de-DE"/>
              </w:rPr>
              <w:t>$</w:t>
            </w:r>
            <w:r w:rsidR="007548FA" w:rsidRPr="007548FA">
              <w:rPr>
                <w:rFonts w:ascii="Arial Narrow" w:hAnsi="Arial Narrow"/>
                <w:color w:val="000000"/>
                <w:sz w:val="20"/>
                <w:szCs w:val="20"/>
                <w:shd w:val="solid" w:color="000000" w:fill="000000"/>
                <w:lang w:val="de-DE"/>
                <w14:textFill>
                  <w14:solidFill>
                    <w14:srgbClr w14:val="000000">
                      <w14:alpha w14:val="100000"/>
                    </w14:srgbClr>
                  </w14:solidFill>
                </w14:textFill>
              </w:rPr>
              <w:t>|</w:t>
            </w:r>
          </w:p>
        </w:tc>
      </w:tr>
      <w:tr w:rsidR="00B75095" w:rsidRPr="0023146D" w14:paraId="3B2646B3" w14:textId="77777777" w:rsidTr="0061124B">
        <w:trPr>
          <w:trHeight w:val="20"/>
        </w:trPr>
        <w:tc>
          <w:tcPr>
            <w:tcW w:w="1347" w:type="pct"/>
          </w:tcPr>
          <w:p w14:paraId="316CD7E9" w14:textId="77777777" w:rsidR="00ED1436" w:rsidRPr="0023146D" w:rsidRDefault="00ED1436" w:rsidP="00C33C18">
            <w:pPr>
              <w:keepNext/>
              <w:keepLines/>
              <w:jc w:val="left"/>
              <w:rPr>
                <w:rFonts w:ascii="Arial Narrow" w:hAnsi="Arial Narrow"/>
                <w:sz w:val="20"/>
                <w:szCs w:val="20"/>
              </w:rPr>
            </w:pPr>
            <w:r w:rsidRPr="0023146D">
              <w:rPr>
                <w:rFonts w:ascii="Arial Narrow" w:hAnsi="Arial Narrow"/>
                <w:sz w:val="20"/>
                <w:szCs w:val="20"/>
              </w:rPr>
              <w:t>LY</w:t>
            </w:r>
          </w:p>
        </w:tc>
        <w:tc>
          <w:tcPr>
            <w:tcW w:w="1621" w:type="pct"/>
          </w:tcPr>
          <w:p w14:paraId="37A3C110" w14:textId="77777777" w:rsidR="00ED1436" w:rsidRPr="0023146D" w:rsidRDefault="00ED1436" w:rsidP="00C33C18">
            <w:pPr>
              <w:keepNext/>
              <w:keepLines/>
              <w:jc w:val="center"/>
              <w:rPr>
                <w:rFonts w:ascii="Arial Narrow" w:hAnsi="Arial Narrow"/>
                <w:sz w:val="20"/>
                <w:szCs w:val="20"/>
              </w:rPr>
            </w:pPr>
            <w:r w:rsidRPr="0023146D">
              <w:rPr>
                <w:rFonts w:ascii="Arial Narrow" w:hAnsi="Arial Narrow"/>
                <w:sz w:val="20"/>
                <w:szCs w:val="20"/>
                <w:lang w:val="de-DE"/>
              </w:rPr>
              <w:t>0.62</w:t>
            </w:r>
          </w:p>
        </w:tc>
        <w:tc>
          <w:tcPr>
            <w:tcW w:w="1039" w:type="pct"/>
          </w:tcPr>
          <w:p w14:paraId="20325E3A" w14:textId="77777777" w:rsidR="00ED1436" w:rsidRPr="0023146D" w:rsidRDefault="00ED1436" w:rsidP="00C33C18">
            <w:pPr>
              <w:keepNext/>
              <w:keepLines/>
              <w:jc w:val="center"/>
              <w:rPr>
                <w:rFonts w:ascii="Arial Narrow" w:hAnsi="Arial Narrow"/>
                <w:sz w:val="20"/>
                <w:szCs w:val="20"/>
              </w:rPr>
            </w:pPr>
            <w:r w:rsidRPr="0023146D">
              <w:rPr>
                <w:rFonts w:ascii="Arial Narrow" w:hAnsi="Arial Narrow"/>
                <w:sz w:val="20"/>
                <w:szCs w:val="20"/>
                <w:lang w:val="de-DE"/>
              </w:rPr>
              <w:t>0.61</w:t>
            </w:r>
          </w:p>
        </w:tc>
        <w:tc>
          <w:tcPr>
            <w:tcW w:w="994" w:type="pct"/>
          </w:tcPr>
          <w:p w14:paraId="4755A1A0" w14:textId="77777777" w:rsidR="00ED1436" w:rsidRPr="0023146D" w:rsidRDefault="00ED1436" w:rsidP="00C33C18">
            <w:pPr>
              <w:keepNext/>
              <w:keepLines/>
              <w:jc w:val="center"/>
              <w:rPr>
                <w:rFonts w:ascii="Arial Narrow" w:hAnsi="Arial Narrow"/>
                <w:sz w:val="20"/>
                <w:szCs w:val="20"/>
              </w:rPr>
            </w:pPr>
            <w:r w:rsidRPr="0023146D">
              <w:rPr>
                <w:rFonts w:ascii="Arial Narrow" w:hAnsi="Arial Narrow"/>
                <w:sz w:val="20"/>
                <w:szCs w:val="20"/>
                <w:lang w:val="de-DE"/>
              </w:rPr>
              <w:t>0.01</w:t>
            </w:r>
          </w:p>
        </w:tc>
      </w:tr>
      <w:tr w:rsidR="00ED1436" w:rsidRPr="0023146D" w14:paraId="78EBDCA4" w14:textId="77777777" w:rsidTr="0061124B">
        <w:trPr>
          <w:trHeight w:val="20"/>
        </w:trPr>
        <w:tc>
          <w:tcPr>
            <w:tcW w:w="2968" w:type="pct"/>
            <w:gridSpan w:val="2"/>
          </w:tcPr>
          <w:p w14:paraId="4673171F" w14:textId="77777777" w:rsidR="00ED1436" w:rsidRPr="0023146D" w:rsidRDefault="00ED1436" w:rsidP="00C33C18">
            <w:pPr>
              <w:keepNext/>
              <w:keepLines/>
              <w:jc w:val="left"/>
              <w:rPr>
                <w:rFonts w:ascii="Arial Narrow" w:hAnsi="Arial Narrow"/>
                <w:sz w:val="20"/>
                <w:szCs w:val="20"/>
              </w:rPr>
            </w:pPr>
            <w:r w:rsidRPr="0023146D">
              <w:rPr>
                <w:rFonts w:ascii="Arial Narrow" w:hAnsi="Arial Narrow"/>
                <w:sz w:val="20"/>
                <w:szCs w:val="20"/>
              </w:rPr>
              <w:t>Incremental cost/extra LY gained</w:t>
            </w:r>
          </w:p>
        </w:tc>
        <w:tc>
          <w:tcPr>
            <w:tcW w:w="2032" w:type="pct"/>
            <w:gridSpan w:val="2"/>
          </w:tcPr>
          <w:p w14:paraId="484ACEC9" w14:textId="68C00467" w:rsidR="00ED1436" w:rsidRPr="0023146D" w:rsidRDefault="007548FA" w:rsidP="00C33C18">
            <w:pPr>
              <w:keepNext/>
              <w:keepLines/>
              <w:jc w:val="center"/>
              <w:rPr>
                <w:rFonts w:ascii="Arial Narrow" w:hAnsi="Arial Narrow"/>
                <w:sz w:val="20"/>
                <w:szCs w:val="20"/>
              </w:rPr>
            </w:pPr>
            <w:r w:rsidRPr="007548FA">
              <w:rPr>
                <w:rFonts w:ascii="Arial Narrow" w:hAnsi="Arial Narrow"/>
                <w:color w:val="000000"/>
                <w:sz w:val="20"/>
                <w:szCs w:val="20"/>
                <w:shd w:val="solid" w:color="000000" w:fill="000000"/>
                <w:lang w:val="de-DE"/>
                <w14:textFill>
                  <w14:solidFill>
                    <w14:srgbClr w14:val="000000">
                      <w14:alpha w14:val="100000"/>
                    </w14:srgbClr>
                  </w14:solidFill>
                </w14:textFill>
              </w:rPr>
              <w:t>|</w:t>
            </w:r>
            <w:r w:rsidR="005829EC" w:rsidRPr="005829EC">
              <w:rPr>
                <w:rFonts w:ascii="Arial Narrow" w:hAnsi="Arial Narrow"/>
                <w:sz w:val="20"/>
                <w:szCs w:val="20"/>
                <w:vertAlign w:val="superscript"/>
                <w:lang w:val="de-DE"/>
              </w:rPr>
              <w:t>2</w:t>
            </w:r>
          </w:p>
        </w:tc>
      </w:tr>
      <w:tr w:rsidR="00ED1436" w:rsidRPr="0023146D" w14:paraId="43727FA4" w14:textId="77777777" w:rsidTr="0061124B">
        <w:trPr>
          <w:trHeight w:val="20"/>
        </w:trPr>
        <w:tc>
          <w:tcPr>
            <w:tcW w:w="5000" w:type="pct"/>
            <w:gridSpan w:val="4"/>
          </w:tcPr>
          <w:p w14:paraId="0B7C87CD" w14:textId="77777777" w:rsidR="00ED1436" w:rsidRPr="0023146D" w:rsidRDefault="00ED1436" w:rsidP="00C33C18">
            <w:pPr>
              <w:keepNext/>
              <w:keepLines/>
              <w:jc w:val="left"/>
              <w:rPr>
                <w:rFonts w:ascii="Arial Narrow" w:hAnsi="Arial Narrow"/>
                <w:b/>
                <w:bCs/>
                <w:sz w:val="20"/>
                <w:szCs w:val="20"/>
              </w:rPr>
            </w:pPr>
            <w:r w:rsidRPr="0023146D">
              <w:rPr>
                <w:rFonts w:ascii="Arial Narrow" w:hAnsi="Arial Narrow"/>
                <w:b/>
                <w:bCs/>
                <w:sz w:val="20"/>
                <w:szCs w:val="20"/>
              </w:rPr>
              <w:t>Step 3: Time horizon extended to 10 years</w:t>
            </w:r>
          </w:p>
        </w:tc>
      </w:tr>
      <w:tr w:rsidR="00B75095" w:rsidRPr="0023146D" w14:paraId="382ED91E" w14:textId="77777777" w:rsidTr="0061124B">
        <w:trPr>
          <w:trHeight w:val="20"/>
        </w:trPr>
        <w:tc>
          <w:tcPr>
            <w:tcW w:w="1347" w:type="pct"/>
          </w:tcPr>
          <w:p w14:paraId="1A978AF3" w14:textId="77777777" w:rsidR="00ED1436" w:rsidRPr="0023146D" w:rsidRDefault="00ED1436" w:rsidP="00C33C18">
            <w:pPr>
              <w:keepNext/>
              <w:keepLines/>
              <w:jc w:val="left"/>
              <w:rPr>
                <w:rFonts w:ascii="Arial Narrow" w:hAnsi="Arial Narrow"/>
                <w:sz w:val="20"/>
                <w:szCs w:val="20"/>
              </w:rPr>
            </w:pPr>
            <w:r w:rsidRPr="0023146D">
              <w:rPr>
                <w:rFonts w:ascii="Arial Narrow" w:hAnsi="Arial Narrow"/>
                <w:sz w:val="20"/>
                <w:szCs w:val="20"/>
              </w:rPr>
              <w:t>Costs</w:t>
            </w:r>
          </w:p>
        </w:tc>
        <w:tc>
          <w:tcPr>
            <w:tcW w:w="1621" w:type="pct"/>
          </w:tcPr>
          <w:p w14:paraId="42BA53FC" w14:textId="2CBD0B82" w:rsidR="00ED1436" w:rsidRPr="0023146D" w:rsidRDefault="00ED1436" w:rsidP="00C33C18">
            <w:pPr>
              <w:keepNext/>
              <w:keepLines/>
              <w:jc w:val="center"/>
              <w:rPr>
                <w:rFonts w:ascii="Arial Narrow" w:hAnsi="Arial Narrow"/>
                <w:sz w:val="20"/>
                <w:szCs w:val="20"/>
              </w:rPr>
            </w:pPr>
            <w:r w:rsidRPr="0023146D">
              <w:rPr>
                <w:rFonts w:ascii="Arial Narrow" w:hAnsi="Arial Narrow"/>
                <w:sz w:val="20"/>
                <w:szCs w:val="20"/>
                <w:lang w:val="de-DE"/>
              </w:rPr>
              <w:t>$</w:t>
            </w:r>
            <w:r w:rsidR="007548FA" w:rsidRPr="007548FA">
              <w:rPr>
                <w:rFonts w:ascii="Arial Narrow" w:hAnsi="Arial Narrow"/>
                <w:color w:val="000000"/>
                <w:sz w:val="20"/>
                <w:szCs w:val="20"/>
                <w:shd w:val="solid" w:color="000000" w:fill="000000"/>
                <w:lang w:val="de-DE"/>
                <w14:textFill>
                  <w14:solidFill>
                    <w14:srgbClr w14:val="000000">
                      <w14:alpha w14:val="100000"/>
                    </w14:srgbClr>
                  </w14:solidFill>
                </w14:textFill>
              </w:rPr>
              <w:t>|</w:t>
            </w:r>
          </w:p>
        </w:tc>
        <w:tc>
          <w:tcPr>
            <w:tcW w:w="1039" w:type="pct"/>
          </w:tcPr>
          <w:p w14:paraId="0134BDDF" w14:textId="77777777" w:rsidR="00ED1436" w:rsidRPr="0023146D" w:rsidRDefault="00ED1436" w:rsidP="00C33C18">
            <w:pPr>
              <w:keepNext/>
              <w:keepLines/>
              <w:jc w:val="center"/>
              <w:rPr>
                <w:rFonts w:ascii="Arial Narrow" w:hAnsi="Arial Narrow"/>
                <w:sz w:val="20"/>
                <w:szCs w:val="20"/>
              </w:rPr>
            </w:pPr>
            <w:r w:rsidRPr="0023146D">
              <w:rPr>
                <w:rFonts w:ascii="Arial Narrow" w:hAnsi="Arial Narrow"/>
                <w:sz w:val="20"/>
                <w:szCs w:val="20"/>
                <w:lang w:val="de-DE"/>
              </w:rPr>
              <w:t>$62,681</w:t>
            </w:r>
          </w:p>
        </w:tc>
        <w:tc>
          <w:tcPr>
            <w:tcW w:w="994" w:type="pct"/>
          </w:tcPr>
          <w:p w14:paraId="5F64C6E3" w14:textId="3DF3170C" w:rsidR="00ED1436" w:rsidRPr="0023146D" w:rsidRDefault="00ED1436" w:rsidP="00C33C18">
            <w:pPr>
              <w:keepNext/>
              <w:keepLines/>
              <w:jc w:val="center"/>
              <w:rPr>
                <w:rFonts w:ascii="Arial Narrow" w:hAnsi="Arial Narrow"/>
                <w:sz w:val="20"/>
                <w:szCs w:val="20"/>
              </w:rPr>
            </w:pPr>
            <w:r w:rsidRPr="0023146D">
              <w:rPr>
                <w:rFonts w:ascii="Arial Narrow" w:hAnsi="Arial Narrow"/>
                <w:sz w:val="20"/>
                <w:szCs w:val="20"/>
                <w:lang w:val="de-DE"/>
              </w:rPr>
              <w:t>$</w:t>
            </w:r>
            <w:r w:rsidR="007548FA" w:rsidRPr="007548FA">
              <w:rPr>
                <w:rFonts w:ascii="Arial Narrow" w:hAnsi="Arial Narrow"/>
                <w:color w:val="000000"/>
                <w:sz w:val="20"/>
                <w:szCs w:val="20"/>
                <w:shd w:val="solid" w:color="000000" w:fill="000000"/>
                <w:lang w:val="de-DE"/>
                <w14:textFill>
                  <w14:solidFill>
                    <w14:srgbClr w14:val="000000">
                      <w14:alpha w14:val="100000"/>
                    </w14:srgbClr>
                  </w14:solidFill>
                </w14:textFill>
              </w:rPr>
              <w:t>|</w:t>
            </w:r>
          </w:p>
        </w:tc>
      </w:tr>
      <w:tr w:rsidR="00B75095" w:rsidRPr="0023146D" w14:paraId="2A723391" w14:textId="77777777" w:rsidTr="0061124B">
        <w:trPr>
          <w:trHeight w:val="20"/>
        </w:trPr>
        <w:tc>
          <w:tcPr>
            <w:tcW w:w="1347" w:type="pct"/>
          </w:tcPr>
          <w:p w14:paraId="784C335B" w14:textId="77777777" w:rsidR="00ED1436" w:rsidRPr="0023146D" w:rsidRDefault="00ED1436" w:rsidP="00C33C18">
            <w:pPr>
              <w:keepNext/>
              <w:keepLines/>
              <w:jc w:val="left"/>
              <w:rPr>
                <w:rFonts w:ascii="Arial Narrow" w:hAnsi="Arial Narrow"/>
                <w:sz w:val="20"/>
                <w:szCs w:val="20"/>
              </w:rPr>
            </w:pPr>
            <w:r w:rsidRPr="0023146D">
              <w:rPr>
                <w:rFonts w:ascii="Arial Narrow" w:hAnsi="Arial Narrow"/>
                <w:sz w:val="20"/>
                <w:szCs w:val="20"/>
              </w:rPr>
              <w:t>LY</w:t>
            </w:r>
          </w:p>
        </w:tc>
        <w:tc>
          <w:tcPr>
            <w:tcW w:w="1621" w:type="pct"/>
          </w:tcPr>
          <w:p w14:paraId="1E5B13A3" w14:textId="77777777" w:rsidR="00ED1436" w:rsidRPr="0023146D" w:rsidRDefault="00ED1436" w:rsidP="00C33C18">
            <w:pPr>
              <w:keepNext/>
              <w:keepLines/>
              <w:jc w:val="center"/>
              <w:rPr>
                <w:rFonts w:ascii="Arial Narrow" w:hAnsi="Arial Narrow"/>
                <w:sz w:val="20"/>
                <w:szCs w:val="20"/>
              </w:rPr>
            </w:pPr>
            <w:r w:rsidRPr="0023146D">
              <w:rPr>
                <w:rFonts w:ascii="Arial Narrow" w:hAnsi="Arial Narrow"/>
                <w:sz w:val="20"/>
                <w:szCs w:val="20"/>
                <w:lang w:val="de-DE"/>
              </w:rPr>
              <w:t>4.90</w:t>
            </w:r>
          </w:p>
        </w:tc>
        <w:tc>
          <w:tcPr>
            <w:tcW w:w="1039" w:type="pct"/>
          </w:tcPr>
          <w:p w14:paraId="270D0525" w14:textId="77777777" w:rsidR="00ED1436" w:rsidRPr="0023146D" w:rsidRDefault="00ED1436" w:rsidP="00C33C18">
            <w:pPr>
              <w:keepNext/>
              <w:keepLines/>
              <w:jc w:val="center"/>
              <w:rPr>
                <w:rFonts w:ascii="Arial Narrow" w:hAnsi="Arial Narrow"/>
                <w:sz w:val="20"/>
                <w:szCs w:val="20"/>
              </w:rPr>
            </w:pPr>
            <w:r w:rsidRPr="0023146D">
              <w:rPr>
                <w:rFonts w:ascii="Arial Narrow" w:hAnsi="Arial Narrow"/>
                <w:sz w:val="20"/>
                <w:szCs w:val="20"/>
                <w:lang w:val="de-DE"/>
              </w:rPr>
              <w:t>4.81</w:t>
            </w:r>
          </w:p>
        </w:tc>
        <w:tc>
          <w:tcPr>
            <w:tcW w:w="994" w:type="pct"/>
          </w:tcPr>
          <w:p w14:paraId="398B275F" w14:textId="77777777" w:rsidR="00ED1436" w:rsidRPr="0023146D" w:rsidRDefault="00ED1436" w:rsidP="00C33C18">
            <w:pPr>
              <w:keepNext/>
              <w:keepLines/>
              <w:jc w:val="center"/>
              <w:rPr>
                <w:rFonts w:ascii="Arial Narrow" w:hAnsi="Arial Narrow"/>
                <w:sz w:val="20"/>
                <w:szCs w:val="20"/>
              </w:rPr>
            </w:pPr>
            <w:r w:rsidRPr="0023146D">
              <w:rPr>
                <w:rFonts w:ascii="Arial Narrow" w:hAnsi="Arial Narrow"/>
                <w:sz w:val="20"/>
                <w:szCs w:val="20"/>
                <w:lang w:val="de-DE"/>
              </w:rPr>
              <w:t>0.09</w:t>
            </w:r>
          </w:p>
        </w:tc>
      </w:tr>
      <w:tr w:rsidR="00ED1436" w:rsidRPr="0023146D" w14:paraId="23CB2D20" w14:textId="77777777" w:rsidTr="0061124B">
        <w:trPr>
          <w:trHeight w:val="20"/>
        </w:trPr>
        <w:tc>
          <w:tcPr>
            <w:tcW w:w="2968" w:type="pct"/>
            <w:gridSpan w:val="2"/>
          </w:tcPr>
          <w:p w14:paraId="7A310329" w14:textId="77777777" w:rsidR="00ED1436" w:rsidRPr="0023146D" w:rsidRDefault="00ED1436" w:rsidP="00C33C18">
            <w:pPr>
              <w:keepNext/>
              <w:keepLines/>
              <w:jc w:val="left"/>
              <w:rPr>
                <w:rFonts w:ascii="Arial Narrow" w:hAnsi="Arial Narrow"/>
                <w:sz w:val="20"/>
                <w:szCs w:val="20"/>
              </w:rPr>
            </w:pPr>
            <w:r w:rsidRPr="0023146D">
              <w:rPr>
                <w:rFonts w:ascii="Arial Narrow" w:hAnsi="Arial Narrow"/>
                <w:sz w:val="20"/>
                <w:szCs w:val="20"/>
              </w:rPr>
              <w:t>Incremental cost/extra LY gained</w:t>
            </w:r>
          </w:p>
        </w:tc>
        <w:tc>
          <w:tcPr>
            <w:tcW w:w="2032" w:type="pct"/>
            <w:gridSpan w:val="2"/>
          </w:tcPr>
          <w:p w14:paraId="455332A8" w14:textId="2608E513" w:rsidR="00ED1436" w:rsidRPr="0023146D" w:rsidRDefault="007548FA" w:rsidP="00C33C18">
            <w:pPr>
              <w:keepNext/>
              <w:keepLines/>
              <w:jc w:val="center"/>
              <w:rPr>
                <w:rFonts w:ascii="Arial Narrow" w:hAnsi="Arial Narrow"/>
                <w:sz w:val="20"/>
                <w:szCs w:val="20"/>
              </w:rPr>
            </w:pPr>
            <w:r w:rsidRPr="007548FA">
              <w:rPr>
                <w:rFonts w:ascii="Arial Narrow" w:hAnsi="Arial Narrow"/>
                <w:color w:val="000000"/>
                <w:sz w:val="20"/>
                <w:szCs w:val="20"/>
                <w:shd w:val="solid" w:color="000000" w:fill="000000"/>
                <w:lang w:val="de-DE"/>
                <w14:textFill>
                  <w14:solidFill>
                    <w14:srgbClr w14:val="000000">
                      <w14:alpha w14:val="100000"/>
                    </w14:srgbClr>
                  </w14:solidFill>
                </w14:textFill>
              </w:rPr>
              <w:t>|</w:t>
            </w:r>
            <w:r w:rsidR="005829EC" w:rsidRPr="00801B4B">
              <w:rPr>
                <w:rFonts w:ascii="Arial Narrow" w:hAnsi="Arial Narrow"/>
                <w:sz w:val="20"/>
                <w:szCs w:val="20"/>
                <w:vertAlign w:val="superscript"/>
                <w:lang w:val="de-DE"/>
              </w:rPr>
              <w:t>1</w:t>
            </w:r>
          </w:p>
        </w:tc>
      </w:tr>
      <w:tr w:rsidR="00ED1436" w:rsidRPr="0023146D" w14:paraId="3B12E06E" w14:textId="77777777" w:rsidTr="0061124B">
        <w:trPr>
          <w:trHeight w:val="20"/>
        </w:trPr>
        <w:tc>
          <w:tcPr>
            <w:tcW w:w="5000" w:type="pct"/>
            <w:gridSpan w:val="4"/>
          </w:tcPr>
          <w:p w14:paraId="448EF326" w14:textId="77777777" w:rsidR="00ED1436" w:rsidRPr="0023146D" w:rsidRDefault="00ED1436" w:rsidP="00C33C18">
            <w:pPr>
              <w:keepNext/>
              <w:keepLines/>
              <w:jc w:val="left"/>
              <w:rPr>
                <w:rFonts w:ascii="Arial Narrow" w:hAnsi="Arial Narrow"/>
                <w:b/>
                <w:bCs/>
                <w:sz w:val="20"/>
                <w:szCs w:val="20"/>
              </w:rPr>
            </w:pPr>
            <w:r w:rsidRPr="0023146D">
              <w:rPr>
                <w:rFonts w:ascii="Arial Narrow" w:hAnsi="Arial Narrow"/>
                <w:b/>
                <w:bCs/>
                <w:sz w:val="20"/>
                <w:szCs w:val="20"/>
              </w:rPr>
              <w:t>Step 4: Utility weights applied</w:t>
            </w:r>
          </w:p>
        </w:tc>
      </w:tr>
      <w:tr w:rsidR="00B75095" w:rsidRPr="0023146D" w14:paraId="7B203A9E" w14:textId="77777777" w:rsidTr="007548FA">
        <w:trPr>
          <w:trHeight w:val="20"/>
        </w:trPr>
        <w:tc>
          <w:tcPr>
            <w:tcW w:w="1347" w:type="pct"/>
          </w:tcPr>
          <w:p w14:paraId="5E38BDD1" w14:textId="77777777" w:rsidR="00ED1436" w:rsidRPr="0023146D" w:rsidRDefault="00ED1436" w:rsidP="00C33C18">
            <w:pPr>
              <w:keepNext/>
              <w:keepLines/>
              <w:jc w:val="left"/>
              <w:rPr>
                <w:rFonts w:ascii="Arial Narrow" w:hAnsi="Arial Narrow"/>
                <w:sz w:val="20"/>
                <w:szCs w:val="20"/>
              </w:rPr>
            </w:pPr>
            <w:r w:rsidRPr="0023146D">
              <w:rPr>
                <w:rFonts w:ascii="Arial Narrow" w:hAnsi="Arial Narrow"/>
                <w:sz w:val="20"/>
                <w:szCs w:val="20"/>
              </w:rPr>
              <w:t>Costs</w:t>
            </w:r>
          </w:p>
        </w:tc>
        <w:tc>
          <w:tcPr>
            <w:tcW w:w="1621" w:type="pct"/>
            <w:tcBorders>
              <w:bottom w:val="single" w:sz="4" w:space="0" w:color="auto"/>
            </w:tcBorders>
          </w:tcPr>
          <w:p w14:paraId="41D6DD4F" w14:textId="2476D12C" w:rsidR="00ED1436" w:rsidRPr="0023146D" w:rsidRDefault="00ED1436" w:rsidP="00C33C18">
            <w:pPr>
              <w:keepNext/>
              <w:keepLines/>
              <w:jc w:val="center"/>
              <w:rPr>
                <w:rFonts w:ascii="Arial Narrow" w:hAnsi="Arial Narrow"/>
                <w:color w:val="FF0000"/>
                <w:sz w:val="20"/>
                <w:szCs w:val="20"/>
              </w:rPr>
            </w:pPr>
            <w:r w:rsidRPr="0023146D">
              <w:rPr>
                <w:rFonts w:ascii="Arial Narrow" w:hAnsi="Arial Narrow"/>
                <w:sz w:val="20"/>
                <w:szCs w:val="20"/>
                <w:lang w:val="de-DE"/>
              </w:rPr>
              <w:t>$</w:t>
            </w:r>
            <w:r w:rsidR="007548FA" w:rsidRPr="007548FA">
              <w:rPr>
                <w:rFonts w:ascii="Arial Narrow" w:hAnsi="Arial Narrow"/>
                <w:color w:val="000000"/>
                <w:sz w:val="20"/>
                <w:szCs w:val="20"/>
                <w:shd w:val="solid" w:color="000000" w:fill="000000"/>
                <w:lang w:val="de-DE"/>
                <w14:textFill>
                  <w14:solidFill>
                    <w14:srgbClr w14:val="000000">
                      <w14:alpha w14:val="100000"/>
                    </w14:srgbClr>
                  </w14:solidFill>
                </w14:textFill>
              </w:rPr>
              <w:t>|</w:t>
            </w:r>
          </w:p>
        </w:tc>
        <w:tc>
          <w:tcPr>
            <w:tcW w:w="1039" w:type="pct"/>
          </w:tcPr>
          <w:p w14:paraId="6AF4E621" w14:textId="1DFDA891" w:rsidR="00ED1436" w:rsidRPr="0023146D" w:rsidRDefault="00B30D6B" w:rsidP="00C33C18">
            <w:pPr>
              <w:keepNext/>
              <w:keepLines/>
              <w:jc w:val="center"/>
              <w:rPr>
                <w:rFonts w:ascii="Arial Narrow" w:hAnsi="Arial Narrow"/>
                <w:sz w:val="20"/>
                <w:szCs w:val="20"/>
              </w:rPr>
            </w:pPr>
            <w:r w:rsidRPr="0023146D">
              <w:rPr>
                <w:rFonts w:ascii="Arial Narrow" w:hAnsi="Arial Narrow"/>
                <w:sz w:val="20"/>
                <w:szCs w:val="20"/>
                <w:lang w:val="de-DE"/>
              </w:rPr>
              <w:t>$62,681</w:t>
            </w:r>
          </w:p>
        </w:tc>
        <w:tc>
          <w:tcPr>
            <w:tcW w:w="994" w:type="pct"/>
          </w:tcPr>
          <w:p w14:paraId="502D764D" w14:textId="1E1A3FC3" w:rsidR="00ED1436" w:rsidRPr="0023146D" w:rsidRDefault="00ED1436" w:rsidP="00C33C18">
            <w:pPr>
              <w:keepNext/>
              <w:keepLines/>
              <w:jc w:val="center"/>
              <w:rPr>
                <w:rFonts w:ascii="Arial Narrow" w:hAnsi="Arial Narrow"/>
                <w:sz w:val="20"/>
                <w:szCs w:val="20"/>
              </w:rPr>
            </w:pPr>
            <w:r w:rsidRPr="0023146D">
              <w:rPr>
                <w:rFonts w:ascii="Arial Narrow" w:hAnsi="Arial Narrow"/>
                <w:sz w:val="20"/>
                <w:szCs w:val="20"/>
                <w:lang w:val="de-DE"/>
              </w:rPr>
              <w:t>$</w:t>
            </w:r>
            <w:r w:rsidR="007548FA" w:rsidRPr="007548FA">
              <w:rPr>
                <w:rFonts w:ascii="Arial Narrow" w:hAnsi="Arial Narrow"/>
                <w:color w:val="000000"/>
                <w:sz w:val="20"/>
                <w:szCs w:val="20"/>
                <w:shd w:val="solid" w:color="000000" w:fill="000000"/>
                <w:lang w:val="de-DE"/>
                <w14:textFill>
                  <w14:solidFill>
                    <w14:srgbClr w14:val="000000">
                      <w14:alpha w14:val="100000"/>
                    </w14:srgbClr>
                  </w14:solidFill>
                </w14:textFill>
              </w:rPr>
              <w:t>|</w:t>
            </w:r>
          </w:p>
        </w:tc>
      </w:tr>
      <w:tr w:rsidR="00B75095" w:rsidRPr="0023146D" w14:paraId="762D2BF4" w14:textId="77777777" w:rsidTr="00D3597D">
        <w:trPr>
          <w:trHeight w:val="20"/>
        </w:trPr>
        <w:tc>
          <w:tcPr>
            <w:tcW w:w="1347" w:type="pct"/>
          </w:tcPr>
          <w:p w14:paraId="1E75A6A7" w14:textId="77777777" w:rsidR="00ED1436" w:rsidRPr="0023146D" w:rsidRDefault="00ED1436" w:rsidP="00C33C18">
            <w:pPr>
              <w:keepNext/>
              <w:keepLines/>
              <w:jc w:val="left"/>
              <w:rPr>
                <w:rFonts w:ascii="Arial Narrow" w:hAnsi="Arial Narrow"/>
                <w:sz w:val="20"/>
                <w:szCs w:val="20"/>
              </w:rPr>
            </w:pPr>
            <w:r w:rsidRPr="0023146D">
              <w:rPr>
                <w:rFonts w:ascii="Arial Narrow" w:hAnsi="Arial Narrow"/>
                <w:sz w:val="20"/>
                <w:szCs w:val="20"/>
              </w:rPr>
              <w:t>QALYs</w:t>
            </w:r>
          </w:p>
        </w:tc>
        <w:tc>
          <w:tcPr>
            <w:tcW w:w="1621" w:type="pct"/>
            <w:shd w:val="clear" w:color="auto" w:fill="auto"/>
          </w:tcPr>
          <w:p w14:paraId="228713D6" w14:textId="28A1A8E9" w:rsidR="00ED1436" w:rsidRPr="0023146D" w:rsidRDefault="00D3597D" w:rsidP="00C33C18">
            <w:pPr>
              <w:keepNext/>
              <w:keepLines/>
              <w:jc w:val="center"/>
              <w:rPr>
                <w:rFonts w:ascii="Arial Narrow" w:hAnsi="Arial Narrow"/>
                <w:sz w:val="20"/>
                <w:szCs w:val="20"/>
              </w:rPr>
            </w:pPr>
            <w:r w:rsidRPr="0023146D">
              <w:rPr>
                <w:rFonts w:ascii="Arial Narrow" w:hAnsi="Arial Narrow"/>
                <w:sz w:val="20"/>
                <w:szCs w:val="20"/>
                <w:lang w:val="de-DE"/>
              </w:rPr>
              <w:t>4.28</w:t>
            </w:r>
          </w:p>
        </w:tc>
        <w:tc>
          <w:tcPr>
            <w:tcW w:w="1039" w:type="pct"/>
          </w:tcPr>
          <w:p w14:paraId="3310B0F1" w14:textId="77777777" w:rsidR="00ED1436" w:rsidRPr="0023146D" w:rsidRDefault="00ED1436" w:rsidP="00C33C18">
            <w:pPr>
              <w:keepNext/>
              <w:keepLines/>
              <w:jc w:val="center"/>
              <w:rPr>
                <w:rFonts w:ascii="Arial Narrow" w:hAnsi="Arial Narrow"/>
                <w:sz w:val="20"/>
                <w:szCs w:val="20"/>
              </w:rPr>
            </w:pPr>
            <w:r w:rsidRPr="0023146D">
              <w:rPr>
                <w:rFonts w:ascii="Arial Narrow" w:hAnsi="Arial Narrow"/>
                <w:sz w:val="20"/>
                <w:szCs w:val="20"/>
                <w:lang w:val="de-DE"/>
              </w:rPr>
              <w:t>4.17</w:t>
            </w:r>
          </w:p>
        </w:tc>
        <w:tc>
          <w:tcPr>
            <w:tcW w:w="994" w:type="pct"/>
          </w:tcPr>
          <w:p w14:paraId="2260C9DF" w14:textId="77777777" w:rsidR="00ED1436" w:rsidRPr="0023146D" w:rsidRDefault="00ED1436" w:rsidP="00C33C18">
            <w:pPr>
              <w:keepNext/>
              <w:keepLines/>
              <w:jc w:val="center"/>
              <w:rPr>
                <w:rFonts w:ascii="Arial Narrow" w:hAnsi="Arial Narrow"/>
                <w:sz w:val="20"/>
                <w:szCs w:val="20"/>
              </w:rPr>
            </w:pPr>
            <w:r w:rsidRPr="0023146D">
              <w:rPr>
                <w:rFonts w:ascii="Arial Narrow" w:hAnsi="Arial Narrow"/>
                <w:sz w:val="20"/>
                <w:szCs w:val="20"/>
                <w:lang w:val="de-DE"/>
              </w:rPr>
              <w:t>0.11</w:t>
            </w:r>
          </w:p>
        </w:tc>
      </w:tr>
      <w:tr w:rsidR="00ED1436" w:rsidRPr="0023146D" w14:paraId="7981DBD2" w14:textId="77777777" w:rsidTr="0061124B">
        <w:trPr>
          <w:trHeight w:val="20"/>
        </w:trPr>
        <w:tc>
          <w:tcPr>
            <w:tcW w:w="2968" w:type="pct"/>
            <w:gridSpan w:val="2"/>
          </w:tcPr>
          <w:p w14:paraId="3DFC1578" w14:textId="61F0779F" w:rsidR="00ED1436" w:rsidRPr="0023146D" w:rsidRDefault="00ED1436" w:rsidP="00C33C18">
            <w:pPr>
              <w:keepNext/>
              <w:keepLines/>
              <w:jc w:val="left"/>
              <w:rPr>
                <w:rFonts w:ascii="Arial Narrow" w:hAnsi="Arial Narrow"/>
                <w:b/>
                <w:bCs/>
                <w:sz w:val="20"/>
                <w:szCs w:val="20"/>
              </w:rPr>
            </w:pPr>
            <w:r w:rsidRPr="0023146D">
              <w:rPr>
                <w:rFonts w:ascii="Arial Narrow" w:hAnsi="Arial Narrow"/>
                <w:b/>
                <w:bCs/>
                <w:sz w:val="20"/>
                <w:szCs w:val="20"/>
              </w:rPr>
              <w:t xml:space="preserve">Incremental cost </w:t>
            </w:r>
            <w:r w:rsidR="008B1DE6" w:rsidRPr="0023146D">
              <w:rPr>
                <w:rFonts w:ascii="Arial Narrow" w:hAnsi="Arial Narrow"/>
                <w:b/>
                <w:bCs/>
                <w:sz w:val="20"/>
                <w:szCs w:val="20"/>
              </w:rPr>
              <w:t>per</w:t>
            </w:r>
            <w:r w:rsidRPr="0023146D">
              <w:rPr>
                <w:rFonts w:ascii="Arial Narrow" w:hAnsi="Arial Narrow"/>
                <w:b/>
                <w:bCs/>
                <w:sz w:val="20"/>
                <w:szCs w:val="20"/>
              </w:rPr>
              <w:t xml:space="preserve"> QALY gained (base case)</w:t>
            </w:r>
          </w:p>
        </w:tc>
        <w:tc>
          <w:tcPr>
            <w:tcW w:w="2032" w:type="pct"/>
            <w:gridSpan w:val="2"/>
          </w:tcPr>
          <w:p w14:paraId="0AD070BE" w14:textId="34713914" w:rsidR="00ED1436" w:rsidRPr="0023146D" w:rsidRDefault="007548FA" w:rsidP="00C33C18">
            <w:pPr>
              <w:keepNext/>
              <w:keepLines/>
              <w:jc w:val="center"/>
              <w:rPr>
                <w:rFonts w:ascii="Arial Narrow" w:hAnsi="Arial Narrow"/>
                <w:b/>
                <w:sz w:val="20"/>
                <w:szCs w:val="20"/>
              </w:rPr>
            </w:pPr>
            <w:r w:rsidRPr="007548FA">
              <w:rPr>
                <w:rFonts w:ascii="Arial Narrow" w:hAnsi="Arial Narrow"/>
                <w:b/>
                <w:color w:val="000000"/>
                <w:sz w:val="20"/>
                <w:szCs w:val="20"/>
                <w:shd w:val="solid" w:color="000000" w:fill="000000"/>
                <w:lang w:val="de-DE"/>
                <w14:textFill>
                  <w14:solidFill>
                    <w14:srgbClr w14:val="000000">
                      <w14:alpha w14:val="100000"/>
                    </w14:srgbClr>
                  </w14:solidFill>
                </w14:textFill>
              </w:rPr>
              <w:t>|</w:t>
            </w:r>
            <w:r w:rsidR="008F7951" w:rsidRPr="008F7951">
              <w:rPr>
                <w:rFonts w:ascii="Arial Narrow" w:hAnsi="Arial Narrow"/>
                <w:b/>
                <w:sz w:val="20"/>
                <w:szCs w:val="20"/>
                <w:vertAlign w:val="superscript"/>
                <w:lang w:val="de-DE"/>
              </w:rPr>
              <w:t>3</w:t>
            </w:r>
          </w:p>
        </w:tc>
      </w:tr>
      <w:tr w:rsidR="00ED1436" w:rsidRPr="0023146D" w14:paraId="3F9B746F" w14:textId="77777777" w:rsidTr="0061124B">
        <w:trPr>
          <w:trHeight w:val="20"/>
        </w:trPr>
        <w:tc>
          <w:tcPr>
            <w:tcW w:w="5000" w:type="pct"/>
            <w:gridSpan w:val="4"/>
            <w:shd w:val="clear" w:color="auto" w:fill="C6D9F1" w:themeFill="text2" w:themeFillTint="33"/>
          </w:tcPr>
          <w:p w14:paraId="05DB0D57" w14:textId="77777777" w:rsidR="00ED1436" w:rsidRPr="0023146D" w:rsidRDefault="00ED1436" w:rsidP="00C33C18">
            <w:pPr>
              <w:keepNext/>
              <w:keepLines/>
              <w:jc w:val="left"/>
              <w:rPr>
                <w:rFonts w:ascii="Arial Narrow" w:hAnsi="Arial Narrow"/>
                <w:b/>
                <w:bCs/>
                <w:sz w:val="20"/>
                <w:szCs w:val="20"/>
              </w:rPr>
            </w:pPr>
            <w:r w:rsidRPr="0023146D">
              <w:rPr>
                <w:rFonts w:ascii="Arial Narrow" w:hAnsi="Arial Narrow"/>
                <w:b/>
                <w:bCs/>
                <w:sz w:val="20"/>
                <w:szCs w:val="20"/>
              </w:rPr>
              <w:t>November 2023 submission</w:t>
            </w:r>
          </w:p>
        </w:tc>
      </w:tr>
      <w:tr w:rsidR="00B75095" w:rsidRPr="0023146D" w14:paraId="049E5C6F" w14:textId="77777777" w:rsidTr="0061124B">
        <w:trPr>
          <w:trHeight w:val="20"/>
        </w:trPr>
        <w:tc>
          <w:tcPr>
            <w:tcW w:w="1347" w:type="pct"/>
            <w:shd w:val="clear" w:color="auto" w:fill="C6D9F1" w:themeFill="text2" w:themeFillTint="33"/>
          </w:tcPr>
          <w:p w14:paraId="49CE9825" w14:textId="77777777" w:rsidR="00ED1436" w:rsidRPr="0023146D" w:rsidRDefault="00ED1436" w:rsidP="00C33C18">
            <w:pPr>
              <w:keepNext/>
              <w:keepLines/>
              <w:jc w:val="left"/>
              <w:rPr>
                <w:rFonts w:ascii="Arial Narrow" w:hAnsi="Arial Narrow"/>
                <w:b/>
                <w:bCs/>
                <w:sz w:val="20"/>
                <w:szCs w:val="20"/>
              </w:rPr>
            </w:pPr>
            <w:r w:rsidRPr="0023146D">
              <w:rPr>
                <w:rFonts w:ascii="Arial Narrow" w:hAnsi="Arial Narrow"/>
                <w:b/>
                <w:bCs/>
                <w:sz w:val="20"/>
                <w:szCs w:val="20"/>
              </w:rPr>
              <w:t>Step and component</w:t>
            </w:r>
          </w:p>
        </w:tc>
        <w:tc>
          <w:tcPr>
            <w:tcW w:w="1621" w:type="pct"/>
            <w:shd w:val="clear" w:color="auto" w:fill="C6D9F1" w:themeFill="text2" w:themeFillTint="33"/>
          </w:tcPr>
          <w:p w14:paraId="15AFAAC5" w14:textId="77777777" w:rsidR="00ED1436" w:rsidRPr="0023146D" w:rsidRDefault="00ED1436" w:rsidP="00C33C18">
            <w:pPr>
              <w:keepNext/>
              <w:keepLines/>
              <w:jc w:val="center"/>
              <w:rPr>
                <w:rFonts w:ascii="Arial Narrow" w:hAnsi="Arial Narrow"/>
                <w:b/>
                <w:bCs/>
                <w:sz w:val="20"/>
                <w:szCs w:val="20"/>
              </w:rPr>
            </w:pPr>
            <w:r w:rsidRPr="0023146D">
              <w:rPr>
                <w:rFonts w:ascii="Arial Narrow" w:hAnsi="Arial Narrow"/>
                <w:b/>
                <w:bCs/>
                <w:sz w:val="20"/>
                <w:szCs w:val="20"/>
              </w:rPr>
              <w:t>Maribavir</w:t>
            </w:r>
          </w:p>
        </w:tc>
        <w:tc>
          <w:tcPr>
            <w:tcW w:w="1039" w:type="pct"/>
            <w:shd w:val="clear" w:color="auto" w:fill="C6D9F1" w:themeFill="text2" w:themeFillTint="33"/>
          </w:tcPr>
          <w:p w14:paraId="0F370D8E" w14:textId="77777777" w:rsidR="00ED1436" w:rsidRPr="0023146D" w:rsidRDefault="00ED1436" w:rsidP="00C33C18">
            <w:pPr>
              <w:keepNext/>
              <w:keepLines/>
              <w:jc w:val="center"/>
              <w:rPr>
                <w:rFonts w:ascii="Arial Narrow" w:hAnsi="Arial Narrow"/>
                <w:b/>
                <w:bCs/>
                <w:sz w:val="20"/>
                <w:szCs w:val="20"/>
              </w:rPr>
            </w:pPr>
            <w:r w:rsidRPr="0023146D">
              <w:rPr>
                <w:rFonts w:ascii="Arial Narrow" w:hAnsi="Arial Narrow"/>
                <w:b/>
                <w:bCs/>
                <w:sz w:val="20"/>
                <w:szCs w:val="20"/>
              </w:rPr>
              <w:t>SoC</w:t>
            </w:r>
          </w:p>
        </w:tc>
        <w:tc>
          <w:tcPr>
            <w:tcW w:w="994" w:type="pct"/>
            <w:shd w:val="clear" w:color="auto" w:fill="C6D9F1" w:themeFill="text2" w:themeFillTint="33"/>
          </w:tcPr>
          <w:p w14:paraId="4E0FA6B9" w14:textId="77777777" w:rsidR="00ED1436" w:rsidRPr="0023146D" w:rsidRDefault="00ED1436" w:rsidP="00C33C18">
            <w:pPr>
              <w:keepNext/>
              <w:keepLines/>
              <w:jc w:val="center"/>
              <w:rPr>
                <w:rFonts w:ascii="Arial Narrow" w:hAnsi="Arial Narrow"/>
                <w:b/>
                <w:bCs/>
                <w:sz w:val="20"/>
                <w:szCs w:val="20"/>
              </w:rPr>
            </w:pPr>
            <w:r w:rsidRPr="0023146D">
              <w:rPr>
                <w:rFonts w:ascii="Arial Narrow" w:hAnsi="Arial Narrow"/>
                <w:b/>
                <w:bCs/>
                <w:sz w:val="20"/>
                <w:szCs w:val="20"/>
              </w:rPr>
              <w:t>Increment</w:t>
            </w:r>
          </w:p>
        </w:tc>
      </w:tr>
      <w:tr w:rsidR="00ED1436" w:rsidRPr="0023146D" w14:paraId="7F487BD1" w14:textId="77777777" w:rsidTr="0061124B">
        <w:trPr>
          <w:trHeight w:val="20"/>
        </w:trPr>
        <w:tc>
          <w:tcPr>
            <w:tcW w:w="5000" w:type="pct"/>
            <w:gridSpan w:val="4"/>
            <w:shd w:val="clear" w:color="auto" w:fill="C6D9F1" w:themeFill="text2" w:themeFillTint="33"/>
          </w:tcPr>
          <w:p w14:paraId="33131CE6" w14:textId="77777777" w:rsidR="00ED1436" w:rsidRPr="0023146D" w:rsidRDefault="00ED1436" w:rsidP="00C33C18">
            <w:pPr>
              <w:keepNext/>
              <w:keepLines/>
              <w:jc w:val="left"/>
              <w:rPr>
                <w:rFonts w:ascii="Arial Narrow" w:hAnsi="Arial Narrow"/>
                <w:b/>
                <w:bCs/>
                <w:sz w:val="20"/>
                <w:szCs w:val="20"/>
              </w:rPr>
            </w:pPr>
            <w:r w:rsidRPr="0023146D">
              <w:rPr>
                <w:rFonts w:ascii="Arial Narrow" w:hAnsi="Arial Narrow"/>
                <w:b/>
                <w:bCs/>
                <w:sz w:val="20"/>
                <w:szCs w:val="20"/>
              </w:rPr>
              <w:t>Step 1: Trial-based costs and outcomes at 8 weeks</w:t>
            </w:r>
          </w:p>
        </w:tc>
      </w:tr>
      <w:tr w:rsidR="00B75095" w:rsidRPr="0023146D" w14:paraId="746CF803" w14:textId="77777777" w:rsidTr="0061124B">
        <w:trPr>
          <w:trHeight w:val="20"/>
        </w:trPr>
        <w:tc>
          <w:tcPr>
            <w:tcW w:w="1347" w:type="pct"/>
            <w:shd w:val="clear" w:color="auto" w:fill="C6D9F1" w:themeFill="text2" w:themeFillTint="33"/>
          </w:tcPr>
          <w:p w14:paraId="1AC30015" w14:textId="77777777" w:rsidR="00ED1436" w:rsidRPr="0023146D" w:rsidRDefault="00ED1436" w:rsidP="00C33C18">
            <w:pPr>
              <w:keepNext/>
              <w:keepLines/>
              <w:jc w:val="left"/>
              <w:rPr>
                <w:rFonts w:ascii="Arial Narrow" w:hAnsi="Arial Narrow"/>
                <w:sz w:val="20"/>
                <w:szCs w:val="20"/>
              </w:rPr>
            </w:pPr>
            <w:r w:rsidRPr="0023146D">
              <w:rPr>
                <w:rFonts w:ascii="Arial Narrow" w:hAnsi="Arial Narrow"/>
                <w:sz w:val="20"/>
                <w:szCs w:val="20"/>
              </w:rPr>
              <w:t>Costs</w:t>
            </w:r>
          </w:p>
        </w:tc>
        <w:tc>
          <w:tcPr>
            <w:tcW w:w="1621" w:type="pct"/>
            <w:shd w:val="clear" w:color="auto" w:fill="C6D9F1" w:themeFill="text2" w:themeFillTint="33"/>
          </w:tcPr>
          <w:p w14:paraId="45E6E28C" w14:textId="281242EC" w:rsidR="00ED1436" w:rsidRPr="0023146D" w:rsidRDefault="00ED1436" w:rsidP="00C33C18">
            <w:pPr>
              <w:keepNext/>
              <w:keepLines/>
              <w:jc w:val="center"/>
              <w:rPr>
                <w:rFonts w:ascii="Arial Narrow" w:hAnsi="Arial Narrow"/>
                <w:sz w:val="20"/>
                <w:szCs w:val="20"/>
              </w:rPr>
            </w:pPr>
            <w:r w:rsidRPr="0023146D">
              <w:rPr>
                <w:rFonts w:ascii="Arial Narrow" w:hAnsi="Arial Narrow"/>
                <w:sz w:val="20"/>
                <w:szCs w:val="20"/>
              </w:rPr>
              <w:t>$</w:t>
            </w:r>
            <w:r w:rsidR="007548FA" w:rsidRPr="007548FA">
              <w:rPr>
                <w:rFonts w:ascii="Arial Narrow" w:hAnsi="Arial Narrow"/>
                <w:color w:val="000000"/>
                <w:sz w:val="20"/>
                <w:szCs w:val="20"/>
                <w:shd w:val="solid" w:color="000000" w:fill="000000"/>
                <w14:textFill>
                  <w14:solidFill>
                    <w14:srgbClr w14:val="000000">
                      <w14:alpha w14:val="100000"/>
                    </w14:srgbClr>
                  </w14:solidFill>
                </w14:textFill>
              </w:rPr>
              <w:t>|</w:t>
            </w:r>
          </w:p>
        </w:tc>
        <w:tc>
          <w:tcPr>
            <w:tcW w:w="1039" w:type="pct"/>
            <w:shd w:val="clear" w:color="auto" w:fill="C6D9F1" w:themeFill="text2" w:themeFillTint="33"/>
          </w:tcPr>
          <w:p w14:paraId="458DE22F" w14:textId="77777777" w:rsidR="00ED1436" w:rsidRPr="0023146D" w:rsidRDefault="00ED1436" w:rsidP="00C33C18">
            <w:pPr>
              <w:keepNext/>
              <w:keepLines/>
              <w:jc w:val="center"/>
              <w:rPr>
                <w:rFonts w:ascii="Arial Narrow" w:hAnsi="Arial Narrow"/>
                <w:sz w:val="20"/>
                <w:szCs w:val="20"/>
              </w:rPr>
            </w:pPr>
            <w:r w:rsidRPr="0023146D">
              <w:rPr>
                <w:rFonts w:ascii="Arial Narrow" w:hAnsi="Arial Narrow"/>
                <w:sz w:val="20"/>
                <w:szCs w:val="20"/>
              </w:rPr>
              <w:t>$17,609</w:t>
            </w:r>
          </w:p>
        </w:tc>
        <w:tc>
          <w:tcPr>
            <w:tcW w:w="994" w:type="pct"/>
            <w:shd w:val="clear" w:color="auto" w:fill="C6D9F1" w:themeFill="text2" w:themeFillTint="33"/>
          </w:tcPr>
          <w:p w14:paraId="6F2B104B" w14:textId="0121A087" w:rsidR="00ED1436" w:rsidRPr="0023146D" w:rsidRDefault="00ED1436" w:rsidP="00C33C18">
            <w:pPr>
              <w:keepNext/>
              <w:keepLines/>
              <w:jc w:val="center"/>
              <w:rPr>
                <w:rFonts w:ascii="Arial Narrow" w:hAnsi="Arial Narrow"/>
                <w:sz w:val="20"/>
                <w:szCs w:val="20"/>
              </w:rPr>
            </w:pPr>
            <w:r w:rsidRPr="0023146D">
              <w:rPr>
                <w:rFonts w:ascii="Arial Narrow" w:hAnsi="Arial Narrow"/>
                <w:sz w:val="20"/>
                <w:szCs w:val="20"/>
              </w:rPr>
              <w:t>$</w:t>
            </w:r>
            <w:r w:rsidR="007548FA" w:rsidRPr="007548FA">
              <w:rPr>
                <w:rFonts w:ascii="Arial Narrow" w:hAnsi="Arial Narrow"/>
                <w:color w:val="000000"/>
                <w:sz w:val="20"/>
                <w:szCs w:val="20"/>
                <w:shd w:val="solid" w:color="000000" w:fill="000000"/>
                <w14:textFill>
                  <w14:solidFill>
                    <w14:srgbClr w14:val="000000">
                      <w14:alpha w14:val="100000"/>
                    </w14:srgbClr>
                  </w14:solidFill>
                </w14:textFill>
              </w:rPr>
              <w:t>|</w:t>
            </w:r>
          </w:p>
        </w:tc>
      </w:tr>
      <w:tr w:rsidR="00B75095" w:rsidRPr="0023146D" w14:paraId="75C5DFAB" w14:textId="77777777" w:rsidTr="0061124B">
        <w:trPr>
          <w:trHeight w:val="20"/>
        </w:trPr>
        <w:tc>
          <w:tcPr>
            <w:tcW w:w="1347" w:type="pct"/>
            <w:shd w:val="clear" w:color="auto" w:fill="C6D9F1" w:themeFill="text2" w:themeFillTint="33"/>
          </w:tcPr>
          <w:p w14:paraId="0F2F6B63" w14:textId="77777777" w:rsidR="00ED1436" w:rsidRPr="0023146D" w:rsidRDefault="00ED1436" w:rsidP="00C33C18">
            <w:pPr>
              <w:keepNext/>
              <w:keepLines/>
              <w:jc w:val="left"/>
              <w:rPr>
                <w:rFonts w:ascii="Arial Narrow" w:hAnsi="Arial Narrow"/>
                <w:sz w:val="20"/>
                <w:szCs w:val="20"/>
              </w:rPr>
            </w:pPr>
            <w:r w:rsidRPr="0023146D">
              <w:rPr>
                <w:rFonts w:ascii="Arial Narrow" w:hAnsi="Arial Narrow"/>
                <w:sz w:val="20"/>
                <w:szCs w:val="20"/>
              </w:rPr>
              <w:t>Responder (clearance)</w:t>
            </w:r>
          </w:p>
        </w:tc>
        <w:tc>
          <w:tcPr>
            <w:tcW w:w="1621" w:type="pct"/>
            <w:shd w:val="clear" w:color="auto" w:fill="C6D9F1" w:themeFill="text2" w:themeFillTint="33"/>
          </w:tcPr>
          <w:p w14:paraId="293774F5" w14:textId="77777777" w:rsidR="00ED1436" w:rsidRPr="0023146D" w:rsidRDefault="00ED1436" w:rsidP="00C33C18">
            <w:pPr>
              <w:keepNext/>
              <w:keepLines/>
              <w:jc w:val="center"/>
              <w:rPr>
                <w:rFonts w:ascii="Arial Narrow" w:hAnsi="Arial Narrow"/>
                <w:sz w:val="20"/>
                <w:szCs w:val="20"/>
              </w:rPr>
            </w:pPr>
            <w:r w:rsidRPr="0023146D">
              <w:rPr>
                <w:rFonts w:ascii="Arial Narrow" w:hAnsi="Arial Narrow"/>
                <w:sz w:val="20"/>
                <w:szCs w:val="20"/>
              </w:rPr>
              <w:t>55.70%</w:t>
            </w:r>
          </w:p>
        </w:tc>
        <w:tc>
          <w:tcPr>
            <w:tcW w:w="1039" w:type="pct"/>
            <w:shd w:val="clear" w:color="auto" w:fill="C6D9F1" w:themeFill="text2" w:themeFillTint="33"/>
          </w:tcPr>
          <w:p w14:paraId="4F8E9320" w14:textId="77777777" w:rsidR="00ED1436" w:rsidRPr="0023146D" w:rsidRDefault="00ED1436" w:rsidP="00C33C18">
            <w:pPr>
              <w:keepNext/>
              <w:keepLines/>
              <w:jc w:val="center"/>
              <w:rPr>
                <w:rFonts w:ascii="Arial Narrow" w:hAnsi="Arial Narrow"/>
                <w:sz w:val="20"/>
                <w:szCs w:val="20"/>
              </w:rPr>
            </w:pPr>
            <w:r w:rsidRPr="0023146D">
              <w:rPr>
                <w:rFonts w:ascii="Arial Narrow" w:hAnsi="Arial Narrow"/>
                <w:sz w:val="20"/>
                <w:szCs w:val="20"/>
              </w:rPr>
              <w:t>23.90%</w:t>
            </w:r>
          </w:p>
        </w:tc>
        <w:tc>
          <w:tcPr>
            <w:tcW w:w="994" w:type="pct"/>
            <w:shd w:val="clear" w:color="auto" w:fill="C6D9F1" w:themeFill="text2" w:themeFillTint="33"/>
          </w:tcPr>
          <w:p w14:paraId="2BAF0E57" w14:textId="77777777" w:rsidR="00ED1436" w:rsidRPr="0023146D" w:rsidRDefault="00ED1436" w:rsidP="00C33C18">
            <w:pPr>
              <w:keepNext/>
              <w:keepLines/>
              <w:jc w:val="center"/>
              <w:rPr>
                <w:rFonts w:ascii="Arial Narrow" w:hAnsi="Arial Narrow"/>
                <w:sz w:val="20"/>
                <w:szCs w:val="20"/>
              </w:rPr>
            </w:pPr>
            <w:r w:rsidRPr="0023146D">
              <w:rPr>
                <w:rFonts w:ascii="Arial Narrow" w:hAnsi="Arial Narrow"/>
                <w:sz w:val="20"/>
                <w:szCs w:val="20"/>
              </w:rPr>
              <w:t>31.80%</w:t>
            </w:r>
          </w:p>
        </w:tc>
      </w:tr>
      <w:tr w:rsidR="00C36427" w:rsidRPr="0023146D" w14:paraId="505C24D1" w14:textId="77777777" w:rsidTr="0061124B">
        <w:trPr>
          <w:trHeight w:val="20"/>
        </w:trPr>
        <w:tc>
          <w:tcPr>
            <w:tcW w:w="2968" w:type="pct"/>
            <w:gridSpan w:val="2"/>
            <w:shd w:val="clear" w:color="auto" w:fill="C6D9F1" w:themeFill="text2" w:themeFillTint="33"/>
          </w:tcPr>
          <w:p w14:paraId="43228893" w14:textId="77777777" w:rsidR="00ED1436" w:rsidRPr="0023146D" w:rsidRDefault="00ED1436" w:rsidP="00C33C18">
            <w:pPr>
              <w:keepNext/>
              <w:keepLines/>
              <w:jc w:val="left"/>
              <w:rPr>
                <w:rFonts w:ascii="Arial Narrow" w:hAnsi="Arial Narrow"/>
                <w:sz w:val="20"/>
                <w:szCs w:val="20"/>
              </w:rPr>
            </w:pPr>
            <w:r w:rsidRPr="0023146D">
              <w:rPr>
                <w:rFonts w:ascii="Arial Narrow" w:hAnsi="Arial Narrow"/>
                <w:sz w:val="20"/>
                <w:szCs w:val="20"/>
              </w:rPr>
              <w:t>Incremental cost/responder</w:t>
            </w:r>
          </w:p>
        </w:tc>
        <w:tc>
          <w:tcPr>
            <w:tcW w:w="2032" w:type="pct"/>
            <w:gridSpan w:val="2"/>
            <w:shd w:val="clear" w:color="auto" w:fill="C6D9F1" w:themeFill="text2" w:themeFillTint="33"/>
          </w:tcPr>
          <w:p w14:paraId="1EDE4725" w14:textId="6A96217A" w:rsidR="00ED1436" w:rsidRPr="0023146D" w:rsidRDefault="007548FA" w:rsidP="00C33C18">
            <w:pPr>
              <w:keepNext/>
              <w:keepLines/>
              <w:jc w:val="center"/>
              <w:rPr>
                <w:rFonts w:ascii="Arial Narrow" w:hAnsi="Arial Narrow"/>
                <w:sz w:val="20"/>
                <w:szCs w:val="20"/>
              </w:rPr>
            </w:pPr>
            <w:r w:rsidRPr="007548FA">
              <w:rPr>
                <w:rFonts w:ascii="Arial Narrow" w:hAnsi="Arial Narrow"/>
                <w:color w:val="000000"/>
                <w:sz w:val="20"/>
                <w:szCs w:val="20"/>
                <w:shd w:val="solid" w:color="000000" w:fill="000000"/>
                <w14:textFill>
                  <w14:solidFill>
                    <w14:srgbClr w14:val="000000">
                      <w14:alpha w14:val="100000"/>
                    </w14:srgbClr>
                  </w14:solidFill>
                </w14:textFill>
              </w:rPr>
              <w:t>|</w:t>
            </w:r>
            <w:r w:rsidR="005829EC" w:rsidRPr="00801B4B">
              <w:rPr>
                <w:rFonts w:ascii="Arial Narrow" w:hAnsi="Arial Narrow"/>
                <w:sz w:val="20"/>
                <w:szCs w:val="20"/>
                <w:vertAlign w:val="superscript"/>
                <w:lang w:val="de-DE"/>
              </w:rPr>
              <w:t>1</w:t>
            </w:r>
          </w:p>
        </w:tc>
      </w:tr>
      <w:tr w:rsidR="00ED1436" w:rsidRPr="0023146D" w14:paraId="037E5423" w14:textId="77777777" w:rsidTr="0061124B">
        <w:trPr>
          <w:trHeight w:val="20"/>
        </w:trPr>
        <w:tc>
          <w:tcPr>
            <w:tcW w:w="5000" w:type="pct"/>
            <w:gridSpan w:val="4"/>
            <w:shd w:val="clear" w:color="auto" w:fill="C6D9F1" w:themeFill="text2" w:themeFillTint="33"/>
          </w:tcPr>
          <w:p w14:paraId="79FD3F9D" w14:textId="77777777" w:rsidR="00ED1436" w:rsidRPr="0023146D" w:rsidRDefault="00ED1436" w:rsidP="00C33C18">
            <w:pPr>
              <w:keepNext/>
              <w:keepLines/>
              <w:jc w:val="left"/>
              <w:rPr>
                <w:rFonts w:ascii="Arial Narrow" w:hAnsi="Arial Narrow"/>
                <w:b/>
                <w:bCs/>
                <w:sz w:val="20"/>
                <w:szCs w:val="20"/>
              </w:rPr>
            </w:pPr>
            <w:r w:rsidRPr="0023146D">
              <w:rPr>
                <w:rFonts w:ascii="Arial Narrow" w:hAnsi="Arial Narrow"/>
                <w:b/>
                <w:bCs/>
                <w:sz w:val="20"/>
                <w:szCs w:val="20"/>
              </w:rPr>
              <w:t>Step 2: Time horizon extended to 78 weeks</w:t>
            </w:r>
          </w:p>
        </w:tc>
      </w:tr>
      <w:tr w:rsidR="00B75095" w:rsidRPr="0023146D" w14:paraId="34080214" w14:textId="77777777" w:rsidTr="0061124B">
        <w:trPr>
          <w:trHeight w:val="20"/>
        </w:trPr>
        <w:tc>
          <w:tcPr>
            <w:tcW w:w="1347" w:type="pct"/>
            <w:shd w:val="clear" w:color="auto" w:fill="C6D9F1" w:themeFill="text2" w:themeFillTint="33"/>
          </w:tcPr>
          <w:p w14:paraId="206E7DFC" w14:textId="77777777" w:rsidR="00ED1436" w:rsidRPr="0023146D" w:rsidRDefault="00ED1436" w:rsidP="00C33C18">
            <w:pPr>
              <w:keepNext/>
              <w:keepLines/>
              <w:jc w:val="left"/>
              <w:rPr>
                <w:rFonts w:ascii="Arial Narrow" w:hAnsi="Arial Narrow"/>
                <w:sz w:val="20"/>
                <w:szCs w:val="20"/>
              </w:rPr>
            </w:pPr>
            <w:r w:rsidRPr="0023146D">
              <w:rPr>
                <w:rFonts w:ascii="Arial Narrow" w:hAnsi="Arial Narrow"/>
                <w:sz w:val="20"/>
                <w:szCs w:val="20"/>
              </w:rPr>
              <w:t>Costs</w:t>
            </w:r>
          </w:p>
        </w:tc>
        <w:tc>
          <w:tcPr>
            <w:tcW w:w="1621" w:type="pct"/>
            <w:shd w:val="clear" w:color="auto" w:fill="C6D9F1" w:themeFill="text2" w:themeFillTint="33"/>
          </w:tcPr>
          <w:p w14:paraId="49E3FA06" w14:textId="27E0E66A" w:rsidR="00ED1436" w:rsidRPr="0023146D" w:rsidRDefault="00ED1436" w:rsidP="00C33C18">
            <w:pPr>
              <w:keepNext/>
              <w:keepLines/>
              <w:jc w:val="center"/>
              <w:rPr>
                <w:rFonts w:ascii="Arial Narrow" w:hAnsi="Arial Narrow"/>
                <w:sz w:val="20"/>
                <w:szCs w:val="20"/>
              </w:rPr>
            </w:pPr>
            <w:r w:rsidRPr="0023146D">
              <w:rPr>
                <w:rFonts w:ascii="Arial Narrow" w:hAnsi="Arial Narrow"/>
                <w:sz w:val="20"/>
                <w:szCs w:val="20"/>
              </w:rPr>
              <w:t>$</w:t>
            </w:r>
            <w:r w:rsidR="007548FA" w:rsidRPr="007548FA">
              <w:rPr>
                <w:rFonts w:ascii="Arial Narrow" w:hAnsi="Arial Narrow"/>
                <w:color w:val="000000"/>
                <w:sz w:val="20"/>
                <w:szCs w:val="20"/>
                <w:shd w:val="solid" w:color="000000" w:fill="000000"/>
                <w14:textFill>
                  <w14:solidFill>
                    <w14:srgbClr w14:val="000000">
                      <w14:alpha w14:val="100000"/>
                    </w14:srgbClr>
                  </w14:solidFill>
                </w14:textFill>
              </w:rPr>
              <w:t>|</w:t>
            </w:r>
          </w:p>
        </w:tc>
        <w:tc>
          <w:tcPr>
            <w:tcW w:w="1039" w:type="pct"/>
            <w:shd w:val="clear" w:color="auto" w:fill="C6D9F1" w:themeFill="text2" w:themeFillTint="33"/>
          </w:tcPr>
          <w:p w14:paraId="49FB8AFA" w14:textId="77777777" w:rsidR="00ED1436" w:rsidRPr="0023146D" w:rsidRDefault="00ED1436" w:rsidP="00C33C18">
            <w:pPr>
              <w:keepNext/>
              <w:keepLines/>
              <w:jc w:val="center"/>
              <w:rPr>
                <w:rFonts w:ascii="Arial Narrow" w:hAnsi="Arial Narrow"/>
                <w:sz w:val="20"/>
                <w:szCs w:val="20"/>
              </w:rPr>
            </w:pPr>
            <w:r w:rsidRPr="0023146D">
              <w:rPr>
                <w:rFonts w:ascii="Arial Narrow" w:hAnsi="Arial Narrow"/>
                <w:sz w:val="20"/>
                <w:szCs w:val="20"/>
              </w:rPr>
              <w:t>$81,897</w:t>
            </w:r>
          </w:p>
        </w:tc>
        <w:tc>
          <w:tcPr>
            <w:tcW w:w="994" w:type="pct"/>
            <w:shd w:val="clear" w:color="auto" w:fill="C6D9F1" w:themeFill="text2" w:themeFillTint="33"/>
          </w:tcPr>
          <w:p w14:paraId="520F67A5" w14:textId="3DEBECF1" w:rsidR="00ED1436" w:rsidRPr="0023146D" w:rsidRDefault="00ED1436" w:rsidP="00C33C18">
            <w:pPr>
              <w:keepNext/>
              <w:keepLines/>
              <w:jc w:val="center"/>
              <w:rPr>
                <w:rFonts w:ascii="Arial Narrow" w:hAnsi="Arial Narrow"/>
                <w:sz w:val="20"/>
                <w:szCs w:val="20"/>
              </w:rPr>
            </w:pPr>
            <w:r w:rsidRPr="0023146D">
              <w:rPr>
                <w:rFonts w:ascii="Arial Narrow" w:hAnsi="Arial Narrow"/>
                <w:sz w:val="20"/>
                <w:szCs w:val="20"/>
              </w:rPr>
              <w:t>$</w:t>
            </w:r>
            <w:r w:rsidR="007548FA" w:rsidRPr="007548FA">
              <w:rPr>
                <w:rFonts w:ascii="Arial Narrow" w:hAnsi="Arial Narrow"/>
                <w:color w:val="000000"/>
                <w:sz w:val="20"/>
                <w:szCs w:val="20"/>
                <w:shd w:val="solid" w:color="000000" w:fill="000000"/>
                <w14:textFill>
                  <w14:solidFill>
                    <w14:srgbClr w14:val="000000">
                      <w14:alpha w14:val="100000"/>
                    </w14:srgbClr>
                  </w14:solidFill>
                </w14:textFill>
              </w:rPr>
              <w:t>|</w:t>
            </w:r>
          </w:p>
        </w:tc>
      </w:tr>
      <w:tr w:rsidR="00B75095" w:rsidRPr="0023146D" w14:paraId="4D61340B" w14:textId="77777777" w:rsidTr="0061124B">
        <w:trPr>
          <w:trHeight w:val="20"/>
        </w:trPr>
        <w:tc>
          <w:tcPr>
            <w:tcW w:w="1347" w:type="pct"/>
            <w:shd w:val="clear" w:color="auto" w:fill="C6D9F1" w:themeFill="text2" w:themeFillTint="33"/>
          </w:tcPr>
          <w:p w14:paraId="32448AA4" w14:textId="77777777" w:rsidR="00ED1436" w:rsidRPr="0023146D" w:rsidRDefault="00ED1436" w:rsidP="00C33C18">
            <w:pPr>
              <w:keepNext/>
              <w:keepLines/>
              <w:jc w:val="left"/>
              <w:rPr>
                <w:rFonts w:ascii="Arial Narrow" w:hAnsi="Arial Narrow"/>
                <w:sz w:val="20"/>
                <w:szCs w:val="20"/>
              </w:rPr>
            </w:pPr>
            <w:r w:rsidRPr="0023146D">
              <w:rPr>
                <w:rFonts w:ascii="Arial Narrow" w:hAnsi="Arial Narrow"/>
                <w:sz w:val="20"/>
                <w:szCs w:val="20"/>
              </w:rPr>
              <w:t>LY</w:t>
            </w:r>
          </w:p>
        </w:tc>
        <w:tc>
          <w:tcPr>
            <w:tcW w:w="1621" w:type="pct"/>
            <w:shd w:val="clear" w:color="auto" w:fill="C6D9F1" w:themeFill="text2" w:themeFillTint="33"/>
          </w:tcPr>
          <w:p w14:paraId="0A877319" w14:textId="77777777" w:rsidR="00ED1436" w:rsidRPr="0023146D" w:rsidRDefault="00ED1436" w:rsidP="00C33C18">
            <w:pPr>
              <w:keepNext/>
              <w:keepLines/>
              <w:jc w:val="center"/>
              <w:rPr>
                <w:rFonts w:ascii="Arial Narrow" w:hAnsi="Arial Narrow"/>
                <w:sz w:val="20"/>
                <w:szCs w:val="20"/>
              </w:rPr>
            </w:pPr>
            <w:r w:rsidRPr="0023146D">
              <w:rPr>
                <w:rFonts w:ascii="Arial Narrow" w:hAnsi="Arial Narrow"/>
                <w:sz w:val="20"/>
                <w:szCs w:val="20"/>
              </w:rPr>
              <w:t>1.18</w:t>
            </w:r>
          </w:p>
        </w:tc>
        <w:tc>
          <w:tcPr>
            <w:tcW w:w="1039" w:type="pct"/>
            <w:shd w:val="clear" w:color="auto" w:fill="C6D9F1" w:themeFill="text2" w:themeFillTint="33"/>
          </w:tcPr>
          <w:p w14:paraId="09573E6F" w14:textId="77777777" w:rsidR="00ED1436" w:rsidRPr="0023146D" w:rsidRDefault="00ED1436" w:rsidP="00C33C18">
            <w:pPr>
              <w:keepNext/>
              <w:keepLines/>
              <w:jc w:val="center"/>
              <w:rPr>
                <w:rFonts w:ascii="Arial Narrow" w:hAnsi="Arial Narrow"/>
                <w:sz w:val="20"/>
                <w:szCs w:val="20"/>
              </w:rPr>
            </w:pPr>
            <w:r w:rsidRPr="0023146D">
              <w:rPr>
                <w:rFonts w:ascii="Arial Narrow" w:hAnsi="Arial Narrow"/>
                <w:sz w:val="20"/>
                <w:szCs w:val="20"/>
              </w:rPr>
              <w:t>1.16</w:t>
            </w:r>
          </w:p>
        </w:tc>
        <w:tc>
          <w:tcPr>
            <w:tcW w:w="994" w:type="pct"/>
            <w:shd w:val="clear" w:color="auto" w:fill="C6D9F1" w:themeFill="text2" w:themeFillTint="33"/>
          </w:tcPr>
          <w:p w14:paraId="7302CC36" w14:textId="77777777" w:rsidR="00ED1436" w:rsidRPr="0023146D" w:rsidRDefault="00ED1436" w:rsidP="00C33C18">
            <w:pPr>
              <w:keepNext/>
              <w:keepLines/>
              <w:jc w:val="center"/>
              <w:rPr>
                <w:rFonts w:ascii="Arial Narrow" w:hAnsi="Arial Narrow"/>
                <w:sz w:val="20"/>
                <w:szCs w:val="20"/>
              </w:rPr>
            </w:pPr>
            <w:r w:rsidRPr="0023146D">
              <w:rPr>
                <w:rFonts w:ascii="Arial Narrow" w:hAnsi="Arial Narrow"/>
                <w:sz w:val="20"/>
                <w:szCs w:val="20"/>
              </w:rPr>
              <w:t>0.02</w:t>
            </w:r>
          </w:p>
        </w:tc>
      </w:tr>
      <w:tr w:rsidR="00C36427" w:rsidRPr="0023146D" w14:paraId="3E171317" w14:textId="77777777" w:rsidTr="0061124B">
        <w:trPr>
          <w:trHeight w:val="20"/>
        </w:trPr>
        <w:tc>
          <w:tcPr>
            <w:tcW w:w="2968" w:type="pct"/>
            <w:gridSpan w:val="2"/>
            <w:shd w:val="clear" w:color="auto" w:fill="C6D9F1" w:themeFill="text2" w:themeFillTint="33"/>
          </w:tcPr>
          <w:p w14:paraId="251670BA" w14:textId="77777777" w:rsidR="00ED1436" w:rsidRPr="0023146D" w:rsidRDefault="00ED1436" w:rsidP="00C33C18">
            <w:pPr>
              <w:keepNext/>
              <w:keepLines/>
              <w:jc w:val="left"/>
              <w:rPr>
                <w:rFonts w:ascii="Arial Narrow" w:hAnsi="Arial Narrow"/>
                <w:sz w:val="20"/>
                <w:szCs w:val="20"/>
              </w:rPr>
            </w:pPr>
            <w:r w:rsidRPr="0023146D">
              <w:rPr>
                <w:rFonts w:ascii="Arial Narrow" w:hAnsi="Arial Narrow"/>
                <w:sz w:val="20"/>
                <w:szCs w:val="20"/>
              </w:rPr>
              <w:t>Incremental cost/extra LY gained</w:t>
            </w:r>
          </w:p>
        </w:tc>
        <w:tc>
          <w:tcPr>
            <w:tcW w:w="2032" w:type="pct"/>
            <w:gridSpan w:val="2"/>
            <w:shd w:val="clear" w:color="auto" w:fill="C6D9F1" w:themeFill="text2" w:themeFillTint="33"/>
          </w:tcPr>
          <w:p w14:paraId="68EF442B" w14:textId="36C8F880" w:rsidR="00ED1436" w:rsidRPr="0023146D" w:rsidRDefault="007548FA" w:rsidP="00C33C18">
            <w:pPr>
              <w:keepNext/>
              <w:keepLines/>
              <w:jc w:val="center"/>
              <w:rPr>
                <w:rFonts w:ascii="Arial Narrow" w:hAnsi="Arial Narrow"/>
                <w:sz w:val="20"/>
                <w:szCs w:val="20"/>
              </w:rPr>
            </w:pPr>
            <w:r w:rsidRPr="007548FA">
              <w:rPr>
                <w:rFonts w:ascii="Arial Narrow" w:hAnsi="Arial Narrow"/>
                <w:color w:val="000000"/>
                <w:sz w:val="20"/>
                <w:szCs w:val="20"/>
                <w:shd w:val="solid" w:color="000000" w:fill="000000"/>
                <w14:textFill>
                  <w14:solidFill>
                    <w14:srgbClr w14:val="000000">
                      <w14:alpha w14:val="100000"/>
                    </w14:srgbClr>
                  </w14:solidFill>
                </w14:textFill>
              </w:rPr>
              <w:t>|</w:t>
            </w:r>
            <w:r w:rsidR="00475E1F" w:rsidRPr="00475E1F">
              <w:rPr>
                <w:rFonts w:ascii="Arial Narrow" w:hAnsi="Arial Narrow"/>
                <w:sz w:val="20"/>
                <w:szCs w:val="20"/>
                <w:vertAlign w:val="superscript"/>
              </w:rPr>
              <w:t>4</w:t>
            </w:r>
          </w:p>
        </w:tc>
      </w:tr>
      <w:tr w:rsidR="00ED1436" w:rsidRPr="0023146D" w14:paraId="53979DE0" w14:textId="77777777" w:rsidTr="0061124B">
        <w:trPr>
          <w:trHeight w:val="20"/>
        </w:trPr>
        <w:tc>
          <w:tcPr>
            <w:tcW w:w="5000" w:type="pct"/>
            <w:gridSpan w:val="4"/>
            <w:shd w:val="clear" w:color="auto" w:fill="C6D9F1" w:themeFill="text2" w:themeFillTint="33"/>
          </w:tcPr>
          <w:p w14:paraId="164441A9" w14:textId="77777777" w:rsidR="00ED1436" w:rsidRPr="0023146D" w:rsidRDefault="00ED1436" w:rsidP="00C33C18">
            <w:pPr>
              <w:keepNext/>
              <w:keepLines/>
              <w:jc w:val="left"/>
              <w:rPr>
                <w:rFonts w:ascii="Arial Narrow" w:hAnsi="Arial Narrow"/>
                <w:b/>
                <w:bCs/>
                <w:sz w:val="20"/>
                <w:szCs w:val="20"/>
              </w:rPr>
            </w:pPr>
            <w:r w:rsidRPr="0023146D">
              <w:rPr>
                <w:rFonts w:ascii="Arial Narrow" w:hAnsi="Arial Narrow"/>
                <w:b/>
                <w:bCs/>
                <w:sz w:val="20"/>
                <w:szCs w:val="20"/>
              </w:rPr>
              <w:t>Step 3: Time horizon extended to 10 years</w:t>
            </w:r>
          </w:p>
        </w:tc>
      </w:tr>
      <w:tr w:rsidR="00B75095" w:rsidRPr="0023146D" w14:paraId="6BF9EFD4" w14:textId="77777777" w:rsidTr="0061124B">
        <w:trPr>
          <w:trHeight w:val="20"/>
        </w:trPr>
        <w:tc>
          <w:tcPr>
            <w:tcW w:w="1347" w:type="pct"/>
            <w:shd w:val="clear" w:color="auto" w:fill="C6D9F1" w:themeFill="text2" w:themeFillTint="33"/>
          </w:tcPr>
          <w:p w14:paraId="7A907E07" w14:textId="77777777" w:rsidR="00ED1436" w:rsidRPr="0023146D" w:rsidRDefault="00ED1436" w:rsidP="00C33C18">
            <w:pPr>
              <w:keepNext/>
              <w:keepLines/>
              <w:jc w:val="left"/>
              <w:rPr>
                <w:rFonts w:ascii="Arial Narrow" w:hAnsi="Arial Narrow"/>
                <w:sz w:val="20"/>
                <w:szCs w:val="20"/>
              </w:rPr>
            </w:pPr>
            <w:r w:rsidRPr="0023146D">
              <w:rPr>
                <w:rFonts w:ascii="Arial Narrow" w:hAnsi="Arial Narrow"/>
                <w:sz w:val="20"/>
                <w:szCs w:val="20"/>
              </w:rPr>
              <w:t>Costs</w:t>
            </w:r>
          </w:p>
        </w:tc>
        <w:tc>
          <w:tcPr>
            <w:tcW w:w="1621" w:type="pct"/>
            <w:shd w:val="clear" w:color="auto" w:fill="C6D9F1" w:themeFill="text2" w:themeFillTint="33"/>
          </w:tcPr>
          <w:p w14:paraId="143FC2B7" w14:textId="7977CFB5" w:rsidR="00ED1436" w:rsidRPr="0023146D" w:rsidRDefault="00ED1436" w:rsidP="00C33C18">
            <w:pPr>
              <w:keepNext/>
              <w:keepLines/>
              <w:jc w:val="center"/>
              <w:rPr>
                <w:rFonts w:ascii="Arial Narrow" w:hAnsi="Arial Narrow"/>
                <w:sz w:val="20"/>
                <w:szCs w:val="20"/>
              </w:rPr>
            </w:pPr>
            <w:r w:rsidRPr="0023146D">
              <w:rPr>
                <w:rFonts w:ascii="Arial Narrow" w:hAnsi="Arial Narrow"/>
                <w:sz w:val="20"/>
                <w:szCs w:val="20"/>
              </w:rPr>
              <w:t>$</w:t>
            </w:r>
            <w:r w:rsidR="007548FA" w:rsidRPr="007548FA">
              <w:rPr>
                <w:rFonts w:ascii="Arial Narrow" w:hAnsi="Arial Narrow"/>
                <w:color w:val="000000"/>
                <w:sz w:val="20"/>
                <w:szCs w:val="20"/>
                <w:shd w:val="solid" w:color="000000" w:fill="000000"/>
                <w14:textFill>
                  <w14:solidFill>
                    <w14:srgbClr w14:val="000000">
                      <w14:alpha w14:val="100000"/>
                    </w14:srgbClr>
                  </w14:solidFill>
                </w14:textFill>
              </w:rPr>
              <w:t>|</w:t>
            </w:r>
          </w:p>
        </w:tc>
        <w:tc>
          <w:tcPr>
            <w:tcW w:w="1039" w:type="pct"/>
            <w:shd w:val="clear" w:color="auto" w:fill="C6D9F1" w:themeFill="text2" w:themeFillTint="33"/>
          </w:tcPr>
          <w:p w14:paraId="6D1D96CF" w14:textId="77777777" w:rsidR="00ED1436" w:rsidRPr="0023146D" w:rsidRDefault="00ED1436" w:rsidP="00C33C18">
            <w:pPr>
              <w:keepNext/>
              <w:keepLines/>
              <w:jc w:val="center"/>
              <w:rPr>
                <w:rFonts w:ascii="Arial Narrow" w:hAnsi="Arial Narrow"/>
                <w:sz w:val="20"/>
                <w:szCs w:val="20"/>
              </w:rPr>
            </w:pPr>
            <w:r w:rsidRPr="0023146D">
              <w:rPr>
                <w:rFonts w:ascii="Arial Narrow" w:hAnsi="Arial Narrow"/>
                <w:sz w:val="20"/>
                <w:szCs w:val="20"/>
              </w:rPr>
              <w:t>$82,886</w:t>
            </w:r>
          </w:p>
        </w:tc>
        <w:tc>
          <w:tcPr>
            <w:tcW w:w="994" w:type="pct"/>
            <w:shd w:val="clear" w:color="auto" w:fill="C6D9F1" w:themeFill="text2" w:themeFillTint="33"/>
          </w:tcPr>
          <w:p w14:paraId="232F631C" w14:textId="6B75910C" w:rsidR="00ED1436" w:rsidRPr="0023146D" w:rsidRDefault="00ED1436" w:rsidP="00C33C18">
            <w:pPr>
              <w:keepNext/>
              <w:keepLines/>
              <w:jc w:val="center"/>
              <w:rPr>
                <w:rFonts w:ascii="Arial Narrow" w:hAnsi="Arial Narrow"/>
                <w:sz w:val="20"/>
                <w:szCs w:val="20"/>
              </w:rPr>
            </w:pPr>
            <w:r w:rsidRPr="0023146D">
              <w:rPr>
                <w:rFonts w:ascii="Arial Narrow" w:hAnsi="Arial Narrow"/>
                <w:sz w:val="20"/>
                <w:szCs w:val="20"/>
              </w:rPr>
              <w:t>$</w:t>
            </w:r>
            <w:r w:rsidR="007548FA" w:rsidRPr="007548FA">
              <w:rPr>
                <w:rFonts w:ascii="Arial Narrow" w:hAnsi="Arial Narrow"/>
                <w:color w:val="000000"/>
                <w:sz w:val="20"/>
                <w:szCs w:val="20"/>
                <w:shd w:val="solid" w:color="000000" w:fill="000000"/>
                <w14:textFill>
                  <w14:solidFill>
                    <w14:srgbClr w14:val="000000">
                      <w14:alpha w14:val="100000"/>
                    </w14:srgbClr>
                  </w14:solidFill>
                </w14:textFill>
              </w:rPr>
              <w:t>|</w:t>
            </w:r>
          </w:p>
        </w:tc>
      </w:tr>
      <w:tr w:rsidR="00B75095" w:rsidRPr="0023146D" w14:paraId="4BAD1507" w14:textId="77777777" w:rsidTr="0061124B">
        <w:trPr>
          <w:trHeight w:val="20"/>
        </w:trPr>
        <w:tc>
          <w:tcPr>
            <w:tcW w:w="1347" w:type="pct"/>
            <w:shd w:val="clear" w:color="auto" w:fill="C6D9F1" w:themeFill="text2" w:themeFillTint="33"/>
          </w:tcPr>
          <w:p w14:paraId="6E727CDE" w14:textId="77777777" w:rsidR="00ED1436" w:rsidRPr="0023146D" w:rsidRDefault="00ED1436" w:rsidP="00C33C18">
            <w:pPr>
              <w:keepNext/>
              <w:keepLines/>
              <w:jc w:val="left"/>
              <w:rPr>
                <w:rFonts w:ascii="Arial Narrow" w:hAnsi="Arial Narrow"/>
                <w:sz w:val="20"/>
                <w:szCs w:val="20"/>
              </w:rPr>
            </w:pPr>
            <w:r w:rsidRPr="0023146D">
              <w:rPr>
                <w:rFonts w:ascii="Arial Narrow" w:hAnsi="Arial Narrow"/>
                <w:sz w:val="20"/>
                <w:szCs w:val="20"/>
              </w:rPr>
              <w:t>LY</w:t>
            </w:r>
          </w:p>
        </w:tc>
        <w:tc>
          <w:tcPr>
            <w:tcW w:w="1621" w:type="pct"/>
            <w:shd w:val="clear" w:color="auto" w:fill="C6D9F1" w:themeFill="text2" w:themeFillTint="33"/>
          </w:tcPr>
          <w:p w14:paraId="392D3D5F" w14:textId="77777777" w:rsidR="00ED1436" w:rsidRPr="0023146D" w:rsidRDefault="00ED1436" w:rsidP="00C33C18">
            <w:pPr>
              <w:keepNext/>
              <w:keepLines/>
              <w:jc w:val="center"/>
              <w:rPr>
                <w:rFonts w:ascii="Arial Narrow" w:hAnsi="Arial Narrow"/>
                <w:sz w:val="20"/>
                <w:szCs w:val="20"/>
              </w:rPr>
            </w:pPr>
            <w:r w:rsidRPr="0023146D">
              <w:rPr>
                <w:rFonts w:ascii="Arial Narrow" w:hAnsi="Arial Narrow"/>
                <w:sz w:val="20"/>
                <w:szCs w:val="20"/>
              </w:rPr>
              <w:t>4.69</w:t>
            </w:r>
          </w:p>
        </w:tc>
        <w:tc>
          <w:tcPr>
            <w:tcW w:w="1039" w:type="pct"/>
            <w:shd w:val="clear" w:color="auto" w:fill="C6D9F1" w:themeFill="text2" w:themeFillTint="33"/>
          </w:tcPr>
          <w:p w14:paraId="17982E92" w14:textId="77777777" w:rsidR="00ED1436" w:rsidRPr="0023146D" w:rsidRDefault="00ED1436" w:rsidP="00C33C18">
            <w:pPr>
              <w:keepNext/>
              <w:keepLines/>
              <w:jc w:val="center"/>
              <w:rPr>
                <w:rFonts w:ascii="Arial Narrow" w:hAnsi="Arial Narrow"/>
                <w:sz w:val="20"/>
                <w:szCs w:val="20"/>
              </w:rPr>
            </w:pPr>
            <w:r w:rsidRPr="0023146D">
              <w:rPr>
                <w:rFonts w:ascii="Arial Narrow" w:hAnsi="Arial Narrow"/>
                <w:sz w:val="20"/>
                <w:szCs w:val="20"/>
              </w:rPr>
              <w:t>4.56</w:t>
            </w:r>
          </w:p>
        </w:tc>
        <w:tc>
          <w:tcPr>
            <w:tcW w:w="994" w:type="pct"/>
            <w:shd w:val="clear" w:color="auto" w:fill="C6D9F1" w:themeFill="text2" w:themeFillTint="33"/>
          </w:tcPr>
          <w:p w14:paraId="443F4E56" w14:textId="77777777" w:rsidR="00ED1436" w:rsidRPr="0023146D" w:rsidRDefault="00ED1436" w:rsidP="00C33C18">
            <w:pPr>
              <w:keepNext/>
              <w:keepLines/>
              <w:jc w:val="center"/>
              <w:rPr>
                <w:rFonts w:ascii="Arial Narrow" w:hAnsi="Arial Narrow"/>
                <w:sz w:val="20"/>
                <w:szCs w:val="20"/>
              </w:rPr>
            </w:pPr>
            <w:r w:rsidRPr="0023146D">
              <w:rPr>
                <w:rFonts w:ascii="Arial Narrow" w:hAnsi="Arial Narrow"/>
                <w:sz w:val="20"/>
                <w:szCs w:val="20"/>
              </w:rPr>
              <w:t>0.13</w:t>
            </w:r>
          </w:p>
        </w:tc>
      </w:tr>
      <w:tr w:rsidR="00C36427" w:rsidRPr="0023146D" w14:paraId="13862849" w14:textId="77777777" w:rsidTr="0061124B">
        <w:trPr>
          <w:trHeight w:val="20"/>
        </w:trPr>
        <w:tc>
          <w:tcPr>
            <w:tcW w:w="2968" w:type="pct"/>
            <w:gridSpan w:val="2"/>
            <w:shd w:val="clear" w:color="auto" w:fill="C6D9F1" w:themeFill="text2" w:themeFillTint="33"/>
          </w:tcPr>
          <w:p w14:paraId="4A0C9AF0" w14:textId="77777777" w:rsidR="00ED1436" w:rsidRPr="0023146D" w:rsidRDefault="00ED1436" w:rsidP="00C33C18">
            <w:pPr>
              <w:keepNext/>
              <w:keepLines/>
              <w:jc w:val="left"/>
              <w:rPr>
                <w:rFonts w:ascii="Arial Narrow" w:hAnsi="Arial Narrow"/>
                <w:b/>
                <w:bCs/>
                <w:sz w:val="20"/>
                <w:szCs w:val="20"/>
              </w:rPr>
            </w:pPr>
            <w:r w:rsidRPr="0023146D">
              <w:rPr>
                <w:rFonts w:ascii="Arial Narrow" w:hAnsi="Arial Narrow"/>
                <w:b/>
                <w:bCs/>
                <w:sz w:val="20"/>
                <w:szCs w:val="20"/>
              </w:rPr>
              <w:t>Incremental cost/extra LY gained</w:t>
            </w:r>
          </w:p>
        </w:tc>
        <w:tc>
          <w:tcPr>
            <w:tcW w:w="2032" w:type="pct"/>
            <w:gridSpan w:val="2"/>
            <w:shd w:val="clear" w:color="auto" w:fill="C6D9F1" w:themeFill="text2" w:themeFillTint="33"/>
          </w:tcPr>
          <w:p w14:paraId="60A0CA85" w14:textId="402FDCA3" w:rsidR="00ED1436" w:rsidRPr="0023146D" w:rsidRDefault="007548FA" w:rsidP="00C33C18">
            <w:pPr>
              <w:keepNext/>
              <w:keepLines/>
              <w:jc w:val="center"/>
              <w:rPr>
                <w:rFonts w:ascii="Arial Narrow" w:hAnsi="Arial Narrow"/>
                <w:sz w:val="20"/>
                <w:szCs w:val="20"/>
              </w:rPr>
            </w:pPr>
            <w:r w:rsidRPr="007548FA">
              <w:rPr>
                <w:rFonts w:ascii="Arial Narrow" w:hAnsi="Arial Narrow"/>
                <w:color w:val="000000"/>
                <w:sz w:val="20"/>
                <w:szCs w:val="20"/>
                <w:shd w:val="solid" w:color="000000" w:fill="000000"/>
                <w14:textFill>
                  <w14:solidFill>
                    <w14:srgbClr w14:val="000000">
                      <w14:alpha w14:val="100000"/>
                    </w14:srgbClr>
                  </w14:solidFill>
                </w14:textFill>
              </w:rPr>
              <w:t>|</w:t>
            </w:r>
            <w:r w:rsidR="005829EC" w:rsidRPr="00801B4B">
              <w:rPr>
                <w:rFonts w:ascii="Arial Narrow" w:hAnsi="Arial Narrow"/>
                <w:sz w:val="20"/>
                <w:szCs w:val="20"/>
                <w:vertAlign w:val="superscript"/>
                <w:lang w:val="de-DE"/>
              </w:rPr>
              <w:t>1</w:t>
            </w:r>
          </w:p>
        </w:tc>
      </w:tr>
      <w:tr w:rsidR="00ED1436" w:rsidRPr="0023146D" w14:paraId="2E42D704" w14:textId="77777777" w:rsidTr="0061124B">
        <w:trPr>
          <w:trHeight w:val="20"/>
        </w:trPr>
        <w:tc>
          <w:tcPr>
            <w:tcW w:w="5000" w:type="pct"/>
            <w:gridSpan w:val="4"/>
            <w:shd w:val="clear" w:color="auto" w:fill="C6D9F1" w:themeFill="text2" w:themeFillTint="33"/>
          </w:tcPr>
          <w:p w14:paraId="1CC43570" w14:textId="77777777" w:rsidR="00ED1436" w:rsidRPr="0023146D" w:rsidRDefault="00ED1436" w:rsidP="00C33C18">
            <w:pPr>
              <w:keepNext/>
              <w:keepLines/>
              <w:jc w:val="left"/>
              <w:rPr>
                <w:rFonts w:ascii="Arial Narrow" w:hAnsi="Arial Narrow"/>
                <w:sz w:val="20"/>
                <w:szCs w:val="20"/>
              </w:rPr>
            </w:pPr>
            <w:r w:rsidRPr="0023146D">
              <w:rPr>
                <w:rFonts w:ascii="Arial Narrow" w:hAnsi="Arial Narrow"/>
                <w:sz w:val="20"/>
                <w:szCs w:val="20"/>
              </w:rPr>
              <w:t>Step 4: Utility weights applied</w:t>
            </w:r>
          </w:p>
        </w:tc>
      </w:tr>
      <w:tr w:rsidR="00B75095" w:rsidRPr="0023146D" w14:paraId="026EF77C" w14:textId="77777777" w:rsidTr="0061124B">
        <w:trPr>
          <w:trHeight w:val="20"/>
        </w:trPr>
        <w:tc>
          <w:tcPr>
            <w:tcW w:w="1347" w:type="pct"/>
            <w:shd w:val="clear" w:color="auto" w:fill="C6D9F1" w:themeFill="text2" w:themeFillTint="33"/>
          </w:tcPr>
          <w:p w14:paraId="553F7950" w14:textId="77777777" w:rsidR="00ED1436" w:rsidRPr="0023146D" w:rsidRDefault="00ED1436" w:rsidP="00C33C18">
            <w:pPr>
              <w:keepNext/>
              <w:keepLines/>
              <w:jc w:val="left"/>
              <w:rPr>
                <w:rFonts w:ascii="Arial Narrow" w:hAnsi="Arial Narrow"/>
                <w:sz w:val="20"/>
                <w:szCs w:val="20"/>
              </w:rPr>
            </w:pPr>
            <w:r w:rsidRPr="0023146D">
              <w:rPr>
                <w:rFonts w:ascii="Arial Narrow" w:hAnsi="Arial Narrow"/>
                <w:sz w:val="20"/>
                <w:szCs w:val="20"/>
              </w:rPr>
              <w:t>Costs</w:t>
            </w:r>
          </w:p>
        </w:tc>
        <w:tc>
          <w:tcPr>
            <w:tcW w:w="1621" w:type="pct"/>
            <w:shd w:val="clear" w:color="auto" w:fill="C6D9F1" w:themeFill="text2" w:themeFillTint="33"/>
          </w:tcPr>
          <w:p w14:paraId="7F1DC920" w14:textId="41424FD9" w:rsidR="00ED1436" w:rsidRPr="0023146D" w:rsidRDefault="00ED1436" w:rsidP="00C33C18">
            <w:pPr>
              <w:keepNext/>
              <w:keepLines/>
              <w:jc w:val="center"/>
              <w:rPr>
                <w:rFonts w:ascii="Arial Narrow" w:hAnsi="Arial Narrow"/>
                <w:sz w:val="20"/>
                <w:szCs w:val="20"/>
              </w:rPr>
            </w:pPr>
            <w:r w:rsidRPr="0023146D">
              <w:rPr>
                <w:rFonts w:ascii="Arial Narrow" w:hAnsi="Arial Narrow"/>
                <w:sz w:val="20"/>
                <w:szCs w:val="20"/>
              </w:rPr>
              <w:t>$</w:t>
            </w:r>
            <w:r w:rsidR="007548FA" w:rsidRPr="007548FA">
              <w:rPr>
                <w:rFonts w:ascii="Arial Narrow" w:hAnsi="Arial Narrow"/>
                <w:color w:val="000000"/>
                <w:sz w:val="20"/>
                <w:szCs w:val="20"/>
                <w:shd w:val="solid" w:color="000000" w:fill="000000"/>
                <w14:textFill>
                  <w14:solidFill>
                    <w14:srgbClr w14:val="000000">
                      <w14:alpha w14:val="100000"/>
                    </w14:srgbClr>
                  </w14:solidFill>
                </w14:textFill>
              </w:rPr>
              <w:t>|</w:t>
            </w:r>
          </w:p>
        </w:tc>
        <w:tc>
          <w:tcPr>
            <w:tcW w:w="1039" w:type="pct"/>
            <w:shd w:val="clear" w:color="auto" w:fill="C6D9F1" w:themeFill="text2" w:themeFillTint="33"/>
          </w:tcPr>
          <w:p w14:paraId="34B9D360" w14:textId="77777777" w:rsidR="00ED1436" w:rsidRPr="0023146D" w:rsidRDefault="00ED1436" w:rsidP="00C33C18">
            <w:pPr>
              <w:keepNext/>
              <w:keepLines/>
              <w:jc w:val="center"/>
              <w:rPr>
                <w:rFonts w:ascii="Arial Narrow" w:hAnsi="Arial Narrow"/>
                <w:sz w:val="20"/>
                <w:szCs w:val="20"/>
              </w:rPr>
            </w:pPr>
            <w:r w:rsidRPr="0023146D">
              <w:rPr>
                <w:rFonts w:ascii="Arial Narrow" w:hAnsi="Arial Narrow"/>
                <w:sz w:val="20"/>
                <w:szCs w:val="20"/>
              </w:rPr>
              <w:t>$82,886</w:t>
            </w:r>
          </w:p>
        </w:tc>
        <w:tc>
          <w:tcPr>
            <w:tcW w:w="994" w:type="pct"/>
            <w:shd w:val="clear" w:color="auto" w:fill="C6D9F1" w:themeFill="text2" w:themeFillTint="33"/>
          </w:tcPr>
          <w:p w14:paraId="57EEE25D" w14:textId="1BDF26F4" w:rsidR="00ED1436" w:rsidRPr="0023146D" w:rsidRDefault="00ED1436" w:rsidP="00C33C18">
            <w:pPr>
              <w:keepNext/>
              <w:keepLines/>
              <w:jc w:val="center"/>
              <w:rPr>
                <w:rFonts w:ascii="Arial Narrow" w:hAnsi="Arial Narrow"/>
                <w:sz w:val="20"/>
                <w:szCs w:val="20"/>
              </w:rPr>
            </w:pPr>
            <w:r w:rsidRPr="0023146D">
              <w:rPr>
                <w:rFonts w:ascii="Arial Narrow" w:hAnsi="Arial Narrow"/>
                <w:sz w:val="20"/>
                <w:szCs w:val="20"/>
              </w:rPr>
              <w:t>$</w:t>
            </w:r>
            <w:r w:rsidR="007548FA" w:rsidRPr="007548FA">
              <w:rPr>
                <w:rFonts w:ascii="Arial Narrow" w:hAnsi="Arial Narrow"/>
                <w:color w:val="000000"/>
                <w:sz w:val="20"/>
                <w:szCs w:val="20"/>
                <w:shd w:val="solid" w:color="000000" w:fill="000000"/>
                <w14:textFill>
                  <w14:solidFill>
                    <w14:srgbClr w14:val="000000">
                      <w14:alpha w14:val="100000"/>
                    </w14:srgbClr>
                  </w14:solidFill>
                </w14:textFill>
              </w:rPr>
              <w:t>|</w:t>
            </w:r>
          </w:p>
        </w:tc>
      </w:tr>
      <w:tr w:rsidR="00B75095" w:rsidRPr="0023146D" w14:paraId="0280D8AA" w14:textId="77777777" w:rsidTr="0061124B">
        <w:trPr>
          <w:trHeight w:val="20"/>
        </w:trPr>
        <w:tc>
          <w:tcPr>
            <w:tcW w:w="1347" w:type="pct"/>
            <w:shd w:val="clear" w:color="auto" w:fill="C6D9F1" w:themeFill="text2" w:themeFillTint="33"/>
          </w:tcPr>
          <w:p w14:paraId="76190086" w14:textId="77777777" w:rsidR="00ED1436" w:rsidRPr="0023146D" w:rsidRDefault="00ED1436" w:rsidP="00C33C18">
            <w:pPr>
              <w:keepNext/>
              <w:keepLines/>
              <w:jc w:val="left"/>
              <w:rPr>
                <w:rFonts w:ascii="Arial Narrow" w:hAnsi="Arial Narrow"/>
                <w:sz w:val="20"/>
                <w:szCs w:val="20"/>
              </w:rPr>
            </w:pPr>
            <w:r w:rsidRPr="0023146D">
              <w:rPr>
                <w:rFonts w:ascii="Arial Narrow" w:hAnsi="Arial Narrow"/>
                <w:sz w:val="20"/>
                <w:szCs w:val="20"/>
              </w:rPr>
              <w:t>QALYs</w:t>
            </w:r>
          </w:p>
        </w:tc>
        <w:tc>
          <w:tcPr>
            <w:tcW w:w="1621" w:type="pct"/>
            <w:shd w:val="clear" w:color="auto" w:fill="C6D9F1" w:themeFill="text2" w:themeFillTint="33"/>
          </w:tcPr>
          <w:p w14:paraId="38360287" w14:textId="77777777" w:rsidR="00ED1436" w:rsidRPr="0023146D" w:rsidRDefault="00ED1436" w:rsidP="00C33C18">
            <w:pPr>
              <w:keepNext/>
              <w:keepLines/>
              <w:jc w:val="center"/>
              <w:rPr>
                <w:rFonts w:ascii="Arial Narrow" w:hAnsi="Arial Narrow"/>
                <w:sz w:val="20"/>
                <w:szCs w:val="20"/>
              </w:rPr>
            </w:pPr>
            <w:r w:rsidRPr="0023146D">
              <w:rPr>
                <w:rFonts w:ascii="Arial Narrow" w:hAnsi="Arial Narrow"/>
                <w:sz w:val="20"/>
                <w:szCs w:val="20"/>
              </w:rPr>
              <w:t>3.52</w:t>
            </w:r>
          </w:p>
        </w:tc>
        <w:tc>
          <w:tcPr>
            <w:tcW w:w="1039" w:type="pct"/>
            <w:shd w:val="clear" w:color="auto" w:fill="C6D9F1" w:themeFill="text2" w:themeFillTint="33"/>
          </w:tcPr>
          <w:p w14:paraId="0B0BCA8A" w14:textId="77777777" w:rsidR="00ED1436" w:rsidRPr="0023146D" w:rsidRDefault="00ED1436" w:rsidP="00C33C18">
            <w:pPr>
              <w:keepNext/>
              <w:keepLines/>
              <w:jc w:val="center"/>
              <w:rPr>
                <w:rFonts w:ascii="Arial Narrow" w:hAnsi="Arial Narrow"/>
                <w:sz w:val="20"/>
                <w:szCs w:val="20"/>
              </w:rPr>
            </w:pPr>
            <w:r w:rsidRPr="0023146D">
              <w:rPr>
                <w:rFonts w:ascii="Arial Narrow" w:hAnsi="Arial Narrow"/>
                <w:sz w:val="20"/>
                <w:szCs w:val="20"/>
              </w:rPr>
              <w:t>3.39</w:t>
            </w:r>
          </w:p>
        </w:tc>
        <w:tc>
          <w:tcPr>
            <w:tcW w:w="994" w:type="pct"/>
            <w:shd w:val="clear" w:color="auto" w:fill="C6D9F1" w:themeFill="text2" w:themeFillTint="33"/>
          </w:tcPr>
          <w:p w14:paraId="5E65CD46" w14:textId="77777777" w:rsidR="00ED1436" w:rsidRPr="0023146D" w:rsidRDefault="00ED1436" w:rsidP="00C33C18">
            <w:pPr>
              <w:keepNext/>
              <w:keepLines/>
              <w:jc w:val="center"/>
              <w:rPr>
                <w:rFonts w:ascii="Arial Narrow" w:hAnsi="Arial Narrow"/>
                <w:sz w:val="20"/>
                <w:szCs w:val="20"/>
              </w:rPr>
            </w:pPr>
            <w:r w:rsidRPr="0023146D">
              <w:rPr>
                <w:rFonts w:ascii="Arial Narrow" w:hAnsi="Arial Narrow"/>
                <w:sz w:val="20"/>
                <w:szCs w:val="20"/>
              </w:rPr>
              <w:t>0.13</w:t>
            </w:r>
          </w:p>
        </w:tc>
      </w:tr>
      <w:tr w:rsidR="00C36427" w:rsidRPr="0023146D" w14:paraId="5BA962A9" w14:textId="77777777" w:rsidTr="0061124B">
        <w:trPr>
          <w:trHeight w:val="20"/>
        </w:trPr>
        <w:tc>
          <w:tcPr>
            <w:tcW w:w="2968" w:type="pct"/>
            <w:gridSpan w:val="2"/>
            <w:shd w:val="clear" w:color="auto" w:fill="C6D9F1" w:themeFill="text2" w:themeFillTint="33"/>
          </w:tcPr>
          <w:p w14:paraId="2404AA41" w14:textId="5C04053D" w:rsidR="00ED1436" w:rsidRPr="0023146D" w:rsidRDefault="00ED1436" w:rsidP="00C33C18">
            <w:pPr>
              <w:keepNext/>
              <w:keepLines/>
              <w:jc w:val="left"/>
              <w:rPr>
                <w:rFonts w:ascii="Arial Narrow" w:hAnsi="Arial Narrow"/>
                <w:sz w:val="20"/>
                <w:szCs w:val="20"/>
              </w:rPr>
            </w:pPr>
            <w:r w:rsidRPr="0023146D">
              <w:rPr>
                <w:rFonts w:ascii="Arial Narrow" w:hAnsi="Arial Narrow"/>
                <w:sz w:val="20"/>
                <w:szCs w:val="20"/>
              </w:rPr>
              <w:t>Incremental cost</w:t>
            </w:r>
            <w:r w:rsidR="00C66D06" w:rsidRPr="0023146D">
              <w:rPr>
                <w:rFonts w:ascii="Arial Narrow" w:hAnsi="Arial Narrow"/>
                <w:sz w:val="20"/>
                <w:szCs w:val="20"/>
              </w:rPr>
              <w:t xml:space="preserve"> per</w:t>
            </w:r>
            <w:r w:rsidRPr="0023146D">
              <w:rPr>
                <w:rFonts w:ascii="Arial Narrow" w:hAnsi="Arial Narrow"/>
                <w:sz w:val="20"/>
                <w:szCs w:val="20"/>
              </w:rPr>
              <w:t xml:space="preserve"> QALY gained (base case)</w:t>
            </w:r>
          </w:p>
        </w:tc>
        <w:tc>
          <w:tcPr>
            <w:tcW w:w="2032" w:type="pct"/>
            <w:gridSpan w:val="2"/>
            <w:shd w:val="clear" w:color="auto" w:fill="C6D9F1" w:themeFill="text2" w:themeFillTint="33"/>
          </w:tcPr>
          <w:p w14:paraId="620457CE" w14:textId="2B127C2B" w:rsidR="00ED1436" w:rsidRPr="0023146D" w:rsidRDefault="007548FA" w:rsidP="00C33C18">
            <w:pPr>
              <w:keepNext/>
              <w:keepLines/>
              <w:jc w:val="center"/>
              <w:rPr>
                <w:rFonts w:ascii="Arial Narrow" w:hAnsi="Arial Narrow"/>
                <w:b/>
                <w:sz w:val="20"/>
                <w:szCs w:val="20"/>
              </w:rPr>
            </w:pPr>
            <w:r w:rsidRPr="007548FA">
              <w:rPr>
                <w:rFonts w:ascii="Arial Narrow" w:hAnsi="Arial Narrow"/>
                <w:b/>
                <w:color w:val="000000"/>
                <w:sz w:val="20"/>
                <w:szCs w:val="20"/>
                <w:shd w:val="solid" w:color="000000" w:fill="000000"/>
                <w14:textFill>
                  <w14:solidFill>
                    <w14:srgbClr w14:val="000000">
                      <w14:alpha w14:val="100000"/>
                    </w14:srgbClr>
                  </w14:solidFill>
                </w14:textFill>
              </w:rPr>
              <w:t>|</w:t>
            </w:r>
            <w:r w:rsidR="00E815E5" w:rsidRPr="00E815E5">
              <w:rPr>
                <w:rFonts w:ascii="Arial Narrow" w:hAnsi="Arial Narrow"/>
                <w:b/>
                <w:sz w:val="20"/>
                <w:szCs w:val="20"/>
                <w:vertAlign w:val="superscript"/>
              </w:rPr>
              <w:t>3</w:t>
            </w:r>
          </w:p>
        </w:tc>
      </w:tr>
    </w:tbl>
    <w:p w14:paraId="732A435F" w14:textId="53A95B46" w:rsidR="009B0CC3" w:rsidRPr="0023146D" w:rsidRDefault="009B0CC3" w:rsidP="00C33C18">
      <w:pPr>
        <w:pStyle w:val="FooterTableFigure"/>
        <w:keepNext/>
        <w:keepLines/>
      </w:pPr>
      <w:r w:rsidRPr="0023146D">
        <w:t>Source: Table 3.62, p184 of the resubmission.</w:t>
      </w:r>
    </w:p>
    <w:p w14:paraId="7F07A252" w14:textId="15921039" w:rsidR="00732F7D" w:rsidRPr="0023146D" w:rsidRDefault="009B0CC3" w:rsidP="00C33C18">
      <w:pPr>
        <w:pStyle w:val="FooterTableFigure"/>
        <w:keepNext/>
        <w:keepLines/>
      </w:pPr>
      <w:r w:rsidRPr="0023146D">
        <w:t>LY = life year; QALY = quality adjusted life year; S</w:t>
      </w:r>
      <w:r w:rsidR="00D22132" w:rsidRPr="0023146D">
        <w:t>o</w:t>
      </w:r>
      <w:r w:rsidRPr="0023146D">
        <w:t>C = standard of care</w:t>
      </w:r>
    </w:p>
    <w:p w14:paraId="439C3C38" w14:textId="77777777" w:rsidR="0056264B" w:rsidRDefault="0013187B" w:rsidP="00C33C18">
      <w:pPr>
        <w:pStyle w:val="FooterTableFigure"/>
        <w:keepNext/>
        <w:keepLines/>
        <w:rPr>
          <w:szCs w:val="20"/>
        </w:rPr>
      </w:pPr>
      <w:r w:rsidRPr="0023146D">
        <w:rPr>
          <w:szCs w:val="20"/>
        </w:rPr>
        <w:t>Data in blue-shade are those previously seen by the PBAC.</w:t>
      </w:r>
    </w:p>
    <w:p w14:paraId="6D12B65A" w14:textId="3E9DB7AD" w:rsidR="0056264B" w:rsidRPr="0056264B" w:rsidRDefault="0056264B" w:rsidP="00C33C18">
      <w:pPr>
        <w:pStyle w:val="FooterTableFigure"/>
        <w:keepNext/>
        <w:keepLines/>
        <w:rPr>
          <w:i/>
          <w:szCs w:val="20"/>
        </w:rPr>
      </w:pPr>
      <w:r w:rsidRPr="0056264B">
        <w:rPr>
          <w:i/>
        </w:rPr>
        <w:t xml:space="preserve"> </w:t>
      </w:r>
      <w:r w:rsidRPr="0056264B">
        <w:rPr>
          <w:i/>
          <w:szCs w:val="20"/>
        </w:rPr>
        <w:t xml:space="preserve">The redacted values correspond to the following ranges: </w:t>
      </w:r>
    </w:p>
    <w:p w14:paraId="3ED8D70B" w14:textId="3E538B0C" w:rsidR="00801B4B" w:rsidRPr="0056264B" w:rsidRDefault="00801B4B" w:rsidP="00C33C18">
      <w:pPr>
        <w:pStyle w:val="FooterTableFigure"/>
        <w:keepNext/>
        <w:keepLines/>
        <w:rPr>
          <w:i/>
          <w:szCs w:val="20"/>
        </w:rPr>
      </w:pPr>
      <w:r>
        <w:rPr>
          <w:i/>
          <w:szCs w:val="20"/>
        </w:rPr>
        <w:t xml:space="preserve">1 </w:t>
      </w:r>
      <w:r w:rsidRPr="0056264B">
        <w:rPr>
          <w:i/>
          <w:szCs w:val="20"/>
        </w:rPr>
        <w:t xml:space="preserve">$55,000 to &lt; $75,000 </w:t>
      </w:r>
    </w:p>
    <w:p w14:paraId="7D2555C2" w14:textId="48488CD8" w:rsidR="00401F0E" w:rsidRPr="00401F0E" w:rsidRDefault="008F7951" w:rsidP="00C33C18">
      <w:pPr>
        <w:pStyle w:val="FooterTableFigure"/>
        <w:keepNext/>
        <w:keepLines/>
        <w:rPr>
          <w:i/>
          <w:szCs w:val="20"/>
        </w:rPr>
      </w:pPr>
      <w:r w:rsidRPr="008F7951">
        <w:rPr>
          <w:i/>
          <w:szCs w:val="20"/>
        </w:rPr>
        <w:t xml:space="preserve">2 </w:t>
      </w:r>
      <w:r w:rsidR="00401F0E" w:rsidRPr="00401F0E">
        <w:rPr>
          <w:i/>
          <w:szCs w:val="20"/>
        </w:rPr>
        <w:t>&gt; $1,055,000</w:t>
      </w:r>
    </w:p>
    <w:p w14:paraId="01EA9582" w14:textId="260A3409" w:rsidR="0056264B" w:rsidRPr="0056264B" w:rsidRDefault="009B573D" w:rsidP="00C33C18">
      <w:pPr>
        <w:pStyle w:val="FooterTableFigure"/>
        <w:keepNext/>
        <w:keepLines/>
        <w:rPr>
          <w:i/>
          <w:szCs w:val="20"/>
        </w:rPr>
      </w:pPr>
      <w:r w:rsidRPr="009B573D">
        <w:rPr>
          <w:i/>
          <w:szCs w:val="20"/>
        </w:rPr>
        <w:t xml:space="preserve">3 </w:t>
      </w:r>
      <w:r w:rsidR="0056264B" w:rsidRPr="0056264B">
        <w:rPr>
          <w:i/>
          <w:szCs w:val="20"/>
        </w:rPr>
        <w:t>$45,000 to &lt; $55,000</w:t>
      </w:r>
    </w:p>
    <w:p w14:paraId="50B25785" w14:textId="535D3F3C" w:rsidR="0013187B" w:rsidRPr="0023146D" w:rsidRDefault="009B573D" w:rsidP="0056264B">
      <w:pPr>
        <w:pStyle w:val="FooterTableFigure"/>
        <w:rPr>
          <w:sz w:val="16"/>
          <w:szCs w:val="20"/>
        </w:rPr>
      </w:pPr>
      <w:r w:rsidRPr="009B573D">
        <w:rPr>
          <w:i/>
          <w:szCs w:val="20"/>
        </w:rPr>
        <w:t>4</w:t>
      </w:r>
      <w:r w:rsidR="0056264B" w:rsidRPr="0056264B">
        <w:rPr>
          <w:i/>
          <w:szCs w:val="20"/>
        </w:rPr>
        <w:t xml:space="preserve"> $255,000 to &lt; $355,000</w:t>
      </w:r>
    </w:p>
    <w:p w14:paraId="7803C0D3" w14:textId="7FBFFD1F" w:rsidR="006309D8" w:rsidRPr="0023146D" w:rsidRDefault="008A49F2" w:rsidP="00601E82">
      <w:pPr>
        <w:pStyle w:val="3-BodyText"/>
      </w:pPr>
      <w:r w:rsidRPr="0023146D">
        <w:t xml:space="preserve">The incremental cost effectiveness ratio (ICER) in the resubmission </w:t>
      </w:r>
      <w:r w:rsidR="00F32C92" w:rsidRPr="0023146D">
        <w:t>wa</w:t>
      </w:r>
      <w:r w:rsidRPr="0023146D">
        <w:t xml:space="preserve">s estimated at </w:t>
      </w:r>
      <w:r w:rsidR="00356196" w:rsidRPr="00356196">
        <w:t>$45,000 to &lt; $55,000</w:t>
      </w:r>
      <w:r w:rsidR="00086539">
        <w:t xml:space="preserve"> </w:t>
      </w:r>
      <w:r w:rsidRPr="0023146D">
        <w:t xml:space="preserve">per QALY gained, slightly increased from the </w:t>
      </w:r>
      <w:r w:rsidR="00F32C92" w:rsidRPr="0023146D">
        <w:t xml:space="preserve">November 2023 </w:t>
      </w:r>
      <w:r w:rsidRPr="0023146D">
        <w:t xml:space="preserve">submission of </w:t>
      </w:r>
      <w:r w:rsidR="00356196" w:rsidRPr="00356196">
        <w:t>$45,000 to &lt; $55,000</w:t>
      </w:r>
      <w:r w:rsidR="00086539">
        <w:t xml:space="preserve"> </w:t>
      </w:r>
      <w:r w:rsidRPr="0023146D">
        <w:t xml:space="preserve">per QALY gained. </w:t>
      </w:r>
    </w:p>
    <w:p w14:paraId="0B6C251E" w14:textId="38F77546" w:rsidR="00880754" w:rsidRPr="0023146D" w:rsidRDefault="003923C3" w:rsidP="00601E82">
      <w:pPr>
        <w:pStyle w:val="3-BodyText"/>
      </w:pPr>
      <w:r w:rsidRPr="0023146D">
        <w:t>A</w:t>
      </w:r>
      <w:r w:rsidR="00F32C92" w:rsidRPr="0023146D">
        <w:t xml:space="preserve"> </w:t>
      </w:r>
      <w:r w:rsidR="00D25941" w:rsidRPr="0023146D">
        <w:t>trace of the ICER over time</w:t>
      </w:r>
      <w:r w:rsidR="00F32C7F" w:rsidRPr="0023146D">
        <w:t xml:space="preserve"> horizon</w:t>
      </w:r>
      <w:r w:rsidR="00880754" w:rsidRPr="0023146D">
        <w:t xml:space="preserve"> </w:t>
      </w:r>
      <w:r w:rsidRPr="0023146D">
        <w:t xml:space="preserve">is </w:t>
      </w:r>
      <w:r w:rsidR="00880754" w:rsidRPr="0023146D">
        <w:t xml:space="preserve">presented </w:t>
      </w:r>
      <w:r w:rsidR="004419A5" w:rsidRPr="0023146D">
        <w:t xml:space="preserve">in </w:t>
      </w:r>
      <w:r w:rsidR="00F76B60" w:rsidRPr="0023146D">
        <w:fldChar w:fldCharType="begin" w:fldLock="1"/>
      </w:r>
      <w:r w:rsidR="00F76B60" w:rsidRPr="0023146D">
        <w:instrText xml:space="preserve"> REF _Ref176556179 \h </w:instrText>
      </w:r>
      <w:r w:rsidR="00EE2DD7" w:rsidRPr="0023146D">
        <w:instrText xml:space="preserve"> \* MERGEFORMAT </w:instrText>
      </w:r>
      <w:r w:rsidR="00F76B60" w:rsidRPr="0023146D">
        <w:fldChar w:fldCharType="separate"/>
      </w:r>
      <w:r w:rsidR="008854AA" w:rsidRPr="0023146D">
        <w:t xml:space="preserve">Figure </w:t>
      </w:r>
      <w:r w:rsidR="008854AA">
        <w:rPr>
          <w:noProof/>
        </w:rPr>
        <w:t>2</w:t>
      </w:r>
      <w:r w:rsidR="00F76B60" w:rsidRPr="0023146D">
        <w:fldChar w:fldCharType="end"/>
      </w:r>
      <w:r w:rsidR="00EE2DD7" w:rsidRPr="0023146D">
        <w:t>.</w:t>
      </w:r>
    </w:p>
    <w:p w14:paraId="0F0C13DE" w14:textId="05973DB6" w:rsidR="00F32C7F" w:rsidRPr="0023146D" w:rsidRDefault="00F32C7F" w:rsidP="00601E82">
      <w:pPr>
        <w:pStyle w:val="Caption"/>
      </w:pPr>
      <w:bookmarkStart w:id="52" w:name="_Ref176556179"/>
      <w:r w:rsidRPr="0023146D">
        <w:lastRenderedPageBreak/>
        <w:t xml:space="preserve">Figure </w:t>
      </w:r>
      <w:r w:rsidR="008A7014">
        <w:fldChar w:fldCharType="begin" w:fldLock="1"/>
      </w:r>
      <w:r w:rsidR="008A7014">
        <w:instrText xml:space="preserve"> SEQ Figure \* ARABIC </w:instrText>
      </w:r>
      <w:r w:rsidR="008A7014">
        <w:fldChar w:fldCharType="separate"/>
      </w:r>
      <w:r w:rsidR="008854AA">
        <w:rPr>
          <w:noProof/>
        </w:rPr>
        <w:t>2</w:t>
      </w:r>
      <w:r w:rsidR="008A7014">
        <w:rPr>
          <w:noProof/>
        </w:rPr>
        <w:fldChar w:fldCharType="end"/>
      </w:r>
      <w:bookmarkEnd w:id="52"/>
      <w:r w:rsidRPr="0023146D">
        <w:t xml:space="preserve">: </w:t>
      </w:r>
      <w:r w:rsidR="00351F03" w:rsidRPr="0023146D">
        <w:t>A trace of the ICER over time horizon</w:t>
      </w:r>
    </w:p>
    <w:p w14:paraId="6F104DB5" w14:textId="2D8970F3" w:rsidR="006C10C1" w:rsidRPr="0023146D" w:rsidRDefault="006C10C1" w:rsidP="00601E82">
      <w:pPr>
        <w:keepNext/>
        <w:keepLines/>
        <w:tabs>
          <w:tab w:val="left" w:pos="142"/>
          <w:tab w:val="center" w:pos="4513"/>
        </w:tabs>
        <w:jc w:val="left"/>
      </w:pPr>
      <w:r w:rsidRPr="0023146D">
        <w:tab/>
      </w:r>
      <w:r w:rsidRPr="0023146D">
        <w:rPr>
          <w:noProof/>
        </w:rPr>
        <w:drawing>
          <wp:inline distT="0" distB="0" distL="0" distR="0" wp14:anchorId="0CBEF6D1" wp14:editId="088D3B4C">
            <wp:extent cx="3732551" cy="2214078"/>
            <wp:effectExtent l="0" t="0" r="1270" b="0"/>
            <wp:docPr id="1851274929" name="Picture 3" descr="Figure 2: A trace of the ICER over time horiz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274929" name="Picture 3" descr="Figure 2: A trace of the ICER over time horiz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9035" cy="2223856"/>
                    </a:xfrm>
                    <a:prstGeom prst="rect">
                      <a:avLst/>
                    </a:prstGeom>
                    <a:noFill/>
                  </pic:spPr>
                </pic:pic>
              </a:graphicData>
            </a:graphic>
          </wp:inline>
        </w:drawing>
      </w:r>
    </w:p>
    <w:p w14:paraId="697451EA" w14:textId="6C593B20" w:rsidR="006C10C1" w:rsidRPr="0023146D" w:rsidRDefault="006C10C1" w:rsidP="00601E82">
      <w:pPr>
        <w:keepNext/>
        <w:keepLines/>
        <w:rPr>
          <w:rFonts w:ascii="Arial Narrow" w:hAnsi="Arial Narrow"/>
          <w:sz w:val="18"/>
          <w:szCs w:val="12"/>
        </w:rPr>
      </w:pPr>
      <w:r w:rsidRPr="0023146D">
        <w:rPr>
          <w:rFonts w:ascii="Arial Narrow" w:hAnsi="Arial Narrow"/>
          <w:sz w:val="18"/>
          <w:szCs w:val="12"/>
        </w:rPr>
        <w:t>Source: compiled during the evaluation using the economic Excel model</w:t>
      </w:r>
      <w:r w:rsidR="00094B69" w:rsidRPr="0023146D">
        <w:rPr>
          <w:rFonts w:ascii="Arial Narrow" w:hAnsi="Arial Narrow"/>
          <w:sz w:val="18"/>
          <w:szCs w:val="12"/>
        </w:rPr>
        <w:t xml:space="preserve"> provided by the resubmission. </w:t>
      </w:r>
    </w:p>
    <w:p w14:paraId="2AF1FBB5" w14:textId="618E3677" w:rsidR="00601E82" w:rsidRPr="0023146D" w:rsidRDefault="00553641" w:rsidP="00601E82">
      <w:pPr>
        <w:keepNext/>
        <w:keepLines/>
        <w:rPr>
          <w:rFonts w:ascii="Arial Narrow" w:hAnsi="Arial Narrow"/>
          <w:sz w:val="18"/>
          <w:szCs w:val="18"/>
        </w:rPr>
      </w:pPr>
      <w:r w:rsidRPr="0023146D">
        <w:rPr>
          <w:rFonts w:ascii="Arial Narrow" w:hAnsi="Arial Narrow"/>
          <w:sz w:val="18"/>
          <w:szCs w:val="18"/>
        </w:rPr>
        <w:t>ICER = incremental cost effectiveness ratio; QALY = quality-adjusted life year</w:t>
      </w:r>
    </w:p>
    <w:p w14:paraId="4D866D76" w14:textId="5A9AF0BC" w:rsidR="00732F7D" w:rsidRPr="0023146D" w:rsidRDefault="00166EB4" w:rsidP="002F64DA">
      <w:pPr>
        <w:pStyle w:val="3-BodyText"/>
      </w:pPr>
      <w:r>
        <w:t>R</w:t>
      </w:r>
      <w:r w:rsidR="00732F7D" w:rsidRPr="0023146D">
        <w:t>esults</w:t>
      </w:r>
      <w:r>
        <w:t xml:space="preserve"> from</w:t>
      </w:r>
      <w:r w:rsidR="00732F7D" w:rsidRPr="0023146D">
        <w:t xml:space="preserve"> key sensitivity analyses are summarised </w:t>
      </w:r>
      <w:r w:rsidR="002F64DA">
        <w:t xml:space="preserve">in </w:t>
      </w:r>
      <w:r w:rsidR="002F64DA">
        <w:fldChar w:fldCharType="begin" w:fldLock="1"/>
      </w:r>
      <w:r w:rsidR="002F64DA">
        <w:instrText xml:space="preserve"> REF _Ref183607962 \h </w:instrText>
      </w:r>
      <w:r w:rsidR="002F64DA">
        <w:fldChar w:fldCharType="separate"/>
      </w:r>
      <w:r w:rsidR="008854AA" w:rsidRPr="0023146D">
        <w:t xml:space="preserve">Table </w:t>
      </w:r>
      <w:r w:rsidR="008854AA">
        <w:rPr>
          <w:noProof/>
        </w:rPr>
        <w:t>11</w:t>
      </w:r>
      <w:r w:rsidR="002F64DA">
        <w:fldChar w:fldCharType="end"/>
      </w:r>
      <w:r w:rsidR="002F64DA">
        <w:t>.</w:t>
      </w:r>
    </w:p>
    <w:p w14:paraId="3922248E" w14:textId="3A1887E7" w:rsidR="00732F7D" w:rsidRDefault="00732F7D" w:rsidP="00F3324C">
      <w:pPr>
        <w:pStyle w:val="Caption"/>
        <w:pageBreakBefore/>
        <w:rPr>
          <w:rStyle w:val="CommentReference"/>
          <w:b/>
          <w:szCs w:val="24"/>
        </w:rPr>
      </w:pPr>
      <w:bookmarkStart w:id="53" w:name="_Ref104804865"/>
      <w:bookmarkStart w:id="54" w:name="_Ref183607962"/>
      <w:r w:rsidRPr="0023146D">
        <w:lastRenderedPageBreak/>
        <w:t xml:space="preserve">Table </w:t>
      </w:r>
      <w:r w:rsidR="008A7014">
        <w:fldChar w:fldCharType="begin" w:fldLock="1"/>
      </w:r>
      <w:r w:rsidR="008A7014">
        <w:instrText xml:space="preserve"> SEQ Table \* ARABIC </w:instrText>
      </w:r>
      <w:r w:rsidR="008A7014">
        <w:fldChar w:fldCharType="separate"/>
      </w:r>
      <w:r w:rsidR="008854AA">
        <w:rPr>
          <w:noProof/>
        </w:rPr>
        <w:t>11</w:t>
      </w:r>
      <w:r w:rsidR="008A7014">
        <w:rPr>
          <w:noProof/>
        </w:rPr>
        <w:fldChar w:fldCharType="end"/>
      </w:r>
      <w:bookmarkEnd w:id="53"/>
      <w:bookmarkEnd w:id="54"/>
      <w:r w:rsidRPr="0023146D">
        <w:t>:</w:t>
      </w:r>
      <w:r w:rsidRPr="0023146D">
        <w:rPr>
          <w:rStyle w:val="CommentReference"/>
          <w:b/>
          <w:szCs w:val="24"/>
        </w:rPr>
        <w:t xml:space="preserve"> Sensitivity analyses</w:t>
      </w:r>
    </w:p>
    <w:tbl>
      <w:tblPr>
        <w:tblStyle w:val="TableGrid"/>
        <w:tblpPr w:leftFromText="180" w:rightFromText="180" w:vertAnchor="text" w:tblpY="1"/>
        <w:tblOverlap w:val="never"/>
        <w:tblW w:w="5028" w:type="pct"/>
        <w:tblLayout w:type="fixed"/>
        <w:tblLook w:val="04A0" w:firstRow="1" w:lastRow="0" w:firstColumn="1" w:lastColumn="0" w:noHBand="0" w:noVBand="1"/>
        <w:tblCaption w:val="Table 11: Sensitivity analyses"/>
        <w:tblDescription w:val="Table 11: Sensitivity analyses"/>
      </w:tblPr>
      <w:tblGrid>
        <w:gridCol w:w="4674"/>
        <w:gridCol w:w="1133"/>
        <w:gridCol w:w="1137"/>
        <w:gridCol w:w="1055"/>
        <w:gridCol w:w="1068"/>
      </w:tblGrid>
      <w:tr w:rsidR="006479C0" w:rsidRPr="00F57F1D" w14:paraId="374C575A" w14:textId="77777777" w:rsidTr="00F3324C">
        <w:tc>
          <w:tcPr>
            <w:tcW w:w="2577" w:type="pct"/>
            <w:tcBorders>
              <w:top w:val="single" w:sz="4" w:space="0" w:color="auto"/>
              <w:left w:val="single" w:sz="4" w:space="0" w:color="auto"/>
              <w:bottom w:val="single" w:sz="4" w:space="0" w:color="auto"/>
              <w:right w:val="single" w:sz="4" w:space="0" w:color="auto"/>
            </w:tcBorders>
            <w:vAlign w:val="center"/>
            <w:hideMark/>
          </w:tcPr>
          <w:p w14:paraId="5FCCDBD9" w14:textId="4889A66C" w:rsidR="006479C0" w:rsidRPr="00F57F1D" w:rsidRDefault="00713A88" w:rsidP="00F3324C">
            <w:pPr>
              <w:pStyle w:val="Tabletext8pt"/>
              <w:widowControl w:val="0"/>
              <w:spacing w:before="0" w:after="0"/>
              <w:rPr>
                <w:rFonts w:ascii="Arial Narrow" w:hAnsi="Arial Narrow"/>
                <w:b/>
                <w:bCs/>
                <w:sz w:val="20"/>
                <w:szCs w:val="20"/>
              </w:rPr>
            </w:pPr>
            <w:r w:rsidRPr="00F57F1D">
              <w:rPr>
                <w:rFonts w:ascii="Arial Narrow" w:hAnsi="Arial Narrow"/>
                <w:b/>
                <w:bCs/>
                <w:sz w:val="20"/>
                <w:szCs w:val="20"/>
              </w:rPr>
              <w:t>Analyses</w:t>
            </w:r>
            <w:r w:rsidR="006479C0" w:rsidRPr="00F57F1D">
              <w:rPr>
                <w:rFonts w:ascii="Arial Narrow" w:hAnsi="Arial Narrow"/>
                <w:b/>
                <w:bCs/>
                <w:sz w:val="20"/>
                <w:szCs w:val="20"/>
              </w:rPr>
              <w:t xml:space="preserve"> </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511AED4C" w14:textId="0EF6CD4F" w:rsidR="006479C0" w:rsidRPr="00F57F1D" w:rsidRDefault="006479C0" w:rsidP="00F3324C">
            <w:pPr>
              <w:pStyle w:val="Tabletext8pt"/>
              <w:widowControl w:val="0"/>
              <w:spacing w:before="0" w:after="0"/>
              <w:jc w:val="center"/>
              <w:rPr>
                <w:rFonts w:ascii="Arial Narrow" w:hAnsi="Arial Narrow"/>
                <w:b/>
                <w:bCs/>
                <w:sz w:val="20"/>
                <w:szCs w:val="20"/>
              </w:rPr>
            </w:pPr>
            <w:r w:rsidRPr="00F57F1D">
              <w:rPr>
                <w:rFonts w:ascii="Arial Narrow" w:hAnsi="Arial Narrow"/>
                <w:b/>
                <w:bCs/>
                <w:sz w:val="20"/>
                <w:szCs w:val="20"/>
              </w:rPr>
              <w:t>Inc</w:t>
            </w:r>
            <w:r w:rsidR="00844946" w:rsidRPr="00F57F1D">
              <w:rPr>
                <w:rFonts w:ascii="Arial Narrow" w:hAnsi="Arial Narrow"/>
                <w:b/>
                <w:bCs/>
                <w:sz w:val="20"/>
                <w:szCs w:val="20"/>
              </w:rPr>
              <w:t>.</w:t>
            </w:r>
            <w:r w:rsidRPr="00F57F1D">
              <w:rPr>
                <w:rFonts w:ascii="Arial Narrow" w:hAnsi="Arial Narrow"/>
                <w:b/>
                <w:bCs/>
                <w:sz w:val="20"/>
                <w:szCs w:val="20"/>
              </w:rPr>
              <w:t xml:space="preserve"> cost</w:t>
            </w:r>
            <w:r w:rsidR="00822EBE">
              <w:rPr>
                <w:rFonts w:ascii="Arial Narrow" w:hAnsi="Arial Narrow"/>
                <w:b/>
                <w:bCs/>
                <w:sz w:val="20"/>
                <w:szCs w:val="20"/>
              </w:rPr>
              <w:t xml:space="preserve"> ($)</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110E51CE" w14:textId="37DDB003" w:rsidR="006479C0" w:rsidRPr="00F57F1D" w:rsidRDefault="006479C0" w:rsidP="00F3324C">
            <w:pPr>
              <w:pStyle w:val="Tabletext8pt"/>
              <w:widowControl w:val="0"/>
              <w:spacing w:before="0" w:after="0"/>
              <w:jc w:val="center"/>
              <w:rPr>
                <w:rFonts w:ascii="Arial Narrow" w:hAnsi="Arial Narrow"/>
                <w:b/>
                <w:bCs/>
                <w:sz w:val="20"/>
                <w:szCs w:val="20"/>
              </w:rPr>
            </w:pPr>
            <w:r w:rsidRPr="00F57F1D">
              <w:rPr>
                <w:rFonts w:ascii="Arial Narrow" w:hAnsi="Arial Narrow"/>
                <w:b/>
                <w:bCs/>
                <w:sz w:val="20"/>
                <w:szCs w:val="20"/>
              </w:rPr>
              <w:t>Inc</w:t>
            </w:r>
            <w:r w:rsidR="00844946" w:rsidRPr="00F57F1D">
              <w:rPr>
                <w:rFonts w:ascii="Arial Narrow" w:hAnsi="Arial Narrow"/>
                <w:b/>
                <w:bCs/>
                <w:sz w:val="20"/>
                <w:szCs w:val="20"/>
              </w:rPr>
              <w:t>.</w:t>
            </w:r>
            <w:r w:rsidRPr="00F57F1D">
              <w:rPr>
                <w:rFonts w:ascii="Arial Narrow" w:hAnsi="Arial Narrow"/>
                <w:b/>
                <w:bCs/>
                <w:sz w:val="20"/>
                <w:szCs w:val="20"/>
              </w:rPr>
              <w:t xml:space="preserve"> QALY</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6D651377" w14:textId="77777777" w:rsidR="006479C0" w:rsidRPr="00F57F1D" w:rsidRDefault="006479C0" w:rsidP="00F3324C">
            <w:pPr>
              <w:pStyle w:val="Tabletext8pt"/>
              <w:widowControl w:val="0"/>
              <w:spacing w:before="0" w:after="0"/>
              <w:jc w:val="center"/>
              <w:rPr>
                <w:rFonts w:ascii="Arial Narrow" w:hAnsi="Arial Narrow"/>
                <w:b/>
                <w:bCs/>
                <w:sz w:val="20"/>
                <w:szCs w:val="20"/>
              </w:rPr>
            </w:pPr>
            <w:r w:rsidRPr="00F57F1D">
              <w:rPr>
                <w:rFonts w:ascii="Arial Narrow" w:hAnsi="Arial Narrow"/>
                <w:b/>
                <w:bCs/>
                <w:sz w:val="20"/>
                <w:szCs w:val="20"/>
              </w:rPr>
              <w:t>ICER</w:t>
            </w:r>
          </w:p>
        </w:tc>
        <w:tc>
          <w:tcPr>
            <w:tcW w:w="589" w:type="pct"/>
            <w:tcBorders>
              <w:top w:val="single" w:sz="4" w:space="0" w:color="auto"/>
              <w:left w:val="single" w:sz="4" w:space="0" w:color="auto"/>
              <w:bottom w:val="single" w:sz="4" w:space="0" w:color="auto"/>
              <w:right w:val="single" w:sz="4" w:space="0" w:color="auto"/>
            </w:tcBorders>
            <w:vAlign w:val="center"/>
          </w:tcPr>
          <w:p w14:paraId="59A8AEF2" w14:textId="77777777" w:rsidR="006479C0" w:rsidRPr="00F57F1D" w:rsidRDefault="006479C0" w:rsidP="00F3324C">
            <w:pPr>
              <w:pStyle w:val="Tabletext8pt"/>
              <w:widowControl w:val="0"/>
              <w:spacing w:before="0" w:after="0"/>
              <w:jc w:val="center"/>
              <w:rPr>
                <w:rFonts w:ascii="Arial Narrow" w:hAnsi="Arial Narrow"/>
                <w:b/>
                <w:bCs/>
                <w:color w:val="7F7F7F" w:themeColor="text1" w:themeTint="80"/>
                <w:sz w:val="20"/>
                <w:szCs w:val="20"/>
              </w:rPr>
            </w:pPr>
            <w:r w:rsidRPr="00F57F1D">
              <w:rPr>
                <w:rFonts w:ascii="Arial Narrow" w:hAnsi="Arial Narrow"/>
                <w:b/>
                <w:bCs/>
                <w:sz w:val="20"/>
                <w:szCs w:val="20"/>
              </w:rPr>
              <w:t>%change</w:t>
            </w:r>
          </w:p>
        </w:tc>
      </w:tr>
      <w:tr w:rsidR="006479C0" w:rsidRPr="00F57F1D" w14:paraId="797D0D81" w14:textId="77777777" w:rsidTr="00F3324C">
        <w:tc>
          <w:tcPr>
            <w:tcW w:w="2577" w:type="pct"/>
            <w:tcBorders>
              <w:top w:val="single" w:sz="4" w:space="0" w:color="auto"/>
              <w:left w:val="single" w:sz="4" w:space="0" w:color="auto"/>
              <w:bottom w:val="single" w:sz="4" w:space="0" w:color="auto"/>
              <w:right w:val="single" w:sz="4" w:space="0" w:color="auto"/>
            </w:tcBorders>
            <w:vAlign w:val="bottom"/>
            <w:hideMark/>
          </w:tcPr>
          <w:p w14:paraId="06BFDE95" w14:textId="77777777" w:rsidR="006479C0" w:rsidRPr="00F57F1D" w:rsidRDefault="006479C0" w:rsidP="00F3324C">
            <w:pPr>
              <w:pStyle w:val="Tabletext8pt"/>
              <w:widowControl w:val="0"/>
              <w:spacing w:before="0" w:after="0"/>
              <w:rPr>
                <w:rFonts w:ascii="Arial Narrow" w:hAnsi="Arial Narrow"/>
                <w:b/>
                <w:bCs/>
                <w:sz w:val="20"/>
                <w:szCs w:val="20"/>
              </w:rPr>
            </w:pPr>
            <w:r w:rsidRPr="00F57F1D">
              <w:rPr>
                <w:rFonts w:ascii="Arial Narrow" w:hAnsi="Arial Narrow"/>
                <w:b/>
                <w:bCs/>
                <w:sz w:val="20"/>
                <w:szCs w:val="20"/>
              </w:rPr>
              <w:t>Base-case</w:t>
            </w:r>
          </w:p>
        </w:tc>
        <w:tc>
          <w:tcPr>
            <w:tcW w:w="625" w:type="pct"/>
            <w:tcBorders>
              <w:top w:val="single" w:sz="4" w:space="0" w:color="auto"/>
              <w:left w:val="single" w:sz="4" w:space="0" w:color="auto"/>
              <w:bottom w:val="single" w:sz="4" w:space="0" w:color="auto"/>
              <w:right w:val="single" w:sz="4" w:space="0" w:color="auto"/>
            </w:tcBorders>
            <w:shd w:val="solid" w:color="000000" w:fill="000000"/>
            <w:vAlign w:val="center"/>
          </w:tcPr>
          <w:p w14:paraId="09CAA72A" w14:textId="5C110C1B" w:rsidR="006479C0" w:rsidRPr="00F57F1D" w:rsidRDefault="007548FA" w:rsidP="00F3324C">
            <w:pPr>
              <w:pStyle w:val="Tabletext8pt"/>
              <w:widowControl w:val="0"/>
              <w:spacing w:before="0" w:after="0"/>
              <w:jc w:val="center"/>
              <w:rPr>
                <w:rFonts w:ascii="Arial Narrow" w:hAnsi="Arial Narrow"/>
                <w:b/>
                <w:bCs/>
                <w:sz w:val="20"/>
                <w:szCs w:val="20"/>
              </w:rPr>
            </w:pPr>
            <w:r w:rsidRPr="007548FA">
              <w:rPr>
                <w:rFonts w:ascii="Arial Narrow" w:hAnsi="Arial Narrow"/>
                <w:b/>
                <w:bCs/>
                <w:color w:val="000000"/>
                <w:sz w:val="20"/>
                <w:szCs w:val="20"/>
                <w14:textFill>
                  <w14:solidFill>
                    <w14:srgbClr w14:val="000000">
                      <w14:alpha w14:val="100000"/>
                    </w14:srgbClr>
                  </w14:solidFill>
                </w14:textFill>
              </w:rPr>
              <w:t>|</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3E7BB01A" w14:textId="77777777" w:rsidR="006479C0" w:rsidRPr="00F57F1D" w:rsidRDefault="006479C0" w:rsidP="00F3324C">
            <w:pPr>
              <w:pStyle w:val="Tabletext8pt"/>
              <w:widowControl w:val="0"/>
              <w:spacing w:before="0" w:after="0"/>
              <w:jc w:val="center"/>
              <w:rPr>
                <w:rFonts w:ascii="Arial Narrow" w:hAnsi="Arial Narrow"/>
                <w:b/>
                <w:bCs/>
                <w:sz w:val="20"/>
                <w:szCs w:val="20"/>
              </w:rPr>
            </w:pPr>
            <w:r w:rsidRPr="00F57F1D">
              <w:rPr>
                <w:rFonts w:ascii="Arial Narrow" w:hAnsi="Arial Narrow"/>
                <w:b/>
                <w:bCs/>
                <w:sz w:val="20"/>
                <w:szCs w:val="20"/>
              </w:rPr>
              <w:t>0.11</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2A1FB7FA" w14:textId="7252B44E" w:rsidR="006479C0" w:rsidRPr="00F57F1D" w:rsidRDefault="007548FA" w:rsidP="00F3324C">
            <w:pPr>
              <w:pStyle w:val="Tabletext8pt"/>
              <w:widowControl w:val="0"/>
              <w:spacing w:before="0" w:after="0"/>
              <w:jc w:val="center"/>
              <w:rPr>
                <w:rFonts w:ascii="Arial Narrow" w:hAnsi="Arial Narrow"/>
                <w:b/>
                <w:bCs/>
                <w:sz w:val="20"/>
                <w:szCs w:val="20"/>
              </w:rPr>
            </w:pPr>
            <w:r w:rsidRPr="007548FA">
              <w:rPr>
                <w:rFonts w:ascii="Arial Narrow" w:hAnsi="Arial Narrow"/>
                <w:b/>
                <w:bCs/>
                <w:color w:val="000000"/>
                <w:sz w:val="20"/>
                <w:szCs w:val="20"/>
                <w:shd w:val="solid" w:color="000000" w:fill="000000"/>
                <w14:textFill>
                  <w14:solidFill>
                    <w14:srgbClr w14:val="000000">
                      <w14:alpha w14:val="100000"/>
                    </w14:srgbClr>
                  </w14:solidFill>
                </w14:textFill>
              </w:rPr>
              <w:t>|</w:t>
            </w:r>
            <w:r w:rsidR="00FE3F29" w:rsidRPr="00FE3F29">
              <w:rPr>
                <w:rFonts w:ascii="Arial Narrow" w:hAnsi="Arial Narrow"/>
                <w:b/>
                <w:bCs/>
                <w:sz w:val="20"/>
                <w:szCs w:val="20"/>
                <w:vertAlign w:val="superscript"/>
              </w:rPr>
              <w:t>1</w:t>
            </w:r>
          </w:p>
        </w:tc>
        <w:tc>
          <w:tcPr>
            <w:tcW w:w="589" w:type="pct"/>
            <w:tcBorders>
              <w:top w:val="single" w:sz="4" w:space="0" w:color="auto"/>
              <w:left w:val="single" w:sz="4" w:space="0" w:color="auto"/>
              <w:bottom w:val="single" w:sz="4" w:space="0" w:color="auto"/>
              <w:right w:val="single" w:sz="4" w:space="0" w:color="auto"/>
            </w:tcBorders>
            <w:vAlign w:val="center"/>
          </w:tcPr>
          <w:p w14:paraId="1DE1C631" w14:textId="77777777" w:rsidR="006479C0" w:rsidRPr="00F57F1D" w:rsidRDefault="006479C0" w:rsidP="00F3324C">
            <w:pPr>
              <w:pStyle w:val="Tabletext8pt"/>
              <w:widowControl w:val="0"/>
              <w:spacing w:before="0" w:after="0"/>
              <w:jc w:val="center"/>
              <w:rPr>
                <w:rFonts w:ascii="Arial Narrow" w:hAnsi="Arial Narrow"/>
                <w:b/>
                <w:bCs/>
                <w:color w:val="7F7F7F" w:themeColor="text1" w:themeTint="80"/>
                <w:sz w:val="20"/>
                <w:szCs w:val="20"/>
              </w:rPr>
            </w:pPr>
            <w:r w:rsidRPr="00F57F1D">
              <w:rPr>
                <w:rFonts w:ascii="Arial Narrow" w:hAnsi="Arial Narrow"/>
                <w:b/>
                <w:bCs/>
                <w:sz w:val="20"/>
                <w:szCs w:val="20"/>
              </w:rPr>
              <w:t>-</w:t>
            </w:r>
          </w:p>
        </w:tc>
      </w:tr>
      <w:tr w:rsidR="006479C0" w:rsidRPr="00F57F1D" w14:paraId="7956B9E1" w14:textId="77777777" w:rsidTr="00CF1AC8">
        <w:tc>
          <w:tcPr>
            <w:tcW w:w="5000" w:type="pct"/>
            <w:gridSpan w:val="5"/>
            <w:tcBorders>
              <w:top w:val="single" w:sz="4" w:space="0" w:color="auto"/>
              <w:left w:val="single" w:sz="4" w:space="0" w:color="auto"/>
              <w:bottom w:val="single" w:sz="4" w:space="0" w:color="auto"/>
              <w:right w:val="single" w:sz="4" w:space="0" w:color="auto"/>
            </w:tcBorders>
            <w:vAlign w:val="bottom"/>
            <w:hideMark/>
          </w:tcPr>
          <w:p w14:paraId="6E3B7079" w14:textId="0E136B5F" w:rsidR="006479C0" w:rsidRPr="00F57F1D" w:rsidRDefault="00891529" w:rsidP="00F3324C">
            <w:pPr>
              <w:pStyle w:val="Tabletext8pt"/>
              <w:widowControl w:val="0"/>
              <w:spacing w:before="0" w:after="0"/>
              <w:rPr>
                <w:rFonts w:ascii="Arial Narrow" w:hAnsi="Arial Narrow"/>
                <w:color w:val="7F7F7F" w:themeColor="text1" w:themeTint="80"/>
                <w:sz w:val="20"/>
                <w:szCs w:val="20"/>
              </w:rPr>
            </w:pPr>
            <w:r w:rsidRPr="00F57F1D">
              <w:rPr>
                <w:rFonts w:ascii="Arial Narrow" w:hAnsi="Arial Narrow"/>
                <w:sz w:val="20"/>
                <w:szCs w:val="20"/>
              </w:rPr>
              <w:t>Time horizon (base case: 10 years)</w:t>
            </w:r>
          </w:p>
        </w:tc>
      </w:tr>
      <w:tr w:rsidR="006479C0" w:rsidRPr="00F57F1D" w14:paraId="7422A659" w14:textId="77777777" w:rsidTr="00F3324C">
        <w:tc>
          <w:tcPr>
            <w:tcW w:w="2577" w:type="pct"/>
            <w:tcBorders>
              <w:top w:val="single" w:sz="4" w:space="0" w:color="auto"/>
              <w:left w:val="single" w:sz="4" w:space="0" w:color="auto"/>
              <w:bottom w:val="single" w:sz="4" w:space="0" w:color="auto"/>
              <w:right w:val="single" w:sz="4" w:space="0" w:color="auto"/>
            </w:tcBorders>
            <w:vAlign w:val="bottom"/>
          </w:tcPr>
          <w:p w14:paraId="0F25EA8C" w14:textId="77777777" w:rsidR="006479C0" w:rsidRPr="00F57F1D" w:rsidRDefault="006479C0" w:rsidP="00F3324C">
            <w:pPr>
              <w:pStyle w:val="Tabletext8pt"/>
              <w:widowControl w:val="0"/>
              <w:spacing w:before="0" w:after="0"/>
              <w:rPr>
                <w:rFonts w:ascii="Arial Narrow" w:hAnsi="Arial Narrow"/>
                <w:sz w:val="20"/>
                <w:szCs w:val="20"/>
              </w:rPr>
            </w:pPr>
            <w:r w:rsidRPr="00F57F1D">
              <w:rPr>
                <w:rFonts w:ascii="Arial Narrow" w:hAnsi="Arial Narrow"/>
                <w:sz w:val="20"/>
                <w:szCs w:val="20"/>
              </w:rPr>
              <w:t xml:space="preserve">    2 years</w:t>
            </w:r>
          </w:p>
        </w:tc>
        <w:tc>
          <w:tcPr>
            <w:tcW w:w="625" w:type="pct"/>
            <w:tcBorders>
              <w:top w:val="single" w:sz="4" w:space="0" w:color="auto"/>
              <w:left w:val="single" w:sz="4" w:space="0" w:color="auto"/>
              <w:bottom w:val="single" w:sz="4" w:space="0" w:color="auto"/>
              <w:right w:val="single" w:sz="4" w:space="0" w:color="auto"/>
            </w:tcBorders>
            <w:shd w:val="solid" w:color="000000" w:fill="000000"/>
            <w:vAlign w:val="center"/>
          </w:tcPr>
          <w:p w14:paraId="3CA3AF70" w14:textId="608C5755" w:rsidR="006479C0" w:rsidRPr="00F57F1D" w:rsidRDefault="007548FA" w:rsidP="00F3324C">
            <w:pPr>
              <w:pStyle w:val="Tabletext8pt"/>
              <w:widowControl w:val="0"/>
              <w:spacing w:before="0" w:after="0"/>
              <w:jc w:val="center"/>
              <w:rPr>
                <w:rFonts w:ascii="Arial Narrow" w:hAnsi="Arial Narrow"/>
                <w:sz w:val="20"/>
                <w:szCs w:val="20"/>
              </w:rPr>
            </w:pPr>
            <w:r w:rsidRPr="007548FA">
              <w:rPr>
                <w:rFonts w:ascii="Arial Narrow" w:hAnsi="Arial Narrow"/>
                <w:color w:val="000000"/>
                <w:sz w:val="20"/>
                <w:szCs w:val="20"/>
                <w14:textFill>
                  <w14:solidFill>
                    <w14:srgbClr w14:val="000000">
                      <w14:alpha w14:val="100000"/>
                    </w14:srgbClr>
                  </w14:solidFill>
                </w14:textFill>
              </w:rPr>
              <w:t>|</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6E8E2677" w14:textId="77777777" w:rsidR="006479C0" w:rsidRPr="00F57F1D" w:rsidRDefault="006479C0" w:rsidP="00F3324C">
            <w:pPr>
              <w:pStyle w:val="Tabletext8pt"/>
              <w:widowControl w:val="0"/>
              <w:spacing w:before="0" w:after="0"/>
              <w:jc w:val="center"/>
              <w:rPr>
                <w:rFonts w:ascii="Arial Narrow" w:hAnsi="Arial Narrow"/>
                <w:sz w:val="20"/>
                <w:szCs w:val="20"/>
              </w:rPr>
            </w:pPr>
            <w:r w:rsidRPr="00F57F1D">
              <w:rPr>
                <w:rFonts w:ascii="Arial Narrow" w:hAnsi="Arial Narrow"/>
                <w:sz w:val="20"/>
                <w:szCs w:val="20"/>
              </w:rPr>
              <w:t>0.05</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5E6687B5" w14:textId="5BE13B1C" w:rsidR="006479C0" w:rsidRPr="00F57F1D" w:rsidRDefault="007548FA" w:rsidP="00F3324C">
            <w:pPr>
              <w:pStyle w:val="Tabletext8pt"/>
              <w:widowControl w:val="0"/>
              <w:spacing w:before="0" w:after="0"/>
              <w:jc w:val="center"/>
              <w:rPr>
                <w:rFonts w:ascii="Arial Narrow" w:hAnsi="Arial Narrow"/>
                <w:sz w:val="20"/>
                <w:szCs w:val="20"/>
              </w:rPr>
            </w:pPr>
            <w:r w:rsidRPr="007548FA">
              <w:rPr>
                <w:rFonts w:ascii="Arial Narrow" w:hAnsi="Arial Narrow"/>
                <w:color w:val="000000"/>
                <w:sz w:val="20"/>
                <w:szCs w:val="20"/>
                <w:shd w:val="solid" w:color="000000" w:fill="000000"/>
                <w14:textFill>
                  <w14:solidFill>
                    <w14:srgbClr w14:val="000000">
                      <w14:alpha w14:val="100000"/>
                    </w14:srgbClr>
                  </w14:solidFill>
                </w14:textFill>
              </w:rPr>
              <w:t>|</w:t>
            </w:r>
            <w:r w:rsidR="00122F3B" w:rsidRPr="00122F3B">
              <w:rPr>
                <w:rFonts w:ascii="Arial Narrow" w:hAnsi="Arial Narrow"/>
                <w:sz w:val="20"/>
                <w:szCs w:val="20"/>
                <w:vertAlign w:val="superscript"/>
              </w:rPr>
              <w:t>2</w:t>
            </w:r>
          </w:p>
        </w:tc>
        <w:tc>
          <w:tcPr>
            <w:tcW w:w="589" w:type="pct"/>
            <w:tcBorders>
              <w:top w:val="single" w:sz="4" w:space="0" w:color="auto"/>
              <w:left w:val="single" w:sz="4" w:space="0" w:color="auto"/>
              <w:bottom w:val="single" w:sz="4" w:space="0" w:color="auto"/>
              <w:right w:val="single" w:sz="4" w:space="0" w:color="auto"/>
            </w:tcBorders>
            <w:vAlign w:val="center"/>
          </w:tcPr>
          <w:p w14:paraId="1E711AED" w14:textId="1A53EAC1" w:rsidR="006479C0" w:rsidRPr="00F57F1D" w:rsidRDefault="006479C0" w:rsidP="00F3324C">
            <w:pPr>
              <w:pStyle w:val="Tabletext8pt"/>
              <w:widowControl w:val="0"/>
              <w:spacing w:before="0" w:after="0"/>
              <w:jc w:val="center"/>
              <w:rPr>
                <w:rFonts w:ascii="Arial Narrow" w:hAnsi="Arial Narrow"/>
                <w:sz w:val="20"/>
                <w:szCs w:val="20"/>
              </w:rPr>
            </w:pPr>
            <w:r w:rsidRPr="00F57F1D">
              <w:rPr>
                <w:rFonts w:ascii="Arial Narrow" w:hAnsi="Arial Narrow"/>
                <w:sz w:val="20"/>
                <w:szCs w:val="20"/>
              </w:rPr>
              <w:t>+</w:t>
            </w:r>
            <w:r w:rsidR="007548FA" w:rsidRPr="003B6666">
              <w:rPr>
                <w:rFonts w:ascii="Arial Narrow" w:hAnsi="Arial Narrow"/>
                <w:color w:val="000000"/>
                <w:spacing w:val="154"/>
                <w:sz w:val="20"/>
                <w:szCs w:val="20"/>
                <w:shd w:val="solid" w:color="000000" w:fill="000000"/>
                <w:fitText w:val="240" w:id="-760538096"/>
                <w14:textFill>
                  <w14:solidFill>
                    <w14:srgbClr w14:val="000000">
                      <w14:alpha w14:val="100000"/>
                    </w14:srgbClr>
                  </w14:solidFill>
                </w14:textFill>
              </w:rPr>
              <w:t>|</w:t>
            </w:r>
            <w:r w:rsidR="007548FA" w:rsidRPr="003B6666">
              <w:rPr>
                <w:rFonts w:ascii="Arial Narrow" w:hAnsi="Arial Narrow"/>
                <w:color w:val="000000"/>
                <w:sz w:val="20"/>
                <w:szCs w:val="20"/>
                <w:shd w:val="solid" w:color="000000" w:fill="000000"/>
                <w:fitText w:val="240" w:id="-760538096"/>
                <w14:textFill>
                  <w14:solidFill>
                    <w14:srgbClr w14:val="000000">
                      <w14:alpha w14:val="100000"/>
                    </w14:srgbClr>
                  </w14:solidFill>
                </w14:textFill>
              </w:rPr>
              <w:t>|</w:t>
            </w:r>
            <w:r w:rsidRPr="00F57F1D">
              <w:rPr>
                <w:rFonts w:ascii="Arial Narrow" w:hAnsi="Arial Narrow"/>
                <w:sz w:val="20"/>
                <w:szCs w:val="20"/>
              </w:rPr>
              <w:t>%</w:t>
            </w:r>
          </w:p>
        </w:tc>
      </w:tr>
      <w:tr w:rsidR="006479C0" w:rsidRPr="00F57F1D" w14:paraId="36135293" w14:textId="77777777" w:rsidTr="00CF1AC8">
        <w:tc>
          <w:tcPr>
            <w:tcW w:w="5000" w:type="pct"/>
            <w:gridSpan w:val="5"/>
            <w:tcBorders>
              <w:top w:val="single" w:sz="4" w:space="0" w:color="auto"/>
              <w:left w:val="single" w:sz="4" w:space="0" w:color="auto"/>
              <w:bottom w:val="single" w:sz="4" w:space="0" w:color="auto"/>
              <w:right w:val="single" w:sz="4" w:space="0" w:color="auto"/>
            </w:tcBorders>
            <w:vAlign w:val="bottom"/>
            <w:hideMark/>
          </w:tcPr>
          <w:p w14:paraId="334D4315" w14:textId="3789B14D" w:rsidR="006479C0" w:rsidRPr="00F57F1D" w:rsidRDefault="00891529" w:rsidP="00F3324C">
            <w:pPr>
              <w:pStyle w:val="Tabletext8pt"/>
              <w:widowControl w:val="0"/>
              <w:spacing w:before="0" w:after="0"/>
              <w:rPr>
                <w:rFonts w:ascii="Arial Narrow" w:hAnsi="Arial Narrow"/>
                <w:color w:val="7F7F7F" w:themeColor="text1" w:themeTint="80"/>
                <w:sz w:val="20"/>
                <w:szCs w:val="20"/>
              </w:rPr>
            </w:pPr>
            <w:r w:rsidRPr="00F57F1D">
              <w:rPr>
                <w:rFonts w:ascii="Arial Narrow" w:hAnsi="Arial Narrow"/>
                <w:sz w:val="20"/>
                <w:szCs w:val="20"/>
              </w:rPr>
              <w:t>Discount rate (base case: 5%)</w:t>
            </w:r>
          </w:p>
        </w:tc>
      </w:tr>
      <w:tr w:rsidR="006479C0" w:rsidRPr="00F57F1D" w14:paraId="03A026F0" w14:textId="77777777" w:rsidTr="00F3324C">
        <w:tc>
          <w:tcPr>
            <w:tcW w:w="2577" w:type="pct"/>
            <w:tcBorders>
              <w:top w:val="single" w:sz="4" w:space="0" w:color="auto"/>
              <w:left w:val="single" w:sz="4" w:space="0" w:color="auto"/>
              <w:bottom w:val="single" w:sz="4" w:space="0" w:color="auto"/>
              <w:right w:val="single" w:sz="4" w:space="0" w:color="auto"/>
            </w:tcBorders>
            <w:vAlign w:val="bottom"/>
          </w:tcPr>
          <w:p w14:paraId="1E5391FE" w14:textId="77777777" w:rsidR="006479C0" w:rsidRPr="00F57F1D" w:rsidRDefault="006479C0" w:rsidP="00F3324C">
            <w:pPr>
              <w:pStyle w:val="Tabletext8pt"/>
              <w:widowControl w:val="0"/>
              <w:spacing w:before="0" w:after="0"/>
              <w:rPr>
                <w:rFonts w:ascii="Arial Narrow" w:hAnsi="Arial Narrow"/>
                <w:sz w:val="20"/>
                <w:szCs w:val="20"/>
              </w:rPr>
            </w:pPr>
            <w:r w:rsidRPr="00F57F1D">
              <w:rPr>
                <w:rFonts w:ascii="Arial Narrow" w:hAnsi="Arial Narrow"/>
                <w:sz w:val="20"/>
                <w:szCs w:val="20"/>
              </w:rPr>
              <w:t xml:space="preserve">    0.0%</w:t>
            </w:r>
          </w:p>
          <w:p w14:paraId="071486C8" w14:textId="0E2615CB" w:rsidR="006479C0" w:rsidRPr="00F57F1D" w:rsidRDefault="006479C0" w:rsidP="00F3324C">
            <w:pPr>
              <w:pStyle w:val="Tabletext8pt"/>
              <w:widowControl w:val="0"/>
              <w:spacing w:before="0" w:after="0"/>
              <w:rPr>
                <w:rFonts w:ascii="Arial Narrow" w:hAnsi="Arial Narrow"/>
                <w:sz w:val="20"/>
                <w:szCs w:val="20"/>
              </w:rPr>
            </w:pPr>
            <w:r w:rsidRPr="00F57F1D">
              <w:rPr>
                <w:rFonts w:ascii="Arial Narrow" w:hAnsi="Arial Narrow"/>
                <w:sz w:val="20"/>
                <w:szCs w:val="20"/>
              </w:rPr>
              <w:t xml:space="preserve">    3</w:t>
            </w:r>
            <w:r w:rsidR="00141EF9" w:rsidRPr="00F57F1D">
              <w:rPr>
                <w:rFonts w:ascii="Arial Narrow" w:hAnsi="Arial Narrow"/>
                <w:sz w:val="20"/>
                <w:szCs w:val="20"/>
              </w:rPr>
              <w:t>.</w:t>
            </w:r>
            <w:r w:rsidRPr="00F57F1D">
              <w:rPr>
                <w:rFonts w:ascii="Arial Narrow" w:hAnsi="Arial Narrow"/>
                <w:sz w:val="20"/>
                <w:szCs w:val="20"/>
              </w:rPr>
              <w:t>5%</w:t>
            </w:r>
          </w:p>
        </w:tc>
        <w:tc>
          <w:tcPr>
            <w:tcW w:w="625" w:type="pct"/>
            <w:tcBorders>
              <w:top w:val="single" w:sz="4" w:space="0" w:color="auto"/>
              <w:left w:val="single" w:sz="4" w:space="0" w:color="auto"/>
              <w:bottom w:val="single" w:sz="4" w:space="0" w:color="auto"/>
              <w:right w:val="single" w:sz="4" w:space="0" w:color="auto"/>
            </w:tcBorders>
            <w:shd w:val="solid" w:color="000000" w:fill="000000"/>
            <w:vAlign w:val="center"/>
          </w:tcPr>
          <w:p w14:paraId="003C6F7C" w14:textId="1171E247" w:rsidR="006479C0" w:rsidRPr="00F57F1D" w:rsidRDefault="007548FA" w:rsidP="00F3324C">
            <w:pPr>
              <w:pStyle w:val="Tabletext8pt"/>
              <w:widowControl w:val="0"/>
              <w:spacing w:before="0" w:after="0"/>
              <w:jc w:val="center"/>
              <w:rPr>
                <w:rFonts w:ascii="Arial Narrow" w:hAnsi="Arial Narrow"/>
                <w:sz w:val="20"/>
                <w:szCs w:val="20"/>
              </w:rPr>
            </w:pPr>
            <w:r w:rsidRPr="007548FA">
              <w:rPr>
                <w:rFonts w:ascii="Arial Narrow" w:hAnsi="Arial Narrow"/>
                <w:color w:val="000000"/>
                <w:sz w:val="20"/>
                <w:szCs w:val="20"/>
                <w14:textFill>
                  <w14:solidFill>
                    <w14:srgbClr w14:val="000000">
                      <w14:alpha w14:val="100000"/>
                    </w14:srgbClr>
                  </w14:solidFill>
                </w14:textFill>
              </w:rPr>
              <w:t>|</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298D8AF7" w14:textId="77777777" w:rsidR="006479C0" w:rsidRPr="00F57F1D" w:rsidRDefault="006479C0" w:rsidP="00F3324C">
            <w:pPr>
              <w:pStyle w:val="Tabletext8pt"/>
              <w:widowControl w:val="0"/>
              <w:spacing w:before="0" w:after="0"/>
              <w:jc w:val="center"/>
              <w:rPr>
                <w:rFonts w:ascii="Arial Narrow" w:hAnsi="Arial Narrow"/>
                <w:sz w:val="20"/>
                <w:szCs w:val="20"/>
              </w:rPr>
            </w:pPr>
            <w:r w:rsidRPr="00F57F1D">
              <w:rPr>
                <w:rFonts w:ascii="Arial Narrow" w:hAnsi="Arial Narrow"/>
                <w:sz w:val="20"/>
                <w:szCs w:val="20"/>
              </w:rPr>
              <w:t>0.13</w:t>
            </w:r>
          </w:p>
          <w:p w14:paraId="3618F1EF" w14:textId="77777777" w:rsidR="006479C0" w:rsidRPr="00F57F1D" w:rsidRDefault="006479C0" w:rsidP="00F3324C">
            <w:pPr>
              <w:pStyle w:val="Tabletext8pt"/>
              <w:widowControl w:val="0"/>
              <w:spacing w:before="0" w:after="0"/>
              <w:jc w:val="center"/>
              <w:rPr>
                <w:rFonts w:ascii="Arial Narrow" w:hAnsi="Arial Narrow"/>
                <w:sz w:val="20"/>
                <w:szCs w:val="20"/>
              </w:rPr>
            </w:pPr>
            <w:r w:rsidRPr="00F57F1D">
              <w:rPr>
                <w:rFonts w:ascii="Arial Narrow" w:hAnsi="Arial Narrow"/>
                <w:sz w:val="20"/>
                <w:szCs w:val="20"/>
              </w:rPr>
              <w:t>0.11</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5D4BE294" w14:textId="77777777" w:rsidR="004C747A" w:rsidRDefault="007548FA" w:rsidP="00F3324C">
            <w:pPr>
              <w:pStyle w:val="Tabletext8pt"/>
              <w:widowControl w:val="0"/>
              <w:spacing w:before="0" w:after="0"/>
              <w:jc w:val="center"/>
              <w:rPr>
                <w:rFonts w:ascii="Arial Narrow" w:hAnsi="Arial Narrow"/>
                <w:b/>
                <w:bCs/>
                <w:sz w:val="20"/>
                <w:szCs w:val="20"/>
                <w:vertAlign w:val="superscript"/>
              </w:rPr>
            </w:pPr>
            <w:r w:rsidRPr="003B6666">
              <w:rPr>
                <w:rFonts w:ascii="Arial Narrow" w:hAnsi="Arial Narrow" w:hint="eastAsia"/>
                <w:color w:val="000000"/>
                <w:w w:val="18"/>
                <w:sz w:val="20"/>
                <w:szCs w:val="20"/>
                <w:shd w:val="solid" w:color="000000" w:fill="000000"/>
                <w:fitText w:val="81" w:id="-760500224"/>
                <w14:textFill>
                  <w14:solidFill>
                    <w14:srgbClr w14:val="000000">
                      <w14:alpha w14:val="100000"/>
                    </w14:srgbClr>
                  </w14:solidFill>
                </w14:textFill>
              </w:rPr>
              <w:t xml:space="preserve">　</w:t>
            </w:r>
            <w:r w:rsidRPr="003B6666">
              <w:rPr>
                <w:rFonts w:ascii="Arial Narrow" w:hAnsi="Arial Narrow"/>
                <w:color w:val="000000"/>
                <w:w w:val="18"/>
                <w:sz w:val="20"/>
                <w:szCs w:val="20"/>
                <w:shd w:val="solid" w:color="000000" w:fill="000000"/>
                <w:fitText w:val="81" w:id="-760500224"/>
                <w14:textFill>
                  <w14:solidFill>
                    <w14:srgbClr w14:val="000000">
                      <w14:alpha w14:val="100000"/>
                    </w14:srgbClr>
                  </w14:solidFill>
                </w14:textFill>
              </w:rPr>
              <w:t>|</w:t>
            </w:r>
            <w:r w:rsidRPr="003B6666">
              <w:rPr>
                <w:rFonts w:ascii="Arial Narrow" w:hAnsi="Arial Narrow" w:hint="eastAsia"/>
                <w:color w:val="000000"/>
                <w:w w:val="18"/>
                <w:sz w:val="20"/>
                <w:szCs w:val="20"/>
                <w:shd w:val="solid" w:color="000000" w:fill="000000"/>
                <w:fitText w:val="81" w:id="-760500224"/>
                <w14:textFill>
                  <w14:solidFill>
                    <w14:srgbClr w14:val="000000">
                      <w14:alpha w14:val="100000"/>
                    </w14:srgbClr>
                  </w14:solidFill>
                </w14:textFill>
              </w:rPr>
              <w:t xml:space="preserve">　</w:t>
            </w:r>
            <w:r w:rsidR="00FE3F29" w:rsidRPr="00FE3F29">
              <w:rPr>
                <w:rFonts w:ascii="Arial Narrow" w:hAnsi="Arial Narrow"/>
                <w:b/>
                <w:bCs/>
                <w:sz w:val="20"/>
                <w:szCs w:val="20"/>
                <w:vertAlign w:val="superscript"/>
              </w:rPr>
              <w:t>1</w:t>
            </w:r>
          </w:p>
          <w:p w14:paraId="682A9F93" w14:textId="7F6192DB" w:rsidR="006479C0" w:rsidRPr="004C747A" w:rsidRDefault="007548FA" w:rsidP="00F3324C">
            <w:pPr>
              <w:pStyle w:val="Tabletext8pt"/>
              <w:widowControl w:val="0"/>
              <w:spacing w:before="0" w:after="0"/>
              <w:jc w:val="center"/>
              <w:rPr>
                <w:rFonts w:ascii="Arial Narrow" w:hAnsi="Arial Narrow"/>
                <w:color w:val="000000"/>
                <w:spacing w:val="1"/>
                <w:w w:val="33"/>
                <w:sz w:val="20"/>
                <w:szCs w:val="20"/>
                <w:shd w:val="solid" w:color="000000" w:fill="000000"/>
                <w14:textFill>
                  <w14:solidFill>
                    <w14:srgbClr w14:val="000000">
                      <w14:alpha w14:val="100000"/>
                    </w14:srgbClr>
                  </w14:solidFill>
                </w14:textFill>
              </w:rPr>
            </w:pPr>
            <w:r w:rsidRPr="007548FA">
              <w:rPr>
                <w:rFonts w:ascii="Arial Narrow" w:hAnsi="Arial Narrow"/>
                <w:color w:val="000000"/>
                <w:sz w:val="20"/>
                <w:szCs w:val="20"/>
                <w:shd w:val="solid" w:color="000000" w:fill="000000"/>
                <w14:textFill>
                  <w14:solidFill>
                    <w14:srgbClr w14:val="000000">
                      <w14:alpha w14:val="100000"/>
                    </w14:srgbClr>
                  </w14:solidFill>
                </w14:textFill>
              </w:rPr>
              <w:t>|</w:t>
            </w:r>
            <w:r w:rsidR="00FE3F29" w:rsidRPr="00FE3F29">
              <w:rPr>
                <w:rFonts w:ascii="Arial Narrow" w:hAnsi="Arial Narrow"/>
                <w:b/>
                <w:bCs/>
                <w:sz w:val="20"/>
                <w:szCs w:val="20"/>
                <w:vertAlign w:val="superscript"/>
              </w:rPr>
              <w:t>1</w:t>
            </w:r>
          </w:p>
        </w:tc>
        <w:tc>
          <w:tcPr>
            <w:tcW w:w="589" w:type="pct"/>
            <w:tcBorders>
              <w:top w:val="single" w:sz="4" w:space="0" w:color="auto"/>
              <w:left w:val="single" w:sz="4" w:space="0" w:color="auto"/>
              <w:bottom w:val="single" w:sz="4" w:space="0" w:color="auto"/>
              <w:right w:val="single" w:sz="4" w:space="0" w:color="auto"/>
            </w:tcBorders>
            <w:vAlign w:val="center"/>
          </w:tcPr>
          <w:p w14:paraId="4638AFA1" w14:textId="5F44593B" w:rsidR="006479C0" w:rsidRPr="00F57F1D" w:rsidRDefault="006479C0" w:rsidP="00F3324C">
            <w:pPr>
              <w:pStyle w:val="Tabletext8pt"/>
              <w:widowControl w:val="0"/>
              <w:spacing w:before="0" w:after="0"/>
              <w:jc w:val="center"/>
              <w:rPr>
                <w:rFonts w:ascii="Arial Narrow" w:hAnsi="Arial Narrow"/>
                <w:sz w:val="20"/>
                <w:szCs w:val="20"/>
              </w:rPr>
            </w:pPr>
            <w:r w:rsidRPr="00F57F1D">
              <w:rPr>
                <w:rFonts w:ascii="Arial Narrow" w:hAnsi="Arial Narrow"/>
                <w:sz w:val="20"/>
                <w:szCs w:val="20"/>
              </w:rPr>
              <w:t>-</w:t>
            </w:r>
            <w:r w:rsidR="007548FA" w:rsidRPr="003B6666">
              <w:rPr>
                <w:rFonts w:ascii="Arial Narrow" w:hAnsi="Arial Narrow"/>
                <w:color w:val="000000"/>
                <w:spacing w:val="49"/>
                <w:sz w:val="20"/>
                <w:szCs w:val="20"/>
                <w:shd w:val="solid" w:color="000000" w:fill="000000"/>
                <w:fitText w:val="227" w:id="-760538111"/>
                <w14:textFill>
                  <w14:solidFill>
                    <w14:srgbClr w14:val="000000">
                      <w14:alpha w14:val="100000"/>
                    </w14:srgbClr>
                  </w14:solidFill>
                </w14:textFill>
              </w:rPr>
              <w:t>||</w:t>
            </w:r>
            <w:r w:rsidR="007548FA" w:rsidRPr="003B6666">
              <w:rPr>
                <w:rFonts w:ascii="Arial Narrow" w:hAnsi="Arial Narrow"/>
                <w:color w:val="000000"/>
                <w:spacing w:val="2"/>
                <w:sz w:val="20"/>
                <w:szCs w:val="20"/>
                <w:shd w:val="solid" w:color="000000" w:fill="000000"/>
                <w:fitText w:val="227" w:id="-760538111"/>
                <w14:textFill>
                  <w14:solidFill>
                    <w14:srgbClr w14:val="000000">
                      <w14:alpha w14:val="100000"/>
                    </w14:srgbClr>
                  </w14:solidFill>
                </w14:textFill>
              </w:rPr>
              <w:t>|</w:t>
            </w:r>
            <w:r w:rsidRPr="00F57F1D">
              <w:rPr>
                <w:rFonts w:ascii="Arial Narrow" w:hAnsi="Arial Narrow"/>
                <w:sz w:val="20"/>
                <w:szCs w:val="20"/>
              </w:rPr>
              <w:t>%</w:t>
            </w:r>
          </w:p>
          <w:p w14:paraId="07B69C8B" w14:textId="5381F137" w:rsidR="006479C0" w:rsidRPr="00F57F1D" w:rsidRDefault="006479C0" w:rsidP="00F3324C">
            <w:pPr>
              <w:pStyle w:val="Tabletext8pt"/>
              <w:widowControl w:val="0"/>
              <w:spacing w:before="0" w:after="0"/>
              <w:jc w:val="center"/>
              <w:rPr>
                <w:rFonts w:ascii="Arial Narrow" w:hAnsi="Arial Narrow"/>
                <w:sz w:val="20"/>
                <w:szCs w:val="20"/>
              </w:rPr>
            </w:pPr>
            <w:r w:rsidRPr="00F57F1D">
              <w:rPr>
                <w:rFonts w:ascii="Arial Narrow" w:hAnsi="Arial Narrow"/>
                <w:color w:val="000000"/>
                <w:sz w:val="20"/>
                <w:szCs w:val="20"/>
              </w:rPr>
              <w:t>-</w:t>
            </w:r>
            <w:r w:rsidR="007548FA" w:rsidRPr="003B6666">
              <w:rPr>
                <w:rFonts w:ascii="Arial Narrow" w:hAnsi="Arial Narrow"/>
                <w:color w:val="000000"/>
                <w:spacing w:val="49"/>
                <w:sz w:val="20"/>
                <w:szCs w:val="20"/>
                <w:shd w:val="solid" w:color="000000" w:fill="000000"/>
                <w:fitText w:val="227" w:id="-760538110"/>
                <w14:textFill>
                  <w14:solidFill>
                    <w14:srgbClr w14:val="000000">
                      <w14:alpha w14:val="100000"/>
                    </w14:srgbClr>
                  </w14:solidFill>
                </w14:textFill>
              </w:rPr>
              <w:t>||</w:t>
            </w:r>
            <w:r w:rsidR="007548FA" w:rsidRPr="003B6666">
              <w:rPr>
                <w:rFonts w:ascii="Arial Narrow" w:hAnsi="Arial Narrow"/>
                <w:color w:val="000000"/>
                <w:spacing w:val="2"/>
                <w:sz w:val="20"/>
                <w:szCs w:val="20"/>
                <w:shd w:val="solid" w:color="000000" w:fill="000000"/>
                <w:fitText w:val="227" w:id="-760538110"/>
                <w14:textFill>
                  <w14:solidFill>
                    <w14:srgbClr w14:val="000000">
                      <w14:alpha w14:val="100000"/>
                    </w14:srgbClr>
                  </w14:solidFill>
                </w14:textFill>
              </w:rPr>
              <w:t>|</w:t>
            </w:r>
            <w:r w:rsidRPr="00F57F1D">
              <w:rPr>
                <w:rFonts w:ascii="Arial Narrow" w:hAnsi="Arial Narrow"/>
                <w:color w:val="000000"/>
                <w:sz w:val="20"/>
                <w:szCs w:val="20"/>
              </w:rPr>
              <w:t>%</w:t>
            </w:r>
          </w:p>
        </w:tc>
      </w:tr>
      <w:tr w:rsidR="007F7086" w:rsidRPr="00F57F1D" w14:paraId="3B365618" w14:textId="77777777" w:rsidTr="00CF1AC8">
        <w:tc>
          <w:tcPr>
            <w:tcW w:w="5000" w:type="pct"/>
            <w:gridSpan w:val="5"/>
            <w:tcBorders>
              <w:top w:val="single" w:sz="4" w:space="0" w:color="auto"/>
              <w:left w:val="single" w:sz="4" w:space="0" w:color="auto"/>
              <w:bottom w:val="single" w:sz="4" w:space="0" w:color="auto"/>
              <w:right w:val="single" w:sz="4" w:space="0" w:color="auto"/>
            </w:tcBorders>
            <w:vAlign w:val="bottom"/>
          </w:tcPr>
          <w:p w14:paraId="11170563" w14:textId="715ACA4A" w:rsidR="007F7086" w:rsidRPr="00F57F1D" w:rsidRDefault="007F7086" w:rsidP="00F3324C">
            <w:pPr>
              <w:pStyle w:val="Tabletext8pt"/>
              <w:widowControl w:val="0"/>
              <w:spacing w:before="0" w:after="0"/>
              <w:rPr>
                <w:rFonts w:ascii="Arial Narrow" w:hAnsi="Arial Narrow"/>
                <w:sz w:val="20"/>
                <w:szCs w:val="20"/>
              </w:rPr>
            </w:pPr>
            <w:r w:rsidRPr="00F57F1D">
              <w:rPr>
                <w:rFonts w:ascii="Arial Narrow" w:hAnsi="Arial Narrow"/>
                <w:sz w:val="20"/>
                <w:szCs w:val="20"/>
              </w:rPr>
              <w:t>Clearance effect (base case: at week 8)</w:t>
            </w:r>
          </w:p>
        </w:tc>
      </w:tr>
      <w:tr w:rsidR="009A3BE5" w:rsidRPr="00F57F1D" w14:paraId="4CE7DBC5" w14:textId="77777777" w:rsidTr="00F3324C">
        <w:tc>
          <w:tcPr>
            <w:tcW w:w="2577" w:type="pct"/>
            <w:tcBorders>
              <w:top w:val="single" w:sz="4" w:space="0" w:color="auto"/>
              <w:left w:val="single" w:sz="4" w:space="0" w:color="auto"/>
              <w:bottom w:val="single" w:sz="4" w:space="0" w:color="auto"/>
              <w:right w:val="single" w:sz="4" w:space="0" w:color="auto"/>
            </w:tcBorders>
            <w:vAlign w:val="bottom"/>
          </w:tcPr>
          <w:p w14:paraId="6690154A" w14:textId="666B1142" w:rsidR="00942AB3" w:rsidRPr="00F57F1D" w:rsidRDefault="009A3BE5" w:rsidP="00F3324C">
            <w:pPr>
              <w:pStyle w:val="Tabletext8pt"/>
              <w:widowControl w:val="0"/>
              <w:spacing w:before="0" w:after="0"/>
              <w:rPr>
                <w:rFonts w:ascii="Arial Narrow" w:hAnsi="Arial Narrow"/>
                <w:sz w:val="20"/>
                <w:szCs w:val="20"/>
              </w:rPr>
            </w:pPr>
            <w:r w:rsidRPr="00F57F1D">
              <w:rPr>
                <w:rFonts w:ascii="Arial Narrow" w:hAnsi="Arial Narrow"/>
                <w:sz w:val="20"/>
                <w:szCs w:val="20"/>
              </w:rPr>
              <w:t xml:space="preserve">    </w:t>
            </w:r>
            <w:r w:rsidR="00D815EE" w:rsidRPr="00F57F1D">
              <w:rPr>
                <w:rFonts w:ascii="Arial Narrow" w:hAnsi="Arial Narrow"/>
                <w:sz w:val="20"/>
                <w:szCs w:val="20"/>
              </w:rPr>
              <w:t xml:space="preserve">Reduction in </w:t>
            </w:r>
            <w:proofErr w:type="spellStart"/>
            <w:r w:rsidR="00D815EE" w:rsidRPr="00F57F1D">
              <w:rPr>
                <w:rFonts w:ascii="Arial Narrow" w:hAnsi="Arial Narrow"/>
                <w:sz w:val="20"/>
                <w:szCs w:val="20"/>
              </w:rPr>
              <w:t>maribavir’s</w:t>
            </w:r>
            <w:proofErr w:type="spellEnd"/>
            <w:r w:rsidR="00D815EE" w:rsidRPr="00F57F1D">
              <w:rPr>
                <w:rFonts w:ascii="Arial Narrow" w:hAnsi="Arial Narrow"/>
                <w:sz w:val="20"/>
                <w:szCs w:val="20"/>
              </w:rPr>
              <w:t xml:space="preserve"> effect by 5%</w:t>
            </w:r>
          </w:p>
          <w:p w14:paraId="4B2E190D" w14:textId="77777777" w:rsidR="00CF6BB6" w:rsidRPr="00F57F1D" w:rsidRDefault="00CF6BB6" w:rsidP="00F3324C">
            <w:pPr>
              <w:pStyle w:val="Tabletext8pt"/>
              <w:widowControl w:val="0"/>
              <w:spacing w:before="0" w:after="0"/>
              <w:rPr>
                <w:rFonts w:ascii="Arial Narrow" w:hAnsi="Arial Narrow"/>
                <w:sz w:val="20"/>
                <w:szCs w:val="20"/>
              </w:rPr>
            </w:pPr>
            <w:r w:rsidRPr="00F57F1D">
              <w:rPr>
                <w:rFonts w:ascii="Arial Narrow" w:hAnsi="Arial Narrow"/>
                <w:sz w:val="20"/>
                <w:szCs w:val="20"/>
              </w:rPr>
              <w:t xml:space="preserve">    Reduction in </w:t>
            </w:r>
            <w:proofErr w:type="spellStart"/>
            <w:r w:rsidRPr="00F57F1D">
              <w:rPr>
                <w:rFonts w:ascii="Arial Narrow" w:hAnsi="Arial Narrow"/>
                <w:sz w:val="20"/>
                <w:szCs w:val="20"/>
              </w:rPr>
              <w:t>maribavir’s</w:t>
            </w:r>
            <w:proofErr w:type="spellEnd"/>
            <w:r w:rsidRPr="00F57F1D">
              <w:rPr>
                <w:rFonts w:ascii="Arial Narrow" w:hAnsi="Arial Narrow"/>
                <w:sz w:val="20"/>
                <w:szCs w:val="20"/>
              </w:rPr>
              <w:t xml:space="preserve"> effect by </w:t>
            </w:r>
            <w:r w:rsidR="007D1AF3" w:rsidRPr="00F57F1D">
              <w:rPr>
                <w:rFonts w:ascii="Arial Narrow" w:hAnsi="Arial Narrow"/>
                <w:sz w:val="20"/>
                <w:szCs w:val="20"/>
              </w:rPr>
              <w:t>10</w:t>
            </w:r>
            <w:r w:rsidRPr="00F57F1D">
              <w:rPr>
                <w:rFonts w:ascii="Arial Narrow" w:hAnsi="Arial Narrow"/>
                <w:sz w:val="20"/>
                <w:szCs w:val="20"/>
              </w:rPr>
              <w:t>%</w:t>
            </w:r>
          </w:p>
          <w:p w14:paraId="03350BBB" w14:textId="61093129" w:rsidR="00C27293" w:rsidRPr="00F57F1D" w:rsidRDefault="00C27293" w:rsidP="00F3324C">
            <w:pPr>
              <w:pStyle w:val="Tabletext8pt"/>
              <w:widowControl w:val="0"/>
              <w:spacing w:before="0" w:after="0"/>
              <w:rPr>
                <w:rFonts w:ascii="Arial Narrow" w:hAnsi="Arial Narrow"/>
                <w:sz w:val="20"/>
                <w:szCs w:val="20"/>
                <w:vertAlign w:val="superscript"/>
              </w:rPr>
            </w:pPr>
            <w:r w:rsidRPr="00F57F1D">
              <w:rPr>
                <w:rFonts w:ascii="Arial Narrow" w:hAnsi="Arial Narrow"/>
                <w:sz w:val="20"/>
                <w:szCs w:val="20"/>
              </w:rPr>
              <w:t xml:space="preserve">    </w:t>
            </w:r>
            <w:r w:rsidR="009D2B12" w:rsidRPr="00F57F1D">
              <w:rPr>
                <w:rFonts w:ascii="Arial Narrow" w:hAnsi="Arial Narrow"/>
                <w:sz w:val="20"/>
                <w:szCs w:val="20"/>
              </w:rPr>
              <w:t xml:space="preserve">Difference </w:t>
            </w:r>
            <w:r w:rsidR="00D26E5D" w:rsidRPr="00F57F1D">
              <w:rPr>
                <w:rFonts w:ascii="Arial Narrow" w:hAnsi="Arial Narrow"/>
                <w:sz w:val="20"/>
                <w:szCs w:val="20"/>
              </w:rPr>
              <w:t>at any time d</w:t>
            </w:r>
            <w:r w:rsidRPr="00F57F1D">
              <w:rPr>
                <w:rFonts w:ascii="Arial Narrow" w:hAnsi="Arial Narrow"/>
                <w:sz w:val="20"/>
                <w:szCs w:val="20"/>
              </w:rPr>
              <w:t>uring 8</w:t>
            </w:r>
            <w:r w:rsidR="00A4314F" w:rsidRPr="00F57F1D">
              <w:rPr>
                <w:rFonts w:ascii="Arial Narrow" w:hAnsi="Arial Narrow"/>
                <w:sz w:val="20"/>
                <w:szCs w:val="20"/>
              </w:rPr>
              <w:t xml:space="preserve">-week </w:t>
            </w:r>
            <w:r w:rsidRPr="00F57F1D">
              <w:rPr>
                <w:rFonts w:ascii="Arial Narrow" w:hAnsi="Arial Narrow"/>
                <w:sz w:val="20"/>
                <w:szCs w:val="20"/>
              </w:rPr>
              <w:t>period</w:t>
            </w:r>
            <w:r w:rsidR="00DB13B1" w:rsidRPr="00F57F1D">
              <w:rPr>
                <w:rFonts w:ascii="Arial Narrow" w:hAnsi="Arial Narrow"/>
                <w:sz w:val="20"/>
                <w:szCs w:val="20"/>
              </w:rPr>
              <w:t xml:space="preserve"> </w:t>
            </w:r>
            <w:r w:rsidR="00DB13B1" w:rsidRPr="00F57F1D">
              <w:rPr>
                <w:rFonts w:ascii="Arial Narrow" w:hAnsi="Arial Narrow"/>
                <w:sz w:val="20"/>
                <w:szCs w:val="20"/>
                <w:vertAlign w:val="superscript"/>
              </w:rPr>
              <w:t>a</w:t>
            </w:r>
          </w:p>
        </w:tc>
        <w:tc>
          <w:tcPr>
            <w:tcW w:w="625" w:type="pct"/>
            <w:tcBorders>
              <w:top w:val="single" w:sz="4" w:space="0" w:color="auto"/>
              <w:left w:val="single" w:sz="4" w:space="0" w:color="auto"/>
              <w:bottom w:val="single" w:sz="4" w:space="0" w:color="auto"/>
              <w:right w:val="single" w:sz="4" w:space="0" w:color="auto"/>
            </w:tcBorders>
            <w:shd w:val="solid" w:color="000000" w:fill="000000"/>
            <w:vAlign w:val="center"/>
          </w:tcPr>
          <w:p w14:paraId="250FC90C" w14:textId="07DF1AF7" w:rsidR="00C27293" w:rsidRPr="00F57F1D" w:rsidRDefault="007548FA" w:rsidP="00F3324C">
            <w:pPr>
              <w:pStyle w:val="Tabletext8pt"/>
              <w:widowControl w:val="0"/>
              <w:spacing w:before="0" w:after="0"/>
              <w:jc w:val="center"/>
              <w:rPr>
                <w:rFonts w:ascii="Arial Narrow" w:hAnsi="Arial Narrow"/>
                <w:color w:val="000000"/>
                <w:sz w:val="20"/>
                <w:szCs w:val="20"/>
              </w:rPr>
            </w:pPr>
            <w:r w:rsidRPr="007548FA">
              <w:rPr>
                <w:rFonts w:ascii="Arial Narrow" w:hAnsi="Arial Narrow"/>
                <w:color w:val="000000"/>
                <w:sz w:val="20"/>
                <w:szCs w:val="20"/>
                <w14:textFill>
                  <w14:solidFill>
                    <w14:srgbClr w14:val="000000">
                      <w14:alpha w14:val="100000"/>
                    </w14:srgbClr>
                  </w14:solidFill>
                </w14:textFill>
              </w:rPr>
              <w:t>|</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0CAD914A" w14:textId="77777777" w:rsidR="00D83213" w:rsidRPr="00F57F1D" w:rsidRDefault="00D83213" w:rsidP="00F3324C">
            <w:pPr>
              <w:pStyle w:val="Tabletext8pt"/>
              <w:widowControl w:val="0"/>
              <w:spacing w:before="0" w:after="0"/>
              <w:jc w:val="center"/>
              <w:rPr>
                <w:rFonts w:ascii="Arial Narrow" w:hAnsi="Arial Narrow"/>
                <w:sz w:val="20"/>
                <w:szCs w:val="20"/>
              </w:rPr>
            </w:pPr>
            <w:r w:rsidRPr="00F57F1D">
              <w:rPr>
                <w:rFonts w:ascii="Arial Narrow" w:hAnsi="Arial Narrow"/>
                <w:sz w:val="20"/>
                <w:szCs w:val="20"/>
              </w:rPr>
              <w:t>0.10</w:t>
            </w:r>
          </w:p>
          <w:p w14:paraId="55E8C3A9" w14:textId="77777777" w:rsidR="00B551BE" w:rsidRPr="00F57F1D" w:rsidRDefault="00B551BE" w:rsidP="00F3324C">
            <w:pPr>
              <w:pStyle w:val="Tabletext8pt"/>
              <w:widowControl w:val="0"/>
              <w:spacing w:before="0" w:after="0"/>
              <w:jc w:val="center"/>
              <w:rPr>
                <w:rFonts w:ascii="Arial Narrow" w:hAnsi="Arial Narrow"/>
                <w:sz w:val="20"/>
                <w:szCs w:val="20"/>
              </w:rPr>
            </w:pPr>
            <w:r w:rsidRPr="00F57F1D">
              <w:rPr>
                <w:rFonts w:ascii="Arial Narrow" w:hAnsi="Arial Narrow"/>
                <w:sz w:val="20"/>
                <w:szCs w:val="20"/>
              </w:rPr>
              <w:t>0.09</w:t>
            </w:r>
          </w:p>
          <w:p w14:paraId="69A0891B" w14:textId="21EF3A5B" w:rsidR="00C27293" w:rsidRPr="00F57F1D" w:rsidRDefault="00C27293" w:rsidP="00F3324C">
            <w:pPr>
              <w:pStyle w:val="Tabletext8pt"/>
              <w:widowControl w:val="0"/>
              <w:spacing w:before="0" w:after="0"/>
              <w:jc w:val="center"/>
              <w:rPr>
                <w:rFonts w:ascii="Arial Narrow" w:hAnsi="Arial Narrow"/>
                <w:color w:val="000000"/>
                <w:sz w:val="20"/>
                <w:szCs w:val="20"/>
              </w:rPr>
            </w:pPr>
            <w:r w:rsidRPr="00F57F1D">
              <w:rPr>
                <w:rFonts w:ascii="Arial Narrow" w:hAnsi="Arial Narrow"/>
                <w:color w:val="000000"/>
                <w:sz w:val="20"/>
                <w:szCs w:val="20"/>
              </w:rPr>
              <w:t>0.06</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102D73C6" w14:textId="77777777" w:rsidR="004C747A" w:rsidRDefault="007548FA" w:rsidP="00F3324C">
            <w:pPr>
              <w:pStyle w:val="Tabletext8pt"/>
              <w:widowControl w:val="0"/>
              <w:spacing w:before="0" w:after="0"/>
              <w:jc w:val="center"/>
              <w:rPr>
                <w:rFonts w:ascii="Arial Narrow" w:hAnsi="Arial Narrow"/>
                <w:sz w:val="20"/>
                <w:szCs w:val="20"/>
                <w:vertAlign w:val="superscript"/>
              </w:rPr>
            </w:pPr>
            <w:r w:rsidRPr="003B6666">
              <w:rPr>
                <w:rFonts w:ascii="Arial Narrow" w:hAnsi="Arial Narrow" w:hint="eastAsia"/>
                <w:color w:val="000000"/>
                <w:w w:val="33"/>
                <w:sz w:val="20"/>
                <w:szCs w:val="20"/>
                <w:shd w:val="solid" w:color="000000" w:fill="000000"/>
                <w:fitText w:val="147" w:id="-760538109"/>
                <w14:textFill>
                  <w14:solidFill>
                    <w14:srgbClr w14:val="000000">
                      <w14:alpha w14:val="100000"/>
                    </w14:srgbClr>
                  </w14:solidFill>
                </w14:textFill>
              </w:rPr>
              <w:t xml:space="preserve">　</w:t>
            </w:r>
            <w:r w:rsidRPr="003B6666">
              <w:rPr>
                <w:rFonts w:ascii="Arial Narrow" w:hAnsi="Arial Narrow"/>
                <w:color w:val="000000"/>
                <w:w w:val="33"/>
                <w:sz w:val="20"/>
                <w:szCs w:val="20"/>
                <w:shd w:val="solid" w:color="000000" w:fill="000000"/>
                <w:fitText w:val="147" w:id="-760538109"/>
                <w14:textFill>
                  <w14:solidFill>
                    <w14:srgbClr w14:val="000000">
                      <w14:alpha w14:val="100000"/>
                    </w14:srgbClr>
                  </w14:solidFill>
                </w14:textFill>
              </w:rPr>
              <w:t>|</w:t>
            </w:r>
            <w:r w:rsidRPr="003B6666">
              <w:rPr>
                <w:rFonts w:ascii="Arial Narrow" w:hAnsi="Arial Narrow" w:hint="eastAsia"/>
                <w:color w:val="000000"/>
                <w:w w:val="33"/>
                <w:sz w:val="20"/>
                <w:szCs w:val="20"/>
                <w:shd w:val="solid" w:color="000000" w:fill="000000"/>
                <w:fitText w:val="147" w:id="-760538109"/>
                <w14:textFill>
                  <w14:solidFill>
                    <w14:srgbClr w14:val="000000">
                      <w14:alpha w14:val="100000"/>
                    </w14:srgbClr>
                  </w14:solidFill>
                </w14:textFill>
              </w:rPr>
              <w:t xml:space="preserve">　</w:t>
            </w:r>
            <w:r w:rsidR="00791D73" w:rsidRPr="00791D73">
              <w:rPr>
                <w:rFonts w:ascii="Arial Narrow" w:hAnsi="Arial Narrow"/>
                <w:sz w:val="20"/>
                <w:szCs w:val="20"/>
                <w:vertAlign w:val="superscript"/>
              </w:rPr>
              <w:t>3</w:t>
            </w:r>
          </w:p>
          <w:p w14:paraId="7616B911" w14:textId="43402DE5" w:rsidR="00B551BE" w:rsidRPr="002567A7" w:rsidRDefault="007548FA" w:rsidP="00F3324C">
            <w:pPr>
              <w:pStyle w:val="Tabletext8pt"/>
              <w:widowControl w:val="0"/>
              <w:spacing w:before="0" w:after="0"/>
              <w:jc w:val="center"/>
              <w:rPr>
                <w:rFonts w:ascii="Arial Narrow" w:hAnsi="Arial Narrow"/>
                <w:sz w:val="20"/>
                <w:szCs w:val="20"/>
                <w:vertAlign w:val="superscript"/>
              </w:rPr>
            </w:pPr>
            <w:r w:rsidRPr="007548FA">
              <w:rPr>
                <w:rFonts w:ascii="Arial Narrow" w:hAnsi="Arial Narrow"/>
                <w:color w:val="000000"/>
                <w:sz w:val="20"/>
                <w:szCs w:val="20"/>
                <w:shd w:val="solid" w:color="000000" w:fill="000000"/>
                <w14:textFill>
                  <w14:solidFill>
                    <w14:srgbClr w14:val="000000">
                      <w14:alpha w14:val="100000"/>
                    </w14:srgbClr>
                  </w14:solidFill>
                </w14:textFill>
              </w:rPr>
              <w:t>|</w:t>
            </w:r>
            <w:r w:rsidR="002567A7" w:rsidRPr="002567A7">
              <w:rPr>
                <w:rFonts w:ascii="Arial Narrow" w:hAnsi="Arial Narrow"/>
                <w:sz w:val="20"/>
                <w:szCs w:val="20"/>
                <w:vertAlign w:val="superscript"/>
              </w:rPr>
              <w:t>4</w:t>
            </w:r>
          </w:p>
          <w:p w14:paraId="4EB8C70B" w14:textId="7734E246" w:rsidR="00C27293" w:rsidRPr="00F57F1D" w:rsidRDefault="007548FA" w:rsidP="00F3324C">
            <w:pPr>
              <w:pStyle w:val="Tabletext8pt"/>
              <w:widowControl w:val="0"/>
              <w:spacing w:before="0" w:after="0"/>
              <w:jc w:val="center"/>
              <w:rPr>
                <w:rFonts w:ascii="Arial Narrow" w:hAnsi="Arial Narrow"/>
                <w:color w:val="000000"/>
                <w:sz w:val="20"/>
                <w:szCs w:val="20"/>
              </w:rPr>
            </w:pPr>
            <w:r w:rsidRPr="007548FA">
              <w:rPr>
                <w:rFonts w:ascii="Arial Narrow" w:hAnsi="Arial Narrow"/>
                <w:color w:val="000000"/>
                <w:sz w:val="20"/>
                <w:szCs w:val="20"/>
                <w:shd w:val="solid" w:color="000000" w:fill="000000"/>
                <w14:textFill>
                  <w14:solidFill>
                    <w14:srgbClr w14:val="000000">
                      <w14:alpha w14:val="100000"/>
                    </w14:srgbClr>
                  </w14:solidFill>
                </w14:textFill>
              </w:rPr>
              <w:t>|</w:t>
            </w:r>
            <w:r w:rsidR="001F228C" w:rsidRPr="001F228C">
              <w:rPr>
                <w:rFonts w:ascii="Arial Narrow" w:hAnsi="Arial Narrow"/>
                <w:color w:val="000000"/>
                <w:sz w:val="20"/>
                <w:szCs w:val="20"/>
                <w:vertAlign w:val="superscript"/>
              </w:rPr>
              <w:t>5</w:t>
            </w:r>
            <w:r w:rsidR="001F228C">
              <w:rPr>
                <w:rFonts w:ascii="Arial Narrow" w:hAnsi="Arial Narrow"/>
                <w:color w:val="000000"/>
                <w:sz w:val="20"/>
                <w:szCs w:val="20"/>
              </w:rPr>
              <w:t xml:space="preserve"> </w:t>
            </w:r>
          </w:p>
        </w:tc>
        <w:tc>
          <w:tcPr>
            <w:tcW w:w="589" w:type="pct"/>
            <w:tcBorders>
              <w:top w:val="single" w:sz="4" w:space="0" w:color="auto"/>
              <w:left w:val="single" w:sz="4" w:space="0" w:color="auto"/>
              <w:bottom w:val="single" w:sz="4" w:space="0" w:color="auto"/>
              <w:right w:val="single" w:sz="4" w:space="0" w:color="auto"/>
            </w:tcBorders>
            <w:vAlign w:val="center"/>
          </w:tcPr>
          <w:p w14:paraId="0465FD9F" w14:textId="42B17DBE" w:rsidR="00C96E29" w:rsidRPr="00F57F1D" w:rsidRDefault="00881395" w:rsidP="00F3324C">
            <w:pPr>
              <w:pStyle w:val="Tabletext8pt"/>
              <w:widowControl w:val="0"/>
              <w:spacing w:before="0" w:after="0"/>
              <w:jc w:val="center"/>
              <w:rPr>
                <w:rFonts w:ascii="Arial Narrow" w:hAnsi="Arial Narrow"/>
                <w:sz w:val="20"/>
                <w:szCs w:val="20"/>
              </w:rPr>
            </w:pPr>
            <w:r w:rsidRPr="00F57F1D">
              <w:rPr>
                <w:rFonts w:ascii="Arial Narrow" w:hAnsi="Arial Narrow"/>
                <w:sz w:val="20"/>
                <w:szCs w:val="20"/>
              </w:rPr>
              <w:t>+</w:t>
            </w:r>
            <w:r w:rsidR="007548FA" w:rsidRPr="003B6666">
              <w:rPr>
                <w:rFonts w:ascii="Arial Narrow" w:hAnsi="Arial Narrow"/>
                <w:color w:val="000000"/>
                <w:spacing w:val="154"/>
                <w:sz w:val="20"/>
                <w:szCs w:val="20"/>
                <w:shd w:val="solid" w:color="000000" w:fill="000000"/>
                <w:fitText w:val="240" w:id="-760538108"/>
                <w14:textFill>
                  <w14:solidFill>
                    <w14:srgbClr w14:val="000000">
                      <w14:alpha w14:val="100000"/>
                    </w14:srgbClr>
                  </w14:solidFill>
                </w14:textFill>
              </w:rPr>
              <w:t>|</w:t>
            </w:r>
            <w:r w:rsidR="007548FA" w:rsidRPr="003B6666">
              <w:rPr>
                <w:rFonts w:ascii="Arial Narrow" w:hAnsi="Arial Narrow"/>
                <w:color w:val="000000"/>
                <w:sz w:val="20"/>
                <w:szCs w:val="20"/>
                <w:shd w:val="solid" w:color="000000" w:fill="000000"/>
                <w:fitText w:val="240" w:id="-760538108"/>
                <w14:textFill>
                  <w14:solidFill>
                    <w14:srgbClr w14:val="000000">
                      <w14:alpha w14:val="100000"/>
                    </w14:srgbClr>
                  </w14:solidFill>
                </w14:textFill>
              </w:rPr>
              <w:t>|</w:t>
            </w:r>
            <w:r w:rsidRPr="00F57F1D">
              <w:rPr>
                <w:rFonts w:ascii="Arial Narrow" w:hAnsi="Arial Narrow"/>
                <w:sz w:val="20"/>
                <w:szCs w:val="20"/>
              </w:rPr>
              <w:t>%</w:t>
            </w:r>
          </w:p>
          <w:p w14:paraId="196CC96A" w14:textId="08EFBAF7" w:rsidR="00C27293" w:rsidRPr="00F57F1D" w:rsidRDefault="00C27293" w:rsidP="00F3324C">
            <w:pPr>
              <w:pStyle w:val="Tabletext8pt"/>
              <w:widowControl w:val="0"/>
              <w:spacing w:before="0" w:after="0"/>
              <w:jc w:val="center"/>
              <w:rPr>
                <w:rFonts w:ascii="Arial Narrow" w:hAnsi="Arial Narrow"/>
                <w:sz w:val="20"/>
                <w:szCs w:val="20"/>
              </w:rPr>
            </w:pPr>
            <w:r w:rsidRPr="00F57F1D">
              <w:rPr>
                <w:rFonts w:ascii="Arial Narrow" w:hAnsi="Arial Narrow"/>
                <w:sz w:val="20"/>
                <w:szCs w:val="20"/>
              </w:rPr>
              <w:t>+</w:t>
            </w:r>
            <w:r w:rsidR="007548FA" w:rsidRPr="003B6666">
              <w:rPr>
                <w:rFonts w:ascii="Arial Narrow" w:hAnsi="Arial Narrow"/>
                <w:color w:val="000000"/>
                <w:spacing w:val="154"/>
                <w:sz w:val="20"/>
                <w:szCs w:val="20"/>
                <w:shd w:val="solid" w:color="000000" w:fill="000000"/>
                <w:fitText w:val="240" w:id="-760538107"/>
                <w14:textFill>
                  <w14:solidFill>
                    <w14:srgbClr w14:val="000000">
                      <w14:alpha w14:val="100000"/>
                    </w14:srgbClr>
                  </w14:solidFill>
                </w14:textFill>
              </w:rPr>
              <w:t>|</w:t>
            </w:r>
            <w:r w:rsidR="007548FA" w:rsidRPr="003B6666">
              <w:rPr>
                <w:rFonts w:ascii="Arial Narrow" w:hAnsi="Arial Narrow"/>
                <w:color w:val="000000"/>
                <w:sz w:val="20"/>
                <w:szCs w:val="20"/>
                <w:shd w:val="solid" w:color="000000" w:fill="000000"/>
                <w:fitText w:val="240" w:id="-760538107"/>
                <w14:textFill>
                  <w14:solidFill>
                    <w14:srgbClr w14:val="000000">
                      <w14:alpha w14:val="100000"/>
                    </w14:srgbClr>
                  </w14:solidFill>
                </w14:textFill>
              </w:rPr>
              <w:t>|</w:t>
            </w:r>
            <w:r w:rsidRPr="00F57F1D">
              <w:rPr>
                <w:rFonts w:ascii="Arial Narrow" w:hAnsi="Arial Narrow"/>
                <w:sz w:val="20"/>
                <w:szCs w:val="20"/>
              </w:rPr>
              <w:t>%</w:t>
            </w:r>
          </w:p>
          <w:p w14:paraId="21B8E2F7" w14:textId="34482F06" w:rsidR="00C27293" w:rsidRPr="00F57F1D" w:rsidRDefault="00C27293" w:rsidP="00F3324C">
            <w:pPr>
              <w:pStyle w:val="Tabletext8pt"/>
              <w:widowControl w:val="0"/>
              <w:spacing w:before="0" w:after="0"/>
              <w:jc w:val="center"/>
              <w:rPr>
                <w:rFonts w:ascii="Arial Narrow" w:hAnsi="Arial Narrow"/>
                <w:color w:val="000000"/>
                <w:sz w:val="20"/>
                <w:szCs w:val="20"/>
              </w:rPr>
            </w:pPr>
            <w:r w:rsidRPr="00F57F1D">
              <w:rPr>
                <w:rFonts w:ascii="Arial Narrow" w:hAnsi="Arial Narrow"/>
                <w:color w:val="000000"/>
                <w:sz w:val="20"/>
                <w:szCs w:val="20"/>
              </w:rPr>
              <w:t>+</w:t>
            </w:r>
            <w:r w:rsidR="007548FA" w:rsidRPr="003B6666">
              <w:rPr>
                <w:rFonts w:ascii="Arial Narrow" w:hAnsi="Arial Narrow"/>
                <w:color w:val="000000"/>
                <w:spacing w:val="154"/>
                <w:sz w:val="20"/>
                <w:szCs w:val="20"/>
                <w:shd w:val="solid" w:color="000000" w:fill="000000"/>
                <w:fitText w:val="240" w:id="-760538106"/>
                <w14:textFill>
                  <w14:solidFill>
                    <w14:srgbClr w14:val="000000">
                      <w14:alpha w14:val="100000"/>
                    </w14:srgbClr>
                  </w14:solidFill>
                </w14:textFill>
              </w:rPr>
              <w:t>|</w:t>
            </w:r>
            <w:r w:rsidR="007548FA" w:rsidRPr="003B6666">
              <w:rPr>
                <w:rFonts w:ascii="Arial Narrow" w:hAnsi="Arial Narrow"/>
                <w:color w:val="000000"/>
                <w:sz w:val="20"/>
                <w:szCs w:val="20"/>
                <w:shd w:val="solid" w:color="000000" w:fill="000000"/>
                <w:fitText w:val="240" w:id="-760538106"/>
                <w14:textFill>
                  <w14:solidFill>
                    <w14:srgbClr w14:val="000000">
                      <w14:alpha w14:val="100000"/>
                    </w14:srgbClr>
                  </w14:solidFill>
                </w14:textFill>
              </w:rPr>
              <w:t>|</w:t>
            </w:r>
            <w:r w:rsidRPr="00F57F1D">
              <w:rPr>
                <w:rFonts w:ascii="Arial Narrow" w:hAnsi="Arial Narrow"/>
                <w:color w:val="000000"/>
                <w:sz w:val="20"/>
                <w:szCs w:val="20"/>
              </w:rPr>
              <w:t>%</w:t>
            </w:r>
          </w:p>
        </w:tc>
      </w:tr>
      <w:tr w:rsidR="006479C0" w:rsidRPr="00F57F1D" w14:paraId="30800B72" w14:textId="77777777" w:rsidTr="00CF1AC8">
        <w:tc>
          <w:tcPr>
            <w:tcW w:w="5000" w:type="pct"/>
            <w:gridSpan w:val="5"/>
            <w:tcBorders>
              <w:top w:val="single" w:sz="4" w:space="0" w:color="auto"/>
              <w:left w:val="single" w:sz="4" w:space="0" w:color="auto"/>
              <w:bottom w:val="single" w:sz="4" w:space="0" w:color="auto"/>
              <w:right w:val="single" w:sz="4" w:space="0" w:color="auto"/>
            </w:tcBorders>
            <w:vAlign w:val="bottom"/>
          </w:tcPr>
          <w:p w14:paraId="15A6866F" w14:textId="65E205DF" w:rsidR="006479C0" w:rsidRPr="00F57F1D" w:rsidRDefault="00891529" w:rsidP="00F3324C">
            <w:pPr>
              <w:pStyle w:val="Tabletext8pt"/>
              <w:widowControl w:val="0"/>
              <w:spacing w:before="0" w:after="0"/>
              <w:rPr>
                <w:rFonts w:ascii="Arial Narrow" w:hAnsi="Arial Narrow"/>
                <w:sz w:val="20"/>
                <w:szCs w:val="20"/>
              </w:rPr>
            </w:pPr>
            <w:r w:rsidRPr="00F57F1D">
              <w:rPr>
                <w:rFonts w:ascii="Arial Narrow" w:hAnsi="Arial Narrow"/>
                <w:sz w:val="20"/>
                <w:szCs w:val="20"/>
              </w:rPr>
              <w:t xml:space="preserve">Recurrence (base case: </w:t>
            </w:r>
            <w:r w:rsidR="001D3344" w:rsidRPr="00F57F1D">
              <w:rPr>
                <w:rFonts w:ascii="Arial Narrow" w:hAnsi="Arial Narrow"/>
                <w:sz w:val="20"/>
                <w:szCs w:val="20"/>
              </w:rPr>
              <w:t>treatment-specific: IAT has higher recurrence</w:t>
            </w:r>
            <w:r w:rsidRPr="00F57F1D">
              <w:rPr>
                <w:rFonts w:ascii="Arial Narrow" w:hAnsi="Arial Narrow"/>
                <w:sz w:val="20"/>
                <w:szCs w:val="20"/>
              </w:rPr>
              <w:t>)</w:t>
            </w:r>
          </w:p>
        </w:tc>
      </w:tr>
      <w:tr w:rsidR="006479C0" w:rsidRPr="00F57F1D" w14:paraId="4B2F8705" w14:textId="77777777" w:rsidTr="00F3324C">
        <w:tc>
          <w:tcPr>
            <w:tcW w:w="2577" w:type="pct"/>
            <w:tcBorders>
              <w:top w:val="single" w:sz="4" w:space="0" w:color="auto"/>
              <w:left w:val="single" w:sz="4" w:space="0" w:color="auto"/>
              <w:bottom w:val="single" w:sz="4" w:space="0" w:color="auto"/>
              <w:right w:val="single" w:sz="4" w:space="0" w:color="auto"/>
            </w:tcBorders>
            <w:vAlign w:val="bottom"/>
          </w:tcPr>
          <w:p w14:paraId="3B43D3F4" w14:textId="77777777" w:rsidR="006479C0" w:rsidRPr="00F57F1D" w:rsidRDefault="006479C0" w:rsidP="00F3324C">
            <w:pPr>
              <w:pStyle w:val="Tabletext8pt"/>
              <w:widowControl w:val="0"/>
              <w:spacing w:before="0" w:after="0"/>
              <w:rPr>
                <w:rFonts w:ascii="Arial Narrow" w:hAnsi="Arial Narrow"/>
                <w:sz w:val="20"/>
                <w:szCs w:val="20"/>
              </w:rPr>
            </w:pPr>
            <w:r w:rsidRPr="00F57F1D">
              <w:rPr>
                <w:rFonts w:ascii="Arial Narrow" w:hAnsi="Arial Narrow"/>
                <w:sz w:val="20"/>
                <w:szCs w:val="20"/>
              </w:rPr>
              <w:t xml:space="preserve">    Treatment-independent</w:t>
            </w:r>
          </w:p>
        </w:tc>
        <w:tc>
          <w:tcPr>
            <w:tcW w:w="625" w:type="pct"/>
            <w:tcBorders>
              <w:top w:val="single" w:sz="4" w:space="0" w:color="auto"/>
              <w:left w:val="single" w:sz="4" w:space="0" w:color="auto"/>
              <w:bottom w:val="single" w:sz="4" w:space="0" w:color="auto"/>
              <w:right w:val="single" w:sz="4" w:space="0" w:color="auto"/>
            </w:tcBorders>
            <w:shd w:val="solid" w:color="000000" w:fill="000000"/>
            <w:vAlign w:val="center"/>
          </w:tcPr>
          <w:p w14:paraId="342712AE" w14:textId="121E37C6" w:rsidR="006479C0" w:rsidRPr="00F57F1D" w:rsidRDefault="007548FA" w:rsidP="00F3324C">
            <w:pPr>
              <w:pStyle w:val="Tabletext8pt"/>
              <w:widowControl w:val="0"/>
              <w:spacing w:before="0" w:after="0"/>
              <w:jc w:val="center"/>
              <w:rPr>
                <w:rFonts w:ascii="Arial Narrow" w:hAnsi="Arial Narrow"/>
                <w:sz w:val="20"/>
                <w:szCs w:val="20"/>
              </w:rPr>
            </w:pPr>
            <w:r w:rsidRPr="007548FA">
              <w:rPr>
                <w:rFonts w:ascii="Arial Narrow" w:hAnsi="Arial Narrow"/>
                <w:color w:val="000000"/>
                <w:sz w:val="20"/>
                <w:szCs w:val="20"/>
                <w14:textFill>
                  <w14:solidFill>
                    <w14:srgbClr w14:val="000000">
                      <w14:alpha w14:val="100000"/>
                    </w14:srgbClr>
                  </w14:solidFill>
                </w14:textFill>
              </w:rPr>
              <w:t>|</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5A046B49" w14:textId="77777777" w:rsidR="006479C0" w:rsidRPr="00F57F1D" w:rsidRDefault="006479C0" w:rsidP="00F3324C">
            <w:pPr>
              <w:pStyle w:val="Tabletext8pt"/>
              <w:widowControl w:val="0"/>
              <w:spacing w:before="0" w:after="0"/>
              <w:jc w:val="center"/>
              <w:rPr>
                <w:rFonts w:ascii="Arial Narrow" w:hAnsi="Arial Narrow"/>
                <w:sz w:val="20"/>
                <w:szCs w:val="20"/>
              </w:rPr>
            </w:pPr>
            <w:r w:rsidRPr="00F57F1D">
              <w:rPr>
                <w:rFonts w:ascii="Arial Narrow" w:hAnsi="Arial Narrow"/>
                <w:color w:val="000000"/>
                <w:sz w:val="20"/>
                <w:szCs w:val="20"/>
              </w:rPr>
              <w:t>0.10</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7694B3B2" w14:textId="66EEEFCD" w:rsidR="006479C0" w:rsidRPr="00F57F1D" w:rsidRDefault="007548FA" w:rsidP="00F3324C">
            <w:pPr>
              <w:pStyle w:val="Tabletext8pt"/>
              <w:widowControl w:val="0"/>
              <w:spacing w:before="0" w:after="0"/>
              <w:jc w:val="center"/>
              <w:rPr>
                <w:rFonts w:ascii="Arial Narrow" w:hAnsi="Arial Narrow"/>
                <w:sz w:val="20"/>
                <w:szCs w:val="20"/>
              </w:rPr>
            </w:pPr>
            <w:r w:rsidRPr="007548FA">
              <w:rPr>
                <w:rFonts w:ascii="Arial Narrow" w:hAnsi="Arial Narrow"/>
                <w:color w:val="000000"/>
                <w:sz w:val="20"/>
                <w:szCs w:val="20"/>
                <w:shd w:val="solid" w:color="000000" w:fill="000000"/>
                <w14:textFill>
                  <w14:solidFill>
                    <w14:srgbClr w14:val="000000">
                      <w14:alpha w14:val="100000"/>
                    </w14:srgbClr>
                  </w14:solidFill>
                </w14:textFill>
              </w:rPr>
              <w:t>|</w:t>
            </w:r>
            <w:r w:rsidR="00E75E52" w:rsidRPr="00791D73">
              <w:rPr>
                <w:rFonts w:ascii="Arial Narrow" w:hAnsi="Arial Narrow"/>
                <w:sz w:val="20"/>
                <w:szCs w:val="20"/>
                <w:vertAlign w:val="superscript"/>
              </w:rPr>
              <w:t>3</w:t>
            </w:r>
          </w:p>
        </w:tc>
        <w:tc>
          <w:tcPr>
            <w:tcW w:w="589" w:type="pct"/>
            <w:tcBorders>
              <w:top w:val="single" w:sz="4" w:space="0" w:color="auto"/>
              <w:left w:val="single" w:sz="4" w:space="0" w:color="auto"/>
              <w:bottom w:val="single" w:sz="4" w:space="0" w:color="auto"/>
              <w:right w:val="single" w:sz="4" w:space="0" w:color="auto"/>
            </w:tcBorders>
            <w:vAlign w:val="center"/>
          </w:tcPr>
          <w:p w14:paraId="41BEAE3F" w14:textId="11B0EFA8" w:rsidR="006479C0" w:rsidRPr="00F57F1D" w:rsidRDefault="006479C0" w:rsidP="00F3324C">
            <w:pPr>
              <w:pStyle w:val="Tabletext8pt"/>
              <w:widowControl w:val="0"/>
              <w:spacing w:before="0" w:after="0"/>
              <w:jc w:val="center"/>
              <w:rPr>
                <w:rFonts w:ascii="Arial Narrow" w:hAnsi="Arial Narrow"/>
                <w:sz w:val="20"/>
                <w:szCs w:val="20"/>
              </w:rPr>
            </w:pPr>
            <w:r w:rsidRPr="00F57F1D">
              <w:rPr>
                <w:rFonts w:ascii="Arial Narrow" w:hAnsi="Arial Narrow"/>
                <w:color w:val="000000"/>
                <w:sz w:val="20"/>
                <w:szCs w:val="20"/>
              </w:rPr>
              <w:t>+</w:t>
            </w:r>
            <w:r w:rsidR="007548FA" w:rsidRPr="003B6666">
              <w:rPr>
                <w:rFonts w:ascii="Arial Narrow" w:hAnsi="Arial Narrow"/>
                <w:color w:val="000000"/>
                <w:spacing w:val="154"/>
                <w:sz w:val="20"/>
                <w:szCs w:val="20"/>
                <w:shd w:val="solid" w:color="000000" w:fill="000000"/>
                <w:fitText w:val="240" w:id="-760538105"/>
                <w14:textFill>
                  <w14:solidFill>
                    <w14:srgbClr w14:val="000000">
                      <w14:alpha w14:val="100000"/>
                    </w14:srgbClr>
                  </w14:solidFill>
                </w14:textFill>
              </w:rPr>
              <w:t>|</w:t>
            </w:r>
            <w:r w:rsidR="007548FA" w:rsidRPr="003B6666">
              <w:rPr>
                <w:rFonts w:ascii="Arial Narrow" w:hAnsi="Arial Narrow"/>
                <w:color w:val="000000"/>
                <w:sz w:val="20"/>
                <w:szCs w:val="20"/>
                <w:shd w:val="solid" w:color="000000" w:fill="000000"/>
                <w:fitText w:val="240" w:id="-760538105"/>
                <w14:textFill>
                  <w14:solidFill>
                    <w14:srgbClr w14:val="000000">
                      <w14:alpha w14:val="100000"/>
                    </w14:srgbClr>
                  </w14:solidFill>
                </w14:textFill>
              </w:rPr>
              <w:t>|</w:t>
            </w:r>
            <w:r w:rsidRPr="00F57F1D">
              <w:rPr>
                <w:rFonts w:ascii="Arial Narrow" w:hAnsi="Arial Narrow"/>
                <w:color w:val="000000"/>
                <w:sz w:val="20"/>
                <w:szCs w:val="20"/>
              </w:rPr>
              <w:t>%</w:t>
            </w:r>
          </w:p>
        </w:tc>
      </w:tr>
      <w:tr w:rsidR="006479C0" w:rsidRPr="00F57F1D" w14:paraId="56F90BAC" w14:textId="77777777" w:rsidTr="00CF1AC8">
        <w:tc>
          <w:tcPr>
            <w:tcW w:w="5000" w:type="pct"/>
            <w:gridSpan w:val="5"/>
            <w:tcBorders>
              <w:top w:val="single" w:sz="4" w:space="0" w:color="auto"/>
              <w:left w:val="single" w:sz="4" w:space="0" w:color="auto"/>
              <w:bottom w:val="single" w:sz="4" w:space="0" w:color="auto"/>
              <w:right w:val="single" w:sz="4" w:space="0" w:color="auto"/>
            </w:tcBorders>
            <w:vAlign w:val="bottom"/>
          </w:tcPr>
          <w:p w14:paraId="780445DC" w14:textId="3C98DE46" w:rsidR="006479C0" w:rsidRPr="00F57F1D" w:rsidRDefault="009C3A49" w:rsidP="00F3324C">
            <w:pPr>
              <w:pStyle w:val="Tabletext8pt"/>
              <w:widowControl w:val="0"/>
              <w:spacing w:before="0" w:after="0"/>
              <w:rPr>
                <w:rFonts w:ascii="Arial Narrow" w:hAnsi="Arial Narrow"/>
                <w:sz w:val="20"/>
                <w:szCs w:val="20"/>
              </w:rPr>
            </w:pPr>
            <w:r w:rsidRPr="00F57F1D">
              <w:rPr>
                <w:rFonts w:ascii="Arial Narrow" w:hAnsi="Arial Narrow"/>
                <w:sz w:val="20"/>
                <w:szCs w:val="20"/>
              </w:rPr>
              <w:t>Re</w:t>
            </w:r>
            <w:r w:rsidR="00891529" w:rsidRPr="00F57F1D">
              <w:rPr>
                <w:rFonts w:ascii="Arial Narrow" w:hAnsi="Arial Narrow"/>
                <w:sz w:val="20"/>
                <w:szCs w:val="20"/>
              </w:rPr>
              <w:t xml:space="preserve">treatment distribution (base case: </w:t>
            </w:r>
            <w:proofErr w:type="spellStart"/>
            <w:r w:rsidR="00891529" w:rsidRPr="00F57F1D">
              <w:rPr>
                <w:rFonts w:ascii="Arial Narrow" w:hAnsi="Arial Narrow"/>
                <w:sz w:val="20"/>
                <w:szCs w:val="20"/>
              </w:rPr>
              <w:t>vgcv</w:t>
            </w:r>
            <w:proofErr w:type="spellEnd"/>
            <w:r w:rsidR="00891529" w:rsidRPr="00F57F1D">
              <w:rPr>
                <w:rFonts w:ascii="Arial Narrow" w:hAnsi="Arial Narrow"/>
                <w:sz w:val="20"/>
                <w:szCs w:val="20"/>
              </w:rPr>
              <w:t xml:space="preserve"> 25.4%, </w:t>
            </w:r>
            <w:proofErr w:type="spellStart"/>
            <w:r w:rsidR="00891529" w:rsidRPr="00F57F1D">
              <w:rPr>
                <w:rFonts w:ascii="Arial Narrow" w:hAnsi="Arial Narrow"/>
                <w:sz w:val="20"/>
                <w:szCs w:val="20"/>
              </w:rPr>
              <w:t>gcv</w:t>
            </w:r>
            <w:proofErr w:type="spellEnd"/>
            <w:r w:rsidR="00891529" w:rsidRPr="00F57F1D">
              <w:rPr>
                <w:rFonts w:ascii="Arial Narrow" w:hAnsi="Arial Narrow"/>
                <w:sz w:val="20"/>
                <w:szCs w:val="20"/>
              </w:rPr>
              <w:t xml:space="preserve"> 25.9%, </w:t>
            </w:r>
            <w:proofErr w:type="spellStart"/>
            <w:r w:rsidR="00891529" w:rsidRPr="00F57F1D">
              <w:rPr>
                <w:rFonts w:ascii="Arial Narrow" w:hAnsi="Arial Narrow"/>
                <w:sz w:val="20"/>
                <w:szCs w:val="20"/>
              </w:rPr>
              <w:t>fos</w:t>
            </w:r>
            <w:proofErr w:type="spellEnd"/>
            <w:r w:rsidR="00891529" w:rsidRPr="00F57F1D">
              <w:rPr>
                <w:rFonts w:ascii="Arial Narrow" w:hAnsi="Arial Narrow"/>
                <w:sz w:val="20"/>
                <w:szCs w:val="20"/>
              </w:rPr>
              <w:t xml:space="preserve"> 43.5%, cdv 5.2%)</w:t>
            </w:r>
          </w:p>
        </w:tc>
      </w:tr>
      <w:tr w:rsidR="006479C0" w:rsidRPr="00F57F1D" w14:paraId="605C7458" w14:textId="77777777" w:rsidTr="00F3324C">
        <w:tc>
          <w:tcPr>
            <w:tcW w:w="2577" w:type="pct"/>
            <w:tcBorders>
              <w:top w:val="single" w:sz="4" w:space="0" w:color="auto"/>
              <w:left w:val="single" w:sz="4" w:space="0" w:color="auto"/>
              <w:bottom w:val="single" w:sz="4" w:space="0" w:color="auto"/>
              <w:right w:val="single" w:sz="4" w:space="0" w:color="auto"/>
            </w:tcBorders>
            <w:vAlign w:val="bottom"/>
          </w:tcPr>
          <w:p w14:paraId="2B419DFA" w14:textId="6FCCFAF0" w:rsidR="006479C0" w:rsidRPr="00F57F1D" w:rsidRDefault="006479C0" w:rsidP="00F3324C">
            <w:pPr>
              <w:pStyle w:val="Tabletext8pt"/>
              <w:widowControl w:val="0"/>
              <w:spacing w:before="0" w:after="0"/>
              <w:rPr>
                <w:rFonts w:ascii="Arial Narrow" w:hAnsi="Arial Narrow"/>
                <w:sz w:val="20"/>
                <w:szCs w:val="20"/>
              </w:rPr>
            </w:pPr>
            <w:r w:rsidRPr="00F57F1D">
              <w:rPr>
                <w:rFonts w:ascii="Arial Narrow" w:hAnsi="Arial Narrow"/>
                <w:sz w:val="20"/>
                <w:szCs w:val="20"/>
              </w:rPr>
              <w:t xml:space="preserve">   </w:t>
            </w:r>
            <w:r w:rsidR="00B522F8" w:rsidRPr="00F57F1D">
              <w:rPr>
                <w:rFonts w:ascii="Arial Narrow" w:hAnsi="Arial Narrow"/>
                <w:sz w:val="20"/>
                <w:szCs w:val="20"/>
              </w:rPr>
              <w:t xml:space="preserve"> Reducing </w:t>
            </w:r>
            <w:r w:rsidR="000C7B8E" w:rsidRPr="00F57F1D">
              <w:rPr>
                <w:rFonts w:ascii="Arial Narrow" w:hAnsi="Arial Narrow"/>
                <w:sz w:val="20"/>
                <w:szCs w:val="20"/>
              </w:rPr>
              <w:t>share</w:t>
            </w:r>
            <w:r w:rsidR="00B522F8" w:rsidRPr="00F57F1D">
              <w:rPr>
                <w:rFonts w:ascii="Arial Narrow" w:hAnsi="Arial Narrow"/>
                <w:sz w:val="20"/>
                <w:szCs w:val="20"/>
              </w:rPr>
              <w:t xml:space="preserve"> of foscarnet by 50%</w:t>
            </w:r>
            <w:r w:rsidR="00852BC3" w:rsidRPr="00F57F1D">
              <w:rPr>
                <w:rFonts w:ascii="Arial Narrow" w:hAnsi="Arial Narrow"/>
                <w:sz w:val="20"/>
                <w:szCs w:val="20"/>
              </w:rPr>
              <w:t xml:space="preserve"> (</w:t>
            </w:r>
            <w:proofErr w:type="spellStart"/>
            <w:r w:rsidR="00852BC3" w:rsidRPr="00F57F1D">
              <w:rPr>
                <w:rFonts w:ascii="Arial Narrow" w:hAnsi="Arial Narrow"/>
                <w:sz w:val="20"/>
                <w:szCs w:val="20"/>
              </w:rPr>
              <w:t>vgcv</w:t>
            </w:r>
            <w:proofErr w:type="spellEnd"/>
            <w:r w:rsidR="00852BC3" w:rsidRPr="00F57F1D">
              <w:rPr>
                <w:rFonts w:ascii="Arial Narrow" w:hAnsi="Arial Narrow"/>
                <w:sz w:val="20"/>
                <w:szCs w:val="20"/>
              </w:rPr>
              <w:t xml:space="preserve"> </w:t>
            </w:r>
            <w:r w:rsidR="00FA75AE" w:rsidRPr="00F57F1D">
              <w:rPr>
                <w:rFonts w:ascii="Arial Narrow" w:hAnsi="Arial Narrow"/>
                <w:sz w:val="20"/>
                <w:szCs w:val="20"/>
              </w:rPr>
              <w:t>35</w:t>
            </w:r>
            <w:r w:rsidR="00D77198" w:rsidRPr="00F57F1D">
              <w:rPr>
                <w:rFonts w:ascii="Arial Narrow" w:hAnsi="Arial Narrow"/>
                <w:sz w:val="20"/>
                <w:szCs w:val="20"/>
              </w:rPr>
              <w:t>.2</w:t>
            </w:r>
            <w:r w:rsidR="00FA75AE" w:rsidRPr="00F57F1D">
              <w:rPr>
                <w:rFonts w:ascii="Arial Narrow" w:hAnsi="Arial Narrow"/>
                <w:sz w:val="20"/>
                <w:szCs w:val="20"/>
              </w:rPr>
              <w:t>%,</w:t>
            </w:r>
            <w:r w:rsidR="00852BC3" w:rsidRPr="00F57F1D">
              <w:rPr>
                <w:rFonts w:ascii="Arial Narrow" w:hAnsi="Arial Narrow"/>
                <w:sz w:val="20"/>
                <w:szCs w:val="20"/>
              </w:rPr>
              <w:t xml:space="preserve"> </w:t>
            </w:r>
            <w:proofErr w:type="spellStart"/>
            <w:r w:rsidR="00852BC3" w:rsidRPr="00F57F1D">
              <w:rPr>
                <w:rFonts w:ascii="Arial Narrow" w:hAnsi="Arial Narrow"/>
                <w:sz w:val="20"/>
                <w:szCs w:val="20"/>
              </w:rPr>
              <w:t>gcv</w:t>
            </w:r>
            <w:proofErr w:type="spellEnd"/>
            <w:r w:rsidR="00852BC3" w:rsidRPr="00F57F1D">
              <w:rPr>
                <w:rFonts w:ascii="Arial Narrow" w:hAnsi="Arial Narrow"/>
                <w:sz w:val="20"/>
                <w:szCs w:val="20"/>
              </w:rPr>
              <w:t xml:space="preserve"> </w:t>
            </w:r>
            <w:r w:rsidR="00453BB4" w:rsidRPr="00F57F1D">
              <w:rPr>
                <w:rFonts w:ascii="Arial Narrow" w:hAnsi="Arial Narrow"/>
                <w:sz w:val="20"/>
                <w:szCs w:val="20"/>
              </w:rPr>
              <w:t>35.9</w:t>
            </w:r>
            <w:r w:rsidR="00852BC3" w:rsidRPr="00F57F1D">
              <w:rPr>
                <w:rFonts w:ascii="Arial Narrow" w:hAnsi="Arial Narrow"/>
                <w:sz w:val="20"/>
                <w:szCs w:val="20"/>
              </w:rPr>
              <w:t xml:space="preserve">%, </w:t>
            </w:r>
            <w:proofErr w:type="spellStart"/>
            <w:r w:rsidR="00852BC3" w:rsidRPr="00F57F1D">
              <w:rPr>
                <w:rFonts w:ascii="Arial Narrow" w:hAnsi="Arial Narrow"/>
                <w:sz w:val="20"/>
                <w:szCs w:val="20"/>
              </w:rPr>
              <w:t>fos</w:t>
            </w:r>
            <w:proofErr w:type="spellEnd"/>
            <w:r w:rsidR="00852BC3" w:rsidRPr="00F57F1D">
              <w:rPr>
                <w:rFonts w:ascii="Arial Narrow" w:hAnsi="Arial Narrow"/>
                <w:sz w:val="20"/>
                <w:szCs w:val="20"/>
              </w:rPr>
              <w:t xml:space="preserve"> </w:t>
            </w:r>
            <w:r w:rsidR="00835412" w:rsidRPr="00F57F1D">
              <w:rPr>
                <w:rFonts w:ascii="Arial Narrow" w:hAnsi="Arial Narrow"/>
                <w:sz w:val="20"/>
                <w:szCs w:val="20"/>
              </w:rPr>
              <w:t>21.8</w:t>
            </w:r>
            <w:r w:rsidR="00852BC3" w:rsidRPr="00F57F1D">
              <w:rPr>
                <w:rFonts w:ascii="Arial Narrow" w:hAnsi="Arial Narrow"/>
                <w:sz w:val="20"/>
                <w:szCs w:val="20"/>
              </w:rPr>
              <w:t xml:space="preserve">%, cdv </w:t>
            </w:r>
            <w:r w:rsidR="00C476D7" w:rsidRPr="00F57F1D">
              <w:rPr>
                <w:rFonts w:ascii="Arial Narrow" w:hAnsi="Arial Narrow"/>
                <w:sz w:val="20"/>
                <w:szCs w:val="20"/>
              </w:rPr>
              <w:t>7</w:t>
            </w:r>
            <w:r w:rsidR="00852BC3" w:rsidRPr="00F57F1D">
              <w:rPr>
                <w:rFonts w:ascii="Arial Narrow" w:hAnsi="Arial Narrow"/>
                <w:sz w:val="20"/>
                <w:szCs w:val="20"/>
              </w:rPr>
              <w:t>.2%)</w:t>
            </w:r>
          </w:p>
        </w:tc>
        <w:tc>
          <w:tcPr>
            <w:tcW w:w="625" w:type="pct"/>
            <w:tcBorders>
              <w:top w:val="single" w:sz="4" w:space="0" w:color="auto"/>
              <w:left w:val="single" w:sz="4" w:space="0" w:color="auto"/>
              <w:bottom w:val="single" w:sz="4" w:space="0" w:color="auto"/>
              <w:right w:val="single" w:sz="4" w:space="0" w:color="auto"/>
            </w:tcBorders>
            <w:shd w:val="solid" w:color="000000" w:fill="000000"/>
            <w:vAlign w:val="center"/>
          </w:tcPr>
          <w:p w14:paraId="0F564728" w14:textId="108D3E17" w:rsidR="006479C0" w:rsidRPr="002C2ADB" w:rsidRDefault="007548FA" w:rsidP="00F3324C">
            <w:pPr>
              <w:pStyle w:val="Tabletext8pt"/>
              <w:widowControl w:val="0"/>
              <w:spacing w:before="0" w:after="0"/>
              <w:jc w:val="center"/>
              <w:rPr>
                <w:rFonts w:ascii="Arial Narrow" w:hAnsi="Arial Narrow"/>
                <w:i/>
                <w:iCs/>
                <w:sz w:val="20"/>
                <w:szCs w:val="20"/>
              </w:rPr>
            </w:pPr>
            <w:r w:rsidRPr="007548FA">
              <w:rPr>
                <w:rFonts w:ascii="Arial Narrow" w:hAnsi="Arial Narrow"/>
                <w:i/>
                <w:iCs/>
                <w:color w:val="000000"/>
                <w:sz w:val="20"/>
                <w:szCs w:val="20"/>
                <w14:textFill>
                  <w14:solidFill>
                    <w14:srgbClr w14:val="000000">
                      <w14:alpha w14:val="100000"/>
                    </w14:srgbClr>
                  </w14:solidFill>
                </w14:textFill>
              </w:rPr>
              <w:t>|</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7BF47A02" w14:textId="7401BEEF" w:rsidR="006479C0" w:rsidRPr="00F57F1D" w:rsidRDefault="006479C0" w:rsidP="00F3324C">
            <w:pPr>
              <w:pStyle w:val="Tabletext8pt"/>
              <w:widowControl w:val="0"/>
              <w:spacing w:before="0" w:after="0"/>
              <w:jc w:val="center"/>
              <w:rPr>
                <w:rFonts w:ascii="Arial Narrow" w:hAnsi="Arial Narrow"/>
                <w:sz w:val="20"/>
                <w:szCs w:val="20"/>
              </w:rPr>
            </w:pPr>
            <w:r w:rsidRPr="00F57F1D">
              <w:rPr>
                <w:rFonts w:ascii="Arial Narrow" w:hAnsi="Arial Narrow"/>
                <w:color w:val="000000"/>
                <w:sz w:val="20"/>
                <w:szCs w:val="20"/>
              </w:rPr>
              <w:t>0.11</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6CF98C92" w14:textId="6479FD28" w:rsidR="006479C0" w:rsidRPr="006B02AA" w:rsidRDefault="007548FA" w:rsidP="00F3324C">
            <w:pPr>
              <w:pStyle w:val="Tabletext8pt"/>
              <w:widowControl w:val="0"/>
              <w:spacing w:before="0" w:after="0"/>
              <w:jc w:val="center"/>
              <w:rPr>
                <w:rFonts w:ascii="Arial Narrow" w:hAnsi="Arial Narrow"/>
                <w:sz w:val="20"/>
                <w:szCs w:val="20"/>
              </w:rPr>
            </w:pPr>
            <w:r w:rsidRPr="007548FA">
              <w:rPr>
                <w:rFonts w:ascii="Arial Narrow" w:hAnsi="Arial Narrow"/>
                <w:color w:val="000000"/>
                <w:sz w:val="20"/>
                <w:szCs w:val="20"/>
                <w:shd w:val="solid" w:color="000000" w:fill="000000"/>
                <w14:textFill>
                  <w14:solidFill>
                    <w14:srgbClr w14:val="000000">
                      <w14:alpha w14:val="100000"/>
                    </w14:srgbClr>
                  </w14:solidFill>
                </w14:textFill>
              </w:rPr>
              <w:t>|</w:t>
            </w:r>
            <w:r w:rsidR="00E75E52" w:rsidRPr="00791D73">
              <w:rPr>
                <w:rFonts w:ascii="Arial Narrow" w:hAnsi="Arial Narrow"/>
                <w:sz w:val="20"/>
                <w:szCs w:val="20"/>
                <w:vertAlign w:val="superscript"/>
              </w:rPr>
              <w:t>3</w:t>
            </w:r>
          </w:p>
        </w:tc>
        <w:tc>
          <w:tcPr>
            <w:tcW w:w="589" w:type="pct"/>
            <w:tcBorders>
              <w:top w:val="single" w:sz="4" w:space="0" w:color="auto"/>
              <w:left w:val="single" w:sz="4" w:space="0" w:color="auto"/>
              <w:bottom w:val="single" w:sz="4" w:space="0" w:color="auto"/>
              <w:right w:val="single" w:sz="4" w:space="0" w:color="auto"/>
            </w:tcBorders>
            <w:vAlign w:val="center"/>
          </w:tcPr>
          <w:p w14:paraId="3C92A1F8" w14:textId="6B78562C" w:rsidR="006479C0" w:rsidRPr="00F57F1D" w:rsidRDefault="00F56795" w:rsidP="00F3324C">
            <w:pPr>
              <w:pStyle w:val="Tabletext8pt"/>
              <w:widowControl w:val="0"/>
              <w:spacing w:before="0" w:after="0"/>
              <w:jc w:val="center"/>
              <w:rPr>
                <w:rFonts w:ascii="Arial Narrow" w:hAnsi="Arial Narrow"/>
                <w:sz w:val="20"/>
                <w:szCs w:val="20"/>
              </w:rPr>
            </w:pPr>
            <w:r w:rsidRPr="00F57F1D">
              <w:rPr>
                <w:rFonts w:ascii="Arial Narrow" w:hAnsi="Arial Narrow"/>
                <w:color w:val="000000"/>
                <w:sz w:val="20"/>
                <w:szCs w:val="20"/>
              </w:rPr>
              <w:t>+</w:t>
            </w:r>
            <w:r w:rsidR="007548FA" w:rsidRPr="003B6666">
              <w:rPr>
                <w:rFonts w:ascii="Arial Narrow" w:hAnsi="Arial Narrow"/>
                <w:color w:val="000000"/>
                <w:spacing w:val="154"/>
                <w:sz w:val="20"/>
                <w:szCs w:val="20"/>
                <w:shd w:val="solid" w:color="000000" w:fill="000000"/>
                <w:fitText w:val="240" w:id="-760538104"/>
                <w14:textFill>
                  <w14:solidFill>
                    <w14:srgbClr w14:val="000000">
                      <w14:alpha w14:val="100000"/>
                    </w14:srgbClr>
                  </w14:solidFill>
                </w14:textFill>
              </w:rPr>
              <w:t>|</w:t>
            </w:r>
            <w:r w:rsidR="007548FA" w:rsidRPr="003B6666">
              <w:rPr>
                <w:rFonts w:ascii="Arial Narrow" w:hAnsi="Arial Narrow"/>
                <w:color w:val="000000"/>
                <w:sz w:val="20"/>
                <w:szCs w:val="20"/>
                <w:shd w:val="solid" w:color="000000" w:fill="000000"/>
                <w:fitText w:val="240" w:id="-760538104"/>
                <w14:textFill>
                  <w14:solidFill>
                    <w14:srgbClr w14:val="000000">
                      <w14:alpha w14:val="100000"/>
                    </w14:srgbClr>
                  </w14:solidFill>
                </w14:textFill>
              </w:rPr>
              <w:t>|</w:t>
            </w:r>
            <w:r w:rsidR="006479C0" w:rsidRPr="00F57F1D">
              <w:rPr>
                <w:rFonts w:ascii="Arial Narrow" w:hAnsi="Arial Narrow"/>
                <w:color w:val="000000"/>
                <w:sz w:val="20"/>
                <w:szCs w:val="20"/>
              </w:rPr>
              <w:t>%</w:t>
            </w:r>
          </w:p>
        </w:tc>
      </w:tr>
      <w:tr w:rsidR="004D4835" w:rsidRPr="00F57F1D" w14:paraId="51BD3B40" w14:textId="77777777" w:rsidTr="00CF1AC8">
        <w:tc>
          <w:tcPr>
            <w:tcW w:w="5000" w:type="pct"/>
            <w:gridSpan w:val="5"/>
            <w:tcBorders>
              <w:top w:val="single" w:sz="4" w:space="0" w:color="auto"/>
              <w:left w:val="single" w:sz="4" w:space="0" w:color="auto"/>
              <w:bottom w:val="single" w:sz="4" w:space="0" w:color="auto"/>
              <w:right w:val="single" w:sz="4" w:space="0" w:color="auto"/>
            </w:tcBorders>
            <w:vAlign w:val="bottom"/>
          </w:tcPr>
          <w:p w14:paraId="718D387E" w14:textId="3D6801CA" w:rsidR="004D4835" w:rsidRPr="00F57F1D" w:rsidRDefault="004D4835" w:rsidP="00F3324C">
            <w:pPr>
              <w:pStyle w:val="Tabletext8pt"/>
              <w:widowControl w:val="0"/>
              <w:spacing w:before="0" w:after="0"/>
              <w:rPr>
                <w:rFonts w:ascii="Arial Narrow" w:hAnsi="Arial Narrow"/>
                <w:color w:val="000000"/>
                <w:sz w:val="20"/>
                <w:szCs w:val="20"/>
              </w:rPr>
            </w:pPr>
            <w:r w:rsidRPr="00F57F1D">
              <w:rPr>
                <w:rFonts w:ascii="Arial Narrow" w:hAnsi="Arial Narrow"/>
                <w:sz w:val="20"/>
                <w:szCs w:val="20"/>
              </w:rPr>
              <w:t>Duration of IAT (base case: mean IAT of 5.14 wks)</w:t>
            </w:r>
          </w:p>
        </w:tc>
      </w:tr>
      <w:tr w:rsidR="00287210" w:rsidRPr="00F57F1D" w14:paraId="3C63BE5F" w14:textId="77777777" w:rsidTr="00F3324C">
        <w:tc>
          <w:tcPr>
            <w:tcW w:w="2577" w:type="pct"/>
            <w:tcBorders>
              <w:top w:val="single" w:sz="4" w:space="0" w:color="auto"/>
              <w:left w:val="single" w:sz="4" w:space="0" w:color="auto"/>
              <w:bottom w:val="single" w:sz="4" w:space="0" w:color="auto"/>
              <w:right w:val="single" w:sz="4" w:space="0" w:color="auto"/>
            </w:tcBorders>
            <w:vAlign w:val="bottom"/>
          </w:tcPr>
          <w:p w14:paraId="5A8FBACC" w14:textId="68C00E52" w:rsidR="00287210" w:rsidRPr="00F57F1D" w:rsidRDefault="00287210" w:rsidP="00F3324C">
            <w:pPr>
              <w:pStyle w:val="Tabletext8pt"/>
              <w:widowControl w:val="0"/>
              <w:spacing w:before="0" w:after="0"/>
              <w:rPr>
                <w:rFonts w:ascii="Arial Narrow" w:hAnsi="Arial Narrow"/>
                <w:sz w:val="20"/>
                <w:szCs w:val="20"/>
              </w:rPr>
            </w:pPr>
            <w:r w:rsidRPr="00F57F1D">
              <w:rPr>
                <w:rFonts w:ascii="Arial Narrow" w:hAnsi="Arial Narrow"/>
                <w:sz w:val="20"/>
                <w:szCs w:val="20"/>
              </w:rPr>
              <w:t xml:space="preserve">    Individual IAT duration</w:t>
            </w:r>
          </w:p>
        </w:tc>
        <w:tc>
          <w:tcPr>
            <w:tcW w:w="625" w:type="pct"/>
            <w:tcBorders>
              <w:top w:val="single" w:sz="4" w:space="0" w:color="auto"/>
              <w:left w:val="single" w:sz="4" w:space="0" w:color="auto"/>
              <w:bottom w:val="single" w:sz="4" w:space="0" w:color="auto"/>
              <w:right w:val="single" w:sz="4" w:space="0" w:color="auto"/>
            </w:tcBorders>
            <w:shd w:val="solid" w:color="000000" w:fill="000000"/>
            <w:vAlign w:val="bottom"/>
          </w:tcPr>
          <w:p w14:paraId="56FE14CD" w14:textId="2C2E5CE6" w:rsidR="00287210" w:rsidRPr="00F57F1D" w:rsidRDefault="007548FA" w:rsidP="00F3324C">
            <w:pPr>
              <w:pStyle w:val="Tabletext8pt"/>
              <w:widowControl w:val="0"/>
              <w:spacing w:before="0" w:after="0"/>
              <w:jc w:val="center"/>
              <w:rPr>
                <w:rFonts w:ascii="Arial Narrow" w:hAnsi="Arial Narrow"/>
                <w:color w:val="000000"/>
                <w:sz w:val="20"/>
                <w:szCs w:val="20"/>
              </w:rPr>
            </w:pPr>
            <w:r w:rsidRPr="007548FA">
              <w:rPr>
                <w:rFonts w:ascii="Arial Narrow" w:hAnsi="Arial Narrow"/>
                <w:color w:val="000000"/>
                <w:sz w:val="20"/>
                <w:szCs w:val="20"/>
                <w14:textFill>
                  <w14:solidFill>
                    <w14:srgbClr w14:val="000000">
                      <w14:alpha w14:val="100000"/>
                    </w14:srgbClr>
                  </w14:solidFill>
                </w14:textFill>
              </w:rPr>
              <w:t>|</w:t>
            </w:r>
          </w:p>
        </w:tc>
        <w:tc>
          <w:tcPr>
            <w:tcW w:w="627" w:type="pct"/>
            <w:tcBorders>
              <w:top w:val="single" w:sz="4" w:space="0" w:color="auto"/>
              <w:left w:val="single" w:sz="4" w:space="0" w:color="auto"/>
              <w:bottom w:val="single" w:sz="4" w:space="0" w:color="auto"/>
              <w:right w:val="single" w:sz="4" w:space="0" w:color="auto"/>
            </w:tcBorders>
            <w:shd w:val="clear" w:color="auto" w:fill="auto"/>
            <w:vAlign w:val="bottom"/>
          </w:tcPr>
          <w:p w14:paraId="6C70DD81" w14:textId="2E650FF0" w:rsidR="00287210" w:rsidRPr="00F57F1D" w:rsidRDefault="00287210" w:rsidP="00F3324C">
            <w:pPr>
              <w:pStyle w:val="Tabletext8pt"/>
              <w:widowControl w:val="0"/>
              <w:spacing w:before="0" w:after="0"/>
              <w:jc w:val="center"/>
              <w:rPr>
                <w:rFonts w:ascii="Arial Narrow" w:hAnsi="Arial Narrow"/>
                <w:color w:val="000000"/>
                <w:sz w:val="20"/>
                <w:szCs w:val="20"/>
              </w:rPr>
            </w:pPr>
            <w:r w:rsidRPr="00F57F1D">
              <w:rPr>
                <w:rFonts w:ascii="Arial Narrow" w:hAnsi="Arial Narrow"/>
                <w:color w:val="000000"/>
                <w:sz w:val="20"/>
                <w:szCs w:val="20"/>
              </w:rPr>
              <w:t>0.11</w:t>
            </w:r>
          </w:p>
        </w:tc>
        <w:tc>
          <w:tcPr>
            <w:tcW w:w="582" w:type="pct"/>
            <w:tcBorders>
              <w:top w:val="single" w:sz="4" w:space="0" w:color="auto"/>
              <w:left w:val="single" w:sz="4" w:space="0" w:color="auto"/>
              <w:bottom w:val="single" w:sz="4" w:space="0" w:color="auto"/>
              <w:right w:val="single" w:sz="4" w:space="0" w:color="auto"/>
            </w:tcBorders>
            <w:shd w:val="clear" w:color="auto" w:fill="auto"/>
            <w:vAlign w:val="bottom"/>
          </w:tcPr>
          <w:p w14:paraId="40EE8052" w14:textId="23B677BE" w:rsidR="00287210" w:rsidRPr="00F57F1D" w:rsidRDefault="007548FA" w:rsidP="00F3324C">
            <w:pPr>
              <w:pStyle w:val="Tabletext8pt"/>
              <w:widowControl w:val="0"/>
              <w:spacing w:before="0" w:after="0"/>
              <w:jc w:val="center"/>
              <w:rPr>
                <w:rFonts w:ascii="Arial Narrow" w:hAnsi="Arial Narrow"/>
                <w:color w:val="000000"/>
                <w:sz w:val="20"/>
                <w:szCs w:val="20"/>
              </w:rPr>
            </w:pPr>
            <w:r w:rsidRPr="007548FA">
              <w:rPr>
                <w:rFonts w:ascii="Arial Narrow" w:hAnsi="Arial Narrow"/>
                <w:color w:val="000000"/>
                <w:sz w:val="20"/>
                <w:szCs w:val="20"/>
                <w:shd w:val="solid" w:color="000000" w:fill="000000"/>
                <w14:textFill>
                  <w14:solidFill>
                    <w14:srgbClr w14:val="000000">
                      <w14:alpha w14:val="100000"/>
                    </w14:srgbClr>
                  </w14:solidFill>
                </w14:textFill>
              </w:rPr>
              <w:t>|</w:t>
            </w:r>
            <w:r w:rsidR="00E75E52" w:rsidRPr="00791D73">
              <w:rPr>
                <w:rFonts w:ascii="Arial Narrow" w:hAnsi="Arial Narrow"/>
                <w:sz w:val="20"/>
                <w:szCs w:val="20"/>
                <w:vertAlign w:val="superscript"/>
              </w:rPr>
              <w:t>3</w:t>
            </w:r>
          </w:p>
        </w:tc>
        <w:tc>
          <w:tcPr>
            <w:tcW w:w="589" w:type="pct"/>
            <w:tcBorders>
              <w:top w:val="single" w:sz="4" w:space="0" w:color="auto"/>
              <w:left w:val="single" w:sz="4" w:space="0" w:color="auto"/>
              <w:bottom w:val="single" w:sz="4" w:space="0" w:color="auto"/>
              <w:right w:val="single" w:sz="4" w:space="0" w:color="auto"/>
            </w:tcBorders>
            <w:vAlign w:val="bottom"/>
          </w:tcPr>
          <w:p w14:paraId="18BD9758" w14:textId="74046E07" w:rsidR="00287210" w:rsidRPr="00F57F1D" w:rsidRDefault="00287210" w:rsidP="00F3324C">
            <w:pPr>
              <w:pStyle w:val="Tabletext8pt"/>
              <w:widowControl w:val="0"/>
              <w:spacing w:before="0" w:after="0"/>
              <w:jc w:val="center"/>
              <w:rPr>
                <w:rFonts w:ascii="Arial Narrow" w:hAnsi="Arial Narrow"/>
                <w:color w:val="000000"/>
                <w:sz w:val="20"/>
                <w:szCs w:val="20"/>
              </w:rPr>
            </w:pPr>
            <w:r w:rsidRPr="00F57F1D">
              <w:rPr>
                <w:rFonts w:ascii="Arial Narrow" w:hAnsi="Arial Narrow"/>
                <w:color w:val="000000"/>
                <w:sz w:val="20"/>
                <w:szCs w:val="20"/>
              </w:rPr>
              <w:t>+</w:t>
            </w:r>
            <w:r w:rsidR="007548FA" w:rsidRPr="003B6666">
              <w:rPr>
                <w:rFonts w:ascii="Arial Narrow" w:hAnsi="Arial Narrow"/>
                <w:color w:val="000000"/>
                <w:spacing w:val="154"/>
                <w:sz w:val="20"/>
                <w:szCs w:val="20"/>
                <w:shd w:val="solid" w:color="000000" w:fill="000000"/>
                <w:fitText w:val="240" w:id="-760538103"/>
                <w14:textFill>
                  <w14:solidFill>
                    <w14:srgbClr w14:val="000000">
                      <w14:alpha w14:val="100000"/>
                    </w14:srgbClr>
                  </w14:solidFill>
                </w14:textFill>
              </w:rPr>
              <w:t>|</w:t>
            </w:r>
            <w:r w:rsidR="007548FA" w:rsidRPr="003B6666">
              <w:rPr>
                <w:rFonts w:ascii="Arial Narrow" w:hAnsi="Arial Narrow"/>
                <w:color w:val="000000"/>
                <w:sz w:val="20"/>
                <w:szCs w:val="20"/>
                <w:shd w:val="solid" w:color="000000" w:fill="000000"/>
                <w:fitText w:val="240" w:id="-760538103"/>
                <w14:textFill>
                  <w14:solidFill>
                    <w14:srgbClr w14:val="000000">
                      <w14:alpha w14:val="100000"/>
                    </w14:srgbClr>
                  </w14:solidFill>
                </w14:textFill>
              </w:rPr>
              <w:t>|</w:t>
            </w:r>
            <w:r w:rsidRPr="00F57F1D">
              <w:rPr>
                <w:rFonts w:ascii="Arial Narrow" w:hAnsi="Arial Narrow"/>
                <w:color w:val="000000"/>
                <w:sz w:val="20"/>
                <w:szCs w:val="20"/>
              </w:rPr>
              <w:t>%</w:t>
            </w:r>
          </w:p>
        </w:tc>
      </w:tr>
      <w:tr w:rsidR="00287210" w:rsidRPr="00F57F1D" w14:paraId="0D4CB937" w14:textId="77777777" w:rsidTr="00CF1AC8">
        <w:tc>
          <w:tcPr>
            <w:tcW w:w="5000" w:type="pct"/>
            <w:gridSpan w:val="5"/>
            <w:tcBorders>
              <w:top w:val="single" w:sz="4" w:space="0" w:color="auto"/>
              <w:left w:val="single" w:sz="4" w:space="0" w:color="auto"/>
              <w:bottom w:val="single" w:sz="4" w:space="0" w:color="auto"/>
              <w:right w:val="single" w:sz="4" w:space="0" w:color="auto"/>
            </w:tcBorders>
            <w:vAlign w:val="bottom"/>
          </w:tcPr>
          <w:p w14:paraId="3947A9E0" w14:textId="19DD7E13" w:rsidR="00287210" w:rsidRPr="00F57F1D" w:rsidRDefault="00287210" w:rsidP="00F3324C">
            <w:pPr>
              <w:pStyle w:val="Tabletext8pt"/>
              <w:widowControl w:val="0"/>
              <w:spacing w:before="0" w:after="0"/>
              <w:rPr>
                <w:rFonts w:ascii="Arial Narrow" w:hAnsi="Arial Narrow"/>
                <w:color w:val="000000"/>
                <w:sz w:val="20"/>
                <w:szCs w:val="20"/>
              </w:rPr>
            </w:pPr>
            <w:r w:rsidRPr="00F57F1D">
              <w:rPr>
                <w:rFonts w:ascii="Arial Narrow" w:hAnsi="Arial Narrow"/>
                <w:sz w:val="20"/>
                <w:szCs w:val="20"/>
              </w:rPr>
              <w:t xml:space="preserve">Foscarnet’s dose (base case: </w:t>
            </w:r>
            <w:r w:rsidR="00F40322" w:rsidRPr="00F57F1D">
              <w:rPr>
                <w:rFonts w:ascii="Arial Narrow" w:hAnsi="Arial Narrow"/>
                <w:sz w:val="20"/>
                <w:szCs w:val="20"/>
              </w:rPr>
              <w:t>60mg TID</w:t>
            </w:r>
            <w:r w:rsidRPr="00F57F1D">
              <w:rPr>
                <w:rFonts w:ascii="Arial Narrow" w:hAnsi="Arial Narrow"/>
                <w:sz w:val="20"/>
                <w:szCs w:val="20"/>
              </w:rPr>
              <w:t>)</w:t>
            </w:r>
          </w:p>
        </w:tc>
      </w:tr>
      <w:tr w:rsidR="002A1D4C" w:rsidRPr="00F57F1D" w14:paraId="48309E33" w14:textId="77777777" w:rsidTr="00F3324C">
        <w:tc>
          <w:tcPr>
            <w:tcW w:w="2577" w:type="pct"/>
            <w:tcBorders>
              <w:top w:val="single" w:sz="4" w:space="0" w:color="auto"/>
              <w:left w:val="single" w:sz="4" w:space="0" w:color="auto"/>
              <w:bottom w:val="single" w:sz="4" w:space="0" w:color="auto"/>
              <w:right w:val="single" w:sz="4" w:space="0" w:color="auto"/>
            </w:tcBorders>
            <w:vAlign w:val="bottom"/>
          </w:tcPr>
          <w:p w14:paraId="3074528C" w14:textId="024EAFE8" w:rsidR="002A1D4C" w:rsidRPr="00F57F1D" w:rsidRDefault="002A1D4C" w:rsidP="00F3324C">
            <w:pPr>
              <w:pStyle w:val="Tabletext8pt"/>
              <w:widowControl w:val="0"/>
              <w:spacing w:before="0" w:after="0"/>
              <w:rPr>
                <w:rFonts w:ascii="Arial Narrow" w:hAnsi="Arial Narrow"/>
                <w:sz w:val="20"/>
                <w:szCs w:val="20"/>
              </w:rPr>
            </w:pPr>
            <w:r w:rsidRPr="00F57F1D">
              <w:rPr>
                <w:rFonts w:ascii="Arial Narrow" w:hAnsi="Arial Narrow"/>
                <w:sz w:val="20"/>
                <w:szCs w:val="20"/>
              </w:rPr>
              <w:t xml:space="preserve">    60</w:t>
            </w:r>
            <w:r w:rsidR="00276171" w:rsidRPr="00F57F1D">
              <w:rPr>
                <w:rFonts w:ascii="Arial Narrow" w:hAnsi="Arial Narrow"/>
                <w:sz w:val="20"/>
                <w:szCs w:val="20"/>
              </w:rPr>
              <w:t xml:space="preserve"> </w:t>
            </w:r>
            <w:r w:rsidRPr="00F57F1D">
              <w:rPr>
                <w:rFonts w:ascii="Arial Narrow" w:hAnsi="Arial Narrow"/>
                <w:sz w:val="20"/>
                <w:szCs w:val="20"/>
              </w:rPr>
              <w:t>mg TID for 2 wks + 60</w:t>
            </w:r>
            <w:r w:rsidR="00276171" w:rsidRPr="00F57F1D">
              <w:rPr>
                <w:rFonts w:ascii="Arial Narrow" w:hAnsi="Arial Narrow"/>
                <w:sz w:val="20"/>
                <w:szCs w:val="20"/>
              </w:rPr>
              <w:t xml:space="preserve"> </w:t>
            </w:r>
            <w:r w:rsidRPr="00F57F1D">
              <w:rPr>
                <w:rFonts w:ascii="Arial Narrow" w:hAnsi="Arial Narrow"/>
                <w:sz w:val="20"/>
                <w:szCs w:val="20"/>
              </w:rPr>
              <w:t>mg QD maintenance</w:t>
            </w:r>
          </w:p>
          <w:p w14:paraId="536A275B" w14:textId="511F2942" w:rsidR="002A1D4C" w:rsidRPr="00F57F1D" w:rsidRDefault="002A1D4C" w:rsidP="00F3324C">
            <w:pPr>
              <w:pStyle w:val="Tabletext8pt"/>
              <w:widowControl w:val="0"/>
              <w:spacing w:before="0" w:after="0"/>
              <w:rPr>
                <w:rFonts w:ascii="Arial Narrow" w:hAnsi="Arial Narrow"/>
                <w:sz w:val="20"/>
                <w:szCs w:val="20"/>
              </w:rPr>
            </w:pPr>
            <w:r w:rsidRPr="00F57F1D">
              <w:rPr>
                <w:rFonts w:ascii="Arial Narrow" w:hAnsi="Arial Narrow"/>
                <w:sz w:val="20"/>
                <w:szCs w:val="20"/>
              </w:rPr>
              <w:t xml:space="preserve">    60</w:t>
            </w:r>
            <w:r w:rsidR="00276171" w:rsidRPr="00F57F1D">
              <w:rPr>
                <w:rFonts w:ascii="Arial Narrow" w:hAnsi="Arial Narrow"/>
                <w:sz w:val="20"/>
                <w:szCs w:val="20"/>
              </w:rPr>
              <w:t xml:space="preserve"> </w:t>
            </w:r>
            <w:r w:rsidRPr="00F57F1D">
              <w:rPr>
                <w:rFonts w:ascii="Arial Narrow" w:hAnsi="Arial Narrow"/>
                <w:sz w:val="20"/>
                <w:szCs w:val="20"/>
              </w:rPr>
              <w:t>mg TID for 3 wks + 60</w:t>
            </w:r>
            <w:r w:rsidR="00276171" w:rsidRPr="00F57F1D">
              <w:rPr>
                <w:rFonts w:ascii="Arial Narrow" w:hAnsi="Arial Narrow"/>
                <w:sz w:val="20"/>
                <w:szCs w:val="20"/>
              </w:rPr>
              <w:t xml:space="preserve"> </w:t>
            </w:r>
            <w:r w:rsidRPr="00F57F1D">
              <w:rPr>
                <w:rFonts w:ascii="Arial Narrow" w:hAnsi="Arial Narrow"/>
                <w:sz w:val="20"/>
                <w:szCs w:val="20"/>
              </w:rPr>
              <w:t>mg QD maintenance</w:t>
            </w:r>
          </w:p>
        </w:tc>
        <w:tc>
          <w:tcPr>
            <w:tcW w:w="625" w:type="pct"/>
            <w:tcBorders>
              <w:top w:val="single" w:sz="4" w:space="0" w:color="auto"/>
              <w:left w:val="single" w:sz="4" w:space="0" w:color="auto"/>
              <w:bottom w:val="single" w:sz="4" w:space="0" w:color="auto"/>
              <w:right w:val="single" w:sz="4" w:space="0" w:color="auto"/>
            </w:tcBorders>
            <w:shd w:val="solid" w:color="000000" w:fill="000000"/>
            <w:vAlign w:val="center"/>
          </w:tcPr>
          <w:p w14:paraId="2A74A6A0" w14:textId="3469AF3B" w:rsidR="00774871" w:rsidRPr="009A695D" w:rsidRDefault="007548FA" w:rsidP="00F3324C">
            <w:pPr>
              <w:pStyle w:val="Tabletext8pt"/>
              <w:widowControl w:val="0"/>
              <w:spacing w:before="0" w:after="0"/>
              <w:jc w:val="center"/>
              <w:rPr>
                <w:rFonts w:ascii="Arial Narrow" w:hAnsi="Arial Narrow"/>
                <w:color w:val="000000"/>
                <w:sz w:val="20"/>
                <w:szCs w:val="20"/>
                <w:highlight w:val="darkGray"/>
              </w:rPr>
            </w:pPr>
            <w:r w:rsidRPr="007548FA">
              <w:rPr>
                <w:rFonts w:ascii="Arial Narrow" w:hAnsi="Arial Narrow"/>
                <w:color w:val="000000"/>
                <w:sz w:val="20"/>
                <w:szCs w:val="20"/>
                <w14:textFill>
                  <w14:solidFill>
                    <w14:srgbClr w14:val="000000">
                      <w14:alpha w14:val="100000"/>
                    </w14:srgbClr>
                  </w14:solidFill>
                </w14:textFill>
              </w:rPr>
              <w:t>|</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358F9375" w14:textId="77777777" w:rsidR="002A1D4C" w:rsidRPr="00F57F1D" w:rsidRDefault="002A1D4C" w:rsidP="00F3324C">
            <w:pPr>
              <w:pStyle w:val="Tabletext8pt"/>
              <w:widowControl w:val="0"/>
              <w:spacing w:before="0" w:after="0"/>
              <w:jc w:val="center"/>
              <w:rPr>
                <w:rFonts w:ascii="Arial Narrow" w:hAnsi="Arial Narrow"/>
                <w:color w:val="000000"/>
                <w:sz w:val="20"/>
                <w:szCs w:val="20"/>
              </w:rPr>
            </w:pPr>
            <w:r w:rsidRPr="00F57F1D">
              <w:rPr>
                <w:rFonts w:ascii="Arial Narrow" w:hAnsi="Arial Narrow"/>
                <w:color w:val="000000"/>
                <w:sz w:val="20"/>
                <w:szCs w:val="20"/>
              </w:rPr>
              <w:t>0.11</w:t>
            </w:r>
          </w:p>
          <w:p w14:paraId="5829166D" w14:textId="6E3C926C" w:rsidR="00E31AC4" w:rsidRPr="00F57F1D" w:rsidRDefault="00E31AC4" w:rsidP="00F3324C">
            <w:pPr>
              <w:pStyle w:val="Tabletext8pt"/>
              <w:widowControl w:val="0"/>
              <w:spacing w:before="0" w:after="0"/>
              <w:jc w:val="center"/>
              <w:rPr>
                <w:rFonts w:ascii="Arial Narrow" w:hAnsi="Arial Narrow"/>
                <w:color w:val="000000"/>
                <w:sz w:val="20"/>
                <w:szCs w:val="20"/>
              </w:rPr>
            </w:pPr>
            <w:r w:rsidRPr="00F57F1D">
              <w:rPr>
                <w:rFonts w:ascii="Arial Narrow" w:hAnsi="Arial Narrow"/>
                <w:color w:val="000000"/>
                <w:sz w:val="20"/>
                <w:szCs w:val="20"/>
              </w:rPr>
              <w:t>0.11</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54535CE1" w14:textId="77777777" w:rsidR="004C747A" w:rsidRDefault="007548FA" w:rsidP="00F3324C">
            <w:pPr>
              <w:pStyle w:val="Tabletext8pt"/>
              <w:widowControl w:val="0"/>
              <w:spacing w:before="0" w:after="0"/>
              <w:jc w:val="center"/>
              <w:rPr>
                <w:rFonts w:ascii="Arial Narrow" w:hAnsi="Arial Narrow"/>
                <w:sz w:val="20"/>
                <w:szCs w:val="20"/>
                <w:vertAlign w:val="superscript"/>
              </w:rPr>
            </w:pPr>
            <w:r w:rsidRPr="003B6666">
              <w:rPr>
                <w:rFonts w:ascii="Arial Narrow" w:hAnsi="Arial Narrow" w:hint="eastAsia"/>
                <w:color w:val="000000"/>
                <w:w w:val="33"/>
                <w:sz w:val="20"/>
                <w:szCs w:val="20"/>
                <w:shd w:val="solid" w:color="000000" w:fill="000000"/>
                <w:fitText w:val="147" w:id="-760538102"/>
                <w14:textFill>
                  <w14:solidFill>
                    <w14:srgbClr w14:val="000000">
                      <w14:alpha w14:val="100000"/>
                    </w14:srgbClr>
                  </w14:solidFill>
                </w14:textFill>
              </w:rPr>
              <w:t xml:space="preserve">　</w:t>
            </w:r>
            <w:r w:rsidRPr="003B6666">
              <w:rPr>
                <w:rFonts w:ascii="Arial Narrow" w:hAnsi="Arial Narrow"/>
                <w:color w:val="000000"/>
                <w:w w:val="33"/>
                <w:sz w:val="20"/>
                <w:szCs w:val="20"/>
                <w:shd w:val="solid" w:color="000000" w:fill="000000"/>
                <w:fitText w:val="147" w:id="-760538102"/>
                <w14:textFill>
                  <w14:solidFill>
                    <w14:srgbClr w14:val="000000">
                      <w14:alpha w14:val="100000"/>
                    </w14:srgbClr>
                  </w14:solidFill>
                </w14:textFill>
              </w:rPr>
              <w:t>|</w:t>
            </w:r>
            <w:r w:rsidRPr="003B6666">
              <w:rPr>
                <w:rFonts w:ascii="Arial Narrow" w:hAnsi="Arial Narrow" w:hint="eastAsia"/>
                <w:color w:val="000000"/>
                <w:w w:val="33"/>
                <w:sz w:val="20"/>
                <w:szCs w:val="20"/>
                <w:shd w:val="solid" w:color="000000" w:fill="000000"/>
                <w:fitText w:val="147" w:id="-760538102"/>
                <w14:textFill>
                  <w14:solidFill>
                    <w14:srgbClr w14:val="000000">
                      <w14:alpha w14:val="100000"/>
                    </w14:srgbClr>
                  </w14:solidFill>
                </w14:textFill>
              </w:rPr>
              <w:t xml:space="preserve">　</w:t>
            </w:r>
            <w:r w:rsidR="002567A7" w:rsidRPr="002567A7">
              <w:rPr>
                <w:rFonts w:ascii="Arial Narrow" w:hAnsi="Arial Narrow"/>
                <w:sz w:val="20"/>
                <w:szCs w:val="20"/>
                <w:vertAlign w:val="superscript"/>
              </w:rPr>
              <w:t>4</w:t>
            </w:r>
          </w:p>
          <w:p w14:paraId="3B4E2652" w14:textId="1D1F13C2" w:rsidR="00E31AC4" w:rsidRPr="00F57F1D" w:rsidRDefault="004C747A" w:rsidP="00F3324C">
            <w:pPr>
              <w:pStyle w:val="Tabletext8pt"/>
              <w:widowControl w:val="0"/>
              <w:spacing w:before="0" w:after="0"/>
              <w:jc w:val="center"/>
              <w:rPr>
                <w:rFonts w:ascii="Arial Narrow" w:hAnsi="Arial Narrow"/>
                <w:color w:val="000000"/>
                <w:sz w:val="20"/>
                <w:szCs w:val="20"/>
              </w:rPr>
            </w:pPr>
            <w:r>
              <w:rPr>
                <w:rFonts w:ascii="Arial Narrow" w:hAnsi="Arial Narrow"/>
                <w:sz w:val="20"/>
                <w:szCs w:val="20"/>
                <w:vertAlign w:val="superscript"/>
              </w:rPr>
              <w:t>.</w:t>
            </w:r>
            <w:r w:rsidR="007548FA" w:rsidRPr="007548FA">
              <w:rPr>
                <w:rFonts w:ascii="Arial Narrow" w:hAnsi="Arial Narrow"/>
                <w:color w:val="000000"/>
                <w:sz w:val="20"/>
                <w:szCs w:val="20"/>
                <w:shd w:val="solid" w:color="000000" w:fill="000000"/>
                <w14:textFill>
                  <w14:solidFill>
                    <w14:srgbClr w14:val="000000">
                      <w14:alpha w14:val="100000"/>
                    </w14:srgbClr>
                  </w14:solidFill>
                </w14:textFill>
              </w:rPr>
              <w:t>|</w:t>
            </w:r>
            <w:r w:rsidR="00E75E52" w:rsidRPr="00791D73">
              <w:rPr>
                <w:rFonts w:ascii="Arial Narrow" w:hAnsi="Arial Narrow"/>
                <w:sz w:val="20"/>
                <w:szCs w:val="20"/>
                <w:vertAlign w:val="superscript"/>
              </w:rPr>
              <w:t>3</w:t>
            </w:r>
          </w:p>
        </w:tc>
        <w:tc>
          <w:tcPr>
            <w:tcW w:w="589" w:type="pct"/>
            <w:tcBorders>
              <w:top w:val="single" w:sz="4" w:space="0" w:color="auto"/>
              <w:left w:val="single" w:sz="4" w:space="0" w:color="auto"/>
              <w:bottom w:val="single" w:sz="4" w:space="0" w:color="auto"/>
              <w:right w:val="single" w:sz="4" w:space="0" w:color="auto"/>
            </w:tcBorders>
            <w:vAlign w:val="center"/>
          </w:tcPr>
          <w:p w14:paraId="5185184D" w14:textId="021B5806" w:rsidR="002A1D4C" w:rsidRPr="00F57F1D" w:rsidRDefault="006B01B2" w:rsidP="00F3324C">
            <w:pPr>
              <w:pStyle w:val="Tabletext8pt"/>
              <w:widowControl w:val="0"/>
              <w:spacing w:before="0" w:after="0"/>
              <w:jc w:val="center"/>
              <w:rPr>
                <w:rFonts w:ascii="Arial Narrow" w:hAnsi="Arial Narrow"/>
                <w:color w:val="000000"/>
                <w:sz w:val="20"/>
                <w:szCs w:val="20"/>
              </w:rPr>
            </w:pPr>
            <w:r w:rsidRPr="00F57F1D">
              <w:rPr>
                <w:rFonts w:ascii="Arial Narrow" w:hAnsi="Arial Narrow"/>
                <w:color w:val="000000"/>
                <w:sz w:val="20"/>
                <w:szCs w:val="20"/>
              </w:rPr>
              <w:t>+</w:t>
            </w:r>
            <w:r w:rsidR="007548FA" w:rsidRPr="003B6666">
              <w:rPr>
                <w:rFonts w:ascii="Arial Narrow" w:hAnsi="Arial Narrow"/>
                <w:color w:val="000000"/>
                <w:spacing w:val="154"/>
                <w:sz w:val="20"/>
                <w:szCs w:val="20"/>
                <w:shd w:val="solid" w:color="000000" w:fill="000000"/>
                <w:fitText w:val="240" w:id="-760538101"/>
                <w14:textFill>
                  <w14:solidFill>
                    <w14:srgbClr w14:val="000000">
                      <w14:alpha w14:val="100000"/>
                    </w14:srgbClr>
                  </w14:solidFill>
                </w14:textFill>
              </w:rPr>
              <w:t>|</w:t>
            </w:r>
            <w:r w:rsidR="007548FA" w:rsidRPr="003B6666">
              <w:rPr>
                <w:rFonts w:ascii="Arial Narrow" w:hAnsi="Arial Narrow"/>
                <w:color w:val="000000"/>
                <w:sz w:val="20"/>
                <w:szCs w:val="20"/>
                <w:shd w:val="solid" w:color="000000" w:fill="000000"/>
                <w:fitText w:val="240" w:id="-760538101"/>
                <w14:textFill>
                  <w14:solidFill>
                    <w14:srgbClr w14:val="000000">
                      <w14:alpha w14:val="100000"/>
                    </w14:srgbClr>
                  </w14:solidFill>
                </w14:textFill>
              </w:rPr>
              <w:t>|</w:t>
            </w:r>
            <w:r w:rsidR="002A1D4C" w:rsidRPr="00F57F1D">
              <w:rPr>
                <w:rFonts w:ascii="Arial Narrow" w:hAnsi="Arial Narrow"/>
                <w:color w:val="000000"/>
                <w:sz w:val="20"/>
                <w:szCs w:val="20"/>
              </w:rPr>
              <w:t>%</w:t>
            </w:r>
          </w:p>
          <w:p w14:paraId="4020DFA5" w14:textId="2A920417" w:rsidR="006B01B2" w:rsidRPr="00F57F1D" w:rsidRDefault="006B01B2" w:rsidP="00F3324C">
            <w:pPr>
              <w:pStyle w:val="Tabletext8pt"/>
              <w:widowControl w:val="0"/>
              <w:spacing w:before="0" w:after="0"/>
              <w:jc w:val="center"/>
              <w:rPr>
                <w:rFonts w:ascii="Arial Narrow" w:hAnsi="Arial Narrow"/>
                <w:color w:val="000000"/>
                <w:sz w:val="20"/>
                <w:szCs w:val="20"/>
              </w:rPr>
            </w:pPr>
            <w:r w:rsidRPr="00F57F1D">
              <w:rPr>
                <w:rFonts w:ascii="Arial Narrow" w:hAnsi="Arial Narrow"/>
                <w:color w:val="000000"/>
                <w:sz w:val="20"/>
                <w:szCs w:val="20"/>
              </w:rPr>
              <w:t>+</w:t>
            </w:r>
            <w:r w:rsidR="007548FA" w:rsidRPr="003B6666">
              <w:rPr>
                <w:rFonts w:ascii="Arial Narrow" w:hAnsi="Arial Narrow"/>
                <w:color w:val="000000"/>
                <w:spacing w:val="154"/>
                <w:sz w:val="20"/>
                <w:szCs w:val="20"/>
                <w:shd w:val="solid" w:color="000000" w:fill="000000"/>
                <w:fitText w:val="240" w:id="-760538100"/>
                <w14:textFill>
                  <w14:solidFill>
                    <w14:srgbClr w14:val="000000">
                      <w14:alpha w14:val="100000"/>
                    </w14:srgbClr>
                  </w14:solidFill>
                </w14:textFill>
              </w:rPr>
              <w:t>|</w:t>
            </w:r>
            <w:r w:rsidR="007548FA" w:rsidRPr="003B6666">
              <w:rPr>
                <w:rFonts w:ascii="Arial Narrow" w:hAnsi="Arial Narrow"/>
                <w:color w:val="000000"/>
                <w:sz w:val="20"/>
                <w:szCs w:val="20"/>
                <w:shd w:val="solid" w:color="000000" w:fill="000000"/>
                <w:fitText w:val="240" w:id="-760538100"/>
                <w14:textFill>
                  <w14:solidFill>
                    <w14:srgbClr w14:val="000000">
                      <w14:alpha w14:val="100000"/>
                    </w14:srgbClr>
                  </w14:solidFill>
                </w14:textFill>
              </w:rPr>
              <w:t>|</w:t>
            </w:r>
            <w:r w:rsidRPr="00F57F1D">
              <w:rPr>
                <w:rFonts w:ascii="Arial Narrow" w:hAnsi="Arial Narrow"/>
                <w:color w:val="000000"/>
                <w:sz w:val="20"/>
                <w:szCs w:val="20"/>
              </w:rPr>
              <w:t>%</w:t>
            </w:r>
          </w:p>
        </w:tc>
      </w:tr>
      <w:tr w:rsidR="00287210" w:rsidRPr="00F57F1D" w14:paraId="682AB5A2" w14:textId="77777777" w:rsidTr="00CF1AC8">
        <w:tc>
          <w:tcPr>
            <w:tcW w:w="5000" w:type="pct"/>
            <w:gridSpan w:val="5"/>
            <w:tcBorders>
              <w:top w:val="single" w:sz="4" w:space="0" w:color="auto"/>
              <w:left w:val="single" w:sz="4" w:space="0" w:color="auto"/>
              <w:bottom w:val="single" w:sz="4" w:space="0" w:color="auto"/>
              <w:right w:val="single" w:sz="4" w:space="0" w:color="auto"/>
            </w:tcBorders>
            <w:vAlign w:val="bottom"/>
          </w:tcPr>
          <w:p w14:paraId="5004EDFC" w14:textId="2928C6AA" w:rsidR="00287210" w:rsidRPr="00F57F1D" w:rsidRDefault="00287210" w:rsidP="00F3324C">
            <w:pPr>
              <w:pStyle w:val="Tabletext8pt"/>
              <w:widowControl w:val="0"/>
              <w:spacing w:before="0" w:after="0"/>
              <w:rPr>
                <w:rFonts w:ascii="Arial Narrow" w:hAnsi="Arial Narrow"/>
                <w:sz w:val="20"/>
                <w:szCs w:val="20"/>
              </w:rPr>
            </w:pPr>
            <w:r w:rsidRPr="00F57F1D">
              <w:rPr>
                <w:rFonts w:ascii="Arial Narrow" w:hAnsi="Arial Narrow"/>
                <w:sz w:val="20"/>
                <w:szCs w:val="20"/>
              </w:rPr>
              <w:t>Utility (base case: updated analysis)</w:t>
            </w:r>
          </w:p>
        </w:tc>
      </w:tr>
      <w:tr w:rsidR="00287210" w:rsidRPr="00F57F1D" w14:paraId="62CEC65E" w14:textId="77777777" w:rsidTr="00F3324C">
        <w:tc>
          <w:tcPr>
            <w:tcW w:w="2577" w:type="pct"/>
            <w:tcBorders>
              <w:top w:val="single" w:sz="4" w:space="0" w:color="auto"/>
              <w:left w:val="single" w:sz="4" w:space="0" w:color="auto"/>
              <w:bottom w:val="single" w:sz="4" w:space="0" w:color="auto"/>
              <w:right w:val="single" w:sz="4" w:space="0" w:color="auto"/>
            </w:tcBorders>
            <w:vAlign w:val="bottom"/>
          </w:tcPr>
          <w:p w14:paraId="498706EE" w14:textId="0FF2B503" w:rsidR="00287210" w:rsidRPr="00F57F1D" w:rsidRDefault="00287210" w:rsidP="00F3324C">
            <w:pPr>
              <w:pStyle w:val="Tabletext8pt"/>
              <w:widowControl w:val="0"/>
              <w:spacing w:before="0" w:after="0"/>
              <w:rPr>
                <w:rFonts w:ascii="Arial Narrow" w:hAnsi="Arial Narrow"/>
                <w:sz w:val="20"/>
                <w:szCs w:val="20"/>
              </w:rPr>
            </w:pPr>
            <w:r w:rsidRPr="00F57F1D">
              <w:rPr>
                <w:rFonts w:ascii="Arial Narrow" w:hAnsi="Arial Narrow"/>
                <w:sz w:val="20"/>
                <w:szCs w:val="20"/>
              </w:rPr>
              <w:t xml:space="preserve">     Values used in the November 2023 submission</w:t>
            </w:r>
          </w:p>
        </w:tc>
        <w:tc>
          <w:tcPr>
            <w:tcW w:w="625" w:type="pct"/>
            <w:tcBorders>
              <w:top w:val="single" w:sz="4" w:space="0" w:color="auto"/>
              <w:left w:val="single" w:sz="4" w:space="0" w:color="auto"/>
              <w:bottom w:val="single" w:sz="4" w:space="0" w:color="auto"/>
              <w:right w:val="single" w:sz="4" w:space="0" w:color="auto"/>
            </w:tcBorders>
            <w:shd w:val="solid" w:color="000000" w:fill="000000"/>
            <w:vAlign w:val="center"/>
          </w:tcPr>
          <w:p w14:paraId="5C21B4B2" w14:textId="35AD46D5" w:rsidR="00287210" w:rsidRPr="00F57F1D" w:rsidRDefault="007548FA" w:rsidP="00F3324C">
            <w:pPr>
              <w:pStyle w:val="Tabletext8pt"/>
              <w:widowControl w:val="0"/>
              <w:spacing w:before="0" w:after="0"/>
              <w:jc w:val="center"/>
              <w:rPr>
                <w:rFonts w:ascii="Arial Narrow" w:hAnsi="Arial Narrow"/>
                <w:sz w:val="20"/>
                <w:szCs w:val="20"/>
              </w:rPr>
            </w:pPr>
            <w:r w:rsidRPr="007548FA">
              <w:rPr>
                <w:rFonts w:ascii="Arial Narrow" w:hAnsi="Arial Narrow"/>
                <w:color w:val="000000"/>
                <w:sz w:val="20"/>
                <w:szCs w:val="20"/>
                <w14:textFill>
                  <w14:solidFill>
                    <w14:srgbClr w14:val="000000">
                      <w14:alpha w14:val="100000"/>
                    </w14:srgbClr>
                  </w14:solidFill>
                </w14:textFill>
              </w:rPr>
              <w:t>|</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141E0182" w14:textId="77777777" w:rsidR="00287210" w:rsidRPr="00F57F1D" w:rsidRDefault="00287210" w:rsidP="00F3324C">
            <w:pPr>
              <w:pStyle w:val="Tabletext8pt"/>
              <w:widowControl w:val="0"/>
              <w:spacing w:before="0" w:after="0"/>
              <w:jc w:val="center"/>
              <w:rPr>
                <w:rFonts w:ascii="Arial Narrow" w:hAnsi="Arial Narrow"/>
                <w:sz w:val="20"/>
                <w:szCs w:val="20"/>
              </w:rPr>
            </w:pPr>
            <w:r w:rsidRPr="00F57F1D">
              <w:rPr>
                <w:rFonts w:ascii="Arial Narrow" w:hAnsi="Arial Narrow"/>
                <w:color w:val="000000"/>
                <w:sz w:val="20"/>
                <w:szCs w:val="20"/>
              </w:rPr>
              <w:t>0.10</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5E2CA0D5" w14:textId="25831130" w:rsidR="00287210" w:rsidRPr="00F57F1D" w:rsidRDefault="007548FA" w:rsidP="00F3324C">
            <w:pPr>
              <w:pStyle w:val="Tabletext8pt"/>
              <w:widowControl w:val="0"/>
              <w:spacing w:before="0" w:after="0"/>
              <w:jc w:val="center"/>
              <w:rPr>
                <w:rFonts w:ascii="Arial Narrow" w:hAnsi="Arial Narrow"/>
                <w:sz w:val="20"/>
                <w:szCs w:val="20"/>
              </w:rPr>
            </w:pPr>
            <w:r w:rsidRPr="007548FA">
              <w:rPr>
                <w:rFonts w:ascii="Arial Narrow" w:hAnsi="Arial Narrow"/>
                <w:color w:val="000000"/>
                <w:sz w:val="20"/>
                <w:szCs w:val="20"/>
                <w:shd w:val="solid" w:color="000000" w:fill="000000"/>
                <w14:textFill>
                  <w14:solidFill>
                    <w14:srgbClr w14:val="000000">
                      <w14:alpha w14:val="100000"/>
                    </w14:srgbClr>
                  </w14:solidFill>
                </w14:textFill>
              </w:rPr>
              <w:t>|</w:t>
            </w:r>
            <w:r w:rsidR="00E75E52" w:rsidRPr="00791D73">
              <w:rPr>
                <w:rFonts w:ascii="Arial Narrow" w:hAnsi="Arial Narrow"/>
                <w:sz w:val="20"/>
                <w:szCs w:val="20"/>
                <w:vertAlign w:val="superscript"/>
              </w:rPr>
              <w:t>3</w:t>
            </w:r>
          </w:p>
        </w:tc>
        <w:tc>
          <w:tcPr>
            <w:tcW w:w="589" w:type="pct"/>
            <w:tcBorders>
              <w:top w:val="single" w:sz="4" w:space="0" w:color="auto"/>
              <w:left w:val="single" w:sz="4" w:space="0" w:color="auto"/>
              <w:bottom w:val="single" w:sz="4" w:space="0" w:color="auto"/>
              <w:right w:val="single" w:sz="4" w:space="0" w:color="auto"/>
            </w:tcBorders>
            <w:vAlign w:val="center"/>
          </w:tcPr>
          <w:p w14:paraId="7122E597" w14:textId="02B6B8C9" w:rsidR="00287210" w:rsidRPr="00F57F1D" w:rsidRDefault="00287210" w:rsidP="00F3324C">
            <w:pPr>
              <w:pStyle w:val="Tabletext8pt"/>
              <w:widowControl w:val="0"/>
              <w:spacing w:before="0" w:after="0"/>
              <w:jc w:val="center"/>
              <w:rPr>
                <w:rFonts w:ascii="Arial Narrow" w:hAnsi="Arial Narrow"/>
                <w:sz w:val="20"/>
                <w:szCs w:val="20"/>
              </w:rPr>
            </w:pPr>
            <w:r w:rsidRPr="00F57F1D">
              <w:rPr>
                <w:rFonts w:ascii="Arial Narrow" w:hAnsi="Arial Narrow"/>
                <w:color w:val="000000"/>
                <w:sz w:val="20"/>
                <w:szCs w:val="20"/>
              </w:rPr>
              <w:t>+</w:t>
            </w:r>
            <w:r w:rsidR="007548FA" w:rsidRPr="003B6666">
              <w:rPr>
                <w:rFonts w:ascii="Arial Narrow" w:hAnsi="Arial Narrow"/>
                <w:color w:val="000000"/>
                <w:spacing w:val="154"/>
                <w:sz w:val="20"/>
                <w:szCs w:val="20"/>
                <w:shd w:val="solid" w:color="000000" w:fill="000000"/>
                <w:fitText w:val="240" w:id="-760538099"/>
                <w14:textFill>
                  <w14:solidFill>
                    <w14:srgbClr w14:val="000000">
                      <w14:alpha w14:val="100000"/>
                    </w14:srgbClr>
                  </w14:solidFill>
                </w14:textFill>
              </w:rPr>
              <w:t>|</w:t>
            </w:r>
            <w:r w:rsidR="007548FA" w:rsidRPr="003B6666">
              <w:rPr>
                <w:rFonts w:ascii="Arial Narrow" w:hAnsi="Arial Narrow"/>
                <w:color w:val="000000"/>
                <w:sz w:val="20"/>
                <w:szCs w:val="20"/>
                <w:shd w:val="solid" w:color="000000" w:fill="000000"/>
                <w:fitText w:val="240" w:id="-760538099"/>
                <w14:textFill>
                  <w14:solidFill>
                    <w14:srgbClr w14:val="000000">
                      <w14:alpha w14:val="100000"/>
                    </w14:srgbClr>
                  </w14:solidFill>
                </w14:textFill>
              </w:rPr>
              <w:t>|</w:t>
            </w:r>
            <w:r w:rsidRPr="00F57F1D">
              <w:rPr>
                <w:rFonts w:ascii="Arial Narrow" w:hAnsi="Arial Narrow"/>
                <w:color w:val="000000"/>
                <w:sz w:val="20"/>
                <w:szCs w:val="20"/>
              </w:rPr>
              <w:t>%</w:t>
            </w:r>
          </w:p>
        </w:tc>
      </w:tr>
      <w:tr w:rsidR="00287210" w:rsidRPr="00F57F1D" w14:paraId="40435F3C" w14:textId="77777777" w:rsidTr="00CF1AC8">
        <w:tc>
          <w:tcPr>
            <w:tcW w:w="5000" w:type="pct"/>
            <w:gridSpan w:val="5"/>
            <w:tcBorders>
              <w:top w:val="single" w:sz="4" w:space="0" w:color="auto"/>
              <w:left w:val="single" w:sz="4" w:space="0" w:color="auto"/>
              <w:bottom w:val="single" w:sz="4" w:space="0" w:color="auto"/>
              <w:right w:val="single" w:sz="4" w:space="0" w:color="auto"/>
            </w:tcBorders>
            <w:vAlign w:val="bottom"/>
          </w:tcPr>
          <w:p w14:paraId="4E5C26A5" w14:textId="01A3A03E" w:rsidR="00287210" w:rsidRPr="00F57F1D" w:rsidRDefault="00C30333" w:rsidP="00F3324C">
            <w:pPr>
              <w:pStyle w:val="Tabletext8pt"/>
              <w:widowControl w:val="0"/>
              <w:spacing w:before="0" w:after="0"/>
              <w:rPr>
                <w:rFonts w:ascii="Arial Narrow" w:hAnsi="Arial Narrow"/>
                <w:sz w:val="20"/>
                <w:szCs w:val="20"/>
              </w:rPr>
            </w:pPr>
            <w:r w:rsidRPr="00F57F1D">
              <w:rPr>
                <w:rFonts w:ascii="Arial Narrow" w:hAnsi="Arial Narrow"/>
                <w:b/>
                <w:bCs/>
                <w:sz w:val="20"/>
                <w:szCs w:val="20"/>
              </w:rPr>
              <w:t>Multivariate</w:t>
            </w:r>
            <w:r w:rsidR="00287210" w:rsidRPr="00F57F1D">
              <w:rPr>
                <w:rFonts w:ascii="Arial Narrow" w:hAnsi="Arial Narrow"/>
                <w:b/>
                <w:bCs/>
                <w:sz w:val="20"/>
                <w:szCs w:val="20"/>
              </w:rPr>
              <w:t xml:space="preserve"> analyses </w:t>
            </w:r>
          </w:p>
        </w:tc>
      </w:tr>
      <w:tr w:rsidR="00715DA1" w:rsidRPr="00F57F1D" w14:paraId="74A69630" w14:textId="77777777" w:rsidTr="00F3324C">
        <w:tc>
          <w:tcPr>
            <w:tcW w:w="2577" w:type="pct"/>
            <w:tcBorders>
              <w:top w:val="single" w:sz="4" w:space="0" w:color="auto"/>
              <w:left w:val="single" w:sz="4" w:space="0" w:color="auto"/>
              <w:bottom w:val="single" w:sz="4" w:space="0" w:color="auto"/>
              <w:right w:val="single" w:sz="4" w:space="0" w:color="auto"/>
            </w:tcBorders>
            <w:vAlign w:val="bottom"/>
          </w:tcPr>
          <w:p w14:paraId="6481986D" w14:textId="6A1F244D" w:rsidR="00715DA1" w:rsidRPr="00F57F1D" w:rsidRDefault="00715DA1" w:rsidP="00F3324C">
            <w:pPr>
              <w:pStyle w:val="Tabletext8pt"/>
              <w:widowControl w:val="0"/>
              <w:spacing w:before="0" w:after="0"/>
              <w:rPr>
                <w:rFonts w:ascii="Arial Narrow" w:hAnsi="Arial Narrow"/>
                <w:sz w:val="20"/>
                <w:szCs w:val="20"/>
              </w:rPr>
            </w:pPr>
            <w:r w:rsidRPr="00F57F1D">
              <w:rPr>
                <w:rFonts w:ascii="Arial Narrow" w:hAnsi="Arial Narrow"/>
                <w:sz w:val="20"/>
                <w:szCs w:val="20"/>
              </w:rPr>
              <w:t>A:  Individual IAT duration</w:t>
            </w:r>
            <w:r w:rsidRPr="00F57F1D" w:rsidDel="002E4B40">
              <w:rPr>
                <w:rFonts w:ascii="Arial Narrow" w:hAnsi="Arial Narrow"/>
                <w:sz w:val="20"/>
                <w:szCs w:val="20"/>
              </w:rPr>
              <w:t xml:space="preserve"> </w:t>
            </w:r>
            <w:r w:rsidRPr="00F57F1D">
              <w:rPr>
                <w:rFonts w:ascii="Arial Narrow" w:hAnsi="Arial Narrow"/>
                <w:sz w:val="20"/>
                <w:szCs w:val="20"/>
              </w:rPr>
              <w:t>+</w:t>
            </w:r>
            <w:r w:rsidR="003F6683">
              <w:rPr>
                <w:rFonts w:ascii="Arial Narrow" w:hAnsi="Arial Narrow"/>
                <w:sz w:val="20"/>
                <w:szCs w:val="20"/>
              </w:rPr>
              <w:t xml:space="preserve"> </w:t>
            </w:r>
            <w:r w:rsidRPr="00F57F1D">
              <w:rPr>
                <w:rFonts w:ascii="Arial Narrow" w:hAnsi="Arial Narrow"/>
                <w:sz w:val="20"/>
                <w:szCs w:val="20"/>
              </w:rPr>
              <w:t>AND foscarnet’s dose 60 mg TID for 2 wks + 60 mg QD maintenance</w:t>
            </w:r>
          </w:p>
        </w:tc>
        <w:tc>
          <w:tcPr>
            <w:tcW w:w="625" w:type="pct"/>
            <w:tcBorders>
              <w:top w:val="single" w:sz="4" w:space="0" w:color="auto"/>
              <w:left w:val="single" w:sz="4" w:space="0" w:color="auto"/>
              <w:bottom w:val="single" w:sz="4" w:space="0" w:color="auto"/>
              <w:right w:val="single" w:sz="4" w:space="0" w:color="auto"/>
            </w:tcBorders>
            <w:shd w:val="solid" w:color="000000" w:fill="000000"/>
            <w:vAlign w:val="center"/>
          </w:tcPr>
          <w:p w14:paraId="5AC18AF4" w14:textId="4A922794" w:rsidR="00715DA1" w:rsidRPr="009A695D" w:rsidRDefault="007548FA" w:rsidP="00F3324C">
            <w:pPr>
              <w:pStyle w:val="Tabletext8pt"/>
              <w:widowControl w:val="0"/>
              <w:spacing w:before="0" w:after="0"/>
              <w:jc w:val="center"/>
              <w:rPr>
                <w:rFonts w:ascii="Arial Narrow" w:hAnsi="Arial Narrow"/>
                <w:color w:val="000000"/>
                <w:sz w:val="20"/>
                <w:szCs w:val="20"/>
                <w:highlight w:val="darkGray"/>
              </w:rPr>
            </w:pPr>
            <w:r w:rsidRPr="007548FA">
              <w:rPr>
                <w:rFonts w:ascii="Arial Narrow" w:hAnsi="Arial Narrow"/>
                <w:color w:val="000000"/>
                <w:sz w:val="20"/>
                <w:szCs w:val="20"/>
                <w14:textFill>
                  <w14:solidFill>
                    <w14:srgbClr w14:val="000000">
                      <w14:alpha w14:val="100000"/>
                    </w14:srgbClr>
                  </w14:solidFill>
                </w14:textFill>
              </w:rPr>
              <w:t>|</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4DFC880F" w14:textId="169D6C47" w:rsidR="00715DA1" w:rsidRPr="00F57F1D" w:rsidRDefault="00715DA1" w:rsidP="00F3324C">
            <w:pPr>
              <w:pStyle w:val="Tabletext8pt"/>
              <w:widowControl w:val="0"/>
              <w:spacing w:before="0" w:after="0"/>
              <w:jc w:val="center"/>
              <w:rPr>
                <w:rFonts w:ascii="Arial Narrow" w:hAnsi="Arial Narrow"/>
                <w:color w:val="000000"/>
                <w:sz w:val="20"/>
                <w:szCs w:val="20"/>
              </w:rPr>
            </w:pPr>
            <w:r w:rsidRPr="00F57F1D">
              <w:rPr>
                <w:rFonts w:ascii="Arial Narrow" w:hAnsi="Arial Narrow"/>
                <w:color w:val="000000"/>
                <w:sz w:val="20"/>
                <w:szCs w:val="20"/>
              </w:rPr>
              <w:t>0.11</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6BFC83FC" w14:textId="4031A01F" w:rsidR="00715DA1" w:rsidRPr="00FE3F29" w:rsidRDefault="007548FA" w:rsidP="00F3324C">
            <w:pPr>
              <w:pStyle w:val="Tabletext8pt"/>
              <w:widowControl w:val="0"/>
              <w:spacing w:before="0" w:after="0"/>
              <w:jc w:val="center"/>
              <w:rPr>
                <w:rFonts w:ascii="Arial Narrow" w:hAnsi="Arial Narrow"/>
                <w:color w:val="000000"/>
                <w:sz w:val="20"/>
                <w:szCs w:val="20"/>
                <w:highlight w:val="darkGray"/>
              </w:rPr>
            </w:pPr>
            <w:r w:rsidRPr="007548FA">
              <w:rPr>
                <w:rFonts w:ascii="Arial Narrow" w:hAnsi="Arial Narrow"/>
                <w:color w:val="000000"/>
                <w:sz w:val="20"/>
                <w:szCs w:val="20"/>
                <w:shd w:val="solid" w:color="000000" w:fill="000000"/>
                <w14:textFill>
                  <w14:solidFill>
                    <w14:srgbClr w14:val="000000">
                      <w14:alpha w14:val="100000"/>
                    </w14:srgbClr>
                  </w14:solidFill>
                </w14:textFill>
              </w:rPr>
              <w:t>|</w:t>
            </w:r>
            <w:r w:rsidR="002567A7" w:rsidRPr="002567A7">
              <w:rPr>
                <w:rFonts w:ascii="Arial Narrow" w:hAnsi="Arial Narrow"/>
                <w:sz w:val="20"/>
                <w:szCs w:val="20"/>
                <w:vertAlign w:val="superscript"/>
              </w:rPr>
              <w:t>4</w:t>
            </w:r>
          </w:p>
        </w:tc>
        <w:tc>
          <w:tcPr>
            <w:tcW w:w="589" w:type="pct"/>
            <w:tcBorders>
              <w:top w:val="single" w:sz="4" w:space="0" w:color="auto"/>
              <w:left w:val="single" w:sz="4" w:space="0" w:color="auto"/>
              <w:bottom w:val="single" w:sz="4" w:space="0" w:color="auto"/>
              <w:right w:val="single" w:sz="4" w:space="0" w:color="auto"/>
            </w:tcBorders>
            <w:vAlign w:val="center"/>
          </w:tcPr>
          <w:p w14:paraId="516040E6" w14:textId="455CFE9E" w:rsidR="00715DA1" w:rsidRPr="00F57F1D" w:rsidRDefault="007548FA" w:rsidP="00F3324C">
            <w:pPr>
              <w:pStyle w:val="Tabletext8pt"/>
              <w:widowControl w:val="0"/>
              <w:spacing w:before="0" w:after="0"/>
              <w:jc w:val="center"/>
              <w:rPr>
                <w:rFonts w:ascii="Arial Narrow" w:hAnsi="Arial Narrow"/>
                <w:color w:val="000000"/>
                <w:sz w:val="20"/>
                <w:szCs w:val="20"/>
              </w:rPr>
            </w:pPr>
            <w:r w:rsidRPr="003B6666">
              <w:rPr>
                <w:rFonts w:ascii="Arial Narrow" w:hAnsi="Arial Narrow"/>
                <w:color w:val="000000"/>
                <w:spacing w:val="114"/>
                <w:sz w:val="20"/>
                <w:szCs w:val="20"/>
                <w:shd w:val="solid" w:color="000000" w:fill="000000"/>
                <w:fitText w:val="200" w:id="-760538098"/>
                <w14:textFill>
                  <w14:solidFill>
                    <w14:srgbClr w14:val="000000">
                      <w14:alpha w14:val="100000"/>
                    </w14:srgbClr>
                  </w14:solidFill>
                </w14:textFill>
              </w:rPr>
              <w:t>|</w:t>
            </w:r>
            <w:r w:rsidRPr="003B6666">
              <w:rPr>
                <w:rFonts w:ascii="Arial Narrow" w:hAnsi="Arial Narrow"/>
                <w:color w:val="000000"/>
                <w:sz w:val="20"/>
                <w:szCs w:val="20"/>
                <w:shd w:val="solid" w:color="000000" w:fill="000000"/>
                <w:fitText w:val="200" w:id="-760538098"/>
                <w14:textFill>
                  <w14:solidFill>
                    <w14:srgbClr w14:val="000000">
                      <w14:alpha w14:val="100000"/>
                    </w14:srgbClr>
                  </w14:solidFill>
                </w14:textFill>
              </w:rPr>
              <w:t>|</w:t>
            </w:r>
            <w:r w:rsidR="00715DA1" w:rsidRPr="00F57F1D">
              <w:rPr>
                <w:rFonts w:ascii="Arial Narrow" w:hAnsi="Arial Narrow"/>
                <w:color w:val="000000"/>
                <w:sz w:val="20"/>
                <w:szCs w:val="20"/>
              </w:rPr>
              <w:t>%</w:t>
            </w:r>
          </w:p>
        </w:tc>
      </w:tr>
      <w:tr w:rsidR="007E07D5" w:rsidRPr="00F57F1D" w14:paraId="094CDFBB" w14:textId="77777777" w:rsidTr="00F3324C">
        <w:tc>
          <w:tcPr>
            <w:tcW w:w="2577" w:type="pct"/>
            <w:tcBorders>
              <w:top w:val="single" w:sz="4" w:space="0" w:color="auto"/>
              <w:left w:val="single" w:sz="4" w:space="0" w:color="auto"/>
              <w:bottom w:val="single" w:sz="4" w:space="0" w:color="auto"/>
              <w:right w:val="single" w:sz="4" w:space="0" w:color="auto"/>
            </w:tcBorders>
            <w:vAlign w:val="bottom"/>
          </w:tcPr>
          <w:p w14:paraId="73A94BB9" w14:textId="47498B62" w:rsidR="007E07D5" w:rsidRPr="00F57F1D" w:rsidRDefault="007E07D5" w:rsidP="00F3324C">
            <w:pPr>
              <w:pStyle w:val="Tabletext8pt"/>
              <w:widowControl w:val="0"/>
              <w:spacing w:before="0" w:after="0"/>
              <w:rPr>
                <w:rFonts w:ascii="Arial Narrow" w:hAnsi="Arial Narrow"/>
                <w:sz w:val="20"/>
                <w:szCs w:val="20"/>
              </w:rPr>
            </w:pPr>
            <w:r w:rsidRPr="00F57F1D">
              <w:rPr>
                <w:rFonts w:ascii="Arial Narrow" w:hAnsi="Arial Narrow"/>
                <w:sz w:val="20"/>
                <w:szCs w:val="20"/>
              </w:rPr>
              <w:t>B: A + Treatment-independent recurrence</w:t>
            </w:r>
          </w:p>
        </w:tc>
        <w:tc>
          <w:tcPr>
            <w:tcW w:w="625" w:type="pct"/>
            <w:tcBorders>
              <w:top w:val="single" w:sz="4" w:space="0" w:color="auto"/>
              <w:left w:val="single" w:sz="4" w:space="0" w:color="auto"/>
              <w:bottom w:val="single" w:sz="4" w:space="0" w:color="auto"/>
              <w:right w:val="single" w:sz="4" w:space="0" w:color="auto"/>
            </w:tcBorders>
            <w:shd w:val="solid" w:color="000000" w:fill="000000"/>
            <w:vAlign w:val="center"/>
          </w:tcPr>
          <w:p w14:paraId="40CAEA9F" w14:textId="51E5A0CA" w:rsidR="007E07D5" w:rsidRPr="009A695D" w:rsidRDefault="007548FA" w:rsidP="00F3324C">
            <w:pPr>
              <w:pStyle w:val="Tabletext8pt"/>
              <w:widowControl w:val="0"/>
              <w:spacing w:before="0" w:after="0"/>
              <w:jc w:val="center"/>
              <w:rPr>
                <w:rFonts w:ascii="Arial Narrow" w:hAnsi="Arial Narrow"/>
                <w:sz w:val="20"/>
                <w:szCs w:val="20"/>
                <w:highlight w:val="darkGray"/>
              </w:rPr>
            </w:pPr>
            <w:r w:rsidRPr="007548FA">
              <w:rPr>
                <w:rFonts w:ascii="Arial Narrow" w:hAnsi="Arial Narrow"/>
                <w:color w:val="000000"/>
                <w:sz w:val="20"/>
                <w:szCs w:val="20"/>
                <w14:textFill>
                  <w14:solidFill>
                    <w14:srgbClr w14:val="000000">
                      <w14:alpha w14:val="100000"/>
                    </w14:srgbClr>
                  </w14:solidFill>
                </w14:textFill>
              </w:rPr>
              <w:t>|</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4397BDB0" w14:textId="040F58FB" w:rsidR="007E07D5" w:rsidRPr="00F57F1D" w:rsidRDefault="007E07D5" w:rsidP="00F3324C">
            <w:pPr>
              <w:pStyle w:val="Tabletext8pt"/>
              <w:widowControl w:val="0"/>
              <w:spacing w:before="0" w:after="0"/>
              <w:jc w:val="center"/>
              <w:rPr>
                <w:rFonts w:ascii="Arial Narrow" w:hAnsi="Arial Narrow"/>
                <w:sz w:val="20"/>
                <w:szCs w:val="20"/>
              </w:rPr>
            </w:pPr>
            <w:r w:rsidRPr="00F57F1D">
              <w:rPr>
                <w:rFonts w:ascii="Arial Narrow" w:hAnsi="Arial Narrow"/>
                <w:color w:val="000000"/>
                <w:sz w:val="20"/>
                <w:szCs w:val="20"/>
              </w:rPr>
              <w:t>0.10</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2F54E04E" w14:textId="48D226FC" w:rsidR="007E07D5" w:rsidRPr="00FE3F29" w:rsidRDefault="007548FA" w:rsidP="00F3324C">
            <w:pPr>
              <w:pStyle w:val="Tabletext8pt"/>
              <w:widowControl w:val="0"/>
              <w:spacing w:before="0" w:after="0"/>
              <w:jc w:val="center"/>
              <w:rPr>
                <w:rFonts w:ascii="Arial Narrow" w:hAnsi="Arial Narrow"/>
                <w:sz w:val="20"/>
                <w:szCs w:val="20"/>
                <w:highlight w:val="darkGray"/>
              </w:rPr>
            </w:pPr>
            <w:r w:rsidRPr="007548FA">
              <w:rPr>
                <w:rFonts w:ascii="Arial Narrow" w:hAnsi="Arial Narrow"/>
                <w:color w:val="000000"/>
                <w:sz w:val="20"/>
                <w:szCs w:val="20"/>
                <w:shd w:val="solid" w:color="000000" w:fill="000000"/>
                <w14:textFill>
                  <w14:solidFill>
                    <w14:srgbClr w14:val="000000">
                      <w14:alpha w14:val="100000"/>
                    </w14:srgbClr>
                  </w14:solidFill>
                </w14:textFill>
              </w:rPr>
              <w:t>|</w:t>
            </w:r>
            <w:r w:rsidR="00B902D5" w:rsidRPr="00122F3B">
              <w:rPr>
                <w:rFonts w:ascii="Arial Narrow" w:hAnsi="Arial Narrow"/>
                <w:sz w:val="20"/>
                <w:szCs w:val="20"/>
                <w:vertAlign w:val="superscript"/>
              </w:rPr>
              <w:t>2</w:t>
            </w:r>
          </w:p>
        </w:tc>
        <w:tc>
          <w:tcPr>
            <w:tcW w:w="589" w:type="pct"/>
            <w:tcBorders>
              <w:top w:val="single" w:sz="4" w:space="0" w:color="auto"/>
              <w:left w:val="single" w:sz="4" w:space="0" w:color="auto"/>
              <w:bottom w:val="single" w:sz="4" w:space="0" w:color="auto"/>
              <w:right w:val="single" w:sz="4" w:space="0" w:color="auto"/>
            </w:tcBorders>
            <w:vAlign w:val="center"/>
          </w:tcPr>
          <w:p w14:paraId="662DE23B" w14:textId="69602B5F" w:rsidR="007E07D5" w:rsidRPr="00F57F1D" w:rsidRDefault="007548FA" w:rsidP="00F3324C">
            <w:pPr>
              <w:pStyle w:val="Tabletext8pt"/>
              <w:widowControl w:val="0"/>
              <w:spacing w:before="0" w:after="0"/>
              <w:jc w:val="center"/>
              <w:rPr>
                <w:rFonts w:ascii="Arial Narrow" w:hAnsi="Arial Narrow"/>
                <w:sz w:val="20"/>
                <w:szCs w:val="20"/>
              </w:rPr>
            </w:pPr>
            <w:r w:rsidRPr="003B6666">
              <w:rPr>
                <w:rFonts w:ascii="Arial Narrow" w:hAnsi="Arial Narrow"/>
                <w:color w:val="000000"/>
                <w:spacing w:val="114"/>
                <w:sz w:val="20"/>
                <w:szCs w:val="20"/>
                <w:shd w:val="solid" w:color="000000" w:fill="000000"/>
                <w:fitText w:val="200" w:id="-760538097"/>
                <w14:textFill>
                  <w14:solidFill>
                    <w14:srgbClr w14:val="000000">
                      <w14:alpha w14:val="100000"/>
                    </w14:srgbClr>
                  </w14:solidFill>
                </w14:textFill>
              </w:rPr>
              <w:t>|</w:t>
            </w:r>
            <w:r w:rsidRPr="003B6666">
              <w:rPr>
                <w:rFonts w:ascii="Arial Narrow" w:hAnsi="Arial Narrow"/>
                <w:color w:val="000000"/>
                <w:sz w:val="20"/>
                <w:szCs w:val="20"/>
                <w:shd w:val="solid" w:color="000000" w:fill="000000"/>
                <w:fitText w:val="200" w:id="-760538097"/>
                <w14:textFill>
                  <w14:solidFill>
                    <w14:srgbClr w14:val="000000">
                      <w14:alpha w14:val="100000"/>
                    </w14:srgbClr>
                  </w14:solidFill>
                </w14:textFill>
              </w:rPr>
              <w:t>|</w:t>
            </w:r>
            <w:r w:rsidR="007E07D5" w:rsidRPr="00F57F1D">
              <w:rPr>
                <w:rFonts w:ascii="Arial Narrow" w:hAnsi="Arial Narrow"/>
                <w:color w:val="000000"/>
                <w:sz w:val="20"/>
                <w:szCs w:val="20"/>
              </w:rPr>
              <w:t>%</w:t>
            </w:r>
          </w:p>
        </w:tc>
      </w:tr>
      <w:tr w:rsidR="00D73435" w:rsidRPr="00F57F1D" w14:paraId="55A614BB" w14:textId="77777777" w:rsidTr="00F3324C">
        <w:tc>
          <w:tcPr>
            <w:tcW w:w="2577" w:type="pct"/>
            <w:tcBorders>
              <w:top w:val="single" w:sz="4" w:space="0" w:color="auto"/>
              <w:left w:val="single" w:sz="4" w:space="0" w:color="auto"/>
              <w:bottom w:val="single" w:sz="4" w:space="0" w:color="auto"/>
              <w:right w:val="single" w:sz="4" w:space="0" w:color="auto"/>
            </w:tcBorders>
            <w:vAlign w:val="bottom"/>
          </w:tcPr>
          <w:p w14:paraId="2B106162" w14:textId="07FF89C2" w:rsidR="00D73435" w:rsidRPr="00F57F1D" w:rsidRDefault="00D73435" w:rsidP="00F3324C">
            <w:pPr>
              <w:pStyle w:val="Tabletext8pt"/>
              <w:widowControl w:val="0"/>
              <w:spacing w:before="0" w:after="0"/>
              <w:rPr>
                <w:rFonts w:ascii="Arial Narrow" w:hAnsi="Arial Narrow"/>
                <w:sz w:val="20"/>
                <w:szCs w:val="20"/>
              </w:rPr>
            </w:pPr>
            <w:r w:rsidRPr="00F57F1D">
              <w:rPr>
                <w:rFonts w:ascii="Arial Narrow" w:hAnsi="Arial Narrow"/>
                <w:sz w:val="20"/>
                <w:szCs w:val="20"/>
              </w:rPr>
              <w:t>C: B + 2-year time horizon</w:t>
            </w:r>
          </w:p>
        </w:tc>
        <w:tc>
          <w:tcPr>
            <w:tcW w:w="625" w:type="pct"/>
            <w:tcBorders>
              <w:top w:val="single" w:sz="4" w:space="0" w:color="auto"/>
              <w:left w:val="single" w:sz="4" w:space="0" w:color="auto"/>
              <w:bottom w:val="single" w:sz="4" w:space="0" w:color="auto"/>
              <w:right w:val="single" w:sz="4" w:space="0" w:color="auto"/>
            </w:tcBorders>
            <w:shd w:val="solid" w:color="000000" w:fill="000000"/>
            <w:vAlign w:val="center"/>
          </w:tcPr>
          <w:p w14:paraId="2E74BE46" w14:textId="21E6E41A" w:rsidR="00D73435" w:rsidRPr="009A695D" w:rsidRDefault="007548FA" w:rsidP="00F3324C">
            <w:pPr>
              <w:pStyle w:val="Tabletext8pt"/>
              <w:widowControl w:val="0"/>
              <w:spacing w:before="0" w:after="0"/>
              <w:jc w:val="center"/>
              <w:rPr>
                <w:rFonts w:ascii="Arial Narrow" w:hAnsi="Arial Narrow"/>
                <w:color w:val="000000"/>
                <w:sz w:val="20"/>
                <w:szCs w:val="20"/>
                <w:highlight w:val="darkGray"/>
              </w:rPr>
            </w:pPr>
            <w:r w:rsidRPr="007548FA">
              <w:rPr>
                <w:rFonts w:ascii="Arial Narrow" w:hAnsi="Arial Narrow"/>
                <w:color w:val="000000"/>
                <w:sz w:val="20"/>
                <w:szCs w:val="20"/>
                <w14:textFill>
                  <w14:solidFill>
                    <w14:srgbClr w14:val="000000">
                      <w14:alpha w14:val="100000"/>
                    </w14:srgbClr>
                  </w14:solidFill>
                </w14:textFill>
              </w:rPr>
              <w:t>|</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4FB45CD2" w14:textId="22B65F1B" w:rsidR="00D73435" w:rsidRPr="00F57F1D" w:rsidRDefault="00D73435" w:rsidP="00F3324C">
            <w:pPr>
              <w:pStyle w:val="Tabletext8pt"/>
              <w:widowControl w:val="0"/>
              <w:spacing w:before="0" w:after="0"/>
              <w:jc w:val="center"/>
              <w:rPr>
                <w:rFonts w:ascii="Arial Narrow" w:hAnsi="Arial Narrow"/>
                <w:color w:val="000000"/>
                <w:sz w:val="20"/>
                <w:szCs w:val="20"/>
              </w:rPr>
            </w:pPr>
            <w:r w:rsidRPr="00F57F1D">
              <w:rPr>
                <w:rFonts w:ascii="Arial Narrow" w:hAnsi="Arial Narrow"/>
                <w:color w:val="000000"/>
                <w:sz w:val="20"/>
                <w:szCs w:val="20"/>
              </w:rPr>
              <w:t>0.04</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5559B283" w14:textId="784BEC49" w:rsidR="00D73435" w:rsidRPr="00FE3F29" w:rsidRDefault="007548FA" w:rsidP="00F3324C">
            <w:pPr>
              <w:pStyle w:val="Tabletext8pt"/>
              <w:widowControl w:val="0"/>
              <w:spacing w:before="0" w:after="0"/>
              <w:jc w:val="center"/>
              <w:rPr>
                <w:rFonts w:ascii="Arial Narrow" w:hAnsi="Arial Narrow"/>
                <w:color w:val="000000"/>
                <w:sz w:val="20"/>
                <w:szCs w:val="20"/>
                <w:highlight w:val="darkGray"/>
              </w:rPr>
            </w:pPr>
            <w:r w:rsidRPr="007548FA">
              <w:rPr>
                <w:rFonts w:ascii="Arial Narrow" w:hAnsi="Arial Narrow"/>
                <w:color w:val="000000"/>
                <w:sz w:val="20"/>
                <w:szCs w:val="20"/>
                <w:shd w:val="solid" w:color="000000" w:fill="000000"/>
                <w14:textFill>
                  <w14:solidFill>
                    <w14:srgbClr w14:val="000000">
                      <w14:alpha w14:val="100000"/>
                    </w14:srgbClr>
                  </w14:solidFill>
                </w14:textFill>
              </w:rPr>
              <w:t>|</w:t>
            </w:r>
            <w:r w:rsidR="00125DE3">
              <w:rPr>
                <w:rFonts w:ascii="Arial Narrow" w:hAnsi="Arial Narrow"/>
                <w:color w:val="000000"/>
                <w:sz w:val="20"/>
                <w:szCs w:val="20"/>
                <w:vertAlign w:val="superscript"/>
              </w:rPr>
              <w:t>6</w:t>
            </w:r>
          </w:p>
        </w:tc>
        <w:tc>
          <w:tcPr>
            <w:tcW w:w="589" w:type="pct"/>
            <w:tcBorders>
              <w:top w:val="single" w:sz="4" w:space="0" w:color="auto"/>
              <w:left w:val="single" w:sz="4" w:space="0" w:color="auto"/>
              <w:bottom w:val="single" w:sz="4" w:space="0" w:color="auto"/>
              <w:right w:val="single" w:sz="4" w:space="0" w:color="auto"/>
            </w:tcBorders>
            <w:vAlign w:val="center"/>
          </w:tcPr>
          <w:p w14:paraId="6D223DB4" w14:textId="60087953" w:rsidR="00D73435" w:rsidRPr="00F57F1D" w:rsidRDefault="007548FA" w:rsidP="00F3324C">
            <w:pPr>
              <w:pStyle w:val="Tabletext8pt"/>
              <w:widowControl w:val="0"/>
              <w:spacing w:before="0" w:after="0"/>
              <w:jc w:val="center"/>
              <w:rPr>
                <w:rFonts w:ascii="Arial Narrow" w:hAnsi="Arial Narrow"/>
                <w:color w:val="000000"/>
                <w:sz w:val="20"/>
                <w:szCs w:val="20"/>
              </w:rPr>
            </w:pPr>
            <w:r w:rsidRPr="003B6666">
              <w:rPr>
                <w:rFonts w:ascii="Arial Narrow" w:hAnsi="Arial Narrow"/>
                <w:color w:val="000000"/>
                <w:spacing w:val="114"/>
                <w:sz w:val="20"/>
                <w:szCs w:val="20"/>
                <w:shd w:val="solid" w:color="000000" w:fill="000000"/>
                <w:fitText w:val="200" w:id="-760538096"/>
                <w14:textFill>
                  <w14:solidFill>
                    <w14:srgbClr w14:val="000000">
                      <w14:alpha w14:val="100000"/>
                    </w14:srgbClr>
                  </w14:solidFill>
                </w14:textFill>
              </w:rPr>
              <w:t>|</w:t>
            </w:r>
            <w:r w:rsidRPr="003B6666">
              <w:rPr>
                <w:rFonts w:ascii="Arial Narrow" w:hAnsi="Arial Narrow"/>
                <w:color w:val="000000"/>
                <w:sz w:val="20"/>
                <w:szCs w:val="20"/>
                <w:shd w:val="solid" w:color="000000" w:fill="000000"/>
                <w:fitText w:val="200" w:id="-760538096"/>
                <w14:textFill>
                  <w14:solidFill>
                    <w14:srgbClr w14:val="000000">
                      <w14:alpha w14:val="100000"/>
                    </w14:srgbClr>
                  </w14:solidFill>
                </w14:textFill>
              </w:rPr>
              <w:t>|</w:t>
            </w:r>
            <w:r w:rsidR="00D73435" w:rsidRPr="00F57F1D">
              <w:rPr>
                <w:rFonts w:ascii="Arial Narrow" w:hAnsi="Arial Narrow"/>
                <w:color w:val="000000"/>
                <w:sz w:val="20"/>
                <w:szCs w:val="20"/>
              </w:rPr>
              <w:t>%</w:t>
            </w:r>
          </w:p>
        </w:tc>
      </w:tr>
      <w:tr w:rsidR="00DC0043" w:rsidRPr="006B02AA" w14:paraId="4FF5E1AF" w14:textId="77777777" w:rsidTr="00F3324C">
        <w:tc>
          <w:tcPr>
            <w:tcW w:w="2577" w:type="pct"/>
            <w:tcBorders>
              <w:top w:val="single" w:sz="4" w:space="0" w:color="auto"/>
              <w:left w:val="single" w:sz="4" w:space="0" w:color="auto"/>
              <w:bottom w:val="single" w:sz="4" w:space="0" w:color="auto"/>
              <w:right w:val="single" w:sz="4" w:space="0" w:color="auto"/>
            </w:tcBorders>
            <w:vAlign w:val="bottom"/>
          </w:tcPr>
          <w:p w14:paraId="029576B5" w14:textId="36BAEC26" w:rsidR="00DC0043" w:rsidRPr="006B02AA" w:rsidRDefault="00DC0043" w:rsidP="00F3324C">
            <w:pPr>
              <w:pStyle w:val="Tabletext8pt"/>
              <w:widowControl w:val="0"/>
              <w:spacing w:before="0" w:after="0"/>
              <w:rPr>
                <w:rFonts w:ascii="Arial Narrow" w:hAnsi="Arial Narrow"/>
                <w:b/>
                <w:bCs/>
                <w:sz w:val="20"/>
                <w:szCs w:val="20"/>
              </w:rPr>
            </w:pPr>
            <w:r w:rsidRPr="006B02AA">
              <w:rPr>
                <w:rFonts w:ascii="Arial Narrow" w:hAnsi="Arial Narrow"/>
                <w:b/>
                <w:bCs/>
                <w:sz w:val="20"/>
                <w:szCs w:val="20"/>
              </w:rPr>
              <w:t>Multivariate analyses conducted for ESC</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3AF7AC6F" w14:textId="77777777" w:rsidR="00DC0043" w:rsidRPr="006B02AA" w:rsidRDefault="00DC0043" w:rsidP="00F3324C">
            <w:pPr>
              <w:pStyle w:val="Tabletext8pt"/>
              <w:widowControl w:val="0"/>
              <w:spacing w:before="0" w:after="0"/>
              <w:jc w:val="center"/>
              <w:rPr>
                <w:rFonts w:ascii="Arial Narrow" w:hAnsi="Arial Narrow"/>
                <w:b/>
                <w:bCs/>
                <w:color w:val="000000"/>
                <w:sz w:val="20"/>
                <w:szCs w:val="20"/>
              </w:rPr>
            </w:pP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4A9EFE62" w14:textId="77777777" w:rsidR="00DC0043" w:rsidRPr="006B02AA" w:rsidRDefault="00DC0043" w:rsidP="00F3324C">
            <w:pPr>
              <w:pStyle w:val="Tabletext8pt"/>
              <w:widowControl w:val="0"/>
              <w:spacing w:before="0" w:after="0"/>
              <w:jc w:val="center"/>
              <w:rPr>
                <w:rFonts w:ascii="Arial Narrow" w:hAnsi="Arial Narrow"/>
                <w:b/>
                <w:bCs/>
                <w:color w:val="000000"/>
                <w:sz w:val="20"/>
                <w:szCs w:val="20"/>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5091E133" w14:textId="77777777" w:rsidR="00DC0043" w:rsidRPr="006B02AA" w:rsidRDefault="00DC0043" w:rsidP="00F3324C">
            <w:pPr>
              <w:pStyle w:val="Tabletext8pt"/>
              <w:widowControl w:val="0"/>
              <w:spacing w:before="0" w:after="0"/>
              <w:jc w:val="center"/>
              <w:rPr>
                <w:rFonts w:ascii="Arial Narrow" w:hAnsi="Arial Narrow"/>
                <w:b/>
                <w:bCs/>
                <w:color w:val="000000"/>
                <w:sz w:val="20"/>
                <w:szCs w:val="20"/>
              </w:rPr>
            </w:pPr>
          </w:p>
        </w:tc>
        <w:tc>
          <w:tcPr>
            <w:tcW w:w="589" w:type="pct"/>
            <w:tcBorders>
              <w:top w:val="single" w:sz="4" w:space="0" w:color="auto"/>
              <w:left w:val="single" w:sz="4" w:space="0" w:color="auto"/>
              <w:bottom w:val="single" w:sz="4" w:space="0" w:color="auto"/>
              <w:right w:val="single" w:sz="4" w:space="0" w:color="auto"/>
            </w:tcBorders>
            <w:vAlign w:val="center"/>
          </w:tcPr>
          <w:p w14:paraId="07793513" w14:textId="77777777" w:rsidR="00DC0043" w:rsidRPr="006B02AA" w:rsidRDefault="00DC0043" w:rsidP="00F3324C">
            <w:pPr>
              <w:pStyle w:val="Tabletext8pt"/>
              <w:widowControl w:val="0"/>
              <w:spacing w:before="0" w:after="0"/>
              <w:jc w:val="center"/>
              <w:rPr>
                <w:rFonts w:ascii="Arial Narrow" w:hAnsi="Arial Narrow"/>
                <w:b/>
                <w:bCs/>
                <w:color w:val="000000"/>
                <w:sz w:val="20"/>
                <w:szCs w:val="20"/>
              </w:rPr>
            </w:pPr>
          </w:p>
        </w:tc>
      </w:tr>
      <w:tr w:rsidR="00DC0043" w:rsidRPr="006B02AA" w14:paraId="31A485AD" w14:textId="77777777" w:rsidTr="00F3324C">
        <w:tc>
          <w:tcPr>
            <w:tcW w:w="2577" w:type="pct"/>
            <w:tcBorders>
              <w:top w:val="single" w:sz="4" w:space="0" w:color="auto"/>
              <w:left w:val="single" w:sz="4" w:space="0" w:color="auto"/>
              <w:bottom w:val="single" w:sz="4" w:space="0" w:color="auto"/>
              <w:right w:val="single" w:sz="4" w:space="0" w:color="auto"/>
            </w:tcBorders>
            <w:vAlign w:val="bottom"/>
          </w:tcPr>
          <w:p w14:paraId="32143583" w14:textId="4D3200EC" w:rsidR="00DC0043" w:rsidRPr="006B02AA" w:rsidRDefault="00DC0043" w:rsidP="00F3324C">
            <w:pPr>
              <w:pStyle w:val="Tabletext8pt"/>
              <w:widowControl w:val="0"/>
              <w:spacing w:before="0" w:after="0"/>
              <w:rPr>
                <w:rFonts w:ascii="Arial Narrow" w:hAnsi="Arial Narrow"/>
                <w:sz w:val="20"/>
                <w:szCs w:val="20"/>
              </w:rPr>
            </w:pPr>
            <w:r w:rsidRPr="006B02AA">
              <w:rPr>
                <w:rFonts w:ascii="Arial Narrow" w:hAnsi="Arial Narrow"/>
                <w:sz w:val="20"/>
                <w:szCs w:val="20"/>
              </w:rPr>
              <w:t>D: Individual IAT duration and treatment-independent recurrence</w:t>
            </w:r>
          </w:p>
        </w:tc>
        <w:tc>
          <w:tcPr>
            <w:tcW w:w="625" w:type="pct"/>
            <w:tcBorders>
              <w:top w:val="single" w:sz="4" w:space="0" w:color="auto"/>
              <w:left w:val="single" w:sz="4" w:space="0" w:color="auto"/>
              <w:bottom w:val="single" w:sz="4" w:space="0" w:color="auto"/>
              <w:right w:val="single" w:sz="4" w:space="0" w:color="auto"/>
            </w:tcBorders>
            <w:shd w:val="solid" w:color="000000" w:fill="000000"/>
            <w:vAlign w:val="center"/>
          </w:tcPr>
          <w:p w14:paraId="4C55A2E1" w14:textId="54DEF3E1" w:rsidR="00DC0043" w:rsidRPr="009A695D" w:rsidRDefault="007548FA" w:rsidP="00F3324C">
            <w:pPr>
              <w:pStyle w:val="Tabletext8pt"/>
              <w:widowControl w:val="0"/>
              <w:spacing w:before="0" w:after="0"/>
              <w:jc w:val="center"/>
              <w:rPr>
                <w:rFonts w:ascii="Arial Narrow" w:hAnsi="Arial Narrow"/>
                <w:color w:val="000000"/>
                <w:sz w:val="20"/>
                <w:szCs w:val="20"/>
                <w:highlight w:val="darkGray"/>
              </w:rPr>
            </w:pPr>
            <w:r w:rsidRPr="007548FA">
              <w:rPr>
                <w:rFonts w:ascii="Arial Narrow" w:hAnsi="Arial Narrow"/>
                <w:color w:val="000000"/>
                <w:sz w:val="20"/>
                <w:szCs w:val="20"/>
                <w14:textFill>
                  <w14:solidFill>
                    <w14:srgbClr w14:val="000000">
                      <w14:alpha w14:val="100000"/>
                    </w14:srgbClr>
                  </w14:solidFill>
                </w14:textFill>
              </w:rPr>
              <w:t>|</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0C5665BD" w14:textId="7572B885" w:rsidR="00DC0043" w:rsidRPr="006B02AA" w:rsidRDefault="00DC0043" w:rsidP="00F3324C">
            <w:pPr>
              <w:pStyle w:val="Tabletext8pt"/>
              <w:widowControl w:val="0"/>
              <w:spacing w:before="0" w:after="0"/>
              <w:jc w:val="center"/>
              <w:rPr>
                <w:rFonts w:ascii="Arial Narrow" w:hAnsi="Arial Narrow"/>
                <w:color w:val="000000"/>
                <w:sz w:val="20"/>
                <w:szCs w:val="20"/>
              </w:rPr>
            </w:pPr>
            <w:r w:rsidRPr="006B02AA">
              <w:rPr>
                <w:rFonts w:ascii="Arial Narrow" w:hAnsi="Arial Narrow"/>
                <w:color w:val="000000"/>
                <w:sz w:val="20"/>
                <w:szCs w:val="20"/>
              </w:rPr>
              <w:t>0.10</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6989A886" w14:textId="3DC679D2" w:rsidR="00DC0043" w:rsidRPr="00FE3F29" w:rsidRDefault="007548FA" w:rsidP="00F3324C">
            <w:pPr>
              <w:pStyle w:val="Tabletext8pt"/>
              <w:widowControl w:val="0"/>
              <w:spacing w:before="0" w:after="0"/>
              <w:jc w:val="center"/>
              <w:rPr>
                <w:rFonts w:ascii="Arial Narrow" w:hAnsi="Arial Narrow"/>
                <w:color w:val="000000"/>
                <w:sz w:val="20"/>
                <w:szCs w:val="20"/>
                <w:highlight w:val="darkGray"/>
              </w:rPr>
            </w:pPr>
            <w:r w:rsidRPr="007548FA">
              <w:rPr>
                <w:rFonts w:ascii="Arial Narrow" w:hAnsi="Arial Narrow"/>
                <w:color w:val="000000"/>
                <w:sz w:val="20"/>
                <w:szCs w:val="20"/>
                <w:shd w:val="solid" w:color="000000" w:fill="000000"/>
                <w14:textFill>
                  <w14:solidFill>
                    <w14:srgbClr w14:val="000000">
                      <w14:alpha w14:val="100000"/>
                    </w14:srgbClr>
                  </w14:solidFill>
                </w14:textFill>
              </w:rPr>
              <w:t>|</w:t>
            </w:r>
            <w:r w:rsidR="002567A7" w:rsidRPr="002567A7">
              <w:rPr>
                <w:rFonts w:ascii="Arial Narrow" w:hAnsi="Arial Narrow"/>
                <w:sz w:val="20"/>
                <w:szCs w:val="20"/>
                <w:vertAlign w:val="superscript"/>
              </w:rPr>
              <w:t>4</w:t>
            </w:r>
          </w:p>
        </w:tc>
        <w:tc>
          <w:tcPr>
            <w:tcW w:w="589" w:type="pct"/>
            <w:tcBorders>
              <w:top w:val="single" w:sz="4" w:space="0" w:color="auto"/>
              <w:left w:val="single" w:sz="4" w:space="0" w:color="auto"/>
              <w:bottom w:val="single" w:sz="4" w:space="0" w:color="auto"/>
              <w:right w:val="single" w:sz="4" w:space="0" w:color="auto"/>
            </w:tcBorders>
            <w:vAlign w:val="center"/>
          </w:tcPr>
          <w:p w14:paraId="6113049B" w14:textId="536E9F0E" w:rsidR="00DC0043" w:rsidRPr="006B02AA" w:rsidRDefault="007548FA" w:rsidP="00F3324C">
            <w:pPr>
              <w:pStyle w:val="Tabletext8pt"/>
              <w:widowControl w:val="0"/>
              <w:spacing w:before="0" w:after="0"/>
              <w:jc w:val="center"/>
              <w:rPr>
                <w:rFonts w:ascii="Arial Narrow" w:hAnsi="Arial Narrow"/>
                <w:color w:val="000000"/>
                <w:sz w:val="20"/>
                <w:szCs w:val="20"/>
              </w:rPr>
            </w:pPr>
            <w:r w:rsidRPr="003B6666">
              <w:rPr>
                <w:rFonts w:ascii="Arial Narrow" w:hAnsi="Arial Narrow"/>
                <w:color w:val="000000"/>
                <w:spacing w:val="114"/>
                <w:sz w:val="20"/>
                <w:szCs w:val="20"/>
                <w:shd w:val="solid" w:color="000000" w:fill="000000"/>
                <w:fitText w:val="200" w:id="-760538112"/>
                <w14:textFill>
                  <w14:solidFill>
                    <w14:srgbClr w14:val="000000">
                      <w14:alpha w14:val="100000"/>
                    </w14:srgbClr>
                  </w14:solidFill>
                </w14:textFill>
              </w:rPr>
              <w:t>|</w:t>
            </w:r>
            <w:r w:rsidRPr="003B6666">
              <w:rPr>
                <w:rFonts w:ascii="Arial Narrow" w:hAnsi="Arial Narrow"/>
                <w:color w:val="000000"/>
                <w:sz w:val="20"/>
                <w:szCs w:val="20"/>
                <w:shd w:val="solid" w:color="000000" w:fill="000000"/>
                <w:fitText w:val="200" w:id="-760538112"/>
                <w14:textFill>
                  <w14:solidFill>
                    <w14:srgbClr w14:val="000000">
                      <w14:alpha w14:val="100000"/>
                    </w14:srgbClr>
                  </w14:solidFill>
                </w14:textFill>
              </w:rPr>
              <w:t>|</w:t>
            </w:r>
            <w:r w:rsidR="00DC0043" w:rsidRPr="006B02AA">
              <w:rPr>
                <w:rFonts w:ascii="Arial Narrow" w:hAnsi="Arial Narrow"/>
                <w:color w:val="000000"/>
                <w:sz w:val="20"/>
                <w:szCs w:val="20"/>
              </w:rPr>
              <w:t>%</w:t>
            </w:r>
          </w:p>
        </w:tc>
      </w:tr>
      <w:tr w:rsidR="00DC0043" w:rsidRPr="006B02AA" w14:paraId="4427D028" w14:textId="77777777" w:rsidTr="00F3324C">
        <w:tc>
          <w:tcPr>
            <w:tcW w:w="2577" w:type="pct"/>
            <w:tcBorders>
              <w:top w:val="single" w:sz="4" w:space="0" w:color="auto"/>
              <w:left w:val="single" w:sz="4" w:space="0" w:color="auto"/>
              <w:bottom w:val="single" w:sz="4" w:space="0" w:color="auto"/>
              <w:right w:val="single" w:sz="4" w:space="0" w:color="auto"/>
            </w:tcBorders>
            <w:vAlign w:val="bottom"/>
          </w:tcPr>
          <w:p w14:paraId="7D383D75" w14:textId="2A9CD923" w:rsidR="00DC0043" w:rsidRPr="006B02AA" w:rsidRDefault="00DC0043" w:rsidP="00F3324C">
            <w:pPr>
              <w:pStyle w:val="Tabletext8pt"/>
              <w:widowControl w:val="0"/>
              <w:spacing w:before="0" w:after="0"/>
              <w:rPr>
                <w:rFonts w:ascii="Arial Narrow" w:hAnsi="Arial Narrow"/>
                <w:sz w:val="20"/>
                <w:szCs w:val="20"/>
              </w:rPr>
            </w:pPr>
            <w:r w:rsidRPr="006B02AA">
              <w:rPr>
                <w:rFonts w:ascii="Arial Narrow" w:hAnsi="Arial Narrow"/>
                <w:sz w:val="20"/>
                <w:szCs w:val="20"/>
              </w:rPr>
              <w:t>E: D + reducing share of foscarnet by 50%</w:t>
            </w:r>
          </w:p>
        </w:tc>
        <w:tc>
          <w:tcPr>
            <w:tcW w:w="625" w:type="pct"/>
            <w:tcBorders>
              <w:top w:val="single" w:sz="4" w:space="0" w:color="auto"/>
              <w:left w:val="single" w:sz="4" w:space="0" w:color="auto"/>
              <w:bottom w:val="single" w:sz="4" w:space="0" w:color="auto"/>
              <w:right w:val="single" w:sz="4" w:space="0" w:color="auto"/>
            </w:tcBorders>
            <w:shd w:val="solid" w:color="000000" w:fill="000000"/>
            <w:vAlign w:val="center"/>
          </w:tcPr>
          <w:p w14:paraId="719AB3A7" w14:textId="3C6673AC" w:rsidR="00DC0043" w:rsidRPr="009A695D" w:rsidRDefault="007548FA" w:rsidP="00F3324C">
            <w:pPr>
              <w:pStyle w:val="Tabletext8pt"/>
              <w:widowControl w:val="0"/>
              <w:spacing w:before="0" w:after="0"/>
              <w:jc w:val="center"/>
              <w:rPr>
                <w:rFonts w:ascii="Arial Narrow" w:hAnsi="Arial Narrow"/>
                <w:color w:val="000000"/>
                <w:sz w:val="20"/>
                <w:szCs w:val="20"/>
                <w:highlight w:val="darkGray"/>
              </w:rPr>
            </w:pPr>
            <w:r w:rsidRPr="007548FA">
              <w:rPr>
                <w:rFonts w:ascii="Arial Narrow" w:hAnsi="Arial Narrow"/>
                <w:color w:val="000000"/>
                <w:sz w:val="20"/>
                <w:szCs w:val="20"/>
                <w14:textFill>
                  <w14:solidFill>
                    <w14:srgbClr w14:val="000000">
                      <w14:alpha w14:val="100000"/>
                    </w14:srgbClr>
                  </w14:solidFill>
                </w14:textFill>
              </w:rPr>
              <w:t>|</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56EAFB23" w14:textId="69E9B0D0" w:rsidR="00DC0043" w:rsidRPr="006B02AA" w:rsidRDefault="002C2ADB" w:rsidP="00F3324C">
            <w:pPr>
              <w:pStyle w:val="Tabletext8pt"/>
              <w:widowControl w:val="0"/>
              <w:spacing w:before="0" w:after="0"/>
              <w:jc w:val="center"/>
              <w:rPr>
                <w:rFonts w:ascii="Arial Narrow" w:hAnsi="Arial Narrow"/>
                <w:color w:val="000000"/>
                <w:sz w:val="20"/>
                <w:szCs w:val="20"/>
              </w:rPr>
            </w:pPr>
            <w:r w:rsidRPr="006B02AA">
              <w:rPr>
                <w:rFonts w:ascii="Arial Narrow" w:hAnsi="Arial Narrow"/>
                <w:color w:val="000000"/>
                <w:sz w:val="20"/>
                <w:szCs w:val="20"/>
              </w:rPr>
              <w:t>0.10</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0FB15618" w14:textId="24A1A2BE" w:rsidR="00DC0043" w:rsidRPr="00FE3F29" w:rsidRDefault="007548FA" w:rsidP="00F3324C">
            <w:pPr>
              <w:pStyle w:val="Tabletext8pt"/>
              <w:widowControl w:val="0"/>
              <w:spacing w:before="0" w:after="0"/>
              <w:jc w:val="center"/>
              <w:rPr>
                <w:rFonts w:ascii="Arial Narrow" w:hAnsi="Arial Narrow"/>
                <w:color w:val="000000"/>
                <w:sz w:val="20"/>
                <w:szCs w:val="20"/>
                <w:highlight w:val="darkGray"/>
              </w:rPr>
            </w:pPr>
            <w:r w:rsidRPr="007548FA">
              <w:rPr>
                <w:rFonts w:ascii="Arial Narrow" w:hAnsi="Arial Narrow"/>
                <w:color w:val="000000"/>
                <w:sz w:val="20"/>
                <w:szCs w:val="20"/>
                <w:shd w:val="solid" w:color="000000" w:fill="000000"/>
                <w14:textFill>
                  <w14:solidFill>
                    <w14:srgbClr w14:val="000000">
                      <w14:alpha w14:val="100000"/>
                    </w14:srgbClr>
                  </w14:solidFill>
                </w14:textFill>
              </w:rPr>
              <w:t>|</w:t>
            </w:r>
            <w:r w:rsidR="00125DE3">
              <w:rPr>
                <w:rFonts w:ascii="Arial Narrow" w:hAnsi="Arial Narrow"/>
                <w:color w:val="000000"/>
                <w:sz w:val="20"/>
                <w:szCs w:val="20"/>
                <w:vertAlign w:val="superscript"/>
              </w:rPr>
              <w:t>7</w:t>
            </w:r>
            <w:r w:rsidR="00846DBC" w:rsidRPr="00846DBC">
              <w:rPr>
                <w:rFonts w:ascii="Arial Narrow" w:hAnsi="Arial Narrow"/>
                <w:color w:val="000000"/>
                <w:sz w:val="20"/>
                <w:szCs w:val="20"/>
                <w:vertAlign w:val="superscript"/>
              </w:rPr>
              <w:t xml:space="preserve"> </w:t>
            </w:r>
          </w:p>
        </w:tc>
        <w:tc>
          <w:tcPr>
            <w:tcW w:w="589" w:type="pct"/>
            <w:tcBorders>
              <w:top w:val="single" w:sz="4" w:space="0" w:color="auto"/>
              <w:left w:val="single" w:sz="4" w:space="0" w:color="auto"/>
              <w:bottom w:val="single" w:sz="4" w:space="0" w:color="auto"/>
              <w:right w:val="single" w:sz="4" w:space="0" w:color="auto"/>
            </w:tcBorders>
            <w:vAlign w:val="center"/>
          </w:tcPr>
          <w:p w14:paraId="21408B2C" w14:textId="0C1C556C" w:rsidR="00DC0043" w:rsidRPr="006B02AA" w:rsidRDefault="007548FA" w:rsidP="00F3324C">
            <w:pPr>
              <w:pStyle w:val="Tabletext8pt"/>
              <w:widowControl w:val="0"/>
              <w:spacing w:before="0" w:after="0"/>
              <w:jc w:val="center"/>
              <w:rPr>
                <w:rFonts w:ascii="Arial Narrow" w:hAnsi="Arial Narrow"/>
                <w:color w:val="000000"/>
                <w:sz w:val="20"/>
                <w:szCs w:val="20"/>
              </w:rPr>
            </w:pPr>
            <w:r w:rsidRPr="003B6666">
              <w:rPr>
                <w:rFonts w:ascii="Arial Narrow" w:hAnsi="Arial Narrow"/>
                <w:color w:val="000000"/>
                <w:spacing w:val="114"/>
                <w:sz w:val="20"/>
                <w:szCs w:val="20"/>
                <w:shd w:val="solid" w:color="000000" w:fill="000000"/>
                <w:fitText w:val="200" w:id="-760538111"/>
                <w14:textFill>
                  <w14:solidFill>
                    <w14:srgbClr w14:val="000000">
                      <w14:alpha w14:val="100000"/>
                    </w14:srgbClr>
                  </w14:solidFill>
                </w14:textFill>
              </w:rPr>
              <w:t>|</w:t>
            </w:r>
            <w:r w:rsidRPr="003B6666">
              <w:rPr>
                <w:rFonts w:ascii="Arial Narrow" w:hAnsi="Arial Narrow"/>
                <w:color w:val="000000"/>
                <w:sz w:val="20"/>
                <w:szCs w:val="20"/>
                <w:shd w:val="solid" w:color="000000" w:fill="000000"/>
                <w:fitText w:val="200" w:id="-760538111"/>
                <w14:textFill>
                  <w14:solidFill>
                    <w14:srgbClr w14:val="000000">
                      <w14:alpha w14:val="100000"/>
                    </w14:srgbClr>
                  </w14:solidFill>
                </w14:textFill>
              </w:rPr>
              <w:t>|</w:t>
            </w:r>
            <w:r w:rsidR="002C2ADB" w:rsidRPr="006B02AA">
              <w:rPr>
                <w:rFonts w:ascii="Arial Narrow" w:hAnsi="Arial Narrow"/>
                <w:color w:val="000000"/>
                <w:sz w:val="20"/>
                <w:szCs w:val="20"/>
              </w:rPr>
              <w:t>%</w:t>
            </w:r>
          </w:p>
        </w:tc>
      </w:tr>
    </w:tbl>
    <w:p w14:paraId="0860D220" w14:textId="04492B8F" w:rsidR="00EB71A3" w:rsidRPr="0023146D" w:rsidRDefault="00732F7D" w:rsidP="00F3324C">
      <w:pPr>
        <w:pStyle w:val="FooterTableFigure"/>
        <w:keepNext/>
        <w:keepLines/>
        <w:widowControl w:val="0"/>
        <w:spacing w:after="0"/>
        <w:rPr>
          <w:szCs w:val="18"/>
        </w:rPr>
      </w:pPr>
      <w:r w:rsidRPr="0023146D">
        <w:rPr>
          <w:szCs w:val="18"/>
        </w:rPr>
        <w:t xml:space="preserve">Source: </w:t>
      </w:r>
      <w:r w:rsidR="008155AC" w:rsidRPr="0023146D">
        <w:rPr>
          <w:szCs w:val="18"/>
        </w:rPr>
        <w:t>Table 3.72, p191 of the resubmission</w:t>
      </w:r>
      <w:r w:rsidR="00AE760F" w:rsidRPr="0023146D">
        <w:rPr>
          <w:szCs w:val="18"/>
        </w:rPr>
        <w:t>; compiled during the evaluation using the economic Excel model</w:t>
      </w:r>
      <w:r w:rsidR="00094B69" w:rsidRPr="0023146D">
        <w:rPr>
          <w:szCs w:val="18"/>
        </w:rPr>
        <w:t xml:space="preserve"> provided by the resubmission.</w:t>
      </w:r>
    </w:p>
    <w:p w14:paraId="76D81B6A" w14:textId="77777777" w:rsidR="00DB13B1" w:rsidRPr="0023146D" w:rsidRDefault="00F12A14" w:rsidP="00F3324C">
      <w:pPr>
        <w:keepNext/>
        <w:keepLines/>
        <w:widowControl w:val="0"/>
        <w:rPr>
          <w:rFonts w:ascii="Arial Narrow" w:hAnsi="Arial Narrow"/>
          <w:sz w:val="18"/>
          <w:szCs w:val="18"/>
        </w:rPr>
      </w:pPr>
      <w:r w:rsidRPr="0023146D">
        <w:rPr>
          <w:rFonts w:ascii="Arial Narrow" w:hAnsi="Arial Narrow"/>
          <w:sz w:val="18"/>
          <w:szCs w:val="18"/>
        </w:rPr>
        <w:t>cdv = cido</w:t>
      </w:r>
      <w:r w:rsidR="00D40BE6" w:rsidRPr="0023146D">
        <w:rPr>
          <w:rFonts w:ascii="Arial Narrow" w:hAnsi="Arial Narrow"/>
          <w:sz w:val="18"/>
          <w:szCs w:val="18"/>
        </w:rPr>
        <w:t>f</w:t>
      </w:r>
      <w:r w:rsidRPr="0023146D">
        <w:rPr>
          <w:rFonts w:ascii="Arial Narrow" w:hAnsi="Arial Narrow"/>
          <w:sz w:val="18"/>
          <w:szCs w:val="18"/>
        </w:rPr>
        <w:t xml:space="preserve">ovir; </w:t>
      </w:r>
      <w:proofErr w:type="spellStart"/>
      <w:r w:rsidR="00565483" w:rsidRPr="0023146D">
        <w:rPr>
          <w:rFonts w:ascii="Arial Narrow" w:hAnsi="Arial Narrow"/>
          <w:sz w:val="18"/>
          <w:szCs w:val="18"/>
        </w:rPr>
        <w:t>fos</w:t>
      </w:r>
      <w:proofErr w:type="spellEnd"/>
      <w:r w:rsidR="00565483" w:rsidRPr="0023146D">
        <w:rPr>
          <w:rFonts w:ascii="Arial Narrow" w:hAnsi="Arial Narrow"/>
          <w:sz w:val="18"/>
          <w:szCs w:val="18"/>
        </w:rPr>
        <w:t xml:space="preserve"> = foscarnet; </w:t>
      </w:r>
      <w:proofErr w:type="spellStart"/>
      <w:r w:rsidR="00061098" w:rsidRPr="0023146D">
        <w:rPr>
          <w:rFonts w:ascii="Arial Narrow" w:hAnsi="Arial Narrow"/>
          <w:sz w:val="18"/>
          <w:szCs w:val="18"/>
        </w:rPr>
        <w:t>gcv</w:t>
      </w:r>
      <w:proofErr w:type="spellEnd"/>
      <w:r w:rsidR="00061098" w:rsidRPr="0023146D">
        <w:rPr>
          <w:rFonts w:ascii="Arial Narrow" w:hAnsi="Arial Narrow"/>
          <w:sz w:val="18"/>
          <w:szCs w:val="18"/>
        </w:rPr>
        <w:t xml:space="preserve"> = ganciclovir; </w:t>
      </w:r>
      <w:r w:rsidR="00BC59CF" w:rsidRPr="0023146D">
        <w:rPr>
          <w:rFonts w:ascii="Arial Narrow" w:hAnsi="Arial Narrow"/>
          <w:sz w:val="18"/>
          <w:szCs w:val="18"/>
        </w:rPr>
        <w:t>IAT = investigator-assigned anti-CMV treatment</w:t>
      </w:r>
      <w:r w:rsidR="00666603" w:rsidRPr="0023146D">
        <w:rPr>
          <w:rFonts w:ascii="Arial Narrow" w:hAnsi="Arial Narrow"/>
          <w:sz w:val="18"/>
          <w:szCs w:val="18"/>
        </w:rPr>
        <w:t xml:space="preserve">; </w:t>
      </w:r>
      <w:r w:rsidR="00F2029B" w:rsidRPr="0023146D">
        <w:rPr>
          <w:rFonts w:ascii="Arial Narrow" w:hAnsi="Arial Narrow"/>
          <w:sz w:val="18"/>
          <w:szCs w:val="18"/>
        </w:rPr>
        <w:t>ICER = incremental cost</w:t>
      </w:r>
      <w:r w:rsidR="00276171" w:rsidRPr="0023146D">
        <w:rPr>
          <w:rFonts w:ascii="Arial Narrow" w:hAnsi="Arial Narrow"/>
          <w:sz w:val="18"/>
          <w:szCs w:val="18"/>
        </w:rPr>
        <w:t>-</w:t>
      </w:r>
      <w:r w:rsidR="00F2029B" w:rsidRPr="0023146D">
        <w:rPr>
          <w:rFonts w:ascii="Arial Narrow" w:hAnsi="Arial Narrow"/>
          <w:sz w:val="18"/>
          <w:szCs w:val="18"/>
        </w:rPr>
        <w:t>effectiveness ratio;</w:t>
      </w:r>
      <w:r w:rsidR="002C6584" w:rsidRPr="0023146D">
        <w:rPr>
          <w:rFonts w:ascii="Arial Narrow" w:hAnsi="Arial Narrow"/>
          <w:sz w:val="18"/>
          <w:szCs w:val="18"/>
        </w:rPr>
        <w:t xml:space="preserve"> QALY = quality-adjusted life year;</w:t>
      </w:r>
      <w:r w:rsidR="00B10073" w:rsidRPr="0023146D">
        <w:rPr>
          <w:rFonts w:ascii="Arial Narrow" w:hAnsi="Arial Narrow"/>
          <w:sz w:val="18"/>
          <w:szCs w:val="18"/>
        </w:rPr>
        <w:t xml:space="preserve"> QD = once a day;</w:t>
      </w:r>
      <w:r w:rsidR="002C6584" w:rsidRPr="0023146D">
        <w:rPr>
          <w:rFonts w:ascii="Arial Narrow" w:hAnsi="Arial Narrow"/>
          <w:sz w:val="18"/>
          <w:szCs w:val="18"/>
        </w:rPr>
        <w:t xml:space="preserve"> </w:t>
      </w:r>
      <w:r w:rsidR="00BF6476" w:rsidRPr="0023146D">
        <w:rPr>
          <w:rFonts w:ascii="Arial Narrow" w:hAnsi="Arial Narrow"/>
          <w:sz w:val="18"/>
          <w:szCs w:val="18"/>
        </w:rPr>
        <w:t xml:space="preserve">TID = three times per day; </w:t>
      </w:r>
      <w:proofErr w:type="spellStart"/>
      <w:r w:rsidR="00BC1112" w:rsidRPr="0023146D">
        <w:rPr>
          <w:rFonts w:ascii="Arial Narrow" w:hAnsi="Arial Narrow"/>
          <w:sz w:val="18"/>
          <w:szCs w:val="18"/>
        </w:rPr>
        <w:t>vgcv</w:t>
      </w:r>
      <w:proofErr w:type="spellEnd"/>
      <w:r w:rsidR="00BC1112" w:rsidRPr="0023146D">
        <w:rPr>
          <w:rFonts w:ascii="Arial Narrow" w:hAnsi="Arial Narrow"/>
          <w:sz w:val="18"/>
          <w:szCs w:val="18"/>
        </w:rPr>
        <w:t xml:space="preserve"> = valganciclovir</w:t>
      </w:r>
      <w:r w:rsidR="006A2383" w:rsidRPr="0023146D">
        <w:rPr>
          <w:rFonts w:ascii="Arial Narrow" w:hAnsi="Arial Narrow"/>
          <w:sz w:val="18"/>
          <w:szCs w:val="18"/>
        </w:rPr>
        <w:t>; wks = weeks</w:t>
      </w:r>
      <w:r w:rsidR="00E54AE8" w:rsidRPr="0023146D">
        <w:rPr>
          <w:rFonts w:ascii="Arial Narrow" w:hAnsi="Arial Narrow"/>
          <w:sz w:val="18"/>
          <w:szCs w:val="18"/>
        </w:rPr>
        <w:t>.</w:t>
      </w:r>
    </w:p>
    <w:p w14:paraId="1B57E139" w14:textId="77777777" w:rsidR="00822EBE" w:rsidRDefault="00DB13B1" w:rsidP="00F3324C">
      <w:pPr>
        <w:pStyle w:val="FooterTableFigure"/>
        <w:keepNext/>
        <w:keepLines/>
        <w:rPr>
          <w:szCs w:val="18"/>
        </w:rPr>
      </w:pPr>
      <w:r w:rsidRPr="0023146D">
        <w:rPr>
          <w:szCs w:val="18"/>
          <w:vertAlign w:val="superscript"/>
        </w:rPr>
        <w:t xml:space="preserve">a </w:t>
      </w:r>
      <w:r w:rsidR="00D26E5D" w:rsidRPr="0023146D">
        <w:rPr>
          <w:szCs w:val="18"/>
        </w:rPr>
        <w:t xml:space="preserve">based on the difference in </w:t>
      </w:r>
      <w:r w:rsidR="00522909" w:rsidRPr="0023146D">
        <w:rPr>
          <w:szCs w:val="18"/>
        </w:rPr>
        <w:t>CMV viremia clearance</w:t>
      </w:r>
      <w:r w:rsidR="00D26E5D" w:rsidRPr="0023146D">
        <w:rPr>
          <w:szCs w:val="18"/>
        </w:rPr>
        <w:t xml:space="preserve"> observed</w:t>
      </w:r>
      <w:r w:rsidR="00522909" w:rsidRPr="0023146D">
        <w:rPr>
          <w:szCs w:val="18"/>
        </w:rPr>
        <w:t xml:space="preserve"> at any time </w:t>
      </w:r>
      <w:proofErr w:type="gramStart"/>
      <w:r w:rsidR="00522909" w:rsidRPr="0023146D">
        <w:rPr>
          <w:szCs w:val="18"/>
        </w:rPr>
        <w:t>during</w:t>
      </w:r>
      <w:proofErr w:type="gramEnd"/>
      <w:r w:rsidR="00522909" w:rsidRPr="0023146D">
        <w:rPr>
          <w:szCs w:val="18"/>
        </w:rPr>
        <w:t xml:space="preserve"> 8 w</w:t>
      </w:r>
      <w:r w:rsidR="00C04629" w:rsidRPr="0023146D">
        <w:rPr>
          <w:szCs w:val="18"/>
        </w:rPr>
        <w:t>ee</w:t>
      </w:r>
      <w:r w:rsidR="00522909" w:rsidRPr="0023146D">
        <w:rPr>
          <w:szCs w:val="18"/>
        </w:rPr>
        <w:t>k</w:t>
      </w:r>
      <w:r w:rsidR="00C04629" w:rsidRPr="0023146D">
        <w:rPr>
          <w:szCs w:val="18"/>
        </w:rPr>
        <w:t>s</w:t>
      </w:r>
      <w:r w:rsidR="00522909" w:rsidRPr="0023146D">
        <w:rPr>
          <w:szCs w:val="18"/>
        </w:rPr>
        <w:t xml:space="preserve"> treatment period</w:t>
      </w:r>
      <w:r w:rsidR="00E54AE8" w:rsidRPr="0023146D">
        <w:rPr>
          <w:szCs w:val="18"/>
        </w:rPr>
        <w:t xml:space="preserve"> </w:t>
      </w:r>
      <w:r w:rsidR="00D26E5D" w:rsidRPr="0023146D">
        <w:rPr>
          <w:szCs w:val="18"/>
        </w:rPr>
        <w:t xml:space="preserve">(see </w:t>
      </w:r>
      <w:r w:rsidR="00AA10BF" w:rsidRPr="00AA10BF">
        <w:rPr>
          <w:szCs w:val="18"/>
        </w:rPr>
        <w:fldChar w:fldCharType="begin" w:fldLock="1"/>
      </w:r>
      <w:r w:rsidR="00AA10BF" w:rsidRPr="00AA10BF">
        <w:rPr>
          <w:szCs w:val="18"/>
        </w:rPr>
        <w:instrText xml:space="preserve"> REF _Ref175647237 \h  \* MERGEFORMAT </w:instrText>
      </w:r>
      <w:r w:rsidR="00AA10BF" w:rsidRPr="00AA10BF">
        <w:rPr>
          <w:szCs w:val="18"/>
        </w:rPr>
      </w:r>
      <w:r w:rsidR="00AA10BF" w:rsidRPr="00AA10BF">
        <w:rPr>
          <w:szCs w:val="18"/>
        </w:rPr>
        <w:fldChar w:fldCharType="separate"/>
      </w:r>
      <w:r w:rsidR="008854AA" w:rsidRPr="008854AA">
        <w:rPr>
          <w:szCs w:val="18"/>
        </w:rPr>
        <w:t xml:space="preserve">Table </w:t>
      </w:r>
      <w:r w:rsidR="008854AA" w:rsidRPr="008854AA">
        <w:rPr>
          <w:noProof/>
          <w:szCs w:val="18"/>
        </w:rPr>
        <w:t>5</w:t>
      </w:r>
      <w:r w:rsidR="00AA10BF" w:rsidRPr="00AA10BF">
        <w:rPr>
          <w:szCs w:val="18"/>
        </w:rPr>
        <w:fldChar w:fldCharType="end"/>
      </w:r>
      <w:r w:rsidR="00D26E5D" w:rsidRPr="0023146D">
        <w:rPr>
          <w:szCs w:val="18"/>
        </w:rPr>
        <w:t>) as compared with the base case analysis which used the difference at 8 weeks</w:t>
      </w:r>
      <w:r w:rsidR="00AB6F7B" w:rsidRPr="0023146D">
        <w:rPr>
          <w:szCs w:val="18"/>
        </w:rPr>
        <w:t>.</w:t>
      </w:r>
    </w:p>
    <w:p w14:paraId="185730BB" w14:textId="62A97E1C" w:rsidR="00822EBE" w:rsidRDefault="00822EBE" w:rsidP="00F3324C">
      <w:pPr>
        <w:pStyle w:val="FooterTableFigure"/>
        <w:keepNext/>
        <w:keepLines/>
        <w:rPr>
          <w:i/>
          <w:iCs/>
        </w:rPr>
      </w:pPr>
      <w:r w:rsidRPr="00822EBE">
        <w:rPr>
          <w:i/>
          <w:iCs/>
        </w:rPr>
        <w:t xml:space="preserve"> </w:t>
      </w:r>
      <w:r w:rsidRPr="00BA54D0">
        <w:rPr>
          <w:i/>
          <w:iCs/>
        </w:rPr>
        <w:t>The redacted values correspond to the following ranges:</w:t>
      </w:r>
    </w:p>
    <w:p w14:paraId="63F547AE" w14:textId="438EB23D" w:rsidR="00822EBE" w:rsidRPr="00015E2E" w:rsidRDefault="00822EBE" w:rsidP="00F3324C">
      <w:pPr>
        <w:pStyle w:val="FooterTableFigure"/>
        <w:keepNext/>
        <w:keepLines/>
        <w:rPr>
          <w:i/>
          <w:iCs/>
        </w:rPr>
      </w:pPr>
      <w:r w:rsidRPr="00122F3B">
        <w:rPr>
          <w:i/>
          <w:iCs/>
        </w:rPr>
        <w:t>1</w:t>
      </w:r>
      <w:r w:rsidR="00122F3B">
        <w:rPr>
          <w:i/>
          <w:iCs/>
        </w:rPr>
        <w:t xml:space="preserve"> </w:t>
      </w:r>
      <w:r w:rsidRPr="000E6E41">
        <w:rPr>
          <w:i/>
          <w:iCs/>
        </w:rPr>
        <w:t>$45,000 to &lt; $55,000</w:t>
      </w:r>
      <w:r>
        <w:rPr>
          <w:i/>
          <w:iCs/>
        </w:rPr>
        <w:t xml:space="preserve"> </w:t>
      </w:r>
    </w:p>
    <w:p w14:paraId="3288374E" w14:textId="5E42CC0F" w:rsidR="002567A7" w:rsidRDefault="00122F3B" w:rsidP="00F3324C">
      <w:pPr>
        <w:pStyle w:val="FooterTableFigure"/>
        <w:keepNext/>
        <w:keepLines/>
        <w:rPr>
          <w:i/>
          <w:iCs/>
        </w:rPr>
      </w:pPr>
      <w:r w:rsidRPr="00122F3B">
        <w:rPr>
          <w:i/>
          <w:iCs/>
        </w:rPr>
        <w:t xml:space="preserve">2 </w:t>
      </w:r>
      <w:r w:rsidR="00822EBE" w:rsidRPr="009B2C29">
        <w:rPr>
          <w:i/>
          <w:iCs/>
        </w:rPr>
        <w:t>$115,000 to &lt; $135,000</w:t>
      </w:r>
    </w:p>
    <w:p w14:paraId="18D4B358" w14:textId="77777777" w:rsidR="003E1B76" w:rsidRDefault="002567A7" w:rsidP="00F3324C">
      <w:pPr>
        <w:pStyle w:val="FooterTableFigure"/>
        <w:keepNext/>
        <w:keepLines/>
        <w:rPr>
          <w:i/>
          <w:iCs/>
        </w:rPr>
      </w:pPr>
      <w:r>
        <w:rPr>
          <w:i/>
          <w:iCs/>
        </w:rPr>
        <w:t xml:space="preserve">3 </w:t>
      </w:r>
      <w:bookmarkStart w:id="55" w:name="_Hlk185931083"/>
      <w:r w:rsidRPr="002567A7">
        <w:rPr>
          <w:i/>
          <w:iCs/>
        </w:rPr>
        <w:t xml:space="preserve">$55,000 to &lt; $75,000 </w:t>
      </w:r>
      <w:bookmarkEnd w:id="55"/>
    </w:p>
    <w:p w14:paraId="53C8E3B6" w14:textId="37C2023E" w:rsidR="00125DE3" w:rsidRDefault="003E1B76" w:rsidP="00F3324C">
      <w:pPr>
        <w:pStyle w:val="FooterTableFigure"/>
        <w:keepNext/>
        <w:keepLines/>
        <w:rPr>
          <w:i/>
          <w:iCs/>
        </w:rPr>
      </w:pPr>
      <w:r w:rsidRPr="003E1B76">
        <w:rPr>
          <w:i/>
          <w:iCs/>
        </w:rPr>
        <w:t xml:space="preserve">4 </w:t>
      </w:r>
      <w:r w:rsidR="002567A7" w:rsidRPr="002567A7">
        <w:rPr>
          <w:i/>
          <w:iCs/>
        </w:rPr>
        <w:t>$75,000 to &lt; $95,000</w:t>
      </w:r>
    </w:p>
    <w:p w14:paraId="3C0AB8D8" w14:textId="439B4C11" w:rsidR="00125DE3" w:rsidRPr="00125DE3" w:rsidRDefault="00125DE3" w:rsidP="00F3324C">
      <w:pPr>
        <w:pStyle w:val="FooterTableFigure"/>
        <w:keepNext/>
        <w:keepLines/>
        <w:rPr>
          <w:i/>
          <w:iCs/>
        </w:rPr>
      </w:pPr>
      <w:bookmarkStart w:id="56" w:name="_Hlk185931156"/>
      <w:r>
        <w:rPr>
          <w:i/>
          <w:iCs/>
        </w:rPr>
        <w:t xml:space="preserve">5 </w:t>
      </w:r>
      <w:r w:rsidRPr="00125DE3">
        <w:rPr>
          <w:i/>
          <w:iCs/>
        </w:rPr>
        <w:t>$155,000 to &lt; $255,000</w:t>
      </w:r>
    </w:p>
    <w:bookmarkEnd w:id="56"/>
    <w:p w14:paraId="7A315032" w14:textId="0815880E" w:rsidR="00846DBC" w:rsidRPr="00846DBC" w:rsidRDefault="00125DE3" w:rsidP="00F3324C">
      <w:pPr>
        <w:pStyle w:val="FooterTableFigure"/>
        <w:keepNext/>
        <w:keepLines/>
        <w:rPr>
          <w:i/>
          <w:iCs/>
        </w:rPr>
      </w:pPr>
      <w:r>
        <w:rPr>
          <w:i/>
          <w:iCs/>
        </w:rPr>
        <w:t>6</w:t>
      </w:r>
      <w:r w:rsidR="00846DBC">
        <w:rPr>
          <w:i/>
          <w:iCs/>
        </w:rPr>
        <w:t xml:space="preserve"> </w:t>
      </w:r>
      <w:r w:rsidR="00846DBC" w:rsidRPr="00846DBC">
        <w:rPr>
          <w:i/>
          <w:iCs/>
        </w:rPr>
        <w:t>$255,000 to &lt; $355,000</w:t>
      </w:r>
    </w:p>
    <w:p w14:paraId="20915F17" w14:textId="0BEEFBA6" w:rsidR="00732F7D" w:rsidRPr="0023146D" w:rsidRDefault="00125DE3" w:rsidP="00125DE3">
      <w:pPr>
        <w:pStyle w:val="FooterTableFigure"/>
        <w:rPr>
          <w:rStyle w:val="CommentReference"/>
          <w:sz w:val="18"/>
          <w:szCs w:val="18"/>
        </w:rPr>
      </w:pPr>
      <w:r>
        <w:rPr>
          <w:i/>
          <w:iCs/>
        </w:rPr>
        <w:t xml:space="preserve">7 </w:t>
      </w:r>
      <w:r w:rsidR="00C36690" w:rsidRPr="00C36690">
        <w:rPr>
          <w:i/>
          <w:iCs/>
        </w:rPr>
        <w:t xml:space="preserve">$95,000 to &lt; $115,000 </w:t>
      </w:r>
    </w:p>
    <w:p w14:paraId="4BE3204B" w14:textId="5B731A00" w:rsidR="00B24EEC" w:rsidRDefault="00B24EEC" w:rsidP="00601E82">
      <w:pPr>
        <w:pStyle w:val="3-BodyText"/>
      </w:pPr>
      <w:bookmarkStart w:id="57" w:name="_Hlk176098271"/>
      <w:r w:rsidRPr="00F57F1D">
        <w:t xml:space="preserve">The model </w:t>
      </w:r>
      <w:r w:rsidR="006B02AA">
        <w:t>wa</w:t>
      </w:r>
      <w:r w:rsidRPr="00F57F1D">
        <w:t xml:space="preserve">s highly sensitive to the clearance effect </w:t>
      </w:r>
      <w:r w:rsidR="00920D4F" w:rsidRPr="00F57F1D">
        <w:t xml:space="preserve">of maribavir </w:t>
      </w:r>
      <w:r w:rsidRPr="00F57F1D">
        <w:t>at week 8 (the primary endpoint</w:t>
      </w:r>
      <w:r w:rsidR="003E648C" w:rsidRPr="00F57F1D">
        <w:t xml:space="preserve"> in SOLSTICE</w:t>
      </w:r>
      <w:r w:rsidRPr="00F57F1D">
        <w:t xml:space="preserve">). A 5% reduction in this effect increased the ICER by </w:t>
      </w:r>
      <w:r w:rsidR="007548FA" w:rsidRPr="0027615A">
        <w:rPr>
          <w:color w:val="000000"/>
          <w:w w:val="15"/>
          <w:shd w:val="solid" w:color="000000" w:fill="000000"/>
          <w:fitText w:val="-20" w:id="-760538110"/>
          <w14:textFill>
            <w14:solidFill>
              <w14:srgbClr w14:val="000000">
                <w14:alpha w14:val="100000"/>
              </w14:srgbClr>
            </w14:solidFill>
          </w14:textFill>
        </w:rPr>
        <w:t xml:space="preserve">|  </w:t>
      </w:r>
      <w:r w:rsidR="007548FA" w:rsidRPr="0027615A">
        <w:rPr>
          <w:color w:val="000000"/>
          <w:spacing w:val="-69"/>
          <w:w w:val="15"/>
          <w:shd w:val="solid" w:color="000000" w:fill="000000"/>
          <w:fitText w:val="-20" w:id="-760538110"/>
          <w14:textFill>
            <w14:solidFill>
              <w14:srgbClr w14:val="000000">
                <w14:alpha w14:val="100000"/>
              </w14:srgbClr>
            </w14:solidFill>
          </w14:textFill>
        </w:rPr>
        <w:t>|</w:t>
      </w:r>
      <w:r w:rsidRPr="00F57F1D">
        <w:t>%</w:t>
      </w:r>
      <w:r w:rsidR="00276171" w:rsidRPr="00F57F1D">
        <w:t xml:space="preserve"> (to </w:t>
      </w:r>
      <w:r w:rsidR="00125DE3" w:rsidRPr="00125DE3">
        <w:t xml:space="preserve">$55,000 to &lt; $75,000 </w:t>
      </w:r>
      <w:r w:rsidR="00276171" w:rsidRPr="00F57F1D">
        <w:t>per QALY)</w:t>
      </w:r>
      <w:r w:rsidR="00592F72" w:rsidRPr="00F57F1D">
        <w:t>.</w:t>
      </w:r>
      <w:r w:rsidR="00712274" w:rsidRPr="00F57F1D">
        <w:t xml:space="preserve"> </w:t>
      </w:r>
      <w:r w:rsidR="00305907" w:rsidRPr="00F57F1D">
        <w:t>A</w:t>
      </w:r>
      <w:r w:rsidR="00DC087A" w:rsidRPr="00F57F1D">
        <w:t>ssuming the effect</w:t>
      </w:r>
      <w:r w:rsidRPr="00F57F1D">
        <w:t xml:space="preserve"> </w:t>
      </w:r>
      <w:r w:rsidR="00DC087A" w:rsidRPr="00F57F1D">
        <w:t xml:space="preserve">is the same as </w:t>
      </w:r>
      <w:r w:rsidR="00276171" w:rsidRPr="00F57F1D">
        <w:t>th</w:t>
      </w:r>
      <w:r w:rsidR="00D26E5D" w:rsidRPr="00F57F1D">
        <w:t xml:space="preserve">e difference </w:t>
      </w:r>
      <w:r w:rsidR="00DC087A" w:rsidRPr="00F57F1D">
        <w:t xml:space="preserve">observed </w:t>
      </w:r>
      <w:r w:rsidR="008D72C5" w:rsidRPr="00F57F1D">
        <w:t xml:space="preserve">in the proportion who experienced </w:t>
      </w:r>
      <w:r w:rsidR="00390640" w:rsidRPr="00F57F1D">
        <w:t xml:space="preserve">viremia clearance at any time </w:t>
      </w:r>
      <w:r w:rsidR="00DC087A" w:rsidRPr="00F57F1D">
        <w:t xml:space="preserve">during </w:t>
      </w:r>
      <w:r w:rsidR="00276171" w:rsidRPr="00F57F1D">
        <w:t xml:space="preserve">the </w:t>
      </w:r>
      <w:r w:rsidR="00DC087A" w:rsidRPr="00F57F1D">
        <w:t>8-week treatment</w:t>
      </w:r>
      <w:r w:rsidR="008D72C5" w:rsidRPr="00F57F1D">
        <w:t xml:space="preserve"> period</w:t>
      </w:r>
      <w:r w:rsidR="00DC087A" w:rsidRPr="00F57F1D">
        <w:t xml:space="preserve"> </w:t>
      </w:r>
      <w:r w:rsidRPr="00F57F1D">
        <w:t xml:space="preserve">increased the ICER by </w:t>
      </w:r>
      <w:r w:rsidR="007548FA" w:rsidRPr="0027615A">
        <w:rPr>
          <w:color w:val="000000"/>
          <w:w w:val="15"/>
          <w:shd w:val="solid" w:color="000000" w:fill="000000"/>
          <w:fitText w:val="-20" w:id="-760538109"/>
          <w14:textFill>
            <w14:solidFill>
              <w14:srgbClr w14:val="000000">
                <w14:alpha w14:val="100000"/>
              </w14:srgbClr>
            </w14:solidFill>
          </w14:textFill>
        </w:rPr>
        <w:t xml:space="preserve">|  </w:t>
      </w:r>
      <w:r w:rsidR="007548FA" w:rsidRPr="0027615A">
        <w:rPr>
          <w:color w:val="000000"/>
          <w:spacing w:val="-69"/>
          <w:w w:val="15"/>
          <w:shd w:val="solid" w:color="000000" w:fill="000000"/>
          <w:fitText w:val="-20" w:id="-760538109"/>
          <w14:textFill>
            <w14:solidFill>
              <w14:srgbClr w14:val="000000">
                <w14:alpha w14:val="100000"/>
              </w14:srgbClr>
            </w14:solidFill>
          </w14:textFill>
        </w:rPr>
        <w:t>|</w:t>
      </w:r>
      <w:r w:rsidRPr="00F57F1D">
        <w:t>%</w:t>
      </w:r>
      <w:r w:rsidR="00276171" w:rsidRPr="00F57F1D">
        <w:t xml:space="preserve"> (to </w:t>
      </w:r>
      <w:r w:rsidR="00413510" w:rsidRPr="00413510">
        <w:t>$155,000 to &lt; $255,000</w:t>
      </w:r>
      <w:r w:rsidR="00F3324C">
        <w:t xml:space="preserve"> </w:t>
      </w:r>
      <w:r w:rsidR="00276171" w:rsidRPr="00F57F1D">
        <w:t>per QALY)</w:t>
      </w:r>
      <w:r w:rsidRPr="00F57F1D">
        <w:t xml:space="preserve">. </w:t>
      </w:r>
      <w:r w:rsidR="006B02AA">
        <w:t xml:space="preserve">The pre-PBAC response acknowledged that the uncertainty in the clinical </w:t>
      </w:r>
      <w:r w:rsidR="006B02AA">
        <w:lastRenderedPageBreak/>
        <w:t xml:space="preserve">efficacy is partially driven by the significant drop out rate in the IAT arm of the trial. </w:t>
      </w:r>
      <w:r w:rsidRPr="00F57F1D">
        <w:t xml:space="preserve">Additionally, the model </w:t>
      </w:r>
      <w:r w:rsidR="00276171" w:rsidRPr="00F57F1D">
        <w:t>wa</w:t>
      </w:r>
      <w:r w:rsidRPr="00F57F1D">
        <w:t>s sensitive to assumptions regarding recurrence,</w:t>
      </w:r>
      <w:r w:rsidR="00DF335A" w:rsidRPr="00F57F1D">
        <w:t xml:space="preserve"> and </w:t>
      </w:r>
      <w:r w:rsidR="00276171" w:rsidRPr="00F57F1D">
        <w:t xml:space="preserve">the </w:t>
      </w:r>
      <w:r w:rsidR="00DF335A" w:rsidRPr="00F57F1D">
        <w:t>estimate</w:t>
      </w:r>
      <w:r w:rsidR="00276171" w:rsidRPr="00F57F1D">
        <w:t>s</w:t>
      </w:r>
      <w:r w:rsidR="00DF335A" w:rsidRPr="00F57F1D">
        <w:t xml:space="preserve"> of</w:t>
      </w:r>
      <w:r w:rsidRPr="00F57F1D">
        <w:t xml:space="preserve"> IAT</w:t>
      </w:r>
      <w:r w:rsidR="00DF335A" w:rsidRPr="00F57F1D">
        <w:t xml:space="preserve"> </w:t>
      </w:r>
      <w:r w:rsidRPr="00F57F1D">
        <w:t xml:space="preserve">and subsequent treatment costs, which are primarily influenced by the estimated use of </w:t>
      </w:r>
      <w:r w:rsidR="00DF335A" w:rsidRPr="00F57F1D">
        <w:t>foscarnet</w:t>
      </w:r>
      <w:r w:rsidRPr="00F57F1D">
        <w:t>.</w:t>
      </w:r>
    </w:p>
    <w:p w14:paraId="2FF0FA20" w14:textId="48BD9273" w:rsidR="00877724" w:rsidRDefault="00877724" w:rsidP="00601E82">
      <w:pPr>
        <w:pStyle w:val="3-BodyText"/>
      </w:pPr>
      <w:r w:rsidRPr="00045880">
        <w:t xml:space="preserve">The ESC noted that a multivariate analysis that included individual IAT duration and treatment independent recurrence rates resulted in an ICER of </w:t>
      </w:r>
      <w:r w:rsidR="00247757" w:rsidRPr="00247757">
        <w:t>$75,000 to &lt;</w:t>
      </w:r>
      <w:r w:rsidR="00F3324C">
        <w:t> </w:t>
      </w:r>
      <w:r w:rsidR="00247757" w:rsidRPr="00247757">
        <w:t>$95,000</w:t>
      </w:r>
      <w:r w:rsidR="00F3324C">
        <w:t xml:space="preserve"> </w:t>
      </w:r>
      <w:r w:rsidRPr="00045880">
        <w:t xml:space="preserve">per QALY. Reducing the proportion of foscarnet retreatment use in IAT by </w:t>
      </w:r>
      <w:r w:rsidRPr="00204D93">
        <w:t>50</w:t>
      </w:r>
      <w:r w:rsidRPr="00045880">
        <w:t xml:space="preserve">%, in addition to these inputs, resulted in an ICER of </w:t>
      </w:r>
      <w:r w:rsidR="00423A96" w:rsidRPr="00423A96">
        <w:t xml:space="preserve">$95,000 to &lt; $115,000 </w:t>
      </w:r>
      <w:r w:rsidRPr="00045880">
        <w:t xml:space="preserve">per QALY. </w:t>
      </w:r>
    </w:p>
    <w:p w14:paraId="66E58E72" w14:textId="2BA82CE1" w:rsidR="006B02AA" w:rsidRDefault="006B02AA" w:rsidP="00601E82">
      <w:pPr>
        <w:pStyle w:val="3-BodyText"/>
      </w:pPr>
      <w:bookmarkStart w:id="58" w:name="_Ref182901732"/>
      <w:r>
        <w:t>The pre-PBAC response proposed a revised base case, in which treatment agnostic recurrence rates and individual IAT drug treatment durations were applied, and with the reduced proposed price for maribavir ($</w:t>
      </w:r>
      <w:r w:rsidR="007548FA" w:rsidRPr="0027615A">
        <w:rPr>
          <w:color w:val="000000"/>
          <w:w w:val="15"/>
          <w:shd w:val="solid" w:color="000000" w:fill="000000"/>
          <w:fitText w:val="-20" w:id="-760538108"/>
          <w14:textFill>
            <w14:solidFill>
              <w14:srgbClr w14:val="000000">
                <w14:alpha w14:val="100000"/>
              </w14:srgbClr>
            </w14:solidFill>
          </w14:textFill>
        </w:rPr>
        <w:t xml:space="preserve">|  </w:t>
      </w:r>
      <w:r w:rsidR="007548FA" w:rsidRPr="0027615A">
        <w:rPr>
          <w:color w:val="000000"/>
          <w:spacing w:val="-69"/>
          <w:w w:val="15"/>
          <w:shd w:val="solid" w:color="000000" w:fill="000000"/>
          <w:fitText w:val="-20" w:id="-760538108"/>
          <w14:textFill>
            <w14:solidFill>
              <w14:srgbClr w14:val="000000">
                <w14:alpha w14:val="100000"/>
              </w14:srgbClr>
            </w14:solidFill>
          </w14:textFill>
        </w:rPr>
        <w:t>|</w:t>
      </w:r>
      <w:r>
        <w:t xml:space="preserve"> weighted public/private DPMQ). This resulted in an ICER of </w:t>
      </w:r>
      <w:r w:rsidR="00F3219F" w:rsidRPr="00F3219F">
        <w:t>$55,000 to &lt; $75,000</w:t>
      </w:r>
      <w:r>
        <w:t xml:space="preserve">. The PBAC noted that when the share of foscarnet in retreatment was reduced by </w:t>
      </w:r>
      <w:r w:rsidRPr="009D7E12">
        <w:t>50</w:t>
      </w:r>
      <w:r>
        <w:t xml:space="preserve">% and the time horizon reduced to 2 years, the ICER increased to </w:t>
      </w:r>
      <w:r w:rsidR="00D05C4E" w:rsidRPr="00D05C4E">
        <w:t>$155,000 to &lt; $255,000</w:t>
      </w:r>
      <w:r w:rsidR="00F3324C">
        <w:t xml:space="preserve"> </w:t>
      </w:r>
      <w:r>
        <w:t>per QALY.</w:t>
      </w:r>
      <w:bookmarkEnd w:id="58"/>
      <w:r>
        <w:t xml:space="preserve"> </w:t>
      </w:r>
    </w:p>
    <w:p w14:paraId="30F38BA4" w14:textId="6094C57E" w:rsidR="006B02AA" w:rsidRPr="00045880" w:rsidRDefault="006B02AA" w:rsidP="00601E82">
      <w:pPr>
        <w:pStyle w:val="3-BodyText"/>
      </w:pPr>
      <w:r>
        <w:t>The PBAC noted that input from the sponsor hearing, from a clinician experienced in the used of maribavir</w:t>
      </w:r>
      <w:r w:rsidR="00964407">
        <w:t>,</w:t>
      </w:r>
      <w:r>
        <w:t xml:space="preserve"> indicated that the treatment duration in the SOLSTICE trial is unlikely to reflect its use in clinical practice. The PBAC noted the advice that response to maribavir is likely to be assessed frequently and use is likely to be </w:t>
      </w:r>
      <w:proofErr w:type="gramStart"/>
      <w:r>
        <w:t>similar to</w:t>
      </w:r>
      <w:proofErr w:type="gramEnd"/>
      <w:r>
        <w:t xml:space="preserve"> other treatments for CMV. Noting that the model assumed 7.5 weeks of maribavir treatment, and 5.14 weeks (average) for IAT, the PBAC considered that treatment costs for maribavir are likely to be overestimated in the model as they were driven by the 8-week trial design. The PBAC noted that </w:t>
      </w:r>
      <w:r w:rsidR="00E12474">
        <w:t xml:space="preserve">the ICER was sensitive to the treatment duration for maribavir and </w:t>
      </w:r>
      <w:r>
        <w:t xml:space="preserve">when the duration was reduced to that of valganciclovir (5.64 weeks, the longest of IAT) in the more conservative analysis (as per paragraph </w:t>
      </w:r>
      <w:r>
        <w:fldChar w:fldCharType="begin" w:fldLock="1"/>
      </w:r>
      <w:r>
        <w:instrText xml:space="preserve"> REF _Ref182901732 \r \h </w:instrText>
      </w:r>
      <w:r>
        <w:fldChar w:fldCharType="separate"/>
      </w:r>
      <w:r w:rsidR="008854AA">
        <w:t>6.45</w:t>
      </w:r>
      <w:r>
        <w:fldChar w:fldCharType="end"/>
      </w:r>
      <w:r>
        <w:t xml:space="preserve">) the ICER was reduced from </w:t>
      </w:r>
      <w:r w:rsidR="00C74FE1" w:rsidRPr="00C74FE1">
        <w:t>$155,000 to &lt; $255,000</w:t>
      </w:r>
      <w:r w:rsidR="00F3324C">
        <w:t xml:space="preserve"> </w:t>
      </w:r>
      <w:r>
        <w:t xml:space="preserve">per QALY to </w:t>
      </w:r>
      <w:r w:rsidR="008E1352" w:rsidRPr="008E1352">
        <w:t>$5,000</w:t>
      </w:r>
      <w:r w:rsidR="00F3324C">
        <w:t> </w:t>
      </w:r>
      <w:r w:rsidR="008E1352" w:rsidRPr="008E1352">
        <w:t>to</w:t>
      </w:r>
      <w:r w:rsidR="00F3324C">
        <w:t> </w:t>
      </w:r>
      <w:r w:rsidR="008E1352" w:rsidRPr="008E1352">
        <w:t>&lt;</w:t>
      </w:r>
      <w:r w:rsidR="00F3324C">
        <w:t> </w:t>
      </w:r>
      <w:r w:rsidR="008E1352" w:rsidRPr="008E1352">
        <w:t xml:space="preserve">$15,000 </w:t>
      </w:r>
      <w:r>
        <w:t xml:space="preserve">per QALY. </w:t>
      </w:r>
    </w:p>
    <w:p w14:paraId="5F62284E" w14:textId="64349BA0" w:rsidR="00732F7D" w:rsidRPr="0023146D" w:rsidRDefault="00732F7D" w:rsidP="00601E82">
      <w:pPr>
        <w:pStyle w:val="4-SubsectionHeading"/>
        <w:keepNext w:val="0"/>
      </w:pPr>
      <w:bookmarkStart w:id="59" w:name="_Toc22897646"/>
      <w:bookmarkStart w:id="60" w:name="_Toc177482517"/>
      <w:bookmarkEnd w:id="57"/>
      <w:r w:rsidRPr="0023146D">
        <w:t>Drug cost/patient/course</w:t>
      </w:r>
      <w:bookmarkEnd w:id="59"/>
      <w:bookmarkEnd w:id="60"/>
    </w:p>
    <w:p w14:paraId="3DED5BD3" w14:textId="7DFD2497" w:rsidR="00481FFF" w:rsidRPr="00F57F1D" w:rsidRDefault="00481FFF" w:rsidP="00601E82">
      <w:pPr>
        <w:pStyle w:val="3-BodyText"/>
        <w:spacing w:after="240"/>
      </w:pPr>
      <w:bookmarkStart w:id="61" w:name="_Ref104805102"/>
      <w:r w:rsidRPr="0023146D">
        <w:t xml:space="preserve">A summary of </w:t>
      </w:r>
      <w:r w:rsidR="00817356" w:rsidRPr="0023146D">
        <w:t>the</w:t>
      </w:r>
      <w:r w:rsidRPr="0023146D">
        <w:t xml:space="preserve"> drug cost</w:t>
      </w:r>
      <w:r w:rsidR="00817356" w:rsidRPr="0023146D">
        <w:t>s</w:t>
      </w:r>
      <w:r w:rsidRPr="0023146D">
        <w:t xml:space="preserve"> per patient for maribavir and IAT is presented in</w:t>
      </w:r>
      <w:r w:rsidR="00D75AC9">
        <w:t xml:space="preserve"> </w:t>
      </w:r>
      <w:r w:rsidR="00D75AC9">
        <w:fldChar w:fldCharType="begin" w:fldLock="1"/>
      </w:r>
      <w:r w:rsidR="00D75AC9">
        <w:instrText xml:space="preserve"> REF _Hlk176712995 \h </w:instrText>
      </w:r>
      <w:r w:rsidR="00D75AC9">
        <w:fldChar w:fldCharType="separate"/>
      </w:r>
      <w:r w:rsidR="008854AA" w:rsidRPr="0023146D">
        <w:t xml:space="preserve">Table </w:t>
      </w:r>
      <w:r w:rsidR="008854AA">
        <w:rPr>
          <w:noProof/>
        </w:rPr>
        <w:t>12</w:t>
      </w:r>
      <w:r w:rsidR="00D75AC9">
        <w:fldChar w:fldCharType="end"/>
      </w:r>
      <w:r w:rsidRPr="0023146D">
        <w:t xml:space="preserve">. </w:t>
      </w:r>
      <w:r w:rsidRPr="00F57F1D">
        <w:t>The estimate</w:t>
      </w:r>
      <w:r w:rsidR="00C9125A" w:rsidRPr="00F57F1D">
        <w:t>s</w:t>
      </w:r>
      <w:r w:rsidRPr="00F57F1D">
        <w:t xml:space="preserve"> </w:t>
      </w:r>
      <w:r w:rsidR="00C9125A" w:rsidRPr="00F57F1D">
        <w:t xml:space="preserve">are </w:t>
      </w:r>
      <w:r w:rsidRPr="00F57F1D">
        <w:t xml:space="preserve">based on the available data from the fixed 8-week treatment course in SOLSTICE. </w:t>
      </w:r>
      <w:r w:rsidR="006B02AA">
        <w:t xml:space="preserve">The evaluation noted that </w:t>
      </w:r>
      <w:r w:rsidR="00B82ACF">
        <w:t xml:space="preserve">the </w:t>
      </w:r>
      <w:r w:rsidR="00535574" w:rsidRPr="00F57F1D">
        <w:t xml:space="preserve">total cost per course shown </w:t>
      </w:r>
      <w:r w:rsidRPr="00F57F1D">
        <w:t xml:space="preserve">is </w:t>
      </w:r>
      <w:r w:rsidR="00535574" w:rsidRPr="00F57F1D">
        <w:t xml:space="preserve">likely an underestimate </w:t>
      </w:r>
      <w:r w:rsidRPr="00F57F1D">
        <w:t>where extended or repeated courses of treatment</w:t>
      </w:r>
      <w:r w:rsidR="00535574" w:rsidRPr="00F57F1D">
        <w:t xml:space="preserve"> (for maribavir or IAT)</w:t>
      </w:r>
      <w:r w:rsidRPr="00F57F1D">
        <w:t xml:space="preserve"> might be necessary.</w:t>
      </w:r>
      <w:r w:rsidR="006B02AA">
        <w:t xml:space="preserve"> However, the PBAC also noted that the fixed 8-week treatment course in SOLSTICE was longer than maribavir and IATs are likely to be used in practice. Therefore, although repeated courses have not been accounted for, drug costs per patient per course are likely to be overestimated.</w:t>
      </w:r>
    </w:p>
    <w:p w14:paraId="55E879DA" w14:textId="377360A5" w:rsidR="00481FFF" w:rsidRPr="0023146D" w:rsidRDefault="00481FFF" w:rsidP="002F64DA">
      <w:pPr>
        <w:pStyle w:val="Caption"/>
        <w:rPr>
          <w:rStyle w:val="CommentReference"/>
          <w:b/>
          <w:szCs w:val="24"/>
        </w:rPr>
      </w:pPr>
      <w:bookmarkStart w:id="62" w:name="_Hlk176712995"/>
      <w:r w:rsidRPr="0023146D">
        <w:lastRenderedPageBreak/>
        <w:t xml:space="preserve">Table </w:t>
      </w:r>
      <w:r w:rsidR="008A7014">
        <w:fldChar w:fldCharType="begin" w:fldLock="1"/>
      </w:r>
      <w:r w:rsidR="008A7014">
        <w:instrText xml:space="preserve"> SEQ Table \* ARABIC </w:instrText>
      </w:r>
      <w:r w:rsidR="008A7014">
        <w:fldChar w:fldCharType="separate"/>
      </w:r>
      <w:r w:rsidR="008854AA">
        <w:rPr>
          <w:noProof/>
        </w:rPr>
        <w:t>12</w:t>
      </w:r>
      <w:r w:rsidR="008A7014">
        <w:fldChar w:fldCharType="end"/>
      </w:r>
      <w:bookmarkEnd w:id="62"/>
      <w:r w:rsidRPr="0023146D">
        <w:t>:</w:t>
      </w:r>
      <w:r w:rsidRPr="0023146D">
        <w:rPr>
          <w:rStyle w:val="CommentReference"/>
          <w:b/>
          <w:szCs w:val="24"/>
        </w:rPr>
        <w:t xml:space="preserve"> </w:t>
      </w:r>
      <w:r w:rsidRPr="0023146D">
        <w:rPr>
          <w:rStyle w:val="CommentReference"/>
          <w:b/>
          <w:szCs w:val="20"/>
        </w:rPr>
        <w:t>Drug cost per patient for maribavir and IAT</w:t>
      </w:r>
      <w:r w:rsidRPr="0023146D" w:rsidDel="00393CE0">
        <w:rPr>
          <w:rStyle w:val="CommentReference"/>
          <w:b/>
          <w:szCs w:val="24"/>
        </w:rPr>
        <w:t xml:space="preserve"> </w:t>
      </w:r>
    </w:p>
    <w:tbl>
      <w:tblPr>
        <w:tblStyle w:val="TableGrid"/>
        <w:tblW w:w="5028" w:type="pct"/>
        <w:tblLayout w:type="fixed"/>
        <w:tblLook w:val="04A0" w:firstRow="1" w:lastRow="0" w:firstColumn="1" w:lastColumn="0" w:noHBand="0" w:noVBand="1"/>
        <w:tblCaption w:val="Table 12: Drug cost per patient for maribavir and IAT "/>
        <w:tblDescription w:val="Table 12: Drug cost per patient for maribavir and IAT "/>
      </w:tblPr>
      <w:tblGrid>
        <w:gridCol w:w="1194"/>
        <w:gridCol w:w="1082"/>
        <w:gridCol w:w="1081"/>
        <w:gridCol w:w="1079"/>
        <w:gridCol w:w="1200"/>
        <w:gridCol w:w="1142"/>
        <w:gridCol w:w="1226"/>
        <w:gridCol w:w="1063"/>
      </w:tblGrid>
      <w:tr w:rsidR="00481FFF" w:rsidRPr="00F57F1D" w14:paraId="1A158169" w14:textId="77777777" w:rsidTr="00AA10BF">
        <w:trPr>
          <w:trHeight w:val="20"/>
        </w:trPr>
        <w:tc>
          <w:tcPr>
            <w:tcW w:w="658" w:type="pct"/>
            <w:vMerge w:val="restart"/>
            <w:tcMar>
              <w:left w:w="57" w:type="dxa"/>
              <w:right w:w="57" w:type="dxa"/>
            </w:tcMar>
            <w:hideMark/>
          </w:tcPr>
          <w:p w14:paraId="529795FB" w14:textId="77777777" w:rsidR="00481FFF" w:rsidRPr="00F57F1D" w:rsidRDefault="00481FFF" w:rsidP="002F64DA">
            <w:pPr>
              <w:keepNext/>
              <w:keepLines/>
              <w:jc w:val="center"/>
              <w:rPr>
                <w:rFonts w:ascii="Arial Narrow" w:hAnsi="Arial Narrow" w:cs="Calibri"/>
                <w:b/>
                <w:bCs/>
                <w:color w:val="000000"/>
                <w:sz w:val="20"/>
                <w:szCs w:val="20"/>
              </w:rPr>
            </w:pPr>
            <w:r w:rsidRPr="00F57F1D">
              <w:rPr>
                <w:rFonts w:ascii="Arial Narrow" w:hAnsi="Arial Narrow" w:cs="Calibri"/>
                <w:b/>
                <w:bCs/>
                <w:color w:val="000000"/>
                <w:sz w:val="20"/>
                <w:szCs w:val="20"/>
                <w:lang w:val="en-US"/>
              </w:rPr>
              <w:t>Component</w:t>
            </w:r>
          </w:p>
        </w:tc>
        <w:tc>
          <w:tcPr>
            <w:tcW w:w="1787" w:type="pct"/>
            <w:gridSpan w:val="3"/>
            <w:tcMar>
              <w:left w:w="57" w:type="dxa"/>
              <w:right w:w="57" w:type="dxa"/>
            </w:tcMar>
            <w:hideMark/>
          </w:tcPr>
          <w:p w14:paraId="1C61ACB5" w14:textId="77777777" w:rsidR="00481FFF" w:rsidRPr="00F57F1D" w:rsidRDefault="00481FFF" w:rsidP="002F64DA">
            <w:pPr>
              <w:keepNext/>
              <w:keepLines/>
              <w:jc w:val="center"/>
              <w:rPr>
                <w:rFonts w:ascii="Arial Narrow" w:hAnsi="Arial Narrow" w:cs="Calibri"/>
                <w:b/>
                <w:bCs/>
                <w:color w:val="000000"/>
                <w:sz w:val="20"/>
                <w:szCs w:val="20"/>
              </w:rPr>
            </w:pPr>
            <w:r w:rsidRPr="00F57F1D">
              <w:rPr>
                <w:rFonts w:ascii="Arial Narrow" w:hAnsi="Arial Narrow" w:cs="Calibri"/>
                <w:b/>
                <w:bCs/>
                <w:color w:val="000000"/>
                <w:sz w:val="20"/>
                <w:szCs w:val="20"/>
                <w:lang w:val="en-US"/>
              </w:rPr>
              <w:t>Maribavir</w:t>
            </w:r>
          </w:p>
        </w:tc>
        <w:tc>
          <w:tcPr>
            <w:tcW w:w="2554" w:type="pct"/>
            <w:gridSpan w:val="4"/>
            <w:tcMar>
              <w:left w:w="57" w:type="dxa"/>
              <w:right w:w="57" w:type="dxa"/>
            </w:tcMar>
            <w:hideMark/>
          </w:tcPr>
          <w:p w14:paraId="6A2B4C28" w14:textId="77777777" w:rsidR="00481FFF" w:rsidRPr="00F57F1D" w:rsidRDefault="00481FFF" w:rsidP="002F64DA">
            <w:pPr>
              <w:keepNext/>
              <w:keepLines/>
              <w:jc w:val="center"/>
              <w:rPr>
                <w:rFonts w:ascii="Arial Narrow" w:hAnsi="Arial Narrow" w:cs="Calibri"/>
                <w:b/>
                <w:bCs/>
                <w:color w:val="000000"/>
                <w:sz w:val="20"/>
                <w:szCs w:val="20"/>
              </w:rPr>
            </w:pPr>
            <w:r w:rsidRPr="00F57F1D">
              <w:rPr>
                <w:rFonts w:ascii="Arial Narrow" w:hAnsi="Arial Narrow" w:cs="Calibri"/>
                <w:b/>
                <w:bCs/>
                <w:sz w:val="20"/>
                <w:szCs w:val="20"/>
                <w:lang w:val="en-US"/>
              </w:rPr>
              <w:t>IAT</w:t>
            </w:r>
          </w:p>
        </w:tc>
      </w:tr>
      <w:tr w:rsidR="00481FFF" w:rsidRPr="00F57F1D" w14:paraId="75704986" w14:textId="77777777" w:rsidTr="00AA10BF">
        <w:trPr>
          <w:trHeight w:val="20"/>
        </w:trPr>
        <w:tc>
          <w:tcPr>
            <w:tcW w:w="658" w:type="pct"/>
            <w:vMerge/>
            <w:tcMar>
              <w:left w:w="57" w:type="dxa"/>
              <w:right w:w="57" w:type="dxa"/>
            </w:tcMar>
            <w:hideMark/>
          </w:tcPr>
          <w:p w14:paraId="46125BAE" w14:textId="77777777" w:rsidR="00481FFF" w:rsidRPr="00F57F1D" w:rsidRDefault="00481FFF" w:rsidP="002F64DA">
            <w:pPr>
              <w:keepNext/>
              <w:keepLines/>
              <w:jc w:val="left"/>
              <w:rPr>
                <w:rFonts w:ascii="Arial Narrow" w:hAnsi="Arial Narrow" w:cs="Calibri"/>
                <w:b/>
                <w:bCs/>
                <w:color w:val="000000"/>
                <w:sz w:val="20"/>
                <w:szCs w:val="20"/>
              </w:rPr>
            </w:pPr>
          </w:p>
        </w:tc>
        <w:tc>
          <w:tcPr>
            <w:tcW w:w="596" w:type="pct"/>
            <w:tcMar>
              <w:left w:w="57" w:type="dxa"/>
              <w:right w:w="57" w:type="dxa"/>
            </w:tcMar>
            <w:vAlign w:val="center"/>
            <w:hideMark/>
          </w:tcPr>
          <w:p w14:paraId="49540770" w14:textId="154D6EB9" w:rsidR="00481FFF" w:rsidRPr="00F57F1D" w:rsidRDefault="00481FFF" w:rsidP="002F64DA">
            <w:pPr>
              <w:keepNext/>
              <w:keepLines/>
              <w:jc w:val="center"/>
              <w:rPr>
                <w:rFonts w:ascii="Arial Narrow" w:hAnsi="Arial Narrow" w:cs="Calibri"/>
                <w:b/>
                <w:bCs/>
                <w:color w:val="000000"/>
                <w:sz w:val="20"/>
                <w:szCs w:val="20"/>
              </w:rPr>
            </w:pPr>
            <w:r w:rsidRPr="00F57F1D">
              <w:rPr>
                <w:rFonts w:ascii="Arial Narrow" w:hAnsi="Arial Narrow" w:cs="Calibri"/>
                <w:b/>
                <w:bCs/>
                <w:color w:val="000000"/>
                <w:sz w:val="20"/>
                <w:szCs w:val="20"/>
                <w:lang w:val="en-US"/>
              </w:rPr>
              <w:t xml:space="preserve">Trial </w:t>
            </w:r>
          </w:p>
        </w:tc>
        <w:tc>
          <w:tcPr>
            <w:tcW w:w="596" w:type="pct"/>
            <w:tcMar>
              <w:left w:w="57" w:type="dxa"/>
              <w:right w:w="57" w:type="dxa"/>
            </w:tcMar>
            <w:vAlign w:val="center"/>
            <w:hideMark/>
          </w:tcPr>
          <w:p w14:paraId="37AE3CBD" w14:textId="77777777" w:rsidR="00481FFF" w:rsidRPr="00F57F1D" w:rsidRDefault="00481FFF" w:rsidP="002F64DA">
            <w:pPr>
              <w:keepNext/>
              <w:keepLines/>
              <w:jc w:val="center"/>
              <w:rPr>
                <w:rFonts w:ascii="Arial Narrow" w:hAnsi="Arial Narrow" w:cs="Calibri"/>
                <w:b/>
                <w:bCs/>
                <w:color w:val="000000"/>
                <w:sz w:val="20"/>
                <w:szCs w:val="20"/>
              </w:rPr>
            </w:pPr>
            <w:r w:rsidRPr="00F57F1D">
              <w:rPr>
                <w:rFonts w:ascii="Arial Narrow" w:hAnsi="Arial Narrow" w:cs="Calibri"/>
                <w:b/>
                <w:bCs/>
                <w:color w:val="000000"/>
                <w:sz w:val="20"/>
                <w:szCs w:val="20"/>
                <w:lang w:val="en-US"/>
              </w:rPr>
              <w:t>Model</w:t>
            </w:r>
          </w:p>
        </w:tc>
        <w:tc>
          <w:tcPr>
            <w:tcW w:w="595" w:type="pct"/>
            <w:tcMar>
              <w:left w:w="57" w:type="dxa"/>
              <w:right w:w="57" w:type="dxa"/>
            </w:tcMar>
            <w:vAlign w:val="center"/>
            <w:hideMark/>
          </w:tcPr>
          <w:p w14:paraId="325CEB76" w14:textId="77777777" w:rsidR="00481FFF" w:rsidRPr="00F57F1D" w:rsidRDefault="00481FFF" w:rsidP="002F64DA">
            <w:pPr>
              <w:keepNext/>
              <w:keepLines/>
              <w:jc w:val="center"/>
              <w:rPr>
                <w:rFonts w:ascii="Arial Narrow" w:hAnsi="Arial Narrow" w:cs="Calibri"/>
                <w:b/>
                <w:bCs/>
                <w:color w:val="000000"/>
                <w:sz w:val="20"/>
                <w:szCs w:val="20"/>
              </w:rPr>
            </w:pPr>
            <w:r w:rsidRPr="00F57F1D">
              <w:rPr>
                <w:rFonts w:ascii="Arial Narrow" w:hAnsi="Arial Narrow" w:cs="Calibri"/>
                <w:b/>
                <w:bCs/>
                <w:color w:val="000000"/>
                <w:sz w:val="20"/>
                <w:szCs w:val="20"/>
                <w:lang w:val="en-US"/>
              </w:rPr>
              <w:t>Financial estimates</w:t>
            </w:r>
          </w:p>
        </w:tc>
        <w:tc>
          <w:tcPr>
            <w:tcW w:w="662" w:type="pct"/>
            <w:tcMar>
              <w:left w:w="57" w:type="dxa"/>
              <w:right w:w="57" w:type="dxa"/>
            </w:tcMar>
            <w:vAlign w:val="center"/>
            <w:hideMark/>
          </w:tcPr>
          <w:p w14:paraId="31C1EEAD" w14:textId="77777777" w:rsidR="00481FFF" w:rsidRPr="00F57F1D" w:rsidRDefault="00481FFF" w:rsidP="002F64DA">
            <w:pPr>
              <w:keepNext/>
              <w:keepLines/>
              <w:jc w:val="center"/>
              <w:rPr>
                <w:rFonts w:ascii="Arial Narrow" w:hAnsi="Arial Narrow" w:cs="Calibri"/>
                <w:b/>
                <w:bCs/>
                <w:color w:val="000000"/>
                <w:sz w:val="20"/>
                <w:szCs w:val="20"/>
              </w:rPr>
            </w:pPr>
            <w:r w:rsidRPr="00F57F1D">
              <w:rPr>
                <w:rFonts w:ascii="Arial Narrow" w:hAnsi="Arial Narrow" w:cs="Calibri"/>
                <w:b/>
                <w:bCs/>
                <w:color w:val="000000"/>
                <w:sz w:val="20"/>
                <w:szCs w:val="20"/>
              </w:rPr>
              <w:t> </w:t>
            </w:r>
          </w:p>
        </w:tc>
        <w:tc>
          <w:tcPr>
            <w:tcW w:w="630" w:type="pct"/>
            <w:tcMar>
              <w:left w:w="57" w:type="dxa"/>
              <w:right w:w="57" w:type="dxa"/>
            </w:tcMar>
            <w:vAlign w:val="center"/>
            <w:hideMark/>
          </w:tcPr>
          <w:p w14:paraId="77EE3065" w14:textId="569D7796" w:rsidR="00481FFF" w:rsidRPr="00F57F1D" w:rsidRDefault="00481FFF" w:rsidP="002F64DA">
            <w:pPr>
              <w:keepNext/>
              <w:keepLines/>
              <w:jc w:val="center"/>
              <w:rPr>
                <w:rFonts w:ascii="Arial Narrow" w:hAnsi="Arial Narrow" w:cs="Calibri"/>
                <w:b/>
                <w:bCs/>
                <w:color w:val="000000"/>
                <w:sz w:val="20"/>
                <w:szCs w:val="20"/>
              </w:rPr>
            </w:pPr>
            <w:r w:rsidRPr="00F57F1D">
              <w:rPr>
                <w:rFonts w:ascii="Arial Narrow" w:hAnsi="Arial Narrow" w:cs="Calibri"/>
                <w:b/>
                <w:bCs/>
                <w:sz w:val="20"/>
                <w:szCs w:val="20"/>
                <w:lang w:val="en-US"/>
              </w:rPr>
              <w:t xml:space="preserve">Trial </w:t>
            </w:r>
          </w:p>
        </w:tc>
        <w:tc>
          <w:tcPr>
            <w:tcW w:w="676" w:type="pct"/>
            <w:tcMar>
              <w:left w:w="57" w:type="dxa"/>
              <w:right w:w="57" w:type="dxa"/>
            </w:tcMar>
            <w:vAlign w:val="center"/>
            <w:hideMark/>
          </w:tcPr>
          <w:p w14:paraId="07C392D3" w14:textId="77777777" w:rsidR="00481FFF" w:rsidRPr="00F57F1D" w:rsidRDefault="00481FFF" w:rsidP="002F64DA">
            <w:pPr>
              <w:keepNext/>
              <w:keepLines/>
              <w:jc w:val="center"/>
              <w:rPr>
                <w:rFonts w:ascii="Arial Narrow" w:hAnsi="Arial Narrow" w:cs="Calibri"/>
                <w:b/>
                <w:bCs/>
                <w:color w:val="000000"/>
                <w:sz w:val="20"/>
                <w:szCs w:val="20"/>
              </w:rPr>
            </w:pPr>
            <w:r w:rsidRPr="00F57F1D">
              <w:rPr>
                <w:rFonts w:ascii="Arial Narrow" w:hAnsi="Arial Narrow" w:cs="Calibri"/>
                <w:b/>
                <w:bCs/>
                <w:sz w:val="20"/>
                <w:szCs w:val="20"/>
                <w:lang w:val="en-US"/>
              </w:rPr>
              <w:t>Model</w:t>
            </w:r>
          </w:p>
        </w:tc>
        <w:tc>
          <w:tcPr>
            <w:tcW w:w="586" w:type="pct"/>
            <w:tcMar>
              <w:left w:w="57" w:type="dxa"/>
              <w:right w:w="57" w:type="dxa"/>
            </w:tcMar>
            <w:vAlign w:val="center"/>
            <w:hideMark/>
          </w:tcPr>
          <w:p w14:paraId="74E44D24" w14:textId="77777777" w:rsidR="00481FFF" w:rsidRPr="00F57F1D" w:rsidRDefault="00481FFF" w:rsidP="002F64DA">
            <w:pPr>
              <w:keepNext/>
              <w:keepLines/>
              <w:jc w:val="center"/>
              <w:rPr>
                <w:rFonts w:ascii="Arial Narrow" w:hAnsi="Arial Narrow" w:cs="Calibri"/>
                <w:b/>
                <w:bCs/>
                <w:color w:val="000000"/>
                <w:sz w:val="20"/>
                <w:szCs w:val="20"/>
              </w:rPr>
            </w:pPr>
            <w:r w:rsidRPr="00F57F1D">
              <w:rPr>
                <w:rFonts w:ascii="Arial Narrow" w:hAnsi="Arial Narrow" w:cs="Calibri"/>
                <w:b/>
                <w:bCs/>
                <w:sz w:val="20"/>
                <w:szCs w:val="20"/>
                <w:lang w:val="en-US"/>
              </w:rPr>
              <w:t>Financial estimates</w:t>
            </w:r>
          </w:p>
        </w:tc>
      </w:tr>
      <w:tr w:rsidR="00481FFF" w:rsidRPr="00F57F1D" w14:paraId="7B7F59B8" w14:textId="77777777" w:rsidTr="00AA10BF">
        <w:trPr>
          <w:trHeight w:val="20"/>
        </w:trPr>
        <w:tc>
          <w:tcPr>
            <w:tcW w:w="658" w:type="pct"/>
            <w:vMerge w:val="restart"/>
            <w:tcMar>
              <w:left w:w="57" w:type="dxa"/>
              <w:right w:w="57" w:type="dxa"/>
            </w:tcMar>
            <w:vAlign w:val="center"/>
            <w:hideMark/>
          </w:tcPr>
          <w:p w14:paraId="6FC185CC" w14:textId="77777777" w:rsidR="00481FFF" w:rsidRPr="00F57F1D" w:rsidRDefault="00481FFF" w:rsidP="002F64DA">
            <w:pPr>
              <w:keepNext/>
              <w:keepLines/>
              <w:jc w:val="left"/>
              <w:rPr>
                <w:rFonts w:ascii="Arial Narrow" w:hAnsi="Arial Narrow" w:cs="Calibri"/>
                <w:color w:val="000000"/>
                <w:sz w:val="20"/>
                <w:szCs w:val="20"/>
              </w:rPr>
            </w:pPr>
            <w:r w:rsidRPr="00F57F1D">
              <w:rPr>
                <w:rFonts w:ascii="Arial Narrow" w:hAnsi="Arial Narrow" w:cs="Calibri"/>
                <w:color w:val="000000"/>
                <w:sz w:val="20"/>
                <w:szCs w:val="20"/>
                <w:lang w:val="en-US"/>
              </w:rPr>
              <w:t>Mean dose</w:t>
            </w:r>
          </w:p>
        </w:tc>
        <w:tc>
          <w:tcPr>
            <w:tcW w:w="596" w:type="pct"/>
            <w:vMerge w:val="restart"/>
            <w:noWrap/>
            <w:tcMar>
              <w:left w:w="57" w:type="dxa"/>
              <w:right w:w="57" w:type="dxa"/>
            </w:tcMar>
            <w:vAlign w:val="center"/>
            <w:hideMark/>
          </w:tcPr>
          <w:p w14:paraId="6E36E781" w14:textId="77777777" w:rsidR="00481FFF" w:rsidRPr="00F57F1D" w:rsidRDefault="00481FFF" w:rsidP="002F64DA">
            <w:pPr>
              <w:keepNext/>
              <w:keepLines/>
              <w:jc w:val="center"/>
              <w:rPr>
                <w:rFonts w:ascii="Arial Narrow" w:hAnsi="Arial Narrow" w:cs="Calibri"/>
                <w:color w:val="000000"/>
                <w:sz w:val="20"/>
                <w:szCs w:val="20"/>
              </w:rPr>
            </w:pPr>
            <w:r w:rsidRPr="00F57F1D">
              <w:rPr>
                <w:rFonts w:ascii="Arial Narrow" w:hAnsi="Arial Narrow" w:cs="Calibri"/>
                <w:color w:val="000000"/>
                <w:sz w:val="20"/>
                <w:szCs w:val="20"/>
              </w:rPr>
              <w:t>Not reported</w:t>
            </w:r>
          </w:p>
        </w:tc>
        <w:tc>
          <w:tcPr>
            <w:tcW w:w="596" w:type="pct"/>
            <w:vMerge w:val="restart"/>
            <w:tcMar>
              <w:left w:w="57" w:type="dxa"/>
              <w:right w:w="57" w:type="dxa"/>
            </w:tcMar>
            <w:vAlign w:val="center"/>
            <w:hideMark/>
          </w:tcPr>
          <w:p w14:paraId="4B5C3E91" w14:textId="77777777" w:rsidR="00481FFF" w:rsidRPr="00F57F1D" w:rsidRDefault="00481FFF" w:rsidP="002F64DA">
            <w:pPr>
              <w:keepNext/>
              <w:keepLines/>
              <w:jc w:val="center"/>
              <w:rPr>
                <w:rFonts w:ascii="Arial Narrow" w:hAnsi="Arial Narrow" w:cs="Calibri"/>
                <w:color w:val="000000"/>
                <w:sz w:val="20"/>
                <w:szCs w:val="20"/>
              </w:rPr>
            </w:pPr>
            <w:r w:rsidRPr="00F57F1D">
              <w:rPr>
                <w:rFonts w:ascii="Arial Narrow" w:hAnsi="Arial Narrow" w:cs="Calibri"/>
                <w:color w:val="000000"/>
                <w:sz w:val="20"/>
                <w:szCs w:val="20"/>
              </w:rPr>
              <w:t>400 mg BID</w:t>
            </w:r>
          </w:p>
        </w:tc>
        <w:tc>
          <w:tcPr>
            <w:tcW w:w="595" w:type="pct"/>
            <w:vMerge w:val="restart"/>
            <w:tcMar>
              <w:left w:w="57" w:type="dxa"/>
              <w:right w:w="57" w:type="dxa"/>
            </w:tcMar>
            <w:vAlign w:val="center"/>
            <w:hideMark/>
          </w:tcPr>
          <w:p w14:paraId="2CD92083" w14:textId="77777777" w:rsidR="00481FFF" w:rsidRPr="00F57F1D" w:rsidRDefault="00481FFF" w:rsidP="002F64DA">
            <w:pPr>
              <w:keepNext/>
              <w:keepLines/>
              <w:jc w:val="center"/>
              <w:rPr>
                <w:rFonts w:ascii="Arial Narrow" w:hAnsi="Arial Narrow" w:cs="Calibri"/>
                <w:color w:val="000000"/>
                <w:sz w:val="20"/>
                <w:szCs w:val="20"/>
              </w:rPr>
            </w:pPr>
            <w:r w:rsidRPr="00F57F1D">
              <w:rPr>
                <w:rFonts w:ascii="Arial Narrow" w:hAnsi="Arial Narrow" w:cs="Calibri"/>
                <w:color w:val="000000"/>
                <w:sz w:val="20"/>
                <w:szCs w:val="20"/>
              </w:rPr>
              <w:t>400 mg BID</w:t>
            </w:r>
          </w:p>
        </w:tc>
        <w:tc>
          <w:tcPr>
            <w:tcW w:w="662" w:type="pct"/>
            <w:tcMar>
              <w:left w:w="57" w:type="dxa"/>
              <w:right w:w="57" w:type="dxa"/>
            </w:tcMar>
            <w:vAlign w:val="center"/>
            <w:hideMark/>
          </w:tcPr>
          <w:p w14:paraId="20C10148" w14:textId="77777777" w:rsidR="00481FFF" w:rsidRPr="00F57F1D" w:rsidRDefault="00481FFF" w:rsidP="002F64DA">
            <w:pPr>
              <w:keepNext/>
              <w:keepLines/>
              <w:jc w:val="center"/>
              <w:rPr>
                <w:rFonts w:ascii="Arial Narrow" w:hAnsi="Arial Narrow" w:cs="Calibri"/>
                <w:color w:val="000000"/>
                <w:sz w:val="20"/>
                <w:szCs w:val="20"/>
              </w:rPr>
            </w:pPr>
            <w:r w:rsidRPr="00F57F1D">
              <w:rPr>
                <w:rFonts w:ascii="Arial Narrow" w:hAnsi="Arial Narrow" w:cs="Calibri"/>
                <w:sz w:val="20"/>
                <w:szCs w:val="20"/>
              </w:rPr>
              <w:t>Ganciclovir</w:t>
            </w:r>
          </w:p>
        </w:tc>
        <w:tc>
          <w:tcPr>
            <w:tcW w:w="630" w:type="pct"/>
            <w:vMerge w:val="restart"/>
            <w:tcMar>
              <w:left w:w="57" w:type="dxa"/>
              <w:right w:w="57" w:type="dxa"/>
            </w:tcMar>
            <w:vAlign w:val="center"/>
            <w:hideMark/>
          </w:tcPr>
          <w:p w14:paraId="275AE9C5" w14:textId="77777777" w:rsidR="00481FFF" w:rsidRPr="00F57F1D" w:rsidRDefault="00481FFF" w:rsidP="002F64DA">
            <w:pPr>
              <w:keepNext/>
              <w:keepLines/>
              <w:jc w:val="center"/>
              <w:rPr>
                <w:rFonts w:ascii="Arial Narrow" w:hAnsi="Arial Narrow" w:cs="Calibri"/>
                <w:color w:val="000000"/>
                <w:sz w:val="20"/>
                <w:szCs w:val="20"/>
              </w:rPr>
            </w:pPr>
            <w:r w:rsidRPr="00F57F1D">
              <w:rPr>
                <w:rFonts w:ascii="Arial Narrow" w:hAnsi="Arial Narrow" w:cs="Calibri"/>
                <w:color w:val="000000"/>
                <w:sz w:val="20"/>
                <w:szCs w:val="20"/>
              </w:rPr>
              <w:t>Not reported</w:t>
            </w:r>
          </w:p>
        </w:tc>
        <w:tc>
          <w:tcPr>
            <w:tcW w:w="676" w:type="pct"/>
            <w:tcMar>
              <w:left w:w="57" w:type="dxa"/>
              <w:right w:w="57" w:type="dxa"/>
            </w:tcMar>
            <w:vAlign w:val="center"/>
            <w:hideMark/>
          </w:tcPr>
          <w:p w14:paraId="65C6F066" w14:textId="77777777" w:rsidR="00481FFF" w:rsidRPr="00F57F1D" w:rsidRDefault="00481FFF" w:rsidP="002F64DA">
            <w:pPr>
              <w:keepNext/>
              <w:keepLines/>
              <w:jc w:val="center"/>
              <w:rPr>
                <w:rFonts w:ascii="Arial Narrow" w:hAnsi="Arial Narrow" w:cs="Calibri"/>
                <w:color w:val="000000"/>
                <w:sz w:val="20"/>
                <w:szCs w:val="20"/>
              </w:rPr>
            </w:pPr>
            <w:r w:rsidRPr="00F57F1D">
              <w:rPr>
                <w:rFonts w:ascii="Arial Narrow" w:hAnsi="Arial Narrow" w:cs="Calibri"/>
                <w:color w:val="000000"/>
                <w:sz w:val="20"/>
                <w:szCs w:val="20"/>
              </w:rPr>
              <w:t>5</w:t>
            </w:r>
            <w:r w:rsidRPr="00F57F1D">
              <w:rPr>
                <w:rFonts w:ascii="Arial Narrow" w:hAnsi="Arial Narrow"/>
                <w:color w:val="000000"/>
                <w:sz w:val="20"/>
                <w:szCs w:val="20"/>
              </w:rPr>
              <w:t xml:space="preserve"> </w:t>
            </w:r>
            <w:r w:rsidRPr="00F57F1D">
              <w:rPr>
                <w:rFonts w:ascii="Arial Narrow" w:hAnsi="Arial Narrow" w:cs="Calibri"/>
                <w:color w:val="000000"/>
                <w:sz w:val="20"/>
                <w:szCs w:val="20"/>
              </w:rPr>
              <w:t xml:space="preserve">mg/kg BID </w:t>
            </w:r>
          </w:p>
        </w:tc>
        <w:tc>
          <w:tcPr>
            <w:tcW w:w="586" w:type="pct"/>
            <w:vMerge w:val="restart"/>
            <w:noWrap/>
            <w:tcMar>
              <w:left w:w="57" w:type="dxa"/>
              <w:right w:w="57" w:type="dxa"/>
            </w:tcMar>
            <w:vAlign w:val="center"/>
            <w:hideMark/>
          </w:tcPr>
          <w:p w14:paraId="1C015DFC" w14:textId="77777777" w:rsidR="00481FFF" w:rsidRPr="00F57F1D" w:rsidRDefault="00481FFF" w:rsidP="002F64DA">
            <w:pPr>
              <w:keepNext/>
              <w:keepLines/>
              <w:jc w:val="center"/>
              <w:rPr>
                <w:rFonts w:ascii="Arial Narrow" w:hAnsi="Arial Narrow" w:cs="Calibri"/>
                <w:color w:val="000000"/>
                <w:sz w:val="20"/>
                <w:szCs w:val="20"/>
              </w:rPr>
            </w:pPr>
            <w:r w:rsidRPr="00F57F1D">
              <w:rPr>
                <w:rFonts w:ascii="Arial Narrow" w:hAnsi="Arial Narrow" w:cs="Calibri"/>
                <w:color w:val="000000"/>
                <w:sz w:val="20"/>
                <w:szCs w:val="20"/>
              </w:rPr>
              <w:t>Not estimated</w:t>
            </w:r>
          </w:p>
        </w:tc>
      </w:tr>
      <w:tr w:rsidR="00481FFF" w:rsidRPr="00F57F1D" w14:paraId="7A94CB97" w14:textId="77777777" w:rsidTr="00AA10BF">
        <w:trPr>
          <w:trHeight w:val="20"/>
        </w:trPr>
        <w:tc>
          <w:tcPr>
            <w:tcW w:w="658" w:type="pct"/>
            <w:vMerge/>
            <w:tcMar>
              <w:left w:w="57" w:type="dxa"/>
              <w:right w:w="57" w:type="dxa"/>
            </w:tcMar>
            <w:vAlign w:val="center"/>
            <w:hideMark/>
          </w:tcPr>
          <w:p w14:paraId="5FA1EB7E" w14:textId="77777777" w:rsidR="00481FFF" w:rsidRPr="00F57F1D" w:rsidRDefault="00481FFF" w:rsidP="002F64DA">
            <w:pPr>
              <w:keepNext/>
              <w:keepLines/>
              <w:jc w:val="left"/>
              <w:rPr>
                <w:rFonts w:ascii="Arial Narrow" w:hAnsi="Arial Narrow" w:cs="Calibri"/>
                <w:color w:val="000000"/>
                <w:sz w:val="20"/>
                <w:szCs w:val="20"/>
              </w:rPr>
            </w:pPr>
          </w:p>
        </w:tc>
        <w:tc>
          <w:tcPr>
            <w:tcW w:w="596" w:type="pct"/>
            <w:vMerge/>
            <w:tcMar>
              <w:left w:w="57" w:type="dxa"/>
              <w:right w:w="57" w:type="dxa"/>
            </w:tcMar>
            <w:vAlign w:val="center"/>
            <w:hideMark/>
          </w:tcPr>
          <w:p w14:paraId="61D42028" w14:textId="77777777" w:rsidR="00481FFF" w:rsidRPr="00F57F1D" w:rsidRDefault="00481FFF" w:rsidP="002F64DA">
            <w:pPr>
              <w:keepNext/>
              <w:keepLines/>
              <w:jc w:val="left"/>
              <w:rPr>
                <w:rFonts w:ascii="Arial Narrow" w:hAnsi="Arial Narrow" w:cs="Calibri"/>
                <w:color w:val="000000"/>
                <w:sz w:val="20"/>
                <w:szCs w:val="20"/>
              </w:rPr>
            </w:pPr>
          </w:p>
        </w:tc>
        <w:tc>
          <w:tcPr>
            <w:tcW w:w="596" w:type="pct"/>
            <w:vMerge/>
            <w:tcMar>
              <w:left w:w="57" w:type="dxa"/>
              <w:right w:w="57" w:type="dxa"/>
            </w:tcMar>
            <w:vAlign w:val="center"/>
            <w:hideMark/>
          </w:tcPr>
          <w:p w14:paraId="21E28124" w14:textId="77777777" w:rsidR="00481FFF" w:rsidRPr="00F57F1D" w:rsidRDefault="00481FFF" w:rsidP="002F64DA">
            <w:pPr>
              <w:keepNext/>
              <w:keepLines/>
              <w:jc w:val="left"/>
              <w:rPr>
                <w:rFonts w:ascii="Arial Narrow" w:hAnsi="Arial Narrow" w:cs="Calibri"/>
                <w:color w:val="000000"/>
                <w:sz w:val="20"/>
                <w:szCs w:val="20"/>
              </w:rPr>
            </w:pPr>
          </w:p>
        </w:tc>
        <w:tc>
          <w:tcPr>
            <w:tcW w:w="595" w:type="pct"/>
            <w:vMerge/>
            <w:tcMar>
              <w:left w:w="57" w:type="dxa"/>
              <w:right w:w="57" w:type="dxa"/>
            </w:tcMar>
            <w:vAlign w:val="center"/>
            <w:hideMark/>
          </w:tcPr>
          <w:p w14:paraId="0980F70E" w14:textId="77777777" w:rsidR="00481FFF" w:rsidRPr="00F57F1D" w:rsidRDefault="00481FFF" w:rsidP="002F64DA">
            <w:pPr>
              <w:keepNext/>
              <w:keepLines/>
              <w:jc w:val="left"/>
              <w:rPr>
                <w:rFonts w:ascii="Arial Narrow" w:hAnsi="Arial Narrow" w:cs="Calibri"/>
                <w:color w:val="000000"/>
                <w:sz w:val="20"/>
                <w:szCs w:val="20"/>
              </w:rPr>
            </w:pPr>
          </w:p>
        </w:tc>
        <w:tc>
          <w:tcPr>
            <w:tcW w:w="662" w:type="pct"/>
            <w:tcMar>
              <w:left w:w="57" w:type="dxa"/>
              <w:right w:w="57" w:type="dxa"/>
            </w:tcMar>
            <w:vAlign w:val="center"/>
            <w:hideMark/>
          </w:tcPr>
          <w:p w14:paraId="339297AC" w14:textId="77777777" w:rsidR="00481FFF" w:rsidRPr="00F57F1D" w:rsidRDefault="00481FFF" w:rsidP="002F64DA">
            <w:pPr>
              <w:keepNext/>
              <w:keepLines/>
              <w:jc w:val="center"/>
              <w:rPr>
                <w:rFonts w:ascii="Arial Narrow" w:hAnsi="Arial Narrow" w:cs="Calibri"/>
                <w:color w:val="000000"/>
                <w:sz w:val="20"/>
                <w:szCs w:val="20"/>
              </w:rPr>
            </w:pPr>
            <w:r w:rsidRPr="00F57F1D">
              <w:rPr>
                <w:rFonts w:ascii="Arial Narrow" w:hAnsi="Arial Narrow" w:cs="Calibri"/>
                <w:sz w:val="20"/>
                <w:szCs w:val="20"/>
              </w:rPr>
              <w:t>Valganciclovir</w:t>
            </w:r>
          </w:p>
        </w:tc>
        <w:tc>
          <w:tcPr>
            <w:tcW w:w="630" w:type="pct"/>
            <w:vMerge/>
            <w:tcMar>
              <w:left w:w="57" w:type="dxa"/>
              <w:right w:w="57" w:type="dxa"/>
            </w:tcMar>
            <w:vAlign w:val="center"/>
            <w:hideMark/>
          </w:tcPr>
          <w:p w14:paraId="19D1752F" w14:textId="77777777" w:rsidR="00481FFF" w:rsidRPr="00F57F1D" w:rsidRDefault="00481FFF" w:rsidP="002F64DA">
            <w:pPr>
              <w:keepNext/>
              <w:keepLines/>
              <w:jc w:val="left"/>
              <w:rPr>
                <w:rFonts w:ascii="Arial Narrow" w:hAnsi="Arial Narrow" w:cs="Calibri"/>
                <w:color w:val="000000"/>
                <w:sz w:val="20"/>
                <w:szCs w:val="20"/>
              </w:rPr>
            </w:pPr>
          </w:p>
        </w:tc>
        <w:tc>
          <w:tcPr>
            <w:tcW w:w="676" w:type="pct"/>
            <w:tcMar>
              <w:left w:w="57" w:type="dxa"/>
              <w:right w:w="57" w:type="dxa"/>
            </w:tcMar>
            <w:vAlign w:val="center"/>
            <w:hideMark/>
          </w:tcPr>
          <w:p w14:paraId="13893B6F" w14:textId="77777777" w:rsidR="00481FFF" w:rsidRPr="00F57F1D" w:rsidRDefault="00481FFF" w:rsidP="002F64DA">
            <w:pPr>
              <w:keepNext/>
              <w:keepLines/>
              <w:jc w:val="center"/>
              <w:rPr>
                <w:rFonts w:ascii="Arial Narrow" w:hAnsi="Arial Narrow" w:cs="Calibri"/>
                <w:color w:val="000000"/>
                <w:sz w:val="20"/>
                <w:szCs w:val="20"/>
              </w:rPr>
            </w:pPr>
            <w:r w:rsidRPr="00F57F1D">
              <w:rPr>
                <w:rFonts w:ascii="Arial Narrow" w:hAnsi="Arial Narrow" w:cs="Calibri"/>
                <w:color w:val="000000"/>
                <w:sz w:val="20"/>
                <w:szCs w:val="20"/>
              </w:rPr>
              <w:t>900 mg q12h</w:t>
            </w:r>
            <w:r w:rsidRPr="00F57F1D" w:rsidDel="003349F9">
              <w:rPr>
                <w:rFonts w:ascii="Arial Narrow" w:hAnsi="Arial Narrow" w:cs="Calibri"/>
                <w:color w:val="000000"/>
                <w:sz w:val="20"/>
                <w:szCs w:val="20"/>
              </w:rPr>
              <w:t xml:space="preserve"> </w:t>
            </w:r>
          </w:p>
        </w:tc>
        <w:tc>
          <w:tcPr>
            <w:tcW w:w="586" w:type="pct"/>
            <w:vMerge/>
            <w:tcMar>
              <w:left w:w="57" w:type="dxa"/>
              <w:right w:w="57" w:type="dxa"/>
            </w:tcMar>
            <w:hideMark/>
          </w:tcPr>
          <w:p w14:paraId="12B9BD03" w14:textId="77777777" w:rsidR="00481FFF" w:rsidRPr="00F57F1D" w:rsidRDefault="00481FFF" w:rsidP="002F64DA">
            <w:pPr>
              <w:keepNext/>
              <w:keepLines/>
              <w:jc w:val="left"/>
              <w:rPr>
                <w:rFonts w:ascii="Arial Narrow" w:hAnsi="Arial Narrow" w:cs="Calibri"/>
                <w:color w:val="000000"/>
                <w:sz w:val="20"/>
                <w:szCs w:val="20"/>
              </w:rPr>
            </w:pPr>
          </w:p>
        </w:tc>
      </w:tr>
      <w:tr w:rsidR="00481FFF" w:rsidRPr="00F57F1D" w14:paraId="2A2D7E5A" w14:textId="77777777" w:rsidTr="00AA10BF">
        <w:trPr>
          <w:trHeight w:val="20"/>
        </w:trPr>
        <w:tc>
          <w:tcPr>
            <w:tcW w:w="658" w:type="pct"/>
            <w:vMerge/>
            <w:tcMar>
              <w:left w:w="57" w:type="dxa"/>
              <w:right w:w="57" w:type="dxa"/>
            </w:tcMar>
            <w:vAlign w:val="center"/>
            <w:hideMark/>
          </w:tcPr>
          <w:p w14:paraId="39536634" w14:textId="77777777" w:rsidR="00481FFF" w:rsidRPr="00F57F1D" w:rsidRDefault="00481FFF" w:rsidP="002F64DA">
            <w:pPr>
              <w:keepNext/>
              <w:keepLines/>
              <w:jc w:val="left"/>
              <w:rPr>
                <w:rFonts w:ascii="Arial Narrow" w:hAnsi="Arial Narrow" w:cs="Calibri"/>
                <w:color w:val="000000"/>
                <w:sz w:val="20"/>
                <w:szCs w:val="20"/>
              </w:rPr>
            </w:pPr>
          </w:p>
        </w:tc>
        <w:tc>
          <w:tcPr>
            <w:tcW w:w="596" w:type="pct"/>
            <w:vMerge/>
            <w:tcMar>
              <w:left w:w="57" w:type="dxa"/>
              <w:right w:w="57" w:type="dxa"/>
            </w:tcMar>
            <w:vAlign w:val="center"/>
            <w:hideMark/>
          </w:tcPr>
          <w:p w14:paraId="4F84A697" w14:textId="77777777" w:rsidR="00481FFF" w:rsidRPr="00F57F1D" w:rsidRDefault="00481FFF" w:rsidP="002F64DA">
            <w:pPr>
              <w:keepNext/>
              <w:keepLines/>
              <w:jc w:val="left"/>
              <w:rPr>
                <w:rFonts w:ascii="Arial Narrow" w:hAnsi="Arial Narrow" w:cs="Calibri"/>
                <w:color w:val="000000"/>
                <w:sz w:val="20"/>
                <w:szCs w:val="20"/>
              </w:rPr>
            </w:pPr>
          </w:p>
        </w:tc>
        <w:tc>
          <w:tcPr>
            <w:tcW w:w="596" w:type="pct"/>
            <w:vMerge/>
            <w:tcMar>
              <w:left w:w="57" w:type="dxa"/>
              <w:right w:w="57" w:type="dxa"/>
            </w:tcMar>
            <w:vAlign w:val="center"/>
            <w:hideMark/>
          </w:tcPr>
          <w:p w14:paraId="2EF7D68F" w14:textId="77777777" w:rsidR="00481FFF" w:rsidRPr="00F57F1D" w:rsidRDefault="00481FFF" w:rsidP="002F64DA">
            <w:pPr>
              <w:keepNext/>
              <w:keepLines/>
              <w:jc w:val="left"/>
              <w:rPr>
                <w:rFonts w:ascii="Arial Narrow" w:hAnsi="Arial Narrow" w:cs="Calibri"/>
                <w:color w:val="000000"/>
                <w:sz w:val="20"/>
                <w:szCs w:val="20"/>
              </w:rPr>
            </w:pPr>
          </w:p>
        </w:tc>
        <w:tc>
          <w:tcPr>
            <w:tcW w:w="595" w:type="pct"/>
            <w:vMerge/>
            <w:tcMar>
              <w:left w:w="57" w:type="dxa"/>
              <w:right w:w="57" w:type="dxa"/>
            </w:tcMar>
            <w:vAlign w:val="center"/>
            <w:hideMark/>
          </w:tcPr>
          <w:p w14:paraId="74EEEE68" w14:textId="77777777" w:rsidR="00481FFF" w:rsidRPr="00F57F1D" w:rsidRDefault="00481FFF" w:rsidP="002F64DA">
            <w:pPr>
              <w:keepNext/>
              <w:keepLines/>
              <w:jc w:val="left"/>
              <w:rPr>
                <w:rFonts w:ascii="Arial Narrow" w:hAnsi="Arial Narrow" w:cs="Calibri"/>
                <w:color w:val="000000"/>
                <w:sz w:val="20"/>
                <w:szCs w:val="20"/>
              </w:rPr>
            </w:pPr>
          </w:p>
        </w:tc>
        <w:tc>
          <w:tcPr>
            <w:tcW w:w="662" w:type="pct"/>
            <w:tcMar>
              <w:left w:w="57" w:type="dxa"/>
              <w:right w:w="57" w:type="dxa"/>
            </w:tcMar>
            <w:vAlign w:val="center"/>
            <w:hideMark/>
          </w:tcPr>
          <w:p w14:paraId="0D3D1068" w14:textId="77777777" w:rsidR="00481FFF" w:rsidRPr="00F57F1D" w:rsidRDefault="00481FFF" w:rsidP="002F64DA">
            <w:pPr>
              <w:keepNext/>
              <w:keepLines/>
              <w:jc w:val="center"/>
              <w:rPr>
                <w:rFonts w:ascii="Arial Narrow" w:hAnsi="Arial Narrow" w:cs="Calibri"/>
                <w:color w:val="000000"/>
                <w:sz w:val="20"/>
                <w:szCs w:val="20"/>
              </w:rPr>
            </w:pPr>
            <w:r w:rsidRPr="00F57F1D">
              <w:rPr>
                <w:rFonts w:ascii="Arial Narrow" w:hAnsi="Arial Narrow" w:cs="Calibri"/>
                <w:sz w:val="20"/>
                <w:szCs w:val="20"/>
              </w:rPr>
              <w:t>Foscarnet</w:t>
            </w:r>
          </w:p>
        </w:tc>
        <w:tc>
          <w:tcPr>
            <w:tcW w:w="630" w:type="pct"/>
            <w:vMerge/>
            <w:tcMar>
              <w:left w:w="57" w:type="dxa"/>
              <w:right w:w="57" w:type="dxa"/>
            </w:tcMar>
            <w:vAlign w:val="center"/>
            <w:hideMark/>
          </w:tcPr>
          <w:p w14:paraId="7AAB2CBC" w14:textId="77777777" w:rsidR="00481FFF" w:rsidRPr="00F57F1D" w:rsidRDefault="00481FFF" w:rsidP="002F64DA">
            <w:pPr>
              <w:keepNext/>
              <w:keepLines/>
              <w:jc w:val="left"/>
              <w:rPr>
                <w:rFonts w:ascii="Arial Narrow" w:hAnsi="Arial Narrow" w:cs="Calibri"/>
                <w:color w:val="000000"/>
                <w:sz w:val="20"/>
                <w:szCs w:val="20"/>
              </w:rPr>
            </w:pPr>
          </w:p>
        </w:tc>
        <w:tc>
          <w:tcPr>
            <w:tcW w:w="676" w:type="pct"/>
            <w:tcMar>
              <w:left w:w="57" w:type="dxa"/>
              <w:right w:w="57" w:type="dxa"/>
            </w:tcMar>
            <w:vAlign w:val="center"/>
            <w:hideMark/>
          </w:tcPr>
          <w:p w14:paraId="13E02907" w14:textId="77777777" w:rsidR="00481FFF" w:rsidRPr="00F57F1D" w:rsidRDefault="00481FFF" w:rsidP="002F64DA">
            <w:pPr>
              <w:keepNext/>
              <w:keepLines/>
              <w:jc w:val="center"/>
              <w:rPr>
                <w:rFonts w:ascii="Arial Narrow" w:hAnsi="Arial Narrow" w:cs="Calibri"/>
                <w:color w:val="000000"/>
                <w:sz w:val="20"/>
                <w:szCs w:val="20"/>
              </w:rPr>
            </w:pPr>
            <w:r w:rsidRPr="00F57F1D">
              <w:rPr>
                <w:rFonts w:ascii="Arial Narrow" w:hAnsi="Arial Narrow" w:cs="Calibri"/>
                <w:color w:val="000000"/>
                <w:sz w:val="20"/>
                <w:szCs w:val="20"/>
              </w:rPr>
              <w:t>60 mg/kg TID</w:t>
            </w:r>
          </w:p>
        </w:tc>
        <w:tc>
          <w:tcPr>
            <w:tcW w:w="586" w:type="pct"/>
            <w:vMerge/>
            <w:tcMar>
              <w:left w:w="57" w:type="dxa"/>
              <w:right w:w="57" w:type="dxa"/>
            </w:tcMar>
            <w:hideMark/>
          </w:tcPr>
          <w:p w14:paraId="1992A76B" w14:textId="77777777" w:rsidR="00481FFF" w:rsidRPr="00F57F1D" w:rsidRDefault="00481FFF" w:rsidP="002F64DA">
            <w:pPr>
              <w:keepNext/>
              <w:keepLines/>
              <w:jc w:val="left"/>
              <w:rPr>
                <w:rFonts w:ascii="Arial Narrow" w:hAnsi="Arial Narrow" w:cs="Calibri"/>
                <w:color w:val="000000"/>
                <w:sz w:val="20"/>
                <w:szCs w:val="20"/>
              </w:rPr>
            </w:pPr>
          </w:p>
        </w:tc>
      </w:tr>
      <w:tr w:rsidR="00481FFF" w:rsidRPr="00F57F1D" w14:paraId="6A9E5B9A" w14:textId="77777777" w:rsidTr="00AA10BF">
        <w:trPr>
          <w:trHeight w:val="20"/>
        </w:trPr>
        <w:tc>
          <w:tcPr>
            <w:tcW w:w="658" w:type="pct"/>
            <w:vMerge/>
            <w:tcMar>
              <w:left w:w="57" w:type="dxa"/>
              <w:right w:w="57" w:type="dxa"/>
            </w:tcMar>
            <w:vAlign w:val="center"/>
            <w:hideMark/>
          </w:tcPr>
          <w:p w14:paraId="2E550B4D" w14:textId="77777777" w:rsidR="00481FFF" w:rsidRPr="00F57F1D" w:rsidRDefault="00481FFF" w:rsidP="002F64DA">
            <w:pPr>
              <w:keepNext/>
              <w:keepLines/>
              <w:jc w:val="left"/>
              <w:rPr>
                <w:rFonts w:ascii="Arial Narrow" w:hAnsi="Arial Narrow" w:cs="Calibri"/>
                <w:color w:val="000000"/>
                <w:sz w:val="20"/>
                <w:szCs w:val="20"/>
              </w:rPr>
            </w:pPr>
          </w:p>
        </w:tc>
        <w:tc>
          <w:tcPr>
            <w:tcW w:w="596" w:type="pct"/>
            <w:vMerge/>
            <w:tcMar>
              <w:left w:w="57" w:type="dxa"/>
              <w:right w:w="57" w:type="dxa"/>
            </w:tcMar>
            <w:vAlign w:val="center"/>
            <w:hideMark/>
          </w:tcPr>
          <w:p w14:paraId="0F9F6331" w14:textId="77777777" w:rsidR="00481FFF" w:rsidRPr="00F57F1D" w:rsidRDefault="00481FFF" w:rsidP="002F64DA">
            <w:pPr>
              <w:keepNext/>
              <w:keepLines/>
              <w:jc w:val="left"/>
              <w:rPr>
                <w:rFonts w:ascii="Arial Narrow" w:hAnsi="Arial Narrow" w:cs="Calibri"/>
                <w:color w:val="000000"/>
                <w:sz w:val="20"/>
                <w:szCs w:val="20"/>
              </w:rPr>
            </w:pPr>
          </w:p>
        </w:tc>
        <w:tc>
          <w:tcPr>
            <w:tcW w:w="596" w:type="pct"/>
            <w:vMerge/>
            <w:tcMar>
              <w:left w:w="57" w:type="dxa"/>
              <w:right w:w="57" w:type="dxa"/>
            </w:tcMar>
            <w:vAlign w:val="center"/>
            <w:hideMark/>
          </w:tcPr>
          <w:p w14:paraId="70ACF696" w14:textId="77777777" w:rsidR="00481FFF" w:rsidRPr="00F57F1D" w:rsidRDefault="00481FFF" w:rsidP="002F64DA">
            <w:pPr>
              <w:keepNext/>
              <w:keepLines/>
              <w:jc w:val="left"/>
              <w:rPr>
                <w:rFonts w:ascii="Arial Narrow" w:hAnsi="Arial Narrow" w:cs="Calibri"/>
                <w:color w:val="000000"/>
                <w:sz w:val="20"/>
                <w:szCs w:val="20"/>
              </w:rPr>
            </w:pPr>
          </w:p>
        </w:tc>
        <w:tc>
          <w:tcPr>
            <w:tcW w:w="595" w:type="pct"/>
            <w:vMerge/>
            <w:tcMar>
              <w:left w:w="57" w:type="dxa"/>
              <w:right w:w="57" w:type="dxa"/>
            </w:tcMar>
            <w:vAlign w:val="center"/>
            <w:hideMark/>
          </w:tcPr>
          <w:p w14:paraId="367CC3A4" w14:textId="77777777" w:rsidR="00481FFF" w:rsidRPr="00F57F1D" w:rsidRDefault="00481FFF" w:rsidP="002F64DA">
            <w:pPr>
              <w:keepNext/>
              <w:keepLines/>
              <w:jc w:val="left"/>
              <w:rPr>
                <w:rFonts w:ascii="Arial Narrow" w:hAnsi="Arial Narrow" w:cs="Calibri"/>
                <w:color w:val="000000"/>
                <w:sz w:val="20"/>
                <w:szCs w:val="20"/>
              </w:rPr>
            </w:pPr>
          </w:p>
        </w:tc>
        <w:tc>
          <w:tcPr>
            <w:tcW w:w="662" w:type="pct"/>
            <w:tcMar>
              <w:left w:w="57" w:type="dxa"/>
              <w:right w:w="57" w:type="dxa"/>
            </w:tcMar>
            <w:vAlign w:val="center"/>
            <w:hideMark/>
          </w:tcPr>
          <w:p w14:paraId="6B6A3AD3" w14:textId="77777777" w:rsidR="00481FFF" w:rsidRPr="00F57F1D" w:rsidRDefault="00481FFF" w:rsidP="002F64DA">
            <w:pPr>
              <w:keepNext/>
              <w:keepLines/>
              <w:jc w:val="center"/>
              <w:rPr>
                <w:rFonts w:ascii="Arial Narrow" w:hAnsi="Arial Narrow" w:cs="Calibri"/>
                <w:color w:val="000000"/>
                <w:sz w:val="20"/>
                <w:szCs w:val="20"/>
              </w:rPr>
            </w:pPr>
            <w:r w:rsidRPr="00F57F1D">
              <w:rPr>
                <w:rFonts w:ascii="Arial Narrow" w:hAnsi="Arial Narrow" w:cs="Calibri"/>
                <w:sz w:val="20"/>
                <w:szCs w:val="20"/>
              </w:rPr>
              <w:t>Cidofovir</w:t>
            </w:r>
          </w:p>
        </w:tc>
        <w:tc>
          <w:tcPr>
            <w:tcW w:w="630" w:type="pct"/>
            <w:vMerge/>
            <w:tcMar>
              <w:left w:w="57" w:type="dxa"/>
              <w:right w:w="57" w:type="dxa"/>
            </w:tcMar>
            <w:vAlign w:val="center"/>
            <w:hideMark/>
          </w:tcPr>
          <w:p w14:paraId="655F9F18" w14:textId="77777777" w:rsidR="00481FFF" w:rsidRPr="00F57F1D" w:rsidRDefault="00481FFF" w:rsidP="002F64DA">
            <w:pPr>
              <w:keepNext/>
              <w:keepLines/>
              <w:jc w:val="left"/>
              <w:rPr>
                <w:rFonts w:ascii="Arial Narrow" w:hAnsi="Arial Narrow" w:cs="Calibri"/>
                <w:color w:val="000000"/>
                <w:sz w:val="20"/>
                <w:szCs w:val="20"/>
              </w:rPr>
            </w:pPr>
          </w:p>
        </w:tc>
        <w:tc>
          <w:tcPr>
            <w:tcW w:w="676" w:type="pct"/>
            <w:tcMar>
              <w:left w:w="57" w:type="dxa"/>
              <w:right w:w="57" w:type="dxa"/>
            </w:tcMar>
            <w:vAlign w:val="center"/>
            <w:hideMark/>
          </w:tcPr>
          <w:p w14:paraId="20675208" w14:textId="77777777" w:rsidR="00481FFF" w:rsidRPr="00F57F1D" w:rsidRDefault="00481FFF" w:rsidP="002F64DA">
            <w:pPr>
              <w:keepNext/>
              <w:keepLines/>
              <w:jc w:val="center"/>
              <w:rPr>
                <w:rFonts w:ascii="Arial Narrow" w:hAnsi="Arial Narrow" w:cs="Calibri"/>
                <w:color w:val="000000"/>
                <w:sz w:val="20"/>
                <w:szCs w:val="20"/>
              </w:rPr>
            </w:pPr>
            <w:r w:rsidRPr="00F57F1D">
              <w:rPr>
                <w:rFonts w:ascii="Arial Narrow" w:hAnsi="Arial Narrow" w:cs="Calibri"/>
                <w:color w:val="000000"/>
                <w:sz w:val="20"/>
                <w:szCs w:val="20"/>
              </w:rPr>
              <w:t xml:space="preserve">5 mg/kg </w:t>
            </w:r>
            <w:proofErr w:type="spellStart"/>
            <w:r w:rsidRPr="00F57F1D">
              <w:rPr>
                <w:rFonts w:ascii="Arial Narrow" w:hAnsi="Arial Narrow" w:cs="Calibri"/>
                <w:color w:val="000000"/>
                <w:sz w:val="20"/>
                <w:szCs w:val="20"/>
              </w:rPr>
              <w:t>qwk</w:t>
            </w:r>
            <w:proofErr w:type="spellEnd"/>
          </w:p>
        </w:tc>
        <w:tc>
          <w:tcPr>
            <w:tcW w:w="586" w:type="pct"/>
            <w:vMerge/>
            <w:tcMar>
              <w:left w:w="57" w:type="dxa"/>
              <w:right w:w="57" w:type="dxa"/>
            </w:tcMar>
            <w:hideMark/>
          </w:tcPr>
          <w:p w14:paraId="36C2CF7A" w14:textId="77777777" w:rsidR="00481FFF" w:rsidRPr="00F57F1D" w:rsidRDefault="00481FFF" w:rsidP="002F64DA">
            <w:pPr>
              <w:keepNext/>
              <w:keepLines/>
              <w:jc w:val="left"/>
              <w:rPr>
                <w:rFonts w:ascii="Arial Narrow" w:hAnsi="Arial Narrow" w:cs="Calibri"/>
                <w:color w:val="000000"/>
                <w:sz w:val="20"/>
                <w:szCs w:val="20"/>
              </w:rPr>
            </w:pPr>
          </w:p>
        </w:tc>
      </w:tr>
      <w:tr w:rsidR="00481FFF" w:rsidRPr="00F57F1D" w14:paraId="62A13C57" w14:textId="77777777" w:rsidTr="00AA10BF">
        <w:trPr>
          <w:trHeight w:val="20"/>
        </w:trPr>
        <w:tc>
          <w:tcPr>
            <w:tcW w:w="658" w:type="pct"/>
            <w:vMerge w:val="restart"/>
            <w:tcMar>
              <w:left w:w="57" w:type="dxa"/>
              <w:right w:w="57" w:type="dxa"/>
            </w:tcMar>
            <w:vAlign w:val="center"/>
            <w:hideMark/>
          </w:tcPr>
          <w:p w14:paraId="582D0C71" w14:textId="77777777" w:rsidR="00481FFF" w:rsidRPr="00F57F1D" w:rsidRDefault="00481FFF" w:rsidP="002F64DA">
            <w:pPr>
              <w:keepNext/>
              <w:keepLines/>
              <w:jc w:val="left"/>
              <w:rPr>
                <w:rFonts w:ascii="Arial Narrow" w:hAnsi="Arial Narrow" w:cs="Calibri"/>
                <w:color w:val="000000"/>
                <w:sz w:val="20"/>
                <w:szCs w:val="20"/>
              </w:rPr>
            </w:pPr>
            <w:r w:rsidRPr="00F57F1D">
              <w:rPr>
                <w:rFonts w:ascii="Arial Narrow" w:hAnsi="Arial Narrow" w:cs="Calibri"/>
                <w:color w:val="000000"/>
                <w:sz w:val="20"/>
                <w:szCs w:val="20"/>
                <w:lang w:val="en-US"/>
              </w:rPr>
              <w:t>Mean duration (weeks)</w:t>
            </w:r>
          </w:p>
        </w:tc>
        <w:tc>
          <w:tcPr>
            <w:tcW w:w="596" w:type="pct"/>
            <w:vMerge w:val="restart"/>
            <w:tcMar>
              <w:left w:w="57" w:type="dxa"/>
              <w:right w:w="57" w:type="dxa"/>
            </w:tcMar>
            <w:vAlign w:val="center"/>
            <w:hideMark/>
          </w:tcPr>
          <w:p w14:paraId="534341A9" w14:textId="77777777" w:rsidR="00481FFF" w:rsidRPr="00F57F1D" w:rsidRDefault="00481FFF" w:rsidP="002F64DA">
            <w:pPr>
              <w:keepNext/>
              <w:keepLines/>
              <w:jc w:val="center"/>
              <w:rPr>
                <w:rFonts w:ascii="Arial Narrow" w:hAnsi="Arial Narrow" w:cs="Calibri"/>
                <w:color w:val="000000"/>
                <w:sz w:val="20"/>
                <w:szCs w:val="20"/>
              </w:rPr>
            </w:pPr>
            <w:r w:rsidRPr="00F57F1D">
              <w:rPr>
                <w:rFonts w:ascii="Arial Narrow" w:hAnsi="Arial Narrow" w:cs="Calibri"/>
                <w:color w:val="000000"/>
                <w:sz w:val="20"/>
                <w:szCs w:val="20"/>
                <w:lang w:val="en-US"/>
              </w:rPr>
              <w:t>6.91</w:t>
            </w:r>
          </w:p>
        </w:tc>
        <w:tc>
          <w:tcPr>
            <w:tcW w:w="596" w:type="pct"/>
            <w:vMerge w:val="restart"/>
            <w:tcMar>
              <w:left w:w="57" w:type="dxa"/>
              <w:right w:w="57" w:type="dxa"/>
            </w:tcMar>
            <w:vAlign w:val="center"/>
            <w:hideMark/>
          </w:tcPr>
          <w:p w14:paraId="563ADED6" w14:textId="77777777" w:rsidR="00481FFF" w:rsidRPr="00F57F1D" w:rsidRDefault="00481FFF" w:rsidP="002F64DA">
            <w:pPr>
              <w:keepNext/>
              <w:keepLines/>
              <w:jc w:val="center"/>
              <w:rPr>
                <w:rFonts w:ascii="Arial Narrow" w:hAnsi="Arial Narrow" w:cs="Calibri"/>
                <w:color w:val="000000"/>
                <w:sz w:val="20"/>
                <w:szCs w:val="20"/>
              </w:rPr>
            </w:pPr>
            <w:r w:rsidRPr="00F57F1D">
              <w:rPr>
                <w:rFonts w:ascii="Arial Narrow" w:hAnsi="Arial Narrow" w:cs="Calibri"/>
                <w:color w:val="000000"/>
                <w:sz w:val="20"/>
                <w:szCs w:val="20"/>
                <w:lang w:val="en-US"/>
              </w:rPr>
              <w:t>7.5</w:t>
            </w:r>
          </w:p>
        </w:tc>
        <w:tc>
          <w:tcPr>
            <w:tcW w:w="595" w:type="pct"/>
            <w:vMerge w:val="restart"/>
            <w:tcMar>
              <w:left w:w="57" w:type="dxa"/>
              <w:right w:w="57" w:type="dxa"/>
            </w:tcMar>
            <w:vAlign w:val="center"/>
            <w:hideMark/>
          </w:tcPr>
          <w:p w14:paraId="2B83ADE8" w14:textId="77777777" w:rsidR="00481FFF" w:rsidRPr="00F57F1D" w:rsidRDefault="00481FFF" w:rsidP="002F64DA">
            <w:pPr>
              <w:keepNext/>
              <w:keepLines/>
              <w:jc w:val="center"/>
              <w:rPr>
                <w:rFonts w:ascii="Arial Narrow" w:hAnsi="Arial Narrow" w:cs="Calibri"/>
                <w:color w:val="000000"/>
                <w:sz w:val="20"/>
                <w:szCs w:val="20"/>
              </w:rPr>
            </w:pPr>
            <w:r w:rsidRPr="00F57F1D">
              <w:rPr>
                <w:rFonts w:ascii="Arial Narrow" w:hAnsi="Arial Narrow" w:cs="Calibri"/>
                <w:color w:val="000000"/>
                <w:sz w:val="20"/>
                <w:szCs w:val="20"/>
                <w:lang w:val="en-US"/>
              </w:rPr>
              <w:t>7.5</w:t>
            </w:r>
          </w:p>
        </w:tc>
        <w:tc>
          <w:tcPr>
            <w:tcW w:w="662" w:type="pct"/>
            <w:tcMar>
              <w:left w:w="57" w:type="dxa"/>
              <w:right w:w="57" w:type="dxa"/>
            </w:tcMar>
            <w:vAlign w:val="center"/>
            <w:hideMark/>
          </w:tcPr>
          <w:p w14:paraId="75B361EA" w14:textId="77777777" w:rsidR="00481FFF" w:rsidRPr="00F57F1D" w:rsidRDefault="00481FFF" w:rsidP="002F64DA">
            <w:pPr>
              <w:keepNext/>
              <w:keepLines/>
              <w:jc w:val="center"/>
              <w:rPr>
                <w:rFonts w:ascii="Arial Narrow" w:hAnsi="Arial Narrow" w:cs="Calibri"/>
                <w:color w:val="000000"/>
                <w:sz w:val="20"/>
                <w:szCs w:val="20"/>
              </w:rPr>
            </w:pPr>
            <w:r w:rsidRPr="00F57F1D">
              <w:rPr>
                <w:rFonts w:ascii="Arial Narrow" w:hAnsi="Arial Narrow" w:cs="Calibri"/>
                <w:sz w:val="20"/>
                <w:szCs w:val="20"/>
              </w:rPr>
              <w:t>Ganciclovir</w:t>
            </w:r>
          </w:p>
        </w:tc>
        <w:tc>
          <w:tcPr>
            <w:tcW w:w="630" w:type="pct"/>
            <w:tcMar>
              <w:left w:w="57" w:type="dxa"/>
              <w:right w:w="57" w:type="dxa"/>
            </w:tcMar>
            <w:vAlign w:val="center"/>
            <w:hideMark/>
          </w:tcPr>
          <w:p w14:paraId="7DC03688" w14:textId="77777777" w:rsidR="00481FFF" w:rsidRPr="00F57F1D" w:rsidRDefault="00481FFF" w:rsidP="002F64DA">
            <w:pPr>
              <w:keepNext/>
              <w:keepLines/>
              <w:jc w:val="center"/>
              <w:rPr>
                <w:rFonts w:ascii="Arial Narrow" w:hAnsi="Arial Narrow" w:cs="Calibri"/>
                <w:color w:val="000000"/>
                <w:sz w:val="20"/>
                <w:szCs w:val="20"/>
              </w:rPr>
            </w:pPr>
            <w:r w:rsidRPr="00F57F1D">
              <w:rPr>
                <w:rFonts w:ascii="Arial Narrow" w:hAnsi="Arial Narrow" w:cs="Calibri"/>
                <w:color w:val="000000"/>
                <w:sz w:val="20"/>
                <w:szCs w:val="20"/>
              </w:rPr>
              <w:t>4.54</w:t>
            </w:r>
          </w:p>
        </w:tc>
        <w:tc>
          <w:tcPr>
            <w:tcW w:w="676" w:type="pct"/>
            <w:tcMar>
              <w:left w:w="57" w:type="dxa"/>
              <w:right w:w="57" w:type="dxa"/>
            </w:tcMar>
            <w:vAlign w:val="center"/>
            <w:hideMark/>
          </w:tcPr>
          <w:p w14:paraId="51F8E83B" w14:textId="77777777" w:rsidR="00481FFF" w:rsidRPr="00F57F1D" w:rsidRDefault="00481FFF" w:rsidP="002F64DA">
            <w:pPr>
              <w:keepNext/>
              <w:keepLines/>
              <w:jc w:val="center"/>
              <w:rPr>
                <w:rFonts w:ascii="Arial Narrow" w:hAnsi="Arial Narrow" w:cs="Calibri"/>
                <w:color w:val="000000"/>
                <w:sz w:val="20"/>
                <w:szCs w:val="20"/>
              </w:rPr>
            </w:pPr>
            <w:r w:rsidRPr="00F57F1D">
              <w:rPr>
                <w:rFonts w:ascii="Arial Narrow" w:hAnsi="Arial Narrow" w:cs="Calibri"/>
                <w:sz w:val="20"/>
                <w:szCs w:val="20"/>
              </w:rPr>
              <w:t>5.14</w:t>
            </w:r>
          </w:p>
        </w:tc>
        <w:tc>
          <w:tcPr>
            <w:tcW w:w="586" w:type="pct"/>
            <w:vMerge/>
            <w:tcMar>
              <w:left w:w="57" w:type="dxa"/>
              <w:right w:w="57" w:type="dxa"/>
            </w:tcMar>
            <w:hideMark/>
          </w:tcPr>
          <w:p w14:paraId="54F1FDC4" w14:textId="77777777" w:rsidR="00481FFF" w:rsidRPr="00F57F1D" w:rsidRDefault="00481FFF" w:rsidP="002F64DA">
            <w:pPr>
              <w:keepNext/>
              <w:keepLines/>
              <w:jc w:val="left"/>
              <w:rPr>
                <w:rFonts w:ascii="Arial Narrow" w:hAnsi="Arial Narrow" w:cs="Calibri"/>
                <w:color w:val="000000"/>
                <w:sz w:val="20"/>
                <w:szCs w:val="20"/>
              </w:rPr>
            </w:pPr>
          </w:p>
        </w:tc>
      </w:tr>
      <w:tr w:rsidR="00481FFF" w:rsidRPr="00F57F1D" w14:paraId="1F1BB6CA" w14:textId="77777777" w:rsidTr="00AA10BF">
        <w:trPr>
          <w:trHeight w:val="20"/>
        </w:trPr>
        <w:tc>
          <w:tcPr>
            <w:tcW w:w="658" w:type="pct"/>
            <w:vMerge/>
            <w:tcMar>
              <w:left w:w="57" w:type="dxa"/>
              <w:right w:w="57" w:type="dxa"/>
            </w:tcMar>
            <w:vAlign w:val="center"/>
            <w:hideMark/>
          </w:tcPr>
          <w:p w14:paraId="5E94C446" w14:textId="77777777" w:rsidR="00481FFF" w:rsidRPr="00F57F1D" w:rsidRDefault="00481FFF" w:rsidP="002F64DA">
            <w:pPr>
              <w:keepNext/>
              <w:keepLines/>
              <w:jc w:val="left"/>
              <w:rPr>
                <w:rFonts w:ascii="Arial Narrow" w:hAnsi="Arial Narrow" w:cs="Calibri"/>
                <w:color w:val="000000"/>
                <w:sz w:val="20"/>
                <w:szCs w:val="20"/>
              </w:rPr>
            </w:pPr>
          </w:p>
        </w:tc>
        <w:tc>
          <w:tcPr>
            <w:tcW w:w="596" w:type="pct"/>
            <w:vMerge/>
            <w:tcMar>
              <w:left w:w="57" w:type="dxa"/>
              <w:right w:w="57" w:type="dxa"/>
            </w:tcMar>
            <w:vAlign w:val="center"/>
            <w:hideMark/>
          </w:tcPr>
          <w:p w14:paraId="0C3A9623" w14:textId="77777777" w:rsidR="00481FFF" w:rsidRPr="00F57F1D" w:rsidRDefault="00481FFF" w:rsidP="002F64DA">
            <w:pPr>
              <w:keepNext/>
              <w:keepLines/>
              <w:jc w:val="left"/>
              <w:rPr>
                <w:rFonts w:ascii="Arial Narrow" w:hAnsi="Arial Narrow" w:cs="Calibri"/>
                <w:color w:val="000000"/>
                <w:sz w:val="20"/>
                <w:szCs w:val="20"/>
              </w:rPr>
            </w:pPr>
          </w:p>
        </w:tc>
        <w:tc>
          <w:tcPr>
            <w:tcW w:w="596" w:type="pct"/>
            <w:vMerge/>
            <w:tcMar>
              <w:left w:w="57" w:type="dxa"/>
              <w:right w:w="57" w:type="dxa"/>
            </w:tcMar>
            <w:vAlign w:val="center"/>
            <w:hideMark/>
          </w:tcPr>
          <w:p w14:paraId="3E9E74FD" w14:textId="77777777" w:rsidR="00481FFF" w:rsidRPr="00F57F1D" w:rsidRDefault="00481FFF" w:rsidP="002F64DA">
            <w:pPr>
              <w:keepNext/>
              <w:keepLines/>
              <w:jc w:val="left"/>
              <w:rPr>
                <w:rFonts w:ascii="Arial Narrow" w:hAnsi="Arial Narrow" w:cs="Calibri"/>
                <w:color w:val="000000"/>
                <w:sz w:val="20"/>
                <w:szCs w:val="20"/>
              </w:rPr>
            </w:pPr>
          </w:p>
        </w:tc>
        <w:tc>
          <w:tcPr>
            <w:tcW w:w="595" w:type="pct"/>
            <w:vMerge/>
            <w:tcMar>
              <w:left w:w="57" w:type="dxa"/>
              <w:right w:w="57" w:type="dxa"/>
            </w:tcMar>
            <w:vAlign w:val="center"/>
            <w:hideMark/>
          </w:tcPr>
          <w:p w14:paraId="5FFAD132" w14:textId="77777777" w:rsidR="00481FFF" w:rsidRPr="00F57F1D" w:rsidRDefault="00481FFF" w:rsidP="002F64DA">
            <w:pPr>
              <w:keepNext/>
              <w:keepLines/>
              <w:jc w:val="left"/>
              <w:rPr>
                <w:rFonts w:ascii="Arial Narrow" w:hAnsi="Arial Narrow" w:cs="Calibri"/>
                <w:color w:val="000000"/>
                <w:sz w:val="20"/>
                <w:szCs w:val="20"/>
              </w:rPr>
            </w:pPr>
          </w:p>
        </w:tc>
        <w:tc>
          <w:tcPr>
            <w:tcW w:w="662" w:type="pct"/>
            <w:tcMar>
              <w:left w:w="57" w:type="dxa"/>
              <w:right w:w="57" w:type="dxa"/>
            </w:tcMar>
            <w:vAlign w:val="center"/>
            <w:hideMark/>
          </w:tcPr>
          <w:p w14:paraId="3438495A" w14:textId="77777777" w:rsidR="00481FFF" w:rsidRPr="00F57F1D" w:rsidRDefault="00481FFF" w:rsidP="002F64DA">
            <w:pPr>
              <w:keepNext/>
              <w:keepLines/>
              <w:jc w:val="center"/>
              <w:rPr>
                <w:rFonts w:ascii="Arial Narrow" w:hAnsi="Arial Narrow" w:cs="Calibri"/>
                <w:color w:val="000000"/>
                <w:sz w:val="20"/>
                <w:szCs w:val="20"/>
              </w:rPr>
            </w:pPr>
            <w:r w:rsidRPr="00F57F1D">
              <w:rPr>
                <w:rFonts w:ascii="Arial Narrow" w:hAnsi="Arial Narrow" w:cs="Calibri"/>
                <w:sz w:val="20"/>
                <w:szCs w:val="20"/>
              </w:rPr>
              <w:t>Valganciclovir</w:t>
            </w:r>
          </w:p>
        </w:tc>
        <w:tc>
          <w:tcPr>
            <w:tcW w:w="630" w:type="pct"/>
            <w:tcMar>
              <w:left w:w="57" w:type="dxa"/>
              <w:right w:w="57" w:type="dxa"/>
            </w:tcMar>
            <w:vAlign w:val="center"/>
            <w:hideMark/>
          </w:tcPr>
          <w:p w14:paraId="6E62C188" w14:textId="77777777" w:rsidR="00481FFF" w:rsidRPr="00F57F1D" w:rsidRDefault="00481FFF" w:rsidP="002F64DA">
            <w:pPr>
              <w:keepNext/>
              <w:keepLines/>
              <w:jc w:val="center"/>
              <w:rPr>
                <w:rFonts w:ascii="Arial Narrow" w:hAnsi="Arial Narrow" w:cs="Calibri"/>
                <w:color w:val="000000"/>
                <w:sz w:val="20"/>
                <w:szCs w:val="20"/>
              </w:rPr>
            </w:pPr>
            <w:r w:rsidRPr="00F57F1D">
              <w:rPr>
                <w:rFonts w:ascii="Arial Narrow" w:hAnsi="Arial Narrow" w:cs="Calibri"/>
                <w:color w:val="000000"/>
                <w:sz w:val="20"/>
                <w:szCs w:val="20"/>
              </w:rPr>
              <w:t>4.78</w:t>
            </w:r>
          </w:p>
        </w:tc>
        <w:tc>
          <w:tcPr>
            <w:tcW w:w="676" w:type="pct"/>
            <w:tcMar>
              <w:left w:w="57" w:type="dxa"/>
              <w:right w:w="57" w:type="dxa"/>
            </w:tcMar>
            <w:vAlign w:val="center"/>
            <w:hideMark/>
          </w:tcPr>
          <w:p w14:paraId="5DA77551" w14:textId="77777777" w:rsidR="00481FFF" w:rsidRPr="00F57F1D" w:rsidRDefault="00481FFF" w:rsidP="002F64DA">
            <w:pPr>
              <w:keepNext/>
              <w:keepLines/>
              <w:jc w:val="center"/>
              <w:rPr>
                <w:rFonts w:ascii="Arial Narrow" w:hAnsi="Arial Narrow" w:cs="Calibri"/>
                <w:color w:val="000000"/>
                <w:sz w:val="20"/>
                <w:szCs w:val="20"/>
              </w:rPr>
            </w:pPr>
            <w:r w:rsidRPr="00F57F1D">
              <w:rPr>
                <w:rFonts w:ascii="Arial Narrow" w:hAnsi="Arial Narrow" w:cs="Calibri"/>
                <w:sz w:val="20"/>
                <w:szCs w:val="20"/>
              </w:rPr>
              <w:t>5.14</w:t>
            </w:r>
          </w:p>
        </w:tc>
        <w:tc>
          <w:tcPr>
            <w:tcW w:w="586" w:type="pct"/>
            <w:vMerge/>
            <w:tcMar>
              <w:left w:w="57" w:type="dxa"/>
              <w:right w:w="57" w:type="dxa"/>
            </w:tcMar>
            <w:hideMark/>
          </w:tcPr>
          <w:p w14:paraId="7C4C8874" w14:textId="77777777" w:rsidR="00481FFF" w:rsidRPr="00F57F1D" w:rsidRDefault="00481FFF" w:rsidP="002F64DA">
            <w:pPr>
              <w:keepNext/>
              <w:keepLines/>
              <w:jc w:val="left"/>
              <w:rPr>
                <w:rFonts w:ascii="Arial Narrow" w:hAnsi="Arial Narrow" w:cs="Calibri"/>
                <w:color w:val="000000"/>
                <w:sz w:val="20"/>
                <w:szCs w:val="20"/>
              </w:rPr>
            </w:pPr>
          </w:p>
        </w:tc>
      </w:tr>
      <w:tr w:rsidR="00481FFF" w:rsidRPr="00F57F1D" w14:paraId="0C3EB529" w14:textId="77777777" w:rsidTr="00AA10BF">
        <w:trPr>
          <w:trHeight w:val="20"/>
        </w:trPr>
        <w:tc>
          <w:tcPr>
            <w:tcW w:w="658" w:type="pct"/>
            <w:vMerge/>
            <w:tcMar>
              <w:left w:w="57" w:type="dxa"/>
              <w:right w:w="57" w:type="dxa"/>
            </w:tcMar>
            <w:vAlign w:val="center"/>
            <w:hideMark/>
          </w:tcPr>
          <w:p w14:paraId="0540258C" w14:textId="77777777" w:rsidR="00481FFF" w:rsidRPr="00F57F1D" w:rsidRDefault="00481FFF" w:rsidP="002F64DA">
            <w:pPr>
              <w:keepNext/>
              <w:keepLines/>
              <w:jc w:val="left"/>
              <w:rPr>
                <w:rFonts w:ascii="Arial Narrow" w:hAnsi="Arial Narrow" w:cs="Calibri"/>
                <w:color w:val="000000"/>
                <w:sz w:val="20"/>
                <w:szCs w:val="20"/>
              </w:rPr>
            </w:pPr>
          </w:p>
        </w:tc>
        <w:tc>
          <w:tcPr>
            <w:tcW w:w="596" w:type="pct"/>
            <w:vMerge/>
            <w:tcMar>
              <w:left w:w="57" w:type="dxa"/>
              <w:right w:w="57" w:type="dxa"/>
            </w:tcMar>
            <w:vAlign w:val="center"/>
            <w:hideMark/>
          </w:tcPr>
          <w:p w14:paraId="08ED2E40" w14:textId="77777777" w:rsidR="00481FFF" w:rsidRPr="00F57F1D" w:rsidRDefault="00481FFF" w:rsidP="002F64DA">
            <w:pPr>
              <w:keepNext/>
              <w:keepLines/>
              <w:jc w:val="left"/>
              <w:rPr>
                <w:rFonts w:ascii="Arial Narrow" w:hAnsi="Arial Narrow" w:cs="Calibri"/>
                <w:color w:val="000000"/>
                <w:sz w:val="20"/>
                <w:szCs w:val="20"/>
              </w:rPr>
            </w:pPr>
          </w:p>
        </w:tc>
        <w:tc>
          <w:tcPr>
            <w:tcW w:w="596" w:type="pct"/>
            <w:vMerge/>
            <w:tcMar>
              <w:left w:w="57" w:type="dxa"/>
              <w:right w:w="57" w:type="dxa"/>
            </w:tcMar>
            <w:vAlign w:val="center"/>
            <w:hideMark/>
          </w:tcPr>
          <w:p w14:paraId="0E13FE2E" w14:textId="77777777" w:rsidR="00481FFF" w:rsidRPr="00F57F1D" w:rsidRDefault="00481FFF" w:rsidP="002F64DA">
            <w:pPr>
              <w:keepNext/>
              <w:keepLines/>
              <w:jc w:val="left"/>
              <w:rPr>
                <w:rFonts w:ascii="Arial Narrow" w:hAnsi="Arial Narrow" w:cs="Calibri"/>
                <w:color w:val="000000"/>
                <w:sz w:val="20"/>
                <w:szCs w:val="20"/>
              </w:rPr>
            </w:pPr>
          </w:p>
        </w:tc>
        <w:tc>
          <w:tcPr>
            <w:tcW w:w="595" w:type="pct"/>
            <w:vMerge/>
            <w:tcMar>
              <w:left w:w="57" w:type="dxa"/>
              <w:right w:w="57" w:type="dxa"/>
            </w:tcMar>
            <w:vAlign w:val="center"/>
            <w:hideMark/>
          </w:tcPr>
          <w:p w14:paraId="300AF5A4" w14:textId="77777777" w:rsidR="00481FFF" w:rsidRPr="00F57F1D" w:rsidRDefault="00481FFF" w:rsidP="002F64DA">
            <w:pPr>
              <w:keepNext/>
              <w:keepLines/>
              <w:jc w:val="left"/>
              <w:rPr>
                <w:rFonts w:ascii="Arial Narrow" w:hAnsi="Arial Narrow" w:cs="Calibri"/>
                <w:color w:val="000000"/>
                <w:sz w:val="20"/>
                <w:szCs w:val="20"/>
              </w:rPr>
            </w:pPr>
          </w:p>
        </w:tc>
        <w:tc>
          <w:tcPr>
            <w:tcW w:w="662" w:type="pct"/>
            <w:tcMar>
              <w:left w:w="57" w:type="dxa"/>
              <w:right w:w="57" w:type="dxa"/>
            </w:tcMar>
            <w:vAlign w:val="center"/>
            <w:hideMark/>
          </w:tcPr>
          <w:p w14:paraId="2F7E60A2" w14:textId="77777777" w:rsidR="00481FFF" w:rsidRPr="00F57F1D" w:rsidRDefault="00481FFF" w:rsidP="002F64DA">
            <w:pPr>
              <w:keepNext/>
              <w:keepLines/>
              <w:jc w:val="center"/>
              <w:rPr>
                <w:rFonts w:ascii="Arial Narrow" w:hAnsi="Arial Narrow" w:cs="Calibri"/>
                <w:color w:val="000000"/>
                <w:sz w:val="20"/>
                <w:szCs w:val="20"/>
              </w:rPr>
            </w:pPr>
            <w:r w:rsidRPr="00F57F1D">
              <w:rPr>
                <w:rFonts w:ascii="Arial Narrow" w:hAnsi="Arial Narrow" w:cs="Calibri"/>
                <w:sz w:val="20"/>
                <w:szCs w:val="20"/>
              </w:rPr>
              <w:t>Foscarnet</w:t>
            </w:r>
          </w:p>
        </w:tc>
        <w:tc>
          <w:tcPr>
            <w:tcW w:w="630" w:type="pct"/>
            <w:tcMar>
              <w:left w:w="57" w:type="dxa"/>
              <w:right w:w="57" w:type="dxa"/>
            </w:tcMar>
            <w:vAlign w:val="center"/>
            <w:hideMark/>
          </w:tcPr>
          <w:p w14:paraId="1E4DE857" w14:textId="77777777" w:rsidR="00481FFF" w:rsidRPr="00F57F1D" w:rsidRDefault="00481FFF" w:rsidP="002F64DA">
            <w:pPr>
              <w:keepNext/>
              <w:keepLines/>
              <w:jc w:val="center"/>
              <w:rPr>
                <w:rFonts w:ascii="Arial Narrow" w:hAnsi="Arial Narrow" w:cs="Calibri"/>
                <w:color w:val="000000"/>
                <w:sz w:val="20"/>
                <w:szCs w:val="20"/>
              </w:rPr>
            </w:pPr>
            <w:r w:rsidRPr="00F57F1D">
              <w:rPr>
                <w:rFonts w:ascii="Arial Narrow" w:hAnsi="Arial Narrow" w:cs="Calibri"/>
                <w:color w:val="000000"/>
                <w:sz w:val="20"/>
                <w:szCs w:val="20"/>
              </w:rPr>
              <w:t>4.46</w:t>
            </w:r>
          </w:p>
        </w:tc>
        <w:tc>
          <w:tcPr>
            <w:tcW w:w="676" w:type="pct"/>
            <w:tcMar>
              <w:left w:w="57" w:type="dxa"/>
              <w:right w:w="57" w:type="dxa"/>
            </w:tcMar>
            <w:vAlign w:val="center"/>
            <w:hideMark/>
          </w:tcPr>
          <w:p w14:paraId="2DD72201" w14:textId="77777777" w:rsidR="00481FFF" w:rsidRPr="00F57F1D" w:rsidRDefault="00481FFF" w:rsidP="002F64DA">
            <w:pPr>
              <w:keepNext/>
              <w:keepLines/>
              <w:jc w:val="center"/>
              <w:rPr>
                <w:rFonts w:ascii="Arial Narrow" w:hAnsi="Arial Narrow" w:cs="Calibri"/>
                <w:color w:val="000000"/>
                <w:sz w:val="20"/>
                <w:szCs w:val="20"/>
              </w:rPr>
            </w:pPr>
            <w:r w:rsidRPr="00F57F1D">
              <w:rPr>
                <w:rFonts w:ascii="Arial Narrow" w:hAnsi="Arial Narrow" w:cs="Calibri"/>
                <w:sz w:val="20"/>
                <w:szCs w:val="20"/>
              </w:rPr>
              <w:t>5.14</w:t>
            </w:r>
          </w:p>
        </w:tc>
        <w:tc>
          <w:tcPr>
            <w:tcW w:w="586" w:type="pct"/>
            <w:vMerge/>
            <w:tcMar>
              <w:left w:w="57" w:type="dxa"/>
              <w:right w:w="57" w:type="dxa"/>
            </w:tcMar>
            <w:hideMark/>
          </w:tcPr>
          <w:p w14:paraId="31405662" w14:textId="77777777" w:rsidR="00481FFF" w:rsidRPr="00F57F1D" w:rsidRDefault="00481FFF" w:rsidP="002F64DA">
            <w:pPr>
              <w:keepNext/>
              <w:keepLines/>
              <w:jc w:val="left"/>
              <w:rPr>
                <w:rFonts w:ascii="Arial Narrow" w:hAnsi="Arial Narrow" w:cs="Calibri"/>
                <w:color w:val="000000"/>
                <w:sz w:val="20"/>
                <w:szCs w:val="20"/>
              </w:rPr>
            </w:pPr>
          </w:p>
        </w:tc>
      </w:tr>
      <w:tr w:rsidR="00481FFF" w:rsidRPr="00F57F1D" w14:paraId="114CEADB" w14:textId="77777777" w:rsidTr="00AA10BF">
        <w:trPr>
          <w:trHeight w:val="20"/>
        </w:trPr>
        <w:tc>
          <w:tcPr>
            <w:tcW w:w="658" w:type="pct"/>
            <w:vMerge/>
            <w:tcMar>
              <w:left w:w="57" w:type="dxa"/>
              <w:right w:w="57" w:type="dxa"/>
            </w:tcMar>
            <w:vAlign w:val="center"/>
            <w:hideMark/>
          </w:tcPr>
          <w:p w14:paraId="5CB8AB47" w14:textId="77777777" w:rsidR="00481FFF" w:rsidRPr="00F57F1D" w:rsidRDefault="00481FFF" w:rsidP="002F64DA">
            <w:pPr>
              <w:keepNext/>
              <w:keepLines/>
              <w:jc w:val="left"/>
              <w:rPr>
                <w:rFonts w:ascii="Arial Narrow" w:hAnsi="Arial Narrow" w:cs="Calibri"/>
                <w:color w:val="000000"/>
                <w:sz w:val="20"/>
                <w:szCs w:val="20"/>
              </w:rPr>
            </w:pPr>
          </w:p>
        </w:tc>
        <w:tc>
          <w:tcPr>
            <w:tcW w:w="596" w:type="pct"/>
            <w:vMerge/>
            <w:tcMar>
              <w:left w:w="57" w:type="dxa"/>
              <w:right w:w="57" w:type="dxa"/>
            </w:tcMar>
            <w:vAlign w:val="center"/>
            <w:hideMark/>
          </w:tcPr>
          <w:p w14:paraId="338FA447" w14:textId="77777777" w:rsidR="00481FFF" w:rsidRPr="00F57F1D" w:rsidRDefault="00481FFF" w:rsidP="002F64DA">
            <w:pPr>
              <w:keepNext/>
              <w:keepLines/>
              <w:jc w:val="left"/>
              <w:rPr>
                <w:rFonts w:ascii="Arial Narrow" w:hAnsi="Arial Narrow" w:cs="Calibri"/>
                <w:color w:val="000000"/>
                <w:sz w:val="20"/>
                <w:szCs w:val="20"/>
              </w:rPr>
            </w:pPr>
          </w:p>
        </w:tc>
        <w:tc>
          <w:tcPr>
            <w:tcW w:w="596" w:type="pct"/>
            <w:vMerge/>
            <w:tcMar>
              <w:left w:w="57" w:type="dxa"/>
              <w:right w:w="57" w:type="dxa"/>
            </w:tcMar>
            <w:vAlign w:val="center"/>
            <w:hideMark/>
          </w:tcPr>
          <w:p w14:paraId="289DF755" w14:textId="77777777" w:rsidR="00481FFF" w:rsidRPr="00F57F1D" w:rsidRDefault="00481FFF" w:rsidP="002F64DA">
            <w:pPr>
              <w:keepNext/>
              <w:keepLines/>
              <w:jc w:val="left"/>
              <w:rPr>
                <w:rFonts w:ascii="Arial Narrow" w:hAnsi="Arial Narrow" w:cs="Calibri"/>
                <w:color w:val="000000"/>
                <w:sz w:val="20"/>
                <w:szCs w:val="20"/>
              </w:rPr>
            </w:pPr>
          </w:p>
        </w:tc>
        <w:tc>
          <w:tcPr>
            <w:tcW w:w="595" w:type="pct"/>
            <w:vMerge/>
            <w:tcMar>
              <w:left w:w="57" w:type="dxa"/>
              <w:right w:w="57" w:type="dxa"/>
            </w:tcMar>
            <w:vAlign w:val="center"/>
            <w:hideMark/>
          </w:tcPr>
          <w:p w14:paraId="4F2652EB" w14:textId="77777777" w:rsidR="00481FFF" w:rsidRPr="00F57F1D" w:rsidRDefault="00481FFF" w:rsidP="002F64DA">
            <w:pPr>
              <w:keepNext/>
              <w:keepLines/>
              <w:jc w:val="left"/>
              <w:rPr>
                <w:rFonts w:ascii="Arial Narrow" w:hAnsi="Arial Narrow" w:cs="Calibri"/>
                <w:color w:val="000000"/>
                <w:sz w:val="20"/>
                <w:szCs w:val="20"/>
              </w:rPr>
            </w:pPr>
          </w:p>
        </w:tc>
        <w:tc>
          <w:tcPr>
            <w:tcW w:w="662" w:type="pct"/>
            <w:tcMar>
              <w:left w:w="57" w:type="dxa"/>
              <w:right w:w="57" w:type="dxa"/>
            </w:tcMar>
            <w:vAlign w:val="center"/>
            <w:hideMark/>
          </w:tcPr>
          <w:p w14:paraId="0C47CF73" w14:textId="77777777" w:rsidR="00481FFF" w:rsidRPr="00F57F1D" w:rsidRDefault="00481FFF" w:rsidP="002F64DA">
            <w:pPr>
              <w:keepNext/>
              <w:keepLines/>
              <w:jc w:val="center"/>
              <w:rPr>
                <w:rFonts w:ascii="Arial Narrow" w:hAnsi="Arial Narrow" w:cs="Calibri"/>
                <w:color w:val="000000"/>
                <w:sz w:val="20"/>
                <w:szCs w:val="20"/>
              </w:rPr>
            </w:pPr>
            <w:r w:rsidRPr="00F57F1D">
              <w:rPr>
                <w:rFonts w:ascii="Arial Narrow" w:hAnsi="Arial Narrow" w:cs="Calibri"/>
                <w:sz w:val="20"/>
                <w:szCs w:val="20"/>
              </w:rPr>
              <w:t>Cidofovir</w:t>
            </w:r>
          </w:p>
        </w:tc>
        <w:tc>
          <w:tcPr>
            <w:tcW w:w="630" w:type="pct"/>
            <w:tcMar>
              <w:left w:w="57" w:type="dxa"/>
              <w:right w:w="57" w:type="dxa"/>
            </w:tcMar>
            <w:vAlign w:val="center"/>
            <w:hideMark/>
          </w:tcPr>
          <w:p w14:paraId="39EE2C98" w14:textId="77777777" w:rsidR="00481FFF" w:rsidRPr="00F57F1D" w:rsidRDefault="00481FFF" w:rsidP="002F64DA">
            <w:pPr>
              <w:keepNext/>
              <w:keepLines/>
              <w:jc w:val="center"/>
              <w:rPr>
                <w:rFonts w:ascii="Arial Narrow" w:hAnsi="Arial Narrow" w:cs="Calibri"/>
                <w:color w:val="000000"/>
                <w:sz w:val="20"/>
                <w:szCs w:val="20"/>
              </w:rPr>
            </w:pPr>
            <w:r w:rsidRPr="00F57F1D">
              <w:rPr>
                <w:rFonts w:ascii="Arial Narrow" w:hAnsi="Arial Narrow" w:cs="Calibri"/>
                <w:color w:val="000000"/>
                <w:sz w:val="20"/>
                <w:szCs w:val="20"/>
              </w:rPr>
              <w:t>3.70</w:t>
            </w:r>
          </w:p>
        </w:tc>
        <w:tc>
          <w:tcPr>
            <w:tcW w:w="676" w:type="pct"/>
            <w:tcMar>
              <w:left w:w="57" w:type="dxa"/>
              <w:right w:w="57" w:type="dxa"/>
            </w:tcMar>
            <w:vAlign w:val="center"/>
            <w:hideMark/>
          </w:tcPr>
          <w:p w14:paraId="01319771" w14:textId="77777777" w:rsidR="00481FFF" w:rsidRPr="00F57F1D" w:rsidRDefault="00481FFF" w:rsidP="002F64DA">
            <w:pPr>
              <w:keepNext/>
              <w:keepLines/>
              <w:jc w:val="center"/>
              <w:rPr>
                <w:rFonts w:ascii="Arial Narrow" w:hAnsi="Arial Narrow" w:cs="Calibri"/>
                <w:color w:val="000000"/>
                <w:sz w:val="20"/>
                <w:szCs w:val="20"/>
              </w:rPr>
            </w:pPr>
            <w:r w:rsidRPr="00F57F1D">
              <w:rPr>
                <w:rFonts w:ascii="Arial Narrow" w:hAnsi="Arial Narrow" w:cs="Calibri"/>
                <w:sz w:val="20"/>
                <w:szCs w:val="20"/>
              </w:rPr>
              <w:t>5.14</w:t>
            </w:r>
          </w:p>
        </w:tc>
        <w:tc>
          <w:tcPr>
            <w:tcW w:w="586" w:type="pct"/>
            <w:vMerge/>
            <w:tcMar>
              <w:left w:w="57" w:type="dxa"/>
              <w:right w:w="57" w:type="dxa"/>
            </w:tcMar>
            <w:hideMark/>
          </w:tcPr>
          <w:p w14:paraId="668B83D2" w14:textId="77777777" w:rsidR="00481FFF" w:rsidRPr="00F57F1D" w:rsidRDefault="00481FFF" w:rsidP="002F64DA">
            <w:pPr>
              <w:keepNext/>
              <w:keepLines/>
              <w:jc w:val="left"/>
              <w:rPr>
                <w:rFonts w:ascii="Arial Narrow" w:hAnsi="Arial Narrow" w:cs="Calibri"/>
                <w:color w:val="000000"/>
                <w:sz w:val="20"/>
                <w:szCs w:val="20"/>
              </w:rPr>
            </w:pPr>
          </w:p>
        </w:tc>
      </w:tr>
      <w:tr w:rsidR="00481FFF" w:rsidRPr="00F57F1D" w14:paraId="498777CB" w14:textId="77777777" w:rsidTr="00AA10BF">
        <w:trPr>
          <w:trHeight w:val="20"/>
        </w:trPr>
        <w:tc>
          <w:tcPr>
            <w:tcW w:w="658" w:type="pct"/>
            <w:vMerge w:val="restart"/>
            <w:tcMar>
              <w:left w:w="57" w:type="dxa"/>
              <w:right w:w="57" w:type="dxa"/>
            </w:tcMar>
            <w:vAlign w:val="center"/>
            <w:hideMark/>
          </w:tcPr>
          <w:p w14:paraId="4EDA9126" w14:textId="5DE84681" w:rsidR="00481FFF" w:rsidRPr="00F57F1D" w:rsidRDefault="00481FFF" w:rsidP="002F64DA">
            <w:pPr>
              <w:keepNext/>
              <w:keepLines/>
              <w:jc w:val="left"/>
              <w:rPr>
                <w:rFonts w:ascii="Arial Narrow" w:hAnsi="Arial Narrow" w:cs="Calibri"/>
                <w:color w:val="000000"/>
                <w:sz w:val="20"/>
                <w:szCs w:val="20"/>
              </w:rPr>
            </w:pPr>
            <w:r w:rsidRPr="00F57F1D">
              <w:rPr>
                <w:rFonts w:ascii="Arial Narrow" w:hAnsi="Arial Narrow" w:cs="Calibri"/>
                <w:color w:val="000000"/>
                <w:sz w:val="20"/>
                <w:szCs w:val="20"/>
              </w:rPr>
              <w:t>Cost/patient/</w:t>
            </w:r>
            <w:r w:rsidR="00AA10BF" w:rsidRPr="00F57F1D">
              <w:rPr>
                <w:rFonts w:ascii="Arial Narrow" w:hAnsi="Arial Narrow" w:cs="Calibri"/>
                <w:color w:val="000000"/>
                <w:sz w:val="20"/>
                <w:szCs w:val="20"/>
              </w:rPr>
              <w:br/>
            </w:r>
            <w:r w:rsidRPr="00F57F1D">
              <w:rPr>
                <w:rFonts w:ascii="Arial Narrow" w:hAnsi="Arial Narrow" w:cs="Calibri"/>
                <w:color w:val="000000"/>
                <w:sz w:val="20"/>
                <w:szCs w:val="20"/>
              </w:rPr>
              <w:t>week</w:t>
            </w:r>
          </w:p>
        </w:tc>
        <w:tc>
          <w:tcPr>
            <w:tcW w:w="596" w:type="pct"/>
            <w:vMerge w:val="restart"/>
            <w:tcMar>
              <w:left w:w="57" w:type="dxa"/>
              <w:right w:w="57" w:type="dxa"/>
            </w:tcMar>
            <w:vAlign w:val="center"/>
            <w:hideMark/>
          </w:tcPr>
          <w:p w14:paraId="31FF447C" w14:textId="624C93CA" w:rsidR="00481FFF" w:rsidRPr="00F57F1D" w:rsidRDefault="00481FFF" w:rsidP="002F64DA">
            <w:pPr>
              <w:keepNext/>
              <w:keepLines/>
              <w:jc w:val="center"/>
              <w:rPr>
                <w:rFonts w:ascii="Arial Narrow" w:hAnsi="Arial Narrow" w:cs="Calibri"/>
                <w:color w:val="000000"/>
                <w:sz w:val="20"/>
                <w:szCs w:val="20"/>
              </w:rPr>
            </w:pPr>
            <w:r w:rsidRPr="00F57F1D">
              <w:rPr>
                <w:rFonts w:ascii="Arial Narrow" w:hAnsi="Arial Narrow" w:cs="Calibri"/>
                <w:color w:val="000000"/>
                <w:sz w:val="20"/>
                <w:szCs w:val="20"/>
              </w:rPr>
              <w:t>$</w:t>
            </w:r>
            <w:r w:rsidR="007548FA" w:rsidRPr="003B6666">
              <w:rPr>
                <w:rFonts w:ascii="Arial Narrow" w:hAnsi="Arial Narrow" w:cs="Calibri" w:hint="eastAsia"/>
                <w:color w:val="000000"/>
                <w:w w:val="24"/>
                <w:sz w:val="20"/>
                <w:szCs w:val="20"/>
                <w:shd w:val="solid" w:color="000000" w:fill="000000"/>
                <w:fitText w:val="107" w:id="-760538107"/>
                <w14:textFill>
                  <w14:solidFill>
                    <w14:srgbClr w14:val="000000">
                      <w14:alpha w14:val="100000"/>
                    </w14:srgbClr>
                  </w14:solidFill>
                </w14:textFill>
              </w:rPr>
              <w:t xml:space="preserve">　</w:t>
            </w:r>
            <w:r w:rsidR="007548FA" w:rsidRPr="003B6666">
              <w:rPr>
                <w:rFonts w:ascii="Arial Narrow" w:hAnsi="Arial Narrow" w:cs="Calibri"/>
                <w:color w:val="000000"/>
                <w:w w:val="24"/>
                <w:sz w:val="20"/>
                <w:szCs w:val="20"/>
                <w:shd w:val="solid" w:color="000000" w:fill="000000"/>
                <w:fitText w:val="107" w:id="-760538107"/>
                <w14:textFill>
                  <w14:solidFill>
                    <w14:srgbClr w14:val="000000">
                      <w14:alpha w14:val="100000"/>
                    </w14:srgbClr>
                  </w14:solidFill>
                </w14:textFill>
              </w:rPr>
              <w:t>|</w:t>
            </w:r>
            <w:r w:rsidR="007548FA" w:rsidRPr="003B6666">
              <w:rPr>
                <w:rFonts w:ascii="Arial Narrow" w:hAnsi="Arial Narrow" w:cs="Calibri" w:hint="eastAsia"/>
                <w:color w:val="000000"/>
                <w:w w:val="24"/>
                <w:sz w:val="20"/>
                <w:szCs w:val="20"/>
                <w:shd w:val="solid" w:color="000000" w:fill="000000"/>
                <w:fitText w:val="107" w:id="-760538107"/>
                <w14:textFill>
                  <w14:solidFill>
                    <w14:srgbClr w14:val="000000">
                      <w14:alpha w14:val="100000"/>
                    </w14:srgbClr>
                  </w14:solidFill>
                </w14:textFill>
              </w:rPr>
              <w:t xml:space="preserve">　</w:t>
            </w:r>
            <w:r w:rsidRPr="00F57F1D">
              <w:rPr>
                <w:rFonts w:ascii="Arial Narrow" w:hAnsi="Arial Narrow" w:cs="Calibri"/>
                <w:color w:val="000000"/>
                <w:sz w:val="20"/>
                <w:szCs w:val="20"/>
              </w:rPr>
              <w:t xml:space="preserve"> </w:t>
            </w:r>
          </w:p>
        </w:tc>
        <w:tc>
          <w:tcPr>
            <w:tcW w:w="596" w:type="pct"/>
            <w:vMerge w:val="restart"/>
            <w:tcMar>
              <w:left w:w="57" w:type="dxa"/>
              <w:right w:w="57" w:type="dxa"/>
            </w:tcMar>
            <w:vAlign w:val="center"/>
            <w:hideMark/>
          </w:tcPr>
          <w:p w14:paraId="28F30F2E" w14:textId="38011850" w:rsidR="00481FFF" w:rsidRPr="00F57F1D" w:rsidRDefault="00481FFF" w:rsidP="002F64DA">
            <w:pPr>
              <w:keepNext/>
              <w:keepLines/>
              <w:jc w:val="center"/>
              <w:rPr>
                <w:rFonts w:ascii="Arial Narrow" w:hAnsi="Arial Narrow" w:cs="Calibri"/>
                <w:color w:val="000000"/>
                <w:sz w:val="20"/>
                <w:szCs w:val="20"/>
              </w:rPr>
            </w:pPr>
            <w:r w:rsidRPr="00F57F1D">
              <w:rPr>
                <w:rFonts w:ascii="Arial Narrow" w:hAnsi="Arial Narrow" w:cs="Calibri"/>
                <w:color w:val="000000"/>
                <w:sz w:val="20"/>
                <w:szCs w:val="20"/>
              </w:rPr>
              <w:t>$</w:t>
            </w:r>
            <w:r w:rsidR="007548FA" w:rsidRPr="003B6666">
              <w:rPr>
                <w:rFonts w:ascii="Arial Narrow" w:hAnsi="Arial Narrow" w:cs="Calibri" w:hint="eastAsia"/>
                <w:color w:val="000000"/>
                <w:w w:val="27"/>
                <w:sz w:val="20"/>
                <w:szCs w:val="20"/>
                <w:shd w:val="solid" w:color="000000" w:fill="000000"/>
                <w:fitText w:val="120" w:id="-760538106"/>
                <w14:textFill>
                  <w14:solidFill>
                    <w14:srgbClr w14:val="000000">
                      <w14:alpha w14:val="100000"/>
                    </w14:srgbClr>
                  </w14:solidFill>
                </w14:textFill>
              </w:rPr>
              <w:t xml:space="preserve">　</w:t>
            </w:r>
            <w:r w:rsidR="007548FA" w:rsidRPr="003B6666">
              <w:rPr>
                <w:rFonts w:ascii="Arial Narrow" w:hAnsi="Arial Narrow" w:cs="Calibri"/>
                <w:color w:val="000000"/>
                <w:w w:val="27"/>
                <w:sz w:val="20"/>
                <w:szCs w:val="20"/>
                <w:shd w:val="solid" w:color="000000" w:fill="000000"/>
                <w:fitText w:val="120" w:id="-760538106"/>
                <w14:textFill>
                  <w14:solidFill>
                    <w14:srgbClr w14:val="000000">
                      <w14:alpha w14:val="100000"/>
                    </w14:srgbClr>
                  </w14:solidFill>
                </w14:textFill>
              </w:rPr>
              <w:t>|</w:t>
            </w:r>
            <w:r w:rsidR="007548FA" w:rsidRPr="003B6666">
              <w:rPr>
                <w:rFonts w:ascii="Arial Narrow" w:hAnsi="Arial Narrow" w:cs="Calibri" w:hint="eastAsia"/>
                <w:color w:val="000000"/>
                <w:w w:val="27"/>
                <w:sz w:val="20"/>
                <w:szCs w:val="20"/>
                <w:shd w:val="solid" w:color="000000" w:fill="000000"/>
                <w:fitText w:val="120" w:id="-760538106"/>
                <w14:textFill>
                  <w14:solidFill>
                    <w14:srgbClr w14:val="000000">
                      <w14:alpha w14:val="100000"/>
                    </w14:srgbClr>
                  </w14:solidFill>
                </w14:textFill>
              </w:rPr>
              <w:t xml:space="preserve">　</w:t>
            </w:r>
            <w:r w:rsidRPr="00F57F1D">
              <w:rPr>
                <w:rFonts w:ascii="Arial Narrow" w:hAnsi="Arial Narrow" w:cs="Calibri"/>
                <w:color w:val="000000"/>
                <w:sz w:val="20"/>
                <w:szCs w:val="20"/>
              </w:rPr>
              <w:t xml:space="preserve"> </w:t>
            </w:r>
          </w:p>
        </w:tc>
        <w:tc>
          <w:tcPr>
            <w:tcW w:w="595" w:type="pct"/>
            <w:vMerge w:val="restart"/>
            <w:tcMar>
              <w:left w:w="57" w:type="dxa"/>
              <w:right w:w="57" w:type="dxa"/>
            </w:tcMar>
            <w:vAlign w:val="center"/>
            <w:hideMark/>
          </w:tcPr>
          <w:p w14:paraId="0F9A3227" w14:textId="66C1DA8D" w:rsidR="00481FFF" w:rsidRPr="00F57F1D" w:rsidRDefault="00481FFF" w:rsidP="002F64DA">
            <w:pPr>
              <w:keepNext/>
              <w:keepLines/>
              <w:jc w:val="center"/>
              <w:rPr>
                <w:rFonts w:ascii="Arial Narrow" w:hAnsi="Arial Narrow" w:cs="Calibri"/>
                <w:color w:val="000000"/>
                <w:sz w:val="20"/>
                <w:szCs w:val="20"/>
              </w:rPr>
            </w:pPr>
            <w:r w:rsidRPr="00F57F1D">
              <w:rPr>
                <w:rFonts w:ascii="Arial Narrow" w:hAnsi="Arial Narrow" w:cs="Calibri"/>
                <w:color w:val="000000"/>
                <w:sz w:val="20"/>
                <w:szCs w:val="20"/>
              </w:rPr>
              <w:t>$</w:t>
            </w:r>
            <w:r w:rsidR="007548FA" w:rsidRPr="003B6666">
              <w:rPr>
                <w:rFonts w:ascii="Arial Narrow" w:hAnsi="Arial Narrow" w:cs="Calibri" w:hint="eastAsia"/>
                <w:color w:val="000000"/>
                <w:w w:val="27"/>
                <w:sz w:val="20"/>
                <w:szCs w:val="20"/>
                <w:shd w:val="solid" w:color="000000" w:fill="000000"/>
                <w:fitText w:val="120" w:id="-760538105"/>
                <w14:textFill>
                  <w14:solidFill>
                    <w14:srgbClr w14:val="000000">
                      <w14:alpha w14:val="100000"/>
                    </w14:srgbClr>
                  </w14:solidFill>
                </w14:textFill>
              </w:rPr>
              <w:t xml:space="preserve">　</w:t>
            </w:r>
            <w:r w:rsidR="007548FA" w:rsidRPr="003B6666">
              <w:rPr>
                <w:rFonts w:ascii="Arial Narrow" w:hAnsi="Arial Narrow" w:cs="Calibri"/>
                <w:color w:val="000000"/>
                <w:w w:val="27"/>
                <w:sz w:val="20"/>
                <w:szCs w:val="20"/>
                <w:shd w:val="solid" w:color="000000" w:fill="000000"/>
                <w:fitText w:val="120" w:id="-760538105"/>
                <w14:textFill>
                  <w14:solidFill>
                    <w14:srgbClr w14:val="000000">
                      <w14:alpha w14:val="100000"/>
                    </w14:srgbClr>
                  </w14:solidFill>
                </w14:textFill>
              </w:rPr>
              <w:t>|</w:t>
            </w:r>
            <w:r w:rsidR="007548FA" w:rsidRPr="003B6666">
              <w:rPr>
                <w:rFonts w:ascii="Arial Narrow" w:hAnsi="Arial Narrow" w:cs="Calibri" w:hint="eastAsia"/>
                <w:color w:val="000000"/>
                <w:w w:val="27"/>
                <w:sz w:val="20"/>
                <w:szCs w:val="20"/>
                <w:shd w:val="solid" w:color="000000" w:fill="000000"/>
                <w:fitText w:val="120" w:id="-760538105"/>
                <w14:textFill>
                  <w14:solidFill>
                    <w14:srgbClr w14:val="000000">
                      <w14:alpha w14:val="100000"/>
                    </w14:srgbClr>
                  </w14:solidFill>
                </w14:textFill>
              </w:rPr>
              <w:t xml:space="preserve">　</w:t>
            </w:r>
            <w:r w:rsidRPr="00F57F1D">
              <w:rPr>
                <w:rFonts w:ascii="Arial Narrow" w:hAnsi="Arial Narrow" w:cs="Calibri"/>
                <w:color w:val="000000"/>
                <w:sz w:val="20"/>
                <w:szCs w:val="20"/>
              </w:rPr>
              <w:t xml:space="preserve"> </w:t>
            </w:r>
          </w:p>
        </w:tc>
        <w:tc>
          <w:tcPr>
            <w:tcW w:w="662" w:type="pct"/>
            <w:tcMar>
              <w:left w:w="57" w:type="dxa"/>
              <w:right w:w="57" w:type="dxa"/>
            </w:tcMar>
            <w:vAlign w:val="center"/>
            <w:hideMark/>
          </w:tcPr>
          <w:p w14:paraId="2982BEDD" w14:textId="77777777" w:rsidR="00481FFF" w:rsidRPr="00F57F1D" w:rsidRDefault="00481FFF" w:rsidP="002F64DA">
            <w:pPr>
              <w:keepNext/>
              <w:keepLines/>
              <w:jc w:val="center"/>
              <w:rPr>
                <w:rFonts w:ascii="Arial Narrow" w:hAnsi="Arial Narrow" w:cs="Calibri"/>
                <w:color w:val="000000"/>
                <w:sz w:val="20"/>
                <w:szCs w:val="20"/>
              </w:rPr>
            </w:pPr>
            <w:r w:rsidRPr="00F57F1D">
              <w:rPr>
                <w:rFonts w:ascii="Arial Narrow" w:hAnsi="Arial Narrow" w:cs="Calibri"/>
                <w:sz w:val="20"/>
                <w:szCs w:val="20"/>
              </w:rPr>
              <w:t>Ganciclovir</w:t>
            </w:r>
          </w:p>
        </w:tc>
        <w:tc>
          <w:tcPr>
            <w:tcW w:w="630" w:type="pct"/>
            <w:tcMar>
              <w:left w:w="57" w:type="dxa"/>
              <w:right w:w="57" w:type="dxa"/>
            </w:tcMar>
            <w:vAlign w:val="center"/>
            <w:hideMark/>
          </w:tcPr>
          <w:p w14:paraId="17E0DCB5" w14:textId="77777777" w:rsidR="00481FFF" w:rsidRPr="00F57F1D" w:rsidRDefault="00481FFF" w:rsidP="002F64DA">
            <w:pPr>
              <w:keepNext/>
              <w:keepLines/>
              <w:jc w:val="center"/>
              <w:rPr>
                <w:rFonts w:ascii="Arial Narrow" w:hAnsi="Arial Narrow" w:cs="Calibri"/>
                <w:color w:val="000000"/>
                <w:sz w:val="20"/>
                <w:szCs w:val="20"/>
              </w:rPr>
            </w:pPr>
            <w:r w:rsidRPr="00F57F1D">
              <w:rPr>
                <w:rFonts w:ascii="Arial Narrow" w:hAnsi="Arial Narrow" w:cs="Calibri"/>
                <w:color w:val="000000"/>
                <w:sz w:val="20"/>
                <w:szCs w:val="20"/>
              </w:rPr>
              <w:t>$258</w:t>
            </w:r>
          </w:p>
        </w:tc>
        <w:tc>
          <w:tcPr>
            <w:tcW w:w="676" w:type="pct"/>
            <w:tcMar>
              <w:left w:w="57" w:type="dxa"/>
              <w:right w:w="57" w:type="dxa"/>
            </w:tcMar>
            <w:vAlign w:val="center"/>
            <w:hideMark/>
          </w:tcPr>
          <w:p w14:paraId="287FDCFA" w14:textId="77777777" w:rsidR="00481FFF" w:rsidRPr="00F57F1D" w:rsidRDefault="00481FFF" w:rsidP="002F64DA">
            <w:pPr>
              <w:keepNext/>
              <w:keepLines/>
              <w:jc w:val="center"/>
              <w:rPr>
                <w:rFonts w:ascii="Arial Narrow" w:hAnsi="Arial Narrow" w:cs="Calibri"/>
                <w:color w:val="000000"/>
                <w:sz w:val="20"/>
                <w:szCs w:val="20"/>
              </w:rPr>
            </w:pPr>
            <w:r w:rsidRPr="00F57F1D">
              <w:rPr>
                <w:rFonts w:ascii="Arial Narrow" w:hAnsi="Arial Narrow" w:cs="Calibri"/>
                <w:color w:val="000000"/>
                <w:sz w:val="20"/>
                <w:szCs w:val="20"/>
              </w:rPr>
              <w:t>$258</w:t>
            </w:r>
          </w:p>
        </w:tc>
        <w:tc>
          <w:tcPr>
            <w:tcW w:w="586" w:type="pct"/>
            <w:vMerge/>
            <w:tcMar>
              <w:left w:w="57" w:type="dxa"/>
              <w:right w:w="57" w:type="dxa"/>
            </w:tcMar>
            <w:hideMark/>
          </w:tcPr>
          <w:p w14:paraId="4C4D38C3" w14:textId="77777777" w:rsidR="00481FFF" w:rsidRPr="00F57F1D" w:rsidRDefault="00481FFF" w:rsidP="002F64DA">
            <w:pPr>
              <w:keepNext/>
              <w:keepLines/>
              <w:jc w:val="left"/>
              <w:rPr>
                <w:rFonts w:ascii="Arial Narrow" w:hAnsi="Arial Narrow" w:cs="Calibri"/>
                <w:color w:val="000000"/>
                <w:sz w:val="20"/>
                <w:szCs w:val="20"/>
              </w:rPr>
            </w:pPr>
          </w:p>
        </w:tc>
      </w:tr>
      <w:tr w:rsidR="00481FFF" w:rsidRPr="00F57F1D" w14:paraId="1E35C5BE" w14:textId="77777777" w:rsidTr="00AA10BF">
        <w:trPr>
          <w:trHeight w:val="20"/>
        </w:trPr>
        <w:tc>
          <w:tcPr>
            <w:tcW w:w="658" w:type="pct"/>
            <w:vMerge/>
            <w:tcMar>
              <w:left w:w="57" w:type="dxa"/>
              <w:right w:w="57" w:type="dxa"/>
            </w:tcMar>
            <w:vAlign w:val="center"/>
            <w:hideMark/>
          </w:tcPr>
          <w:p w14:paraId="6D0B7040" w14:textId="77777777" w:rsidR="00481FFF" w:rsidRPr="00F57F1D" w:rsidRDefault="00481FFF" w:rsidP="002F64DA">
            <w:pPr>
              <w:keepNext/>
              <w:keepLines/>
              <w:jc w:val="left"/>
              <w:rPr>
                <w:rFonts w:ascii="Arial Narrow" w:hAnsi="Arial Narrow" w:cs="Calibri"/>
                <w:color w:val="000000"/>
                <w:sz w:val="20"/>
                <w:szCs w:val="20"/>
              </w:rPr>
            </w:pPr>
          </w:p>
        </w:tc>
        <w:tc>
          <w:tcPr>
            <w:tcW w:w="596" w:type="pct"/>
            <w:vMerge/>
            <w:tcMar>
              <w:left w:w="57" w:type="dxa"/>
              <w:right w:w="57" w:type="dxa"/>
            </w:tcMar>
            <w:vAlign w:val="center"/>
            <w:hideMark/>
          </w:tcPr>
          <w:p w14:paraId="6ADE285B" w14:textId="77777777" w:rsidR="00481FFF" w:rsidRPr="00F57F1D" w:rsidRDefault="00481FFF" w:rsidP="002F64DA">
            <w:pPr>
              <w:keepNext/>
              <w:keepLines/>
              <w:jc w:val="left"/>
              <w:rPr>
                <w:rFonts w:ascii="Arial Narrow" w:hAnsi="Arial Narrow" w:cs="Calibri"/>
                <w:color w:val="000000"/>
                <w:sz w:val="20"/>
                <w:szCs w:val="20"/>
              </w:rPr>
            </w:pPr>
          </w:p>
        </w:tc>
        <w:tc>
          <w:tcPr>
            <w:tcW w:w="596" w:type="pct"/>
            <w:vMerge/>
            <w:tcMar>
              <w:left w:w="57" w:type="dxa"/>
              <w:right w:w="57" w:type="dxa"/>
            </w:tcMar>
            <w:vAlign w:val="center"/>
            <w:hideMark/>
          </w:tcPr>
          <w:p w14:paraId="67BF147B" w14:textId="77777777" w:rsidR="00481FFF" w:rsidRPr="00F57F1D" w:rsidRDefault="00481FFF" w:rsidP="002F64DA">
            <w:pPr>
              <w:keepNext/>
              <w:keepLines/>
              <w:jc w:val="left"/>
              <w:rPr>
                <w:rFonts w:ascii="Arial Narrow" w:hAnsi="Arial Narrow" w:cs="Calibri"/>
                <w:color w:val="000000"/>
                <w:sz w:val="20"/>
                <w:szCs w:val="20"/>
              </w:rPr>
            </w:pPr>
          </w:p>
        </w:tc>
        <w:tc>
          <w:tcPr>
            <w:tcW w:w="595" w:type="pct"/>
            <w:vMerge/>
            <w:tcMar>
              <w:left w:w="57" w:type="dxa"/>
              <w:right w:w="57" w:type="dxa"/>
            </w:tcMar>
            <w:vAlign w:val="center"/>
            <w:hideMark/>
          </w:tcPr>
          <w:p w14:paraId="2881A267" w14:textId="77777777" w:rsidR="00481FFF" w:rsidRPr="00F57F1D" w:rsidRDefault="00481FFF" w:rsidP="002F64DA">
            <w:pPr>
              <w:keepNext/>
              <w:keepLines/>
              <w:jc w:val="left"/>
              <w:rPr>
                <w:rFonts w:ascii="Arial Narrow" w:hAnsi="Arial Narrow" w:cs="Calibri"/>
                <w:color w:val="000000"/>
                <w:sz w:val="20"/>
                <w:szCs w:val="20"/>
              </w:rPr>
            </w:pPr>
          </w:p>
        </w:tc>
        <w:tc>
          <w:tcPr>
            <w:tcW w:w="662" w:type="pct"/>
            <w:tcMar>
              <w:left w:w="57" w:type="dxa"/>
              <w:right w:w="57" w:type="dxa"/>
            </w:tcMar>
            <w:vAlign w:val="center"/>
            <w:hideMark/>
          </w:tcPr>
          <w:p w14:paraId="10401C97" w14:textId="77777777" w:rsidR="00481FFF" w:rsidRPr="00F57F1D" w:rsidRDefault="00481FFF" w:rsidP="002F64DA">
            <w:pPr>
              <w:keepNext/>
              <w:keepLines/>
              <w:jc w:val="center"/>
              <w:rPr>
                <w:rFonts w:ascii="Arial Narrow" w:hAnsi="Arial Narrow" w:cs="Calibri"/>
                <w:color w:val="000000"/>
                <w:sz w:val="20"/>
                <w:szCs w:val="20"/>
              </w:rPr>
            </w:pPr>
            <w:r w:rsidRPr="00F57F1D">
              <w:rPr>
                <w:rFonts w:ascii="Arial Narrow" w:hAnsi="Arial Narrow" w:cs="Calibri"/>
                <w:sz w:val="20"/>
                <w:szCs w:val="20"/>
              </w:rPr>
              <w:t>Valganciclovir</w:t>
            </w:r>
          </w:p>
        </w:tc>
        <w:tc>
          <w:tcPr>
            <w:tcW w:w="630" w:type="pct"/>
            <w:tcMar>
              <w:left w:w="57" w:type="dxa"/>
              <w:right w:w="57" w:type="dxa"/>
            </w:tcMar>
            <w:vAlign w:val="center"/>
            <w:hideMark/>
          </w:tcPr>
          <w:p w14:paraId="0695982A" w14:textId="77777777" w:rsidR="00481FFF" w:rsidRPr="00F57F1D" w:rsidRDefault="00481FFF" w:rsidP="002F64DA">
            <w:pPr>
              <w:keepNext/>
              <w:keepLines/>
              <w:jc w:val="center"/>
              <w:rPr>
                <w:rFonts w:ascii="Arial Narrow" w:hAnsi="Arial Narrow" w:cs="Calibri"/>
                <w:color w:val="000000"/>
                <w:sz w:val="20"/>
                <w:szCs w:val="20"/>
              </w:rPr>
            </w:pPr>
            <w:r w:rsidRPr="00F57F1D">
              <w:rPr>
                <w:rFonts w:ascii="Arial Narrow" w:hAnsi="Arial Narrow" w:cs="Calibri"/>
                <w:color w:val="000000"/>
                <w:sz w:val="20"/>
                <w:szCs w:val="20"/>
              </w:rPr>
              <w:t>$112</w:t>
            </w:r>
          </w:p>
        </w:tc>
        <w:tc>
          <w:tcPr>
            <w:tcW w:w="676" w:type="pct"/>
            <w:tcMar>
              <w:left w:w="57" w:type="dxa"/>
              <w:right w:w="57" w:type="dxa"/>
            </w:tcMar>
            <w:vAlign w:val="center"/>
            <w:hideMark/>
          </w:tcPr>
          <w:p w14:paraId="33FB256D" w14:textId="77777777" w:rsidR="00481FFF" w:rsidRPr="00F57F1D" w:rsidRDefault="00481FFF" w:rsidP="002F64DA">
            <w:pPr>
              <w:keepNext/>
              <w:keepLines/>
              <w:jc w:val="center"/>
              <w:rPr>
                <w:rFonts w:ascii="Arial Narrow" w:hAnsi="Arial Narrow" w:cs="Calibri"/>
                <w:color w:val="000000"/>
                <w:sz w:val="20"/>
                <w:szCs w:val="20"/>
              </w:rPr>
            </w:pPr>
            <w:r w:rsidRPr="00F57F1D">
              <w:rPr>
                <w:rFonts w:ascii="Arial Narrow" w:hAnsi="Arial Narrow" w:cs="Calibri"/>
                <w:color w:val="000000"/>
                <w:sz w:val="20"/>
                <w:szCs w:val="20"/>
              </w:rPr>
              <w:t>$112</w:t>
            </w:r>
          </w:p>
        </w:tc>
        <w:tc>
          <w:tcPr>
            <w:tcW w:w="586" w:type="pct"/>
            <w:vMerge/>
            <w:tcMar>
              <w:left w:w="57" w:type="dxa"/>
              <w:right w:w="57" w:type="dxa"/>
            </w:tcMar>
            <w:hideMark/>
          </w:tcPr>
          <w:p w14:paraId="44D799D8" w14:textId="77777777" w:rsidR="00481FFF" w:rsidRPr="00F57F1D" w:rsidRDefault="00481FFF" w:rsidP="002F64DA">
            <w:pPr>
              <w:keepNext/>
              <w:keepLines/>
              <w:jc w:val="left"/>
              <w:rPr>
                <w:rFonts w:ascii="Arial Narrow" w:hAnsi="Arial Narrow" w:cs="Calibri"/>
                <w:color w:val="000000"/>
                <w:sz w:val="20"/>
                <w:szCs w:val="20"/>
              </w:rPr>
            </w:pPr>
          </w:p>
        </w:tc>
      </w:tr>
      <w:tr w:rsidR="00481FFF" w:rsidRPr="00F57F1D" w14:paraId="679E1323" w14:textId="77777777" w:rsidTr="00AA10BF">
        <w:trPr>
          <w:trHeight w:val="20"/>
        </w:trPr>
        <w:tc>
          <w:tcPr>
            <w:tcW w:w="658" w:type="pct"/>
            <w:vMerge/>
            <w:tcMar>
              <w:left w:w="57" w:type="dxa"/>
              <w:right w:w="57" w:type="dxa"/>
            </w:tcMar>
            <w:vAlign w:val="center"/>
            <w:hideMark/>
          </w:tcPr>
          <w:p w14:paraId="0FEFCE70" w14:textId="77777777" w:rsidR="00481FFF" w:rsidRPr="00F57F1D" w:rsidRDefault="00481FFF" w:rsidP="002F64DA">
            <w:pPr>
              <w:keepNext/>
              <w:keepLines/>
              <w:jc w:val="left"/>
              <w:rPr>
                <w:rFonts w:ascii="Arial Narrow" w:hAnsi="Arial Narrow" w:cs="Calibri"/>
                <w:color w:val="000000"/>
                <w:sz w:val="20"/>
                <w:szCs w:val="20"/>
              </w:rPr>
            </w:pPr>
          </w:p>
        </w:tc>
        <w:tc>
          <w:tcPr>
            <w:tcW w:w="596" w:type="pct"/>
            <w:vMerge/>
            <w:tcMar>
              <w:left w:w="57" w:type="dxa"/>
              <w:right w:w="57" w:type="dxa"/>
            </w:tcMar>
            <w:vAlign w:val="center"/>
            <w:hideMark/>
          </w:tcPr>
          <w:p w14:paraId="7DCF4BF1" w14:textId="77777777" w:rsidR="00481FFF" w:rsidRPr="00F57F1D" w:rsidRDefault="00481FFF" w:rsidP="002F64DA">
            <w:pPr>
              <w:keepNext/>
              <w:keepLines/>
              <w:jc w:val="left"/>
              <w:rPr>
                <w:rFonts w:ascii="Arial Narrow" w:hAnsi="Arial Narrow" w:cs="Calibri"/>
                <w:color w:val="000000"/>
                <w:sz w:val="20"/>
                <w:szCs w:val="20"/>
              </w:rPr>
            </w:pPr>
          </w:p>
        </w:tc>
        <w:tc>
          <w:tcPr>
            <w:tcW w:w="596" w:type="pct"/>
            <w:vMerge/>
            <w:tcMar>
              <w:left w:w="57" w:type="dxa"/>
              <w:right w:w="57" w:type="dxa"/>
            </w:tcMar>
            <w:vAlign w:val="center"/>
            <w:hideMark/>
          </w:tcPr>
          <w:p w14:paraId="14A151AB" w14:textId="77777777" w:rsidR="00481FFF" w:rsidRPr="00F57F1D" w:rsidRDefault="00481FFF" w:rsidP="002F64DA">
            <w:pPr>
              <w:keepNext/>
              <w:keepLines/>
              <w:jc w:val="left"/>
              <w:rPr>
                <w:rFonts w:ascii="Arial Narrow" w:hAnsi="Arial Narrow" w:cs="Calibri"/>
                <w:color w:val="000000"/>
                <w:sz w:val="20"/>
                <w:szCs w:val="20"/>
              </w:rPr>
            </w:pPr>
          </w:p>
        </w:tc>
        <w:tc>
          <w:tcPr>
            <w:tcW w:w="595" w:type="pct"/>
            <w:vMerge/>
            <w:tcMar>
              <w:left w:w="57" w:type="dxa"/>
              <w:right w:w="57" w:type="dxa"/>
            </w:tcMar>
            <w:vAlign w:val="center"/>
            <w:hideMark/>
          </w:tcPr>
          <w:p w14:paraId="0BC6BD01" w14:textId="77777777" w:rsidR="00481FFF" w:rsidRPr="00F57F1D" w:rsidRDefault="00481FFF" w:rsidP="002F64DA">
            <w:pPr>
              <w:keepNext/>
              <w:keepLines/>
              <w:jc w:val="left"/>
              <w:rPr>
                <w:rFonts w:ascii="Arial Narrow" w:hAnsi="Arial Narrow" w:cs="Calibri"/>
                <w:color w:val="000000"/>
                <w:sz w:val="20"/>
                <w:szCs w:val="20"/>
              </w:rPr>
            </w:pPr>
          </w:p>
        </w:tc>
        <w:tc>
          <w:tcPr>
            <w:tcW w:w="662" w:type="pct"/>
            <w:tcMar>
              <w:left w:w="57" w:type="dxa"/>
              <w:right w:w="57" w:type="dxa"/>
            </w:tcMar>
            <w:vAlign w:val="center"/>
            <w:hideMark/>
          </w:tcPr>
          <w:p w14:paraId="624D8576" w14:textId="77777777" w:rsidR="00481FFF" w:rsidRPr="00F57F1D" w:rsidRDefault="00481FFF" w:rsidP="002F64DA">
            <w:pPr>
              <w:keepNext/>
              <w:keepLines/>
              <w:jc w:val="center"/>
              <w:rPr>
                <w:rFonts w:ascii="Arial Narrow" w:hAnsi="Arial Narrow" w:cs="Calibri"/>
                <w:color w:val="000000"/>
                <w:sz w:val="20"/>
                <w:szCs w:val="20"/>
              </w:rPr>
            </w:pPr>
            <w:r w:rsidRPr="00F57F1D">
              <w:rPr>
                <w:rFonts w:ascii="Arial Narrow" w:hAnsi="Arial Narrow" w:cs="Calibri"/>
                <w:sz w:val="20"/>
                <w:szCs w:val="20"/>
              </w:rPr>
              <w:t>Foscarnet</w:t>
            </w:r>
          </w:p>
        </w:tc>
        <w:tc>
          <w:tcPr>
            <w:tcW w:w="630" w:type="pct"/>
            <w:tcMar>
              <w:left w:w="57" w:type="dxa"/>
              <w:right w:w="57" w:type="dxa"/>
            </w:tcMar>
            <w:vAlign w:val="center"/>
            <w:hideMark/>
          </w:tcPr>
          <w:p w14:paraId="5305DF40" w14:textId="77777777" w:rsidR="00481FFF" w:rsidRPr="00F57F1D" w:rsidRDefault="00481FFF" w:rsidP="002F64DA">
            <w:pPr>
              <w:keepNext/>
              <w:keepLines/>
              <w:jc w:val="center"/>
              <w:rPr>
                <w:rFonts w:ascii="Arial Narrow" w:hAnsi="Arial Narrow" w:cs="Calibri"/>
                <w:color w:val="000000"/>
                <w:sz w:val="20"/>
                <w:szCs w:val="20"/>
              </w:rPr>
            </w:pPr>
            <w:r w:rsidRPr="00F57F1D">
              <w:rPr>
                <w:rFonts w:ascii="Arial Narrow" w:hAnsi="Arial Narrow" w:cs="Calibri"/>
                <w:color w:val="000000"/>
                <w:sz w:val="20"/>
                <w:szCs w:val="20"/>
              </w:rPr>
              <w:t>$3,142</w:t>
            </w:r>
          </w:p>
        </w:tc>
        <w:tc>
          <w:tcPr>
            <w:tcW w:w="676" w:type="pct"/>
            <w:tcMar>
              <w:left w:w="57" w:type="dxa"/>
              <w:right w:w="57" w:type="dxa"/>
            </w:tcMar>
            <w:vAlign w:val="center"/>
            <w:hideMark/>
          </w:tcPr>
          <w:p w14:paraId="23527CDC" w14:textId="77777777" w:rsidR="00481FFF" w:rsidRPr="00F57F1D" w:rsidRDefault="00481FFF" w:rsidP="002F64DA">
            <w:pPr>
              <w:keepNext/>
              <w:keepLines/>
              <w:jc w:val="center"/>
              <w:rPr>
                <w:rFonts w:ascii="Arial Narrow" w:hAnsi="Arial Narrow" w:cs="Calibri"/>
                <w:color w:val="000000"/>
                <w:sz w:val="20"/>
                <w:szCs w:val="20"/>
              </w:rPr>
            </w:pPr>
            <w:r w:rsidRPr="00F57F1D">
              <w:rPr>
                <w:rFonts w:ascii="Arial Narrow" w:hAnsi="Arial Narrow" w:cs="Calibri"/>
                <w:color w:val="000000"/>
                <w:sz w:val="20"/>
                <w:szCs w:val="20"/>
              </w:rPr>
              <w:t>$3,142</w:t>
            </w:r>
          </w:p>
        </w:tc>
        <w:tc>
          <w:tcPr>
            <w:tcW w:w="586" w:type="pct"/>
            <w:vMerge/>
            <w:tcMar>
              <w:left w:w="57" w:type="dxa"/>
              <w:right w:w="57" w:type="dxa"/>
            </w:tcMar>
            <w:hideMark/>
          </w:tcPr>
          <w:p w14:paraId="2E8CB8E6" w14:textId="77777777" w:rsidR="00481FFF" w:rsidRPr="00F57F1D" w:rsidRDefault="00481FFF" w:rsidP="002F64DA">
            <w:pPr>
              <w:keepNext/>
              <w:keepLines/>
              <w:jc w:val="left"/>
              <w:rPr>
                <w:rFonts w:ascii="Arial Narrow" w:hAnsi="Arial Narrow" w:cs="Calibri"/>
                <w:color w:val="000000"/>
                <w:sz w:val="20"/>
                <w:szCs w:val="20"/>
              </w:rPr>
            </w:pPr>
          </w:p>
        </w:tc>
      </w:tr>
      <w:tr w:rsidR="00481FFF" w:rsidRPr="00F57F1D" w14:paraId="5A60018B" w14:textId="77777777" w:rsidTr="00AA10BF">
        <w:trPr>
          <w:trHeight w:val="20"/>
        </w:trPr>
        <w:tc>
          <w:tcPr>
            <w:tcW w:w="658" w:type="pct"/>
            <w:vMerge/>
            <w:tcMar>
              <w:left w:w="57" w:type="dxa"/>
              <w:right w:w="57" w:type="dxa"/>
            </w:tcMar>
            <w:vAlign w:val="center"/>
            <w:hideMark/>
          </w:tcPr>
          <w:p w14:paraId="36511FC6" w14:textId="77777777" w:rsidR="00481FFF" w:rsidRPr="00F57F1D" w:rsidRDefault="00481FFF" w:rsidP="002F64DA">
            <w:pPr>
              <w:keepNext/>
              <w:keepLines/>
              <w:jc w:val="left"/>
              <w:rPr>
                <w:rFonts w:ascii="Arial Narrow" w:hAnsi="Arial Narrow" w:cs="Calibri"/>
                <w:color w:val="000000"/>
                <w:sz w:val="20"/>
                <w:szCs w:val="20"/>
              </w:rPr>
            </w:pPr>
          </w:p>
        </w:tc>
        <w:tc>
          <w:tcPr>
            <w:tcW w:w="596" w:type="pct"/>
            <w:vMerge/>
            <w:tcMar>
              <w:left w:w="57" w:type="dxa"/>
              <w:right w:w="57" w:type="dxa"/>
            </w:tcMar>
            <w:vAlign w:val="center"/>
            <w:hideMark/>
          </w:tcPr>
          <w:p w14:paraId="613CC4A5" w14:textId="77777777" w:rsidR="00481FFF" w:rsidRPr="00F57F1D" w:rsidRDefault="00481FFF" w:rsidP="002F64DA">
            <w:pPr>
              <w:keepNext/>
              <w:keepLines/>
              <w:jc w:val="left"/>
              <w:rPr>
                <w:rFonts w:ascii="Arial Narrow" w:hAnsi="Arial Narrow" w:cs="Calibri"/>
                <w:color w:val="000000"/>
                <w:sz w:val="20"/>
                <w:szCs w:val="20"/>
              </w:rPr>
            </w:pPr>
          </w:p>
        </w:tc>
        <w:tc>
          <w:tcPr>
            <w:tcW w:w="596" w:type="pct"/>
            <w:vMerge/>
            <w:tcMar>
              <w:left w:w="57" w:type="dxa"/>
              <w:right w:w="57" w:type="dxa"/>
            </w:tcMar>
            <w:vAlign w:val="center"/>
            <w:hideMark/>
          </w:tcPr>
          <w:p w14:paraId="7350E659" w14:textId="77777777" w:rsidR="00481FFF" w:rsidRPr="00F57F1D" w:rsidRDefault="00481FFF" w:rsidP="002F64DA">
            <w:pPr>
              <w:keepNext/>
              <w:keepLines/>
              <w:jc w:val="left"/>
              <w:rPr>
                <w:rFonts w:ascii="Arial Narrow" w:hAnsi="Arial Narrow" w:cs="Calibri"/>
                <w:color w:val="000000"/>
                <w:sz w:val="20"/>
                <w:szCs w:val="20"/>
              </w:rPr>
            </w:pPr>
          </w:p>
        </w:tc>
        <w:tc>
          <w:tcPr>
            <w:tcW w:w="595" w:type="pct"/>
            <w:vMerge/>
            <w:tcMar>
              <w:left w:w="57" w:type="dxa"/>
              <w:right w:w="57" w:type="dxa"/>
            </w:tcMar>
            <w:vAlign w:val="center"/>
            <w:hideMark/>
          </w:tcPr>
          <w:p w14:paraId="01A1E091" w14:textId="77777777" w:rsidR="00481FFF" w:rsidRPr="00F57F1D" w:rsidRDefault="00481FFF" w:rsidP="002F64DA">
            <w:pPr>
              <w:keepNext/>
              <w:keepLines/>
              <w:jc w:val="left"/>
              <w:rPr>
                <w:rFonts w:ascii="Arial Narrow" w:hAnsi="Arial Narrow" w:cs="Calibri"/>
                <w:color w:val="000000"/>
                <w:sz w:val="20"/>
                <w:szCs w:val="20"/>
              </w:rPr>
            </w:pPr>
          </w:p>
        </w:tc>
        <w:tc>
          <w:tcPr>
            <w:tcW w:w="662" w:type="pct"/>
            <w:tcMar>
              <w:left w:w="57" w:type="dxa"/>
              <w:right w:w="57" w:type="dxa"/>
            </w:tcMar>
            <w:vAlign w:val="center"/>
            <w:hideMark/>
          </w:tcPr>
          <w:p w14:paraId="3A30D472" w14:textId="77777777" w:rsidR="00481FFF" w:rsidRPr="00F57F1D" w:rsidRDefault="00481FFF" w:rsidP="002F64DA">
            <w:pPr>
              <w:keepNext/>
              <w:keepLines/>
              <w:jc w:val="center"/>
              <w:rPr>
                <w:rFonts w:ascii="Arial Narrow" w:hAnsi="Arial Narrow" w:cs="Calibri"/>
                <w:color w:val="000000"/>
                <w:sz w:val="20"/>
                <w:szCs w:val="20"/>
              </w:rPr>
            </w:pPr>
            <w:r w:rsidRPr="00F57F1D">
              <w:rPr>
                <w:rFonts w:ascii="Arial Narrow" w:hAnsi="Arial Narrow" w:cs="Calibri"/>
                <w:sz w:val="20"/>
                <w:szCs w:val="20"/>
              </w:rPr>
              <w:t>Cidofovir</w:t>
            </w:r>
          </w:p>
        </w:tc>
        <w:tc>
          <w:tcPr>
            <w:tcW w:w="630" w:type="pct"/>
            <w:tcMar>
              <w:left w:w="57" w:type="dxa"/>
              <w:right w:w="57" w:type="dxa"/>
            </w:tcMar>
            <w:vAlign w:val="center"/>
            <w:hideMark/>
          </w:tcPr>
          <w:p w14:paraId="7E52F4F9" w14:textId="77777777" w:rsidR="00481FFF" w:rsidRPr="00F57F1D" w:rsidRDefault="00481FFF" w:rsidP="002F64DA">
            <w:pPr>
              <w:keepNext/>
              <w:keepLines/>
              <w:jc w:val="center"/>
              <w:rPr>
                <w:rFonts w:ascii="Arial Narrow" w:hAnsi="Arial Narrow" w:cs="Calibri"/>
                <w:color w:val="000000"/>
                <w:sz w:val="20"/>
                <w:szCs w:val="20"/>
              </w:rPr>
            </w:pPr>
            <w:r w:rsidRPr="00F57F1D">
              <w:rPr>
                <w:rFonts w:ascii="Arial Narrow" w:hAnsi="Arial Narrow" w:cs="Calibri"/>
                <w:color w:val="000000"/>
                <w:sz w:val="20"/>
                <w:szCs w:val="20"/>
              </w:rPr>
              <w:t>$1,097</w:t>
            </w:r>
          </w:p>
        </w:tc>
        <w:tc>
          <w:tcPr>
            <w:tcW w:w="676" w:type="pct"/>
            <w:tcMar>
              <w:left w:w="57" w:type="dxa"/>
              <w:right w:w="57" w:type="dxa"/>
            </w:tcMar>
            <w:vAlign w:val="center"/>
            <w:hideMark/>
          </w:tcPr>
          <w:p w14:paraId="4F8CFEC6" w14:textId="77777777" w:rsidR="00481FFF" w:rsidRPr="00F57F1D" w:rsidRDefault="00481FFF" w:rsidP="002F64DA">
            <w:pPr>
              <w:keepNext/>
              <w:keepLines/>
              <w:jc w:val="center"/>
              <w:rPr>
                <w:rFonts w:ascii="Arial Narrow" w:hAnsi="Arial Narrow" w:cs="Calibri"/>
                <w:color w:val="000000"/>
                <w:sz w:val="20"/>
                <w:szCs w:val="20"/>
              </w:rPr>
            </w:pPr>
            <w:r w:rsidRPr="00F57F1D">
              <w:rPr>
                <w:rFonts w:ascii="Arial Narrow" w:hAnsi="Arial Narrow" w:cs="Calibri"/>
                <w:color w:val="000000"/>
                <w:sz w:val="20"/>
                <w:szCs w:val="20"/>
              </w:rPr>
              <w:t>$1,097</w:t>
            </w:r>
          </w:p>
        </w:tc>
        <w:tc>
          <w:tcPr>
            <w:tcW w:w="586" w:type="pct"/>
            <w:vMerge/>
            <w:tcMar>
              <w:left w:w="57" w:type="dxa"/>
              <w:right w:w="57" w:type="dxa"/>
            </w:tcMar>
            <w:hideMark/>
          </w:tcPr>
          <w:p w14:paraId="6F16D7C1" w14:textId="77777777" w:rsidR="00481FFF" w:rsidRPr="00F57F1D" w:rsidRDefault="00481FFF" w:rsidP="002F64DA">
            <w:pPr>
              <w:keepNext/>
              <w:keepLines/>
              <w:jc w:val="left"/>
              <w:rPr>
                <w:rFonts w:ascii="Arial Narrow" w:hAnsi="Arial Narrow" w:cs="Calibri"/>
                <w:color w:val="000000"/>
                <w:sz w:val="20"/>
                <w:szCs w:val="20"/>
              </w:rPr>
            </w:pPr>
          </w:p>
        </w:tc>
      </w:tr>
      <w:tr w:rsidR="00481FFF" w:rsidRPr="00F57F1D" w14:paraId="07C85780" w14:textId="77777777" w:rsidTr="00AA10BF">
        <w:trPr>
          <w:trHeight w:val="20"/>
        </w:trPr>
        <w:tc>
          <w:tcPr>
            <w:tcW w:w="658" w:type="pct"/>
            <w:vMerge w:val="restart"/>
            <w:tcMar>
              <w:left w:w="57" w:type="dxa"/>
              <w:right w:w="57" w:type="dxa"/>
            </w:tcMar>
            <w:vAlign w:val="center"/>
          </w:tcPr>
          <w:p w14:paraId="30282A35" w14:textId="77777777" w:rsidR="00481FFF" w:rsidRPr="00F57F1D" w:rsidRDefault="00481FFF" w:rsidP="002F64DA">
            <w:pPr>
              <w:keepNext/>
              <w:keepLines/>
              <w:jc w:val="left"/>
              <w:rPr>
                <w:rFonts w:ascii="Arial Narrow" w:hAnsi="Arial Narrow" w:cs="Calibri"/>
                <w:color w:val="000000"/>
                <w:sz w:val="20"/>
                <w:szCs w:val="20"/>
              </w:rPr>
            </w:pPr>
          </w:p>
          <w:p w14:paraId="0FE7FEA3" w14:textId="0AEDBFEB" w:rsidR="00481FFF" w:rsidRPr="00F57F1D" w:rsidRDefault="00481FFF" w:rsidP="002F64DA">
            <w:pPr>
              <w:keepNext/>
              <w:keepLines/>
              <w:jc w:val="left"/>
              <w:rPr>
                <w:rFonts w:ascii="Arial Narrow" w:hAnsi="Arial Narrow" w:cs="Calibri"/>
                <w:color w:val="000000"/>
                <w:sz w:val="20"/>
                <w:szCs w:val="20"/>
              </w:rPr>
            </w:pPr>
            <w:r w:rsidRPr="00F57F1D">
              <w:rPr>
                <w:rFonts w:ascii="Arial Narrow" w:hAnsi="Arial Narrow" w:cs="Calibri"/>
                <w:color w:val="000000"/>
                <w:sz w:val="20"/>
                <w:szCs w:val="20"/>
                <w:lang w:val="en-US"/>
              </w:rPr>
              <w:t>Cost/patient/</w:t>
            </w:r>
            <w:r w:rsidR="00AA10BF" w:rsidRPr="00F57F1D">
              <w:rPr>
                <w:rFonts w:ascii="Arial Narrow" w:hAnsi="Arial Narrow" w:cs="Calibri"/>
                <w:color w:val="000000"/>
                <w:sz w:val="20"/>
                <w:szCs w:val="20"/>
                <w:lang w:val="en-US"/>
              </w:rPr>
              <w:br/>
            </w:r>
            <w:r w:rsidRPr="00F57F1D">
              <w:rPr>
                <w:rFonts w:ascii="Arial Narrow" w:hAnsi="Arial Narrow" w:cs="Calibri"/>
                <w:color w:val="000000"/>
                <w:sz w:val="20"/>
                <w:szCs w:val="20"/>
                <w:lang w:val="en-US"/>
              </w:rPr>
              <w:t>course</w:t>
            </w:r>
          </w:p>
        </w:tc>
        <w:tc>
          <w:tcPr>
            <w:tcW w:w="596" w:type="pct"/>
            <w:vMerge w:val="restart"/>
            <w:tcMar>
              <w:left w:w="57" w:type="dxa"/>
              <w:right w:w="57" w:type="dxa"/>
            </w:tcMar>
            <w:vAlign w:val="center"/>
          </w:tcPr>
          <w:p w14:paraId="52205C5A" w14:textId="77777777" w:rsidR="00481FFF" w:rsidRPr="00F57F1D" w:rsidRDefault="00481FFF" w:rsidP="002F64DA">
            <w:pPr>
              <w:keepNext/>
              <w:keepLines/>
              <w:jc w:val="center"/>
              <w:rPr>
                <w:rFonts w:ascii="Arial Narrow" w:hAnsi="Arial Narrow" w:cs="Calibri"/>
                <w:color w:val="000000"/>
                <w:sz w:val="20"/>
                <w:szCs w:val="20"/>
              </w:rPr>
            </w:pPr>
          </w:p>
          <w:p w14:paraId="3E83B7D2" w14:textId="26F854A2" w:rsidR="00481FFF" w:rsidRPr="00F57F1D" w:rsidRDefault="00481FFF" w:rsidP="002F64DA">
            <w:pPr>
              <w:keepNext/>
              <w:keepLines/>
              <w:jc w:val="center"/>
              <w:rPr>
                <w:rFonts w:ascii="Arial Narrow" w:hAnsi="Arial Narrow" w:cs="Calibri"/>
                <w:color w:val="000000"/>
                <w:sz w:val="20"/>
                <w:szCs w:val="20"/>
              </w:rPr>
            </w:pPr>
            <w:r w:rsidRPr="00F57F1D">
              <w:rPr>
                <w:rFonts w:ascii="Arial Narrow" w:hAnsi="Arial Narrow" w:cs="Calibri"/>
                <w:color w:val="000000"/>
                <w:sz w:val="20"/>
                <w:szCs w:val="20"/>
              </w:rPr>
              <w:t>$</w:t>
            </w:r>
            <w:r w:rsidR="007548FA" w:rsidRPr="003B6666">
              <w:rPr>
                <w:rFonts w:ascii="Arial Narrow" w:hAnsi="Arial Narrow" w:cs="Calibri" w:hint="eastAsia"/>
                <w:color w:val="000000"/>
                <w:w w:val="24"/>
                <w:sz w:val="20"/>
                <w:szCs w:val="20"/>
                <w:shd w:val="solid" w:color="000000" w:fill="000000"/>
                <w:fitText w:val="107" w:id="-760538104"/>
                <w14:textFill>
                  <w14:solidFill>
                    <w14:srgbClr w14:val="000000">
                      <w14:alpha w14:val="100000"/>
                    </w14:srgbClr>
                  </w14:solidFill>
                </w14:textFill>
              </w:rPr>
              <w:t xml:space="preserve">　</w:t>
            </w:r>
            <w:r w:rsidR="007548FA" w:rsidRPr="003B6666">
              <w:rPr>
                <w:rFonts w:ascii="Arial Narrow" w:hAnsi="Arial Narrow" w:cs="Calibri"/>
                <w:color w:val="000000"/>
                <w:w w:val="24"/>
                <w:sz w:val="20"/>
                <w:szCs w:val="20"/>
                <w:shd w:val="solid" w:color="000000" w:fill="000000"/>
                <w:fitText w:val="107" w:id="-760538104"/>
                <w14:textFill>
                  <w14:solidFill>
                    <w14:srgbClr w14:val="000000">
                      <w14:alpha w14:val="100000"/>
                    </w14:srgbClr>
                  </w14:solidFill>
                </w14:textFill>
              </w:rPr>
              <w:t>|</w:t>
            </w:r>
            <w:r w:rsidR="007548FA" w:rsidRPr="003B6666">
              <w:rPr>
                <w:rFonts w:ascii="Arial Narrow" w:hAnsi="Arial Narrow" w:cs="Calibri" w:hint="eastAsia"/>
                <w:color w:val="000000"/>
                <w:w w:val="24"/>
                <w:sz w:val="20"/>
                <w:szCs w:val="20"/>
                <w:shd w:val="solid" w:color="000000" w:fill="000000"/>
                <w:fitText w:val="107" w:id="-760538104"/>
                <w14:textFill>
                  <w14:solidFill>
                    <w14:srgbClr w14:val="000000">
                      <w14:alpha w14:val="100000"/>
                    </w14:srgbClr>
                  </w14:solidFill>
                </w14:textFill>
              </w:rPr>
              <w:t xml:space="preserve">　</w:t>
            </w:r>
            <w:r w:rsidRPr="00F57F1D">
              <w:rPr>
                <w:rFonts w:ascii="Arial Narrow" w:hAnsi="Arial Narrow" w:cs="Calibri"/>
                <w:color w:val="000000"/>
                <w:sz w:val="20"/>
                <w:szCs w:val="20"/>
              </w:rPr>
              <w:t xml:space="preserve"> </w:t>
            </w:r>
          </w:p>
        </w:tc>
        <w:tc>
          <w:tcPr>
            <w:tcW w:w="596" w:type="pct"/>
            <w:vMerge w:val="restart"/>
            <w:tcMar>
              <w:left w:w="57" w:type="dxa"/>
              <w:right w:w="57" w:type="dxa"/>
            </w:tcMar>
            <w:vAlign w:val="center"/>
          </w:tcPr>
          <w:p w14:paraId="5E2FC5EF" w14:textId="77777777" w:rsidR="00481FFF" w:rsidRPr="00F57F1D" w:rsidRDefault="00481FFF" w:rsidP="002F64DA">
            <w:pPr>
              <w:keepNext/>
              <w:keepLines/>
              <w:jc w:val="center"/>
              <w:rPr>
                <w:rFonts w:ascii="Arial Narrow" w:hAnsi="Arial Narrow" w:cs="Calibri"/>
                <w:color w:val="000000"/>
                <w:sz w:val="20"/>
                <w:szCs w:val="20"/>
              </w:rPr>
            </w:pPr>
          </w:p>
          <w:p w14:paraId="69C94913" w14:textId="2FDBF235" w:rsidR="00481FFF" w:rsidRPr="00F57F1D" w:rsidRDefault="00481FFF" w:rsidP="002F64DA">
            <w:pPr>
              <w:keepNext/>
              <w:keepLines/>
              <w:jc w:val="center"/>
              <w:rPr>
                <w:rFonts w:ascii="Arial Narrow" w:hAnsi="Arial Narrow" w:cs="Calibri"/>
                <w:color w:val="000000"/>
                <w:sz w:val="20"/>
                <w:szCs w:val="20"/>
              </w:rPr>
            </w:pPr>
            <w:r w:rsidRPr="00F57F1D">
              <w:rPr>
                <w:rFonts w:ascii="Arial Narrow" w:hAnsi="Arial Narrow" w:cs="Calibri"/>
                <w:color w:val="000000"/>
                <w:sz w:val="20"/>
                <w:szCs w:val="20"/>
              </w:rPr>
              <w:t>$</w:t>
            </w:r>
            <w:r w:rsidR="007548FA" w:rsidRPr="003B6666">
              <w:rPr>
                <w:rFonts w:ascii="Arial Narrow" w:hAnsi="Arial Narrow" w:cs="Calibri" w:hint="eastAsia"/>
                <w:color w:val="000000"/>
                <w:w w:val="27"/>
                <w:sz w:val="20"/>
                <w:szCs w:val="20"/>
                <w:shd w:val="solid" w:color="000000" w:fill="000000"/>
                <w:fitText w:val="120" w:id="-760538103"/>
                <w14:textFill>
                  <w14:solidFill>
                    <w14:srgbClr w14:val="000000">
                      <w14:alpha w14:val="100000"/>
                    </w14:srgbClr>
                  </w14:solidFill>
                </w14:textFill>
              </w:rPr>
              <w:t xml:space="preserve">　</w:t>
            </w:r>
            <w:r w:rsidR="007548FA" w:rsidRPr="003B6666">
              <w:rPr>
                <w:rFonts w:ascii="Arial Narrow" w:hAnsi="Arial Narrow" w:cs="Calibri"/>
                <w:color w:val="000000"/>
                <w:w w:val="27"/>
                <w:sz w:val="20"/>
                <w:szCs w:val="20"/>
                <w:shd w:val="solid" w:color="000000" w:fill="000000"/>
                <w:fitText w:val="120" w:id="-760538103"/>
                <w14:textFill>
                  <w14:solidFill>
                    <w14:srgbClr w14:val="000000">
                      <w14:alpha w14:val="100000"/>
                    </w14:srgbClr>
                  </w14:solidFill>
                </w14:textFill>
              </w:rPr>
              <w:t>|</w:t>
            </w:r>
            <w:r w:rsidR="007548FA" w:rsidRPr="003B6666">
              <w:rPr>
                <w:rFonts w:ascii="Arial Narrow" w:hAnsi="Arial Narrow" w:cs="Calibri" w:hint="eastAsia"/>
                <w:color w:val="000000"/>
                <w:w w:val="27"/>
                <w:sz w:val="20"/>
                <w:szCs w:val="20"/>
                <w:shd w:val="solid" w:color="000000" w:fill="000000"/>
                <w:fitText w:val="120" w:id="-760538103"/>
                <w14:textFill>
                  <w14:solidFill>
                    <w14:srgbClr w14:val="000000">
                      <w14:alpha w14:val="100000"/>
                    </w14:srgbClr>
                  </w14:solidFill>
                </w14:textFill>
              </w:rPr>
              <w:t xml:space="preserve">　</w:t>
            </w:r>
            <w:r w:rsidRPr="00F57F1D">
              <w:rPr>
                <w:rFonts w:ascii="Arial Narrow" w:hAnsi="Arial Narrow" w:cs="Calibri"/>
                <w:color w:val="000000"/>
                <w:sz w:val="20"/>
                <w:szCs w:val="20"/>
              </w:rPr>
              <w:t xml:space="preserve"> </w:t>
            </w:r>
          </w:p>
        </w:tc>
        <w:tc>
          <w:tcPr>
            <w:tcW w:w="595" w:type="pct"/>
            <w:vMerge w:val="restart"/>
            <w:tcMar>
              <w:left w:w="57" w:type="dxa"/>
              <w:right w:w="57" w:type="dxa"/>
            </w:tcMar>
            <w:vAlign w:val="center"/>
          </w:tcPr>
          <w:p w14:paraId="6A054347" w14:textId="77777777" w:rsidR="00481FFF" w:rsidRPr="00F57F1D" w:rsidRDefault="00481FFF" w:rsidP="002F64DA">
            <w:pPr>
              <w:keepNext/>
              <w:keepLines/>
              <w:jc w:val="center"/>
              <w:rPr>
                <w:rFonts w:ascii="Arial Narrow" w:hAnsi="Arial Narrow" w:cs="Calibri"/>
                <w:color w:val="000000"/>
                <w:sz w:val="20"/>
                <w:szCs w:val="20"/>
              </w:rPr>
            </w:pPr>
          </w:p>
          <w:p w14:paraId="66F2F1C7" w14:textId="48AA1CAD" w:rsidR="00481FFF" w:rsidRPr="00F57F1D" w:rsidRDefault="00481FFF" w:rsidP="002F64DA">
            <w:pPr>
              <w:keepNext/>
              <w:keepLines/>
              <w:jc w:val="center"/>
              <w:rPr>
                <w:rFonts w:ascii="Arial Narrow" w:hAnsi="Arial Narrow" w:cs="Calibri"/>
                <w:color w:val="000000"/>
                <w:sz w:val="20"/>
                <w:szCs w:val="20"/>
              </w:rPr>
            </w:pPr>
            <w:r w:rsidRPr="00F57F1D">
              <w:rPr>
                <w:rFonts w:ascii="Arial Narrow" w:hAnsi="Arial Narrow" w:cs="Calibri"/>
                <w:color w:val="000000"/>
                <w:sz w:val="20"/>
                <w:szCs w:val="20"/>
              </w:rPr>
              <w:t>$</w:t>
            </w:r>
            <w:r w:rsidR="007548FA" w:rsidRPr="003B6666">
              <w:rPr>
                <w:rFonts w:ascii="Arial Narrow" w:hAnsi="Arial Narrow" w:cs="Calibri" w:hint="eastAsia"/>
                <w:color w:val="000000"/>
                <w:w w:val="27"/>
                <w:sz w:val="20"/>
                <w:szCs w:val="20"/>
                <w:shd w:val="solid" w:color="000000" w:fill="000000"/>
                <w:fitText w:val="120" w:id="-760538102"/>
                <w14:textFill>
                  <w14:solidFill>
                    <w14:srgbClr w14:val="000000">
                      <w14:alpha w14:val="100000"/>
                    </w14:srgbClr>
                  </w14:solidFill>
                </w14:textFill>
              </w:rPr>
              <w:t xml:space="preserve">　</w:t>
            </w:r>
            <w:r w:rsidR="007548FA" w:rsidRPr="003B6666">
              <w:rPr>
                <w:rFonts w:ascii="Arial Narrow" w:hAnsi="Arial Narrow" w:cs="Calibri"/>
                <w:color w:val="000000"/>
                <w:w w:val="27"/>
                <w:sz w:val="20"/>
                <w:szCs w:val="20"/>
                <w:shd w:val="solid" w:color="000000" w:fill="000000"/>
                <w:fitText w:val="120" w:id="-760538102"/>
                <w14:textFill>
                  <w14:solidFill>
                    <w14:srgbClr w14:val="000000">
                      <w14:alpha w14:val="100000"/>
                    </w14:srgbClr>
                  </w14:solidFill>
                </w14:textFill>
              </w:rPr>
              <w:t>|</w:t>
            </w:r>
            <w:r w:rsidR="007548FA" w:rsidRPr="003B6666">
              <w:rPr>
                <w:rFonts w:ascii="Arial Narrow" w:hAnsi="Arial Narrow" w:cs="Calibri" w:hint="eastAsia"/>
                <w:color w:val="000000"/>
                <w:w w:val="27"/>
                <w:sz w:val="20"/>
                <w:szCs w:val="20"/>
                <w:shd w:val="solid" w:color="000000" w:fill="000000"/>
                <w:fitText w:val="120" w:id="-760538102"/>
                <w14:textFill>
                  <w14:solidFill>
                    <w14:srgbClr w14:val="000000">
                      <w14:alpha w14:val="100000"/>
                    </w14:srgbClr>
                  </w14:solidFill>
                </w14:textFill>
              </w:rPr>
              <w:t xml:space="preserve">　</w:t>
            </w:r>
            <w:r w:rsidRPr="00F57F1D">
              <w:rPr>
                <w:rFonts w:ascii="Arial Narrow" w:hAnsi="Arial Narrow" w:cs="Calibri"/>
                <w:color w:val="000000"/>
                <w:sz w:val="20"/>
                <w:szCs w:val="20"/>
              </w:rPr>
              <w:t xml:space="preserve"> </w:t>
            </w:r>
          </w:p>
        </w:tc>
        <w:tc>
          <w:tcPr>
            <w:tcW w:w="662" w:type="pct"/>
            <w:tcMar>
              <w:left w:w="57" w:type="dxa"/>
              <w:right w:w="57" w:type="dxa"/>
            </w:tcMar>
            <w:vAlign w:val="center"/>
          </w:tcPr>
          <w:p w14:paraId="11324A38" w14:textId="77777777" w:rsidR="00481FFF" w:rsidRPr="00F57F1D" w:rsidRDefault="00481FFF" w:rsidP="002F64DA">
            <w:pPr>
              <w:keepNext/>
              <w:keepLines/>
              <w:jc w:val="center"/>
              <w:rPr>
                <w:rFonts w:ascii="Arial Narrow" w:hAnsi="Arial Narrow" w:cs="Calibri"/>
                <w:color w:val="000000"/>
                <w:sz w:val="20"/>
                <w:szCs w:val="20"/>
              </w:rPr>
            </w:pPr>
            <w:r w:rsidRPr="00F57F1D">
              <w:rPr>
                <w:rFonts w:ascii="Arial Narrow" w:hAnsi="Arial Narrow" w:cs="Calibri"/>
                <w:color w:val="000000"/>
                <w:sz w:val="20"/>
                <w:szCs w:val="20"/>
              </w:rPr>
              <w:t>Weight</w:t>
            </w:r>
          </w:p>
        </w:tc>
        <w:tc>
          <w:tcPr>
            <w:tcW w:w="1306" w:type="pct"/>
            <w:gridSpan w:val="2"/>
            <w:tcMar>
              <w:left w:w="57" w:type="dxa"/>
              <w:right w:w="57" w:type="dxa"/>
            </w:tcMar>
            <w:vAlign w:val="center"/>
          </w:tcPr>
          <w:p w14:paraId="51560189" w14:textId="60CA0423" w:rsidR="00481FFF" w:rsidRPr="00F57F1D" w:rsidRDefault="00481FFF" w:rsidP="002F64DA">
            <w:pPr>
              <w:keepNext/>
              <w:keepLines/>
              <w:jc w:val="center"/>
              <w:rPr>
                <w:rFonts w:ascii="Arial Narrow" w:hAnsi="Arial Narrow" w:cs="Calibri"/>
                <w:color w:val="000000"/>
                <w:sz w:val="20"/>
                <w:szCs w:val="20"/>
              </w:rPr>
            </w:pPr>
            <w:proofErr w:type="spellStart"/>
            <w:r w:rsidRPr="00F57F1D">
              <w:rPr>
                <w:rFonts w:ascii="Arial Narrow" w:hAnsi="Arial Narrow"/>
                <w:sz w:val="20"/>
                <w:szCs w:val="20"/>
              </w:rPr>
              <w:t>gcv</w:t>
            </w:r>
            <w:proofErr w:type="spellEnd"/>
            <w:r w:rsidRPr="00F57F1D">
              <w:rPr>
                <w:rFonts w:ascii="Arial Narrow" w:hAnsi="Arial Narrow"/>
                <w:sz w:val="20"/>
                <w:szCs w:val="20"/>
              </w:rPr>
              <w:t xml:space="preserve"> 25.</w:t>
            </w:r>
            <w:r w:rsidR="0008751E" w:rsidRPr="00F57F1D">
              <w:rPr>
                <w:rFonts w:ascii="Arial Narrow" w:hAnsi="Arial Narrow"/>
                <w:sz w:val="20"/>
                <w:szCs w:val="20"/>
              </w:rPr>
              <w:t>4</w:t>
            </w:r>
            <w:r w:rsidRPr="00F57F1D">
              <w:rPr>
                <w:rFonts w:ascii="Arial Narrow" w:hAnsi="Arial Narrow"/>
                <w:sz w:val="20"/>
                <w:szCs w:val="20"/>
              </w:rPr>
              <w:t xml:space="preserve">%, </w:t>
            </w:r>
            <w:proofErr w:type="spellStart"/>
            <w:r w:rsidRPr="00F57F1D">
              <w:rPr>
                <w:rFonts w:ascii="Arial Narrow" w:hAnsi="Arial Narrow"/>
                <w:sz w:val="20"/>
                <w:szCs w:val="20"/>
              </w:rPr>
              <w:t>vgcv</w:t>
            </w:r>
            <w:proofErr w:type="spellEnd"/>
            <w:r w:rsidRPr="00F57F1D">
              <w:rPr>
                <w:rFonts w:ascii="Arial Narrow" w:hAnsi="Arial Narrow"/>
                <w:sz w:val="20"/>
                <w:szCs w:val="20"/>
              </w:rPr>
              <w:t xml:space="preserve"> 25.</w:t>
            </w:r>
            <w:r w:rsidR="0008751E" w:rsidRPr="00F57F1D">
              <w:rPr>
                <w:rFonts w:ascii="Arial Narrow" w:hAnsi="Arial Narrow"/>
                <w:sz w:val="20"/>
                <w:szCs w:val="20"/>
              </w:rPr>
              <w:t>9</w:t>
            </w:r>
            <w:r w:rsidRPr="00F57F1D">
              <w:rPr>
                <w:rFonts w:ascii="Arial Narrow" w:hAnsi="Arial Narrow"/>
                <w:sz w:val="20"/>
                <w:szCs w:val="20"/>
              </w:rPr>
              <w:t xml:space="preserve">%, </w:t>
            </w:r>
            <w:proofErr w:type="spellStart"/>
            <w:r w:rsidRPr="00F57F1D">
              <w:rPr>
                <w:rFonts w:ascii="Arial Narrow" w:hAnsi="Arial Narrow"/>
                <w:sz w:val="20"/>
                <w:szCs w:val="20"/>
              </w:rPr>
              <w:t>fos</w:t>
            </w:r>
            <w:proofErr w:type="spellEnd"/>
            <w:r w:rsidRPr="00F57F1D">
              <w:rPr>
                <w:rFonts w:ascii="Arial Narrow" w:hAnsi="Arial Narrow"/>
                <w:sz w:val="20"/>
                <w:szCs w:val="20"/>
              </w:rPr>
              <w:t xml:space="preserve"> 43.5%, cdv 5.2%</w:t>
            </w:r>
          </w:p>
        </w:tc>
        <w:tc>
          <w:tcPr>
            <w:tcW w:w="586" w:type="pct"/>
            <w:vMerge/>
            <w:tcMar>
              <w:left w:w="57" w:type="dxa"/>
              <w:right w:w="57" w:type="dxa"/>
            </w:tcMar>
            <w:hideMark/>
          </w:tcPr>
          <w:p w14:paraId="6B85D1A3" w14:textId="77777777" w:rsidR="00481FFF" w:rsidRPr="00F57F1D" w:rsidRDefault="00481FFF" w:rsidP="002F64DA">
            <w:pPr>
              <w:keepNext/>
              <w:keepLines/>
              <w:jc w:val="left"/>
              <w:rPr>
                <w:rFonts w:ascii="Arial Narrow" w:hAnsi="Arial Narrow" w:cs="Calibri"/>
                <w:color w:val="000000"/>
                <w:sz w:val="20"/>
                <w:szCs w:val="20"/>
              </w:rPr>
            </w:pPr>
          </w:p>
        </w:tc>
      </w:tr>
      <w:tr w:rsidR="00481FFF" w:rsidRPr="00F57F1D" w14:paraId="7FFEDC61" w14:textId="77777777" w:rsidTr="00AA10BF">
        <w:trPr>
          <w:trHeight w:val="20"/>
        </w:trPr>
        <w:tc>
          <w:tcPr>
            <w:tcW w:w="658" w:type="pct"/>
            <w:vMerge/>
            <w:tcMar>
              <w:left w:w="57" w:type="dxa"/>
              <w:right w:w="57" w:type="dxa"/>
            </w:tcMar>
            <w:vAlign w:val="center"/>
          </w:tcPr>
          <w:p w14:paraId="2BD17197" w14:textId="77777777" w:rsidR="00481FFF" w:rsidRPr="00F57F1D" w:rsidRDefault="00481FFF" w:rsidP="002F64DA">
            <w:pPr>
              <w:keepNext/>
              <w:keepLines/>
              <w:jc w:val="left"/>
              <w:rPr>
                <w:rFonts w:ascii="Arial Narrow" w:hAnsi="Arial Narrow" w:cs="Calibri"/>
                <w:color w:val="000000"/>
                <w:sz w:val="20"/>
                <w:szCs w:val="20"/>
                <w:lang w:val="en-US"/>
              </w:rPr>
            </w:pPr>
          </w:p>
        </w:tc>
        <w:tc>
          <w:tcPr>
            <w:tcW w:w="596" w:type="pct"/>
            <w:vMerge/>
            <w:tcMar>
              <w:left w:w="57" w:type="dxa"/>
              <w:right w:w="57" w:type="dxa"/>
            </w:tcMar>
            <w:vAlign w:val="center"/>
          </w:tcPr>
          <w:p w14:paraId="1CFF6827" w14:textId="77777777" w:rsidR="00481FFF" w:rsidRPr="00F57F1D" w:rsidRDefault="00481FFF" w:rsidP="002F64DA">
            <w:pPr>
              <w:keepNext/>
              <w:keepLines/>
              <w:jc w:val="center"/>
              <w:rPr>
                <w:rFonts w:ascii="Arial Narrow" w:hAnsi="Arial Narrow" w:cs="Calibri"/>
                <w:color w:val="000000"/>
                <w:sz w:val="20"/>
                <w:szCs w:val="20"/>
              </w:rPr>
            </w:pPr>
          </w:p>
        </w:tc>
        <w:tc>
          <w:tcPr>
            <w:tcW w:w="596" w:type="pct"/>
            <w:vMerge/>
            <w:tcMar>
              <w:left w:w="57" w:type="dxa"/>
              <w:right w:w="57" w:type="dxa"/>
            </w:tcMar>
            <w:vAlign w:val="center"/>
          </w:tcPr>
          <w:p w14:paraId="0D4B5FC9" w14:textId="77777777" w:rsidR="00481FFF" w:rsidRPr="00F57F1D" w:rsidRDefault="00481FFF" w:rsidP="002F64DA">
            <w:pPr>
              <w:keepNext/>
              <w:keepLines/>
              <w:jc w:val="center"/>
              <w:rPr>
                <w:rFonts w:ascii="Arial Narrow" w:hAnsi="Arial Narrow" w:cs="Calibri"/>
                <w:color w:val="000000"/>
                <w:sz w:val="20"/>
                <w:szCs w:val="20"/>
              </w:rPr>
            </w:pPr>
          </w:p>
        </w:tc>
        <w:tc>
          <w:tcPr>
            <w:tcW w:w="595" w:type="pct"/>
            <w:vMerge/>
            <w:tcMar>
              <w:left w:w="57" w:type="dxa"/>
              <w:right w:w="57" w:type="dxa"/>
            </w:tcMar>
            <w:vAlign w:val="center"/>
          </w:tcPr>
          <w:p w14:paraId="1FA65DAA" w14:textId="77777777" w:rsidR="00481FFF" w:rsidRPr="00F57F1D" w:rsidRDefault="00481FFF" w:rsidP="002F64DA">
            <w:pPr>
              <w:keepNext/>
              <w:keepLines/>
              <w:jc w:val="center"/>
              <w:rPr>
                <w:rFonts w:ascii="Arial Narrow" w:hAnsi="Arial Narrow" w:cs="Calibri"/>
                <w:color w:val="000000"/>
                <w:sz w:val="20"/>
                <w:szCs w:val="20"/>
              </w:rPr>
            </w:pPr>
          </w:p>
        </w:tc>
        <w:tc>
          <w:tcPr>
            <w:tcW w:w="662" w:type="pct"/>
            <w:tcMar>
              <w:left w:w="57" w:type="dxa"/>
              <w:right w:w="57" w:type="dxa"/>
            </w:tcMar>
            <w:vAlign w:val="center"/>
          </w:tcPr>
          <w:p w14:paraId="4C640CB6" w14:textId="77777777" w:rsidR="00481FFF" w:rsidRPr="00F57F1D" w:rsidRDefault="00481FFF" w:rsidP="002F64DA">
            <w:pPr>
              <w:keepNext/>
              <w:keepLines/>
              <w:jc w:val="left"/>
              <w:rPr>
                <w:rFonts w:ascii="Arial Narrow" w:hAnsi="Arial Narrow" w:cs="Calibri"/>
                <w:color w:val="000000"/>
                <w:sz w:val="20"/>
                <w:szCs w:val="20"/>
              </w:rPr>
            </w:pPr>
            <w:r w:rsidRPr="00F57F1D">
              <w:rPr>
                <w:rFonts w:ascii="Arial Narrow" w:hAnsi="Arial Narrow" w:cs="Calibri"/>
                <w:color w:val="000000"/>
                <w:sz w:val="20"/>
                <w:szCs w:val="20"/>
              </w:rPr>
              <w:t> </w:t>
            </w:r>
          </w:p>
        </w:tc>
        <w:tc>
          <w:tcPr>
            <w:tcW w:w="630" w:type="pct"/>
            <w:tcMar>
              <w:left w:w="57" w:type="dxa"/>
              <w:right w:w="57" w:type="dxa"/>
            </w:tcMar>
            <w:vAlign w:val="center"/>
          </w:tcPr>
          <w:p w14:paraId="354886AC" w14:textId="77777777" w:rsidR="00481FFF" w:rsidRPr="00F57F1D" w:rsidRDefault="00481FFF" w:rsidP="002F64DA">
            <w:pPr>
              <w:keepNext/>
              <w:keepLines/>
              <w:jc w:val="center"/>
              <w:rPr>
                <w:rFonts w:ascii="Arial Narrow" w:hAnsi="Arial Narrow" w:cs="Calibri"/>
                <w:color w:val="000000"/>
                <w:sz w:val="20"/>
                <w:szCs w:val="20"/>
              </w:rPr>
            </w:pPr>
            <w:r w:rsidRPr="00F57F1D">
              <w:rPr>
                <w:rFonts w:ascii="Arial Narrow" w:hAnsi="Arial Narrow" w:cs="Calibri"/>
                <w:color w:val="000000"/>
                <w:sz w:val="20"/>
                <w:szCs w:val="20"/>
              </w:rPr>
              <w:t>$6,744</w:t>
            </w:r>
          </w:p>
        </w:tc>
        <w:tc>
          <w:tcPr>
            <w:tcW w:w="676" w:type="pct"/>
            <w:tcMar>
              <w:left w:w="57" w:type="dxa"/>
              <w:right w:w="57" w:type="dxa"/>
            </w:tcMar>
            <w:vAlign w:val="center"/>
          </w:tcPr>
          <w:p w14:paraId="3A63452F" w14:textId="77777777" w:rsidR="00481FFF" w:rsidRPr="00F57F1D" w:rsidRDefault="00481FFF" w:rsidP="002F64DA">
            <w:pPr>
              <w:keepNext/>
              <w:keepLines/>
              <w:jc w:val="center"/>
              <w:rPr>
                <w:rFonts w:ascii="Arial Narrow" w:hAnsi="Arial Narrow" w:cs="Calibri"/>
                <w:color w:val="000000"/>
                <w:sz w:val="20"/>
                <w:szCs w:val="20"/>
              </w:rPr>
            </w:pPr>
            <w:r w:rsidRPr="00F57F1D">
              <w:rPr>
                <w:rFonts w:ascii="Arial Narrow" w:hAnsi="Arial Narrow" w:cs="Calibri"/>
                <w:color w:val="000000"/>
                <w:sz w:val="20"/>
                <w:szCs w:val="20"/>
              </w:rPr>
              <w:t xml:space="preserve">$7,803 </w:t>
            </w:r>
          </w:p>
        </w:tc>
        <w:tc>
          <w:tcPr>
            <w:tcW w:w="586" w:type="pct"/>
            <w:vMerge/>
            <w:tcMar>
              <w:left w:w="57" w:type="dxa"/>
              <w:right w:w="57" w:type="dxa"/>
            </w:tcMar>
          </w:tcPr>
          <w:p w14:paraId="0D61E79B" w14:textId="77777777" w:rsidR="00481FFF" w:rsidRPr="00F57F1D" w:rsidRDefault="00481FFF" w:rsidP="002F64DA">
            <w:pPr>
              <w:keepNext/>
              <w:keepLines/>
              <w:jc w:val="left"/>
              <w:rPr>
                <w:rFonts w:ascii="Arial Narrow" w:hAnsi="Arial Narrow" w:cs="Calibri"/>
                <w:color w:val="000000"/>
                <w:sz w:val="20"/>
                <w:szCs w:val="20"/>
              </w:rPr>
            </w:pPr>
          </w:p>
        </w:tc>
      </w:tr>
    </w:tbl>
    <w:p w14:paraId="6F59627B" w14:textId="732AF2C2" w:rsidR="00481FFF" w:rsidRPr="0023146D" w:rsidRDefault="00481FFF" w:rsidP="002F64DA">
      <w:pPr>
        <w:pStyle w:val="TableFigureFooter"/>
      </w:pPr>
      <w:r w:rsidRPr="0023146D">
        <w:t xml:space="preserve">Source: Compiled during the evaluation; sheet ‘Drug Costs (Raw)’ of the economic model; Table 14.3.7.1.1.1, p4076, the SOLSTICE’s </w:t>
      </w:r>
      <w:r w:rsidR="005E3CDE" w:rsidRPr="0023146D">
        <w:t>clinical study report</w:t>
      </w:r>
      <w:r w:rsidRPr="0023146D">
        <w:t>.</w:t>
      </w:r>
    </w:p>
    <w:p w14:paraId="53240297" w14:textId="77777777" w:rsidR="00481FFF" w:rsidRPr="0023146D" w:rsidRDefault="00481FFF" w:rsidP="002F64DA">
      <w:pPr>
        <w:pStyle w:val="FooterTableFigure"/>
        <w:keepNext/>
        <w:keepLines/>
      </w:pPr>
      <w:r w:rsidRPr="0023146D">
        <w:t xml:space="preserve">BID = twice daily; </w:t>
      </w:r>
      <w:r w:rsidRPr="0023146D">
        <w:rPr>
          <w:szCs w:val="18"/>
        </w:rPr>
        <w:t>cdv = cidofovir</w:t>
      </w:r>
      <w:r w:rsidRPr="0023146D">
        <w:t xml:space="preserve">; </w:t>
      </w:r>
      <w:proofErr w:type="spellStart"/>
      <w:r w:rsidRPr="0023146D">
        <w:rPr>
          <w:szCs w:val="18"/>
        </w:rPr>
        <w:t>fos</w:t>
      </w:r>
      <w:proofErr w:type="spellEnd"/>
      <w:r w:rsidRPr="0023146D">
        <w:rPr>
          <w:szCs w:val="18"/>
        </w:rPr>
        <w:t xml:space="preserve"> = foscarnet</w:t>
      </w:r>
      <w:r w:rsidRPr="0023146D">
        <w:t xml:space="preserve">; </w:t>
      </w:r>
      <w:proofErr w:type="spellStart"/>
      <w:r w:rsidRPr="0023146D">
        <w:rPr>
          <w:szCs w:val="18"/>
        </w:rPr>
        <w:t>gcv</w:t>
      </w:r>
      <w:proofErr w:type="spellEnd"/>
      <w:r w:rsidRPr="0023146D">
        <w:rPr>
          <w:szCs w:val="18"/>
        </w:rPr>
        <w:t xml:space="preserve"> = ganciclovir</w:t>
      </w:r>
      <w:r w:rsidRPr="0023146D">
        <w:t xml:space="preserve">; IAT = investigator assigned treatment; q12h = every 12 hours; </w:t>
      </w:r>
      <w:proofErr w:type="spellStart"/>
      <w:r w:rsidRPr="0023146D">
        <w:t>qwk</w:t>
      </w:r>
      <w:proofErr w:type="spellEnd"/>
      <w:r w:rsidRPr="0023146D">
        <w:t xml:space="preserve"> = once weekly; TID = 3 times daily; </w:t>
      </w:r>
      <w:proofErr w:type="spellStart"/>
      <w:r w:rsidRPr="0023146D">
        <w:t>vgcv</w:t>
      </w:r>
      <w:proofErr w:type="spellEnd"/>
      <w:r w:rsidRPr="0023146D">
        <w:t xml:space="preserve"> = valganciclovir. </w:t>
      </w:r>
    </w:p>
    <w:p w14:paraId="27844914" w14:textId="77777777" w:rsidR="00481FFF" w:rsidRPr="0023146D" w:rsidRDefault="00481FFF" w:rsidP="002F64DA">
      <w:pPr>
        <w:pStyle w:val="FooterTableFigure"/>
        <w:keepNext/>
        <w:keepLines/>
      </w:pPr>
      <w:r w:rsidRPr="0023146D">
        <w:t xml:space="preserve">Note: as the mean dose in trial is not reported, the mean dose (recommended dose) used in the economic model is used to estimate drug cost for the trial estimate </w:t>
      </w:r>
    </w:p>
    <w:p w14:paraId="18F43F29" w14:textId="6A20CA0D" w:rsidR="00481FFF" w:rsidRDefault="00481FFF" w:rsidP="00481FFF">
      <w:pPr>
        <w:pStyle w:val="3-BodyText"/>
      </w:pPr>
      <w:r w:rsidRPr="00F57F1D">
        <w:t>The estimates for the trial dose and duration for both maribavir and IAT ($</w:t>
      </w:r>
      <w:r w:rsidR="007548FA" w:rsidRPr="003B6666">
        <w:rPr>
          <w:color w:val="000000"/>
          <w:w w:val="61"/>
          <w:shd w:val="solid" w:color="000000" w:fill="000000"/>
          <w:fitText w:val="473" w:id="-760538101"/>
          <w14:textFill>
            <w14:solidFill>
              <w14:srgbClr w14:val="000000">
                <w14:alpha w14:val="100000"/>
              </w14:srgbClr>
            </w14:solidFill>
          </w14:textFill>
        </w:rPr>
        <w:t>|||  |||</w:t>
      </w:r>
      <w:r w:rsidRPr="00F57F1D">
        <w:t xml:space="preserve"> for maribavir; and $6,744 for IAT) are lower than that for the economic and financial models ($</w:t>
      </w:r>
      <w:r w:rsidR="007548FA" w:rsidRPr="0027615A">
        <w:rPr>
          <w:color w:val="000000"/>
          <w:w w:val="15"/>
          <w:shd w:val="solid" w:color="000000" w:fill="000000"/>
          <w:fitText w:val="-20" w:id="-760538100"/>
          <w14:textFill>
            <w14:solidFill>
              <w14:srgbClr w14:val="000000">
                <w14:alpha w14:val="100000"/>
              </w14:srgbClr>
            </w14:solidFill>
          </w14:textFill>
        </w:rPr>
        <w:t xml:space="preserve">|  </w:t>
      </w:r>
      <w:r w:rsidR="007548FA" w:rsidRPr="0027615A">
        <w:rPr>
          <w:color w:val="000000"/>
          <w:spacing w:val="-69"/>
          <w:w w:val="15"/>
          <w:shd w:val="solid" w:color="000000" w:fill="000000"/>
          <w:fitText w:val="-20" w:id="-760538100"/>
          <w14:textFill>
            <w14:solidFill>
              <w14:srgbClr w14:val="000000">
                <w14:alpha w14:val="100000"/>
              </w14:srgbClr>
            </w14:solidFill>
          </w14:textFill>
        </w:rPr>
        <w:t>|</w:t>
      </w:r>
      <w:r w:rsidRPr="00F57F1D">
        <w:t xml:space="preserve"> for maribavir; and $7,803 for IAT from the economic model). This is primarily because the actual treatment duration in SOLSTICE for each IAT drug is shorter than that used in the economic model. </w:t>
      </w:r>
      <w:r w:rsidR="006B02AA">
        <w:t>C</w:t>
      </w:r>
      <w:r w:rsidR="000D22A7" w:rsidRPr="00F57F1D">
        <w:t>osts for within trial exposure are based on recommended dosing as the actual mean doses were not available; use of mean doses is likely to have resulted in lower costs per course for both mariba</w:t>
      </w:r>
      <w:r w:rsidR="00ED35FC" w:rsidRPr="00F57F1D">
        <w:t>vir and IAT.</w:t>
      </w:r>
      <w:r w:rsidRPr="00F57F1D">
        <w:t xml:space="preserve"> Overall, the drug cost per patient per treatment course in the economic model is overestimated compared to the actual costs observed in SOLSTICE.</w:t>
      </w:r>
    </w:p>
    <w:p w14:paraId="0FD3B825" w14:textId="61992B5B" w:rsidR="00AA7C0E" w:rsidRPr="00045880" w:rsidRDefault="00AA7C0E" w:rsidP="00481FFF">
      <w:pPr>
        <w:pStyle w:val="3-BodyText"/>
      </w:pPr>
      <w:r w:rsidRPr="00045880">
        <w:t>The ESC noted that the costs for anti-CMV treatments are in the context of costs for transplants of around $58,000 (kidney) up to $222,000 (heart).</w:t>
      </w:r>
    </w:p>
    <w:p w14:paraId="34FCD472" w14:textId="77777777" w:rsidR="00732F7D" w:rsidRPr="0023146D" w:rsidRDefault="00732F7D" w:rsidP="00732F7D">
      <w:pPr>
        <w:pStyle w:val="4-SubsectionHeading"/>
      </w:pPr>
      <w:bookmarkStart w:id="63" w:name="_Toc22897647"/>
      <w:bookmarkStart w:id="64" w:name="_Toc177482518"/>
      <w:bookmarkEnd w:id="61"/>
      <w:r w:rsidRPr="0023146D">
        <w:t>Estimated PBS usage &amp; financial implications</w:t>
      </w:r>
      <w:bookmarkEnd w:id="63"/>
      <w:bookmarkEnd w:id="64"/>
    </w:p>
    <w:p w14:paraId="34F9956B" w14:textId="37FBAEA4" w:rsidR="003F5675" w:rsidRPr="0023146D" w:rsidRDefault="00732F7D" w:rsidP="00732F7D">
      <w:pPr>
        <w:pStyle w:val="3-BodyText"/>
      </w:pPr>
      <w:r w:rsidRPr="0023146D">
        <w:t xml:space="preserve">This submission </w:t>
      </w:r>
      <w:r w:rsidR="00F57F1D">
        <w:t>was</w:t>
      </w:r>
      <w:r w:rsidRPr="0023146D">
        <w:t xml:space="preserve"> not considered by DUSC. </w:t>
      </w:r>
      <w:r w:rsidR="00495E93" w:rsidRPr="0023146D">
        <w:t xml:space="preserve">The resubmission applied an epidemiological approach to the financial estimates. The methods for estimating the utilisation and financial implications to Government remain largely unchanged from the November 2023 submission, noting the use of more recent population data. The key difference from the November 2023 submission is that the resubmission included patients below 18 years of age to reflect the PBAC’s advice on an age agnostic listing (para 7.7, maribavir PSD, November 2023 PBAC meeting). </w:t>
      </w:r>
      <w:r w:rsidR="000B5A2E" w:rsidRPr="00F57F1D">
        <w:t>The DUSC</w:t>
      </w:r>
      <w:r w:rsidR="009B671E" w:rsidRPr="00F57F1D">
        <w:t xml:space="preserve"> previously</w:t>
      </w:r>
      <w:r w:rsidR="000B5A2E" w:rsidRPr="00F57F1D">
        <w:t xml:space="preserve"> commented on the data sources and parameter values used </w:t>
      </w:r>
      <w:r w:rsidR="00C81B58" w:rsidRPr="00F57F1D">
        <w:t xml:space="preserve">in the </w:t>
      </w:r>
      <w:r w:rsidR="000B5A2E" w:rsidRPr="00F57F1D">
        <w:t>financial estimates of the November 2023 submission and considered them broadly reasonable</w:t>
      </w:r>
      <w:r w:rsidR="007D55A4" w:rsidRPr="00F57F1D">
        <w:t xml:space="preserve"> (D</w:t>
      </w:r>
      <w:r w:rsidR="0026668D" w:rsidRPr="00F57F1D">
        <w:t>rug</w:t>
      </w:r>
      <w:r w:rsidR="007D55A4" w:rsidRPr="00F57F1D">
        <w:t xml:space="preserve"> </w:t>
      </w:r>
      <w:r w:rsidR="007D55A4" w:rsidRPr="00F57F1D">
        <w:lastRenderedPageBreak/>
        <w:t>U</w:t>
      </w:r>
      <w:r w:rsidR="0026668D" w:rsidRPr="00F57F1D">
        <w:t xml:space="preserve">tilisation </w:t>
      </w:r>
      <w:r w:rsidR="007D55A4" w:rsidRPr="00F57F1D">
        <w:t>S</w:t>
      </w:r>
      <w:r w:rsidR="0026668D" w:rsidRPr="00F57F1D">
        <w:t>ub</w:t>
      </w:r>
      <w:r w:rsidR="00AA10BF" w:rsidRPr="00F57F1D">
        <w:t xml:space="preserve"> </w:t>
      </w:r>
      <w:r w:rsidR="0026668D" w:rsidRPr="00F57F1D">
        <w:t>Committee</w:t>
      </w:r>
      <w:r w:rsidR="007D55A4" w:rsidRPr="00F57F1D">
        <w:t>: A</w:t>
      </w:r>
      <w:r w:rsidR="0026668D" w:rsidRPr="00F57F1D">
        <w:t>dvice to</w:t>
      </w:r>
      <w:r w:rsidR="007D55A4" w:rsidRPr="00F57F1D">
        <w:t xml:space="preserve"> PBAC, maribavir, November 2023 PBAC meeting)</w:t>
      </w:r>
      <w:r w:rsidR="000B5A2E" w:rsidRPr="00F57F1D">
        <w:t>.</w:t>
      </w:r>
      <w:r w:rsidR="000B5A2E" w:rsidRPr="0023146D">
        <w:t xml:space="preserve"> </w:t>
      </w:r>
      <w:r w:rsidR="00495E93" w:rsidRPr="0023146D">
        <w:t xml:space="preserve">A summary of key inputs for financial estimates is presented in </w:t>
      </w:r>
      <w:r w:rsidR="00495E93" w:rsidRPr="0023146D">
        <w:fldChar w:fldCharType="begin" w:fldLock="1"/>
      </w:r>
      <w:r w:rsidR="00495E93" w:rsidRPr="0023146D">
        <w:instrText xml:space="preserve"> REF _Ref104805262 \h </w:instrText>
      </w:r>
      <w:r w:rsidR="0011069B" w:rsidRPr="0023146D">
        <w:instrText xml:space="preserve"> \* MERGEFORMAT </w:instrText>
      </w:r>
      <w:r w:rsidR="00495E93" w:rsidRPr="0023146D">
        <w:fldChar w:fldCharType="separate"/>
      </w:r>
      <w:r w:rsidR="008854AA" w:rsidRPr="008854AA">
        <w:t>Table 13</w:t>
      </w:r>
      <w:r w:rsidR="00495E93" w:rsidRPr="0023146D">
        <w:fldChar w:fldCharType="end"/>
      </w:r>
      <w:r w:rsidR="00495E93" w:rsidRPr="0023146D">
        <w:t>.</w:t>
      </w:r>
    </w:p>
    <w:p w14:paraId="6C74B2F4" w14:textId="42F547E0" w:rsidR="00732F7D" w:rsidRPr="0023146D" w:rsidRDefault="00732F7D" w:rsidP="00E05C89">
      <w:pPr>
        <w:pStyle w:val="3-BodyText"/>
        <w:keepNext/>
        <w:keepLines/>
        <w:numPr>
          <w:ilvl w:val="0"/>
          <w:numId w:val="0"/>
        </w:numPr>
        <w:spacing w:after="0"/>
        <w:rPr>
          <w:rStyle w:val="CommentReference"/>
          <w:szCs w:val="20"/>
        </w:rPr>
      </w:pPr>
      <w:bookmarkStart w:id="65" w:name="_Ref104805262"/>
      <w:r w:rsidRPr="0023146D">
        <w:rPr>
          <w:rFonts w:ascii="Arial Narrow" w:hAnsi="Arial Narrow"/>
          <w:b/>
          <w:sz w:val="20"/>
          <w:szCs w:val="20"/>
        </w:rPr>
        <w:t xml:space="preserve">Table </w:t>
      </w:r>
      <w:r w:rsidRPr="0023146D">
        <w:rPr>
          <w:rFonts w:ascii="Arial Narrow" w:hAnsi="Arial Narrow"/>
          <w:b/>
          <w:sz w:val="20"/>
          <w:szCs w:val="20"/>
        </w:rPr>
        <w:fldChar w:fldCharType="begin" w:fldLock="1"/>
      </w:r>
      <w:r w:rsidRPr="0023146D">
        <w:rPr>
          <w:rFonts w:ascii="Arial Narrow" w:hAnsi="Arial Narrow"/>
          <w:b/>
          <w:sz w:val="20"/>
          <w:szCs w:val="20"/>
        </w:rPr>
        <w:instrText xml:space="preserve"> SEQ Table \* ARABIC </w:instrText>
      </w:r>
      <w:r w:rsidRPr="0023146D">
        <w:rPr>
          <w:rFonts w:ascii="Arial Narrow" w:hAnsi="Arial Narrow"/>
          <w:b/>
          <w:sz w:val="20"/>
          <w:szCs w:val="20"/>
        </w:rPr>
        <w:fldChar w:fldCharType="separate"/>
      </w:r>
      <w:r w:rsidR="008854AA">
        <w:rPr>
          <w:rFonts w:ascii="Arial Narrow" w:hAnsi="Arial Narrow"/>
          <w:b/>
          <w:noProof/>
          <w:sz w:val="20"/>
          <w:szCs w:val="20"/>
        </w:rPr>
        <w:t>13</w:t>
      </w:r>
      <w:r w:rsidRPr="0023146D">
        <w:rPr>
          <w:rFonts w:ascii="Arial Narrow" w:hAnsi="Arial Narrow"/>
          <w:b/>
          <w:sz w:val="20"/>
          <w:szCs w:val="20"/>
        </w:rPr>
        <w:fldChar w:fldCharType="end"/>
      </w:r>
      <w:bookmarkEnd w:id="65"/>
      <w:r w:rsidRPr="0023146D">
        <w:rPr>
          <w:rFonts w:ascii="Arial Narrow" w:hAnsi="Arial Narrow"/>
          <w:b/>
          <w:sz w:val="20"/>
          <w:szCs w:val="20"/>
        </w:rPr>
        <w:t>:</w:t>
      </w:r>
      <w:r w:rsidRPr="0023146D">
        <w:rPr>
          <w:rStyle w:val="CommentReference"/>
          <w:szCs w:val="20"/>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3: Key inputs for financial estimates"/>
        <w:tblDescription w:val="Table 13: Key inputs for financial estimates"/>
      </w:tblPr>
      <w:tblGrid>
        <w:gridCol w:w="1713"/>
        <w:gridCol w:w="4094"/>
        <w:gridCol w:w="3210"/>
      </w:tblGrid>
      <w:tr w:rsidR="00546C7D" w:rsidRPr="00F57F1D" w14:paraId="33E6DD26" w14:textId="77777777">
        <w:trPr>
          <w:tblHeader/>
        </w:trPr>
        <w:tc>
          <w:tcPr>
            <w:tcW w:w="950" w:type="pct"/>
            <w:shd w:val="clear" w:color="auto" w:fill="auto"/>
            <w:vAlign w:val="center"/>
          </w:tcPr>
          <w:p w14:paraId="637D8CB6" w14:textId="77777777" w:rsidR="00546C7D" w:rsidRPr="00F57F1D" w:rsidRDefault="00546C7D" w:rsidP="00F57F1D">
            <w:pPr>
              <w:pStyle w:val="In-tableHeading"/>
            </w:pPr>
            <w:r w:rsidRPr="00F57F1D">
              <w:t>Parameter</w:t>
            </w:r>
          </w:p>
        </w:tc>
        <w:tc>
          <w:tcPr>
            <w:tcW w:w="2270" w:type="pct"/>
            <w:shd w:val="clear" w:color="auto" w:fill="auto"/>
            <w:vAlign w:val="center"/>
          </w:tcPr>
          <w:p w14:paraId="628C0180" w14:textId="77777777" w:rsidR="00546C7D" w:rsidRPr="00F57F1D" w:rsidRDefault="00546C7D" w:rsidP="00F57F1D">
            <w:pPr>
              <w:pStyle w:val="In-tableHeading"/>
            </w:pPr>
            <w:r w:rsidRPr="00F57F1D">
              <w:t>Value applied and source</w:t>
            </w:r>
          </w:p>
        </w:tc>
        <w:tc>
          <w:tcPr>
            <w:tcW w:w="1780" w:type="pct"/>
            <w:shd w:val="clear" w:color="auto" w:fill="auto"/>
            <w:vAlign w:val="center"/>
          </w:tcPr>
          <w:p w14:paraId="30226E1B" w14:textId="77777777" w:rsidR="00546C7D" w:rsidRPr="00F57F1D" w:rsidRDefault="00546C7D" w:rsidP="00F57F1D">
            <w:pPr>
              <w:pStyle w:val="In-tableHeading"/>
            </w:pPr>
            <w:r w:rsidRPr="00F57F1D">
              <w:t>Comment</w:t>
            </w:r>
          </w:p>
        </w:tc>
      </w:tr>
      <w:tr w:rsidR="00546C7D" w:rsidRPr="00F57F1D" w14:paraId="3E7E3E9A" w14:textId="77777777">
        <w:tc>
          <w:tcPr>
            <w:tcW w:w="950" w:type="pct"/>
            <w:shd w:val="clear" w:color="auto" w:fill="auto"/>
            <w:vAlign w:val="center"/>
          </w:tcPr>
          <w:p w14:paraId="3ABEBE64" w14:textId="0C957345" w:rsidR="00546C7D" w:rsidRPr="00F57F1D" w:rsidRDefault="00885367">
            <w:pPr>
              <w:pStyle w:val="TableText0"/>
            </w:pPr>
            <w:r w:rsidRPr="00F57F1D">
              <w:t xml:space="preserve">Incident patients </w:t>
            </w:r>
          </w:p>
        </w:tc>
        <w:tc>
          <w:tcPr>
            <w:tcW w:w="2270" w:type="pct"/>
            <w:shd w:val="clear" w:color="auto" w:fill="auto"/>
            <w:vAlign w:val="center"/>
          </w:tcPr>
          <w:p w14:paraId="04D967E6" w14:textId="2FAFF6BF" w:rsidR="00546C7D" w:rsidRPr="00F57F1D" w:rsidRDefault="00370C70" w:rsidP="0004414F">
            <w:pPr>
              <w:pStyle w:val="TableText0"/>
            </w:pPr>
            <w:r w:rsidRPr="00F57F1D">
              <w:rPr>
                <w:u w:val="single"/>
              </w:rPr>
              <w:t>SOT</w:t>
            </w:r>
            <w:r w:rsidR="003C3CE4" w:rsidRPr="00F57F1D">
              <w:t xml:space="preserve"> </w:t>
            </w:r>
            <w:r w:rsidR="00885367" w:rsidRPr="00F57F1D">
              <w:t>Yr 1: 1,817</w:t>
            </w:r>
            <w:r w:rsidRPr="00F57F1D">
              <w:t xml:space="preserve"> based</w:t>
            </w:r>
            <w:r w:rsidR="00885367" w:rsidRPr="00F57F1D">
              <w:t xml:space="preserve"> ANZOD registry (data up to 2022) and ANZDATA registry (data up to 2022) with a yearly growth rate of 3.86%.</w:t>
            </w:r>
          </w:p>
          <w:p w14:paraId="065E78F7" w14:textId="77777777" w:rsidR="0004414F" w:rsidRPr="00F57F1D" w:rsidRDefault="0004414F" w:rsidP="0004414F">
            <w:pPr>
              <w:pStyle w:val="TableText0"/>
            </w:pPr>
          </w:p>
          <w:p w14:paraId="429AD606" w14:textId="49FFF471" w:rsidR="00546C7D" w:rsidRPr="00F57F1D" w:rsidRDefault="003C3CE4">
            <w:pPr>
              <w:pStyle w:val="TableText0"/>
            </w:pPr>
            <w:r w:rsidRPr="00F57F1D">
              <w:rPr>
                <w:u w:val="single"/>
              </w:rPr>
              <w:t>HSCT</w:t>
            </w:r>
            <w:r w:rsidRPr="00F57F1D">
              <w:t xml:space="preserve"> </w:t>
            </w:r>
            <w:r w:rsidR="0004414F" w:rsidRPr="00F57F1D">
              <w:t xml:space="preserve">Yr 1: 730 </w:t>
            </w:r>
            <w:r w:rsidR="00370C70" w:rsidRPr="00F57F1D">
              <w:t xml:space="preserve">based on </w:t>
            </w:r>
            <w:r w:rsidR="0004414F" w:rsidRPr="00F57F1D">
              <w:t>ANZDATA registry (2013-2023 annual reports)</w:t>
            </w:r>
            <w:r w:rsidR="00370C70" w:rsidRPr="00F57F1D">
              <w:t>, with a</w:t>
            </w:r>
            <w:r w:rsidR="0004414F" w:rsidRPr="00F57F1D">
              <w:t xml:space="preserve"> yearly growth rate of 4.38% based on the registry.</w:t>
            </w:r>
          </w:p>
        </w:tc>
        <w:tc>
          <w:tcPr>
            <w:tcW w:w="1780" w:type="pct"/>
            <w:shd w:val="clear" w:color="auto" w:fill="auto"/>
            <w:vAlign w:val="center"/>
          </w:tcPr>
          <w:p w14:paraId="491179E6" w14:textId="600C1428" w:rsidR="00546C7D" w:rsidRPr="00045880" w:rsidRDefault="00793218">
            <w:pPr>
              <w:pStyle w:val="TableText0"/>
            </w:pPr>
            <w:r w:rsidRPr="00045880">
              <w:t>The ESC agreed with the commentary that this data source was r</w:t>
            </w:r>
            <w:r w:rsidR="00503A9A" w:rsidRPr="00045880">
              <w:t>easonable</w:t>
            </w:r>
            <w:r w:rsidRPr="00045880">
              <w:t xml:space="preserve"> and provided robust estimates of the annual number of transplant patients.</w:t>
            </w:r>
          </w:p>
        </w:tc>
      </w:tr>
      <w:tr w:rsidR="00885367" w:rsidRPr="00F57F1D" w14:paraId="41793E67" w14:textId="77777777" w:rsidTr="00C61831">
        <w:tc>
          <w:tcPr>
            <w:tcW w:w="950" w:type="pct"/>
            <w:shd w:val="clear" w:color="auto" w:fill="C6D9F1" w:themeFill="text2" w:themeFillTint="33"/>
            <w:vAlign w:val="center"/>
          </w:tcPr>
          <w:p w14:paraId="7321A3EA" w14:textId="49BC98F3" w:rsidR="00885367" w:rsidRPr="00F57F1D" w:rsidRDefault="009B6984" w:rsidP="00885367">
            <w:pPr>
              <w:pStyle w:val="TableText0"/>
            </w:pPr>
            <w:r w:rsidRPr="00F57F1D">
              <w:t>CMV infection</w:t>
            </w:r>
            <w:r w:rsidR="009B345F" w:rsidRPr="00F57F1D">
              <w:t xml:space="preserve">, </w:t>
            </w:r>
            <w:r w:rsidR="004E2541" w:rsidRPr="00F57F1D">
              <w:t>refractory</w:t>
            </w:r>
            <w:r w:rsidR="009B345F" w:rsidRPr="00F57F1D">
              <w:t xml:space="preserve">, </w:t>
            </w:r>
            <w:r w:rsidR="0058498D" w:rsidRPr="00F57F1D">
              <w:t>resistant, and into</w:t>
            </w:r>
            <w:r w:rsidR="006A0D13" w:rsidRPr="00F57F1D">
              <w:t>lerant patients</w:t>
            </w:r>
          </w:p>
        </w:tc>
        <w:tc>
          <w:tcPr>
            <w:tcW w:w="2270" w:type="pct"/>
            <w:shd w:val="clear" w:color="auto" w:fill="C6D9F1" w:themeFill="text2" w:themeFillTint="33"/>
            <w:vAlign w:val="center"/>
          </w:tcPr>
          <w:p w14:paraId="585601BA" w14:textId="77777777" w:rsidR="00885367" w:rsidRPr="00F57F1D" w:rsidRDefault="0009257E" w:rsidP="00885367">
            <w:pPr>
              <w:pStyle w:val="TableText0"/>
            </w:pPr>
            <w:r w:rsidRPr="00F57F1D">
              <w:rPr>
                <w:u w:val="single"/>
              </w:rPr>
              <w:t>SOT</w:t>
            </w:r>
            <w:r w:rsidRPr="00F57F1D">
              <w:t xml:space="preserve"> </w:t>
            </w:r>
            <w:r w:rsidR="00AB12BA" w:rsidRPr="00F57F1D">
              <w:t>CMV infection: 22.8% (35 studies); Refractory to SoC: 21.7% (5 studies); Resistant to SoC: 5.3% (16 studies); Intolerant to SoC: 10.0% (OTUS assumption).</w:t>
            </w:r>
          </w:p>
          <w:p w14:paraId="5F9625FD" w14:textId="77777777" w:rsidR="005763A8" w:rsidRPr="00F57F1D" w:rsidRDefault="005763A8" w:rsidP="00885367">
            <w:pPr>
              <w:pStyle w:val="TableText0"/>
            </w:pPr>
          </w:p>
          <w:p w14:paraId="6C9A41EA" w14:textId="6C62B4EE" w:rsidR="00885367" w:rsidRPr="00F57F1D" w:rsidRDefault="002466AB" w:rsidP="00885367">
            <w:pPr>
              <w:pStyle w:val="TableText0"/>
            </w:pPr>
            <w:r w:rsidRPr="00F57F1D">
              <w:rPr>
                <w:u w:val="single"/>
              </w:rPr>
              <w:t>HSCT</w:t>
            </w:r>
            <w:r w:rsidRPr="00F57F1D">
              <w:t xml:space="preserve"> </w:t>
            </w:r>
            <w:r w:rsidR="005763A8" w:rsidRPr="00F57F1D">
              <w:t>CMV infection: 34.0% (35 studies); Refractory to SoC: 32.0% (8 studies); Resistant to SoC: 5.2% (13 studies); Intolerant to SoC: 20.0% (OTUS assumption).</w:t>
            </w:r>
          </w:p>
        </w:tc>
        <w:tc>
          <w:tcPr>
            <w:tcW w:w="1780" w:type="pct"/>
            <w:shd w:val="clear" w:color="auto" w:fill="auto"/>
            <w:vAlign w:val="center"/>
          </w:tcPr>
          <w:p w14:paraId="74DF9C39" w14:textId="66C2E4F9" w:rsidR="00885367" w:rsidRPr="00F57F1D" w:rsidRDefault="003C4003" w:rsidP="00885367">
            <w:pPr>
              <w:pStyle w:val="TableText0"/>
            </w:pPr>
            <w:r w:rsidRPr="00F57F1D">
              <w:t>U</w:t>
            </w:r>
            <w:r w:rsidR="004E2541" w:rsidRPr="00F57F1D">
              <w:t>nchanged from the previous submission. The PBAC</w:t>
            </w:r>
            <w:r w:rsidR="006979D9" w:rsidRPr="00F57F1D">
              <w:t xml:space="preserve"> and the </w:t>
            </w:r>
            <w:r w:rsidR="004F27D9" w:rsidRPr="00F57F1D">
              <w:t xml:space="preserve">DUSC </w:t>
            </w:r>
            <w:r w:rsidR="004E2541" w:rsidRPr="00F57F1D">
              <w:t>noted no major issue</w:t>
            </w:r>
            <w:r w:rsidR="00FD5465" w:rsidRPr="00F57F1D">
              <w:t>s.</w:t>
            </w:r>
          </w:p>
        </w:tc>
      </w:tr>
      <w:tr w:rsidR="00C602B4" w:rsidRPr="00F57F1D" w14:paraId="0A30C210" w14:textId="77777777" w:rsidTr="00C61831">
        <w:tc>
          <w:tcPr>
            <w:tcW w:w="950" w:type="pct"/>
            <w:shd w:val="clear" w:color="auto" w:fill="C6D9F1" w:themeFill="text2" w:themeFillTint="33"/>
          </w:tcPr>
          <w:p w14:paraId="6E42C20C" w14:textId="61A0362C" w:rsidR="00C602B4" w:rsidRPr="00F57F1D" w:rsidRDefault="00C602B4" w:rsidP="00C602B4">
            <w:pPr>
              <w:pStyle w:val="TableText0"/>
            </w:pPr>
            <w:r w:rsidRPr="00F57F1D">
              <w:t>Uptake rate</w:t>
            </w:r>
          </w:p>
        </w:tc>
        <w:tc>
          <w:tcPr>
            <w:tcW w:w="2270" w:type="pct"/>
            <w:shd w:val="clear" w:color="auto" w:fill="C6D9F1" w:themeFill="text2" w:themeFillTint="33"/>
          </w:tcPr>
          <w:p w14:paraId="121B47C3" w14:textId="6CDB399F" w:rsidR="00C602B4" w:rsidRPr="00F57F1D" w:rsidRDefault="00C602B4" w:rsidP="00C602B4">
            <w:r w:rsidRPr="00F57F1D">
              <w:rPr>
                <w:rFonts w:ascii="Arial Narrow" w:hAnsi="Arial Narrow"/>
                <w:sz w:val="20"/>
                <w:szCs w:val="20"/>
              </w:rPr>
              <w:t xml:space="preserve">Yr 1: </w:t>
            </w:r>
            <w:r w:rsidR="007548FA" w:rsidRPr="003B6666">
              <w:rPr>
                <w:rFonts w:ascii="Arial Narrow" w:hAnsi="Arial Narrow"/>
                <w:color w:val="000000"/>
                <w:spacing w:val="10"/>
                <w:sz w:val="20"/>
                <w:szCs w:val="20"/>
                <w:shd w:val="solid" w:color="000000" w:fill="000000"/>
                <w:fitText w:val="313" w:id="-760538099"/>
                <w14:textFill>
                  <w14:solidFill>
                    <w14:srgbClr w14:val="000000">
                      <w14:alpha w14:val="100000"/>
                    </w14:srgbClr>
                  </w14:solidFill>
                </w14:textFill>
              </w:rPr>
              <w:t>||  |</w:t>
            </w:r>
            <w:r w:rsidR="007548FA" w:rsidRPr="003B6666">
              <w:rPr>
                <w:rFonts w:ascii="Arial Narrow" w:hAnsi="Arial Narrow"/>
                <w:color w:val="000000"/>
                <w:spacing w:val="2"/>
                <w:sz w:val="20"/>
                <w:szCs w:val="20"/>
                <w:shd w:val="solid" w:color="000000" w:fill="000000"/>
                <w:fitText w:val="313" w:id="-760538099"/>
                <w14:textFill>
                  <w14:solidFill>
                    <w14:srgbClr w14:val="000000">
                      <w14:alpha w14:val="100000"/>
                    </w14:srgbClr>
                  </w14:solidFill>
                </w14:textFill>
              </w:rPr>
              <w:t>|</w:t>
            </w:r>
            <w:r w:rsidRPr="00F57F1D">
              <w:rPr>
                <w:rFonts w:ascii="Arial Narrow" w:hAnsi="Arial Narrow"/>
                <w:sz w:val="20"/>
                <w:szCs w:val="20"/>
              </w:rPr>
              <w:t xml:space="preserve">%, Yr 2: </w:t>
            </w:r>
            <w:r w:rsidR="007548FA" w:rsidRPr="003B6666">
              <w:rPr>
                <w:rFonts w:ascii="Arial Narrow" w:hAnsi="Arial Narrow"/>
                <w:color w:val="000000"/>
                <w:spacing w:val="7"/>
                <w:sz w:val="20"/>
                <w:szCs w:val="20"/>
                <w:shd w:val="solid" w:color="000000" w:fill="000000"/>
                <w:fitText w:val="300" w:id="-760538098"/>
                <w14:textFill>
                  <w14:solidFill>
                    <w14:srgbClr w14:val="000000">
                      <w14:alpha w14:val="100000"/>
                    </w14:srgbClr>
                  </w14:solidFill>
                </w14:textFill>
              </w:rPr>
              <w:t>||  |</w:t>
            </w:r>
            <w:r w:rsidR="007548FA" w:rsidRPr="003B6666">
              <w:rPr>
                <w:rFonts w:ascii="Arial Narrow" w:hAnsi="Arial Narrow"/>
                <w:color w:val="000000"/>
                <w:spacing w:val="4"/>
                <w:sz w:val="20"/>
                <w:szCs w:val="20"/>
                <w:shd w:val="solid" w:color="000000" w:fill="000000"/>
                <w:fitText w:val="300" w:id="-760538098"/>
                <w14:textFill>
                  <w14:solidFill>
                    <w14:srgbClr w14:val="000000">
                      <w14:alpha w14:val="100000"/>
                    </w14:srgbClr>
                  </w14:solidFill>
                </w14:textFill>
              </w:rPr>
              <w:t>|</w:t>
            </w:r>
            <w:r w:rsidRPr="00F57F1D">
              <w:rPr>
                <w:rFonts w:ascii="Arial Narrow" w:hAnsi="Arial Narrow"/>
                <w:sz w:val="20"/>
                <w:szCs w:val="20"/>
              </w:rPr>
              <w:t xml:space="preserve">%, Yr 3: </w:t>
            </w:r>
            <w:r w:rsidR="007548FA" w:rsidRPr="003B6666">
              <w:rPr>
                <w:rFonts w:ascii="Arial Narrow" w:hAnsi="Arial Narrow"/>
                <w:color w:val="000000"/>
                <w:spacing w:val="10"/>
                <w:sz w:val="20"/>
                <w:szCs w:val="20"/>
                <w:shd w:val="solid" w:color="000000" w:fill="000000"/>
                <w:fitText w:val="314" w:id="-760538097"/>
                <w14:textFill>
                  <w14:solidFill>
                    <w14:srgbClr w14:val="000000">
                      <w14:alpha w14:val="100000"/>
                    </w14:srgbClr>
                  </w14:solidFill>
                </w14:textFill>
              </w:rPr>
              <w:t>||  |</w:t>
            </w:r>
            <w:r w:rsidR="007548FA" w:rsidRPr="003B6666">
              <w:rPr>
                <w:rFonts w:ascii="Arial Narrow" w:hAnsi="Arial Narrow"/>
                <w:color w:val="000000"/>
                <w:spacing w:val="3"/>
                <w:sz w:val="20"/>
                <w:szCs w:val="20"/>
                <w:shd w:val="solid" w:color="000000" w:fill="000000"/>
                <w:fitText w:val="314" w:id="-760538097"/>
                <w14:textFill>
                  <w14:solidFill>
                    <w14:srgbClr w14:val="000000">
                      <w14:alpha w14:val="100000"/>
                    </w14:srgbClr>
                  </w14:solidFill>
                </w14:textFill>
              </w:rPr>
              <w:t>|</w:t>
            </w:r>
            <w:r w:rsidRPr="00F57F1D">
              <w:rPr>
                <w:rFonts w:ascii="Arial Narrow" w:hAnsi="Arial Narrow"/>
                <w:sz w:val="20"/>
                <w:szCs w:val="20"/>
              </w:rPr>
              <w:t xml:space="preserve">%, Yr 4 to Yr 6: </w:t>
            </w:r>
            <w:r w:rsidR="007548FA" w:rsidRPr="003B6666">
              <w:rPr>
                <w:rFonts w:ascii="Arial Narrow" w:hAnsi="Arial Narrow"/>
                <w:color w:val="000000"/>
                <w:spacing w:val="10"/>
                <w:sz w:val="20"/>
                <w:szCs w:val="20"/>
                <w:shd w:val="solid" w:color="000000" w:fill="000000"/>
                <w:fitText w:val="314" w:id="-760538096"/>
                <w14:textFill>
                  <w14:solidFill>
                    <w14:srgbClr w14:val="000000">
                      <w14:alpha w14:val="100000"/>
                    </w14:srgbClr>
                  </w14:solidFill>
                </w14:textFill>
              </w:rPr>
              <w:t>||  |</w:t>
            </w:r>
            <w:r w:rsidR="007548FA" w:rsidRPr="003B6666">
              <w:rPr>
                <w:rFonts w:ascii="Arial Narrow" w:hAnsi="Arial Narrow"/>
                <w:color w:val="000000"/>
                <w:spacing w:val="3"/>
                <w:sz w:val="20"/>
                <w:szCs w:val="20"/>
                <w:shd w:val="solid" w:color="000000" w:fill="000000"/>
                <w:fitText w:val="314" w:id="-760538096"/>
                <w14:textFill>
                  <w14:solidFill>
                    <w14:srgbClr w14:val="000000">
                      <w14:alpha w14:val="100000"/>
                    </w14:srgbClr>
                  </w14:solidFill>
                </w14:textFill>
              </w:rPr>
              <w:t>|</w:t>
            </w:r>
            <w:r w:rsidRPr="00F57F1D">
              <w:rPr>
                <w:rFonts w:ascii="Arial Narrow" w:hAnsi="Arial Narrow"/>
                <w:sz w:val="20"/>
                <w:szCs w:val="20"/>
              </w:rPr>
              <w:t>%</w:t>
            </w:r>
            <w:r w:rsidR="00D1379A" w:rsidRPr="00F57F1D">
              <w:rPr>
                <w:rFonts w:ascii="Arial Narrow" w:hAnsi="Arial Narrow"/>
                <w:sz w:val="20"/>
                <w:szCs w:val="20"/>
              </w:rPr>
              <w:t xml:space="preserve"> </w:t>
            </w:r>
            <w:r w:rsidR="003C4003" w:rsidRPr="00F57F1D">
              <w:rPr>
                <w:rFonts w:ascii="Arial Narrow" w:hAnsi="Arial Narrow"/>
                <w:sz w:val="20"/>
                <w:szCs w:val="20"/>
              </w:rPr>
              <w:t xml:space="preserve">based on </w:t>
            </w:r>
            <w:r w:rsidR="00D1379A" w:rsidRPr="00F57F1D">
              <w:rPr>
                <w:rFonts w:ascii="Arial Narrow" w:hAnsi="Arial Narrow"/>
                <w:sz w:val="20"/>
                <w:szCs w:val="20"/>
              </w:rPr>
              <w:t>assumption.</w:t>
            </w:r>
          </w:p>
        </w:tc>
        <w:tc>
          <w:tcPr>
            <w:tcW w:w="1780" w:type="pct"/>
            <w:shd w:val="clear" w:color="auto" w:fill="auto"/>
            <w:vAlign w:val="center"/>
          </w:tcPr>
          <w:p w14:paraId="3B9CD1FE" w14:textId="4A6E1A1F" w:rsidR="00C602B4" w:rsidRPr="00F57F1D" w:rsidRDefault="003C4003" w:rsidP="00C602B4">
            <w:pPr>
              <w:pStyle w:val="TableText0"/>
            </w:pPr>
            <w:r w:rsidRPr="00F57F1D">
              <w:t xml:space="preserve">Unchanged from the November 2023 submission. The PBAC previously noted that the proportion of patients intolerant to </w:t>
            </w:r>
            <w:r w:rsidR="00276171" w:rsidRPr="00F57F1D">
              <w:t xml:space="preserve">SoC </w:t>
            </w:r>
            <w:r w:rsidRPr="00F57F1D">
              <w:t>treatments was uncertain (para 7.16, maribavir PSD, November 2023 PBAC meeting).</w:t>
            </w:r>
          </w:p>
        </w:tc>
      </w:tr>
      <w:tr w:rsidR="00043087" w:rsidRPr="00F57F1D" w14:paraId="3112F18E" w14:textId="77777777" w:rsidTr="00C61831">
        <w:tc>
          <w:tcPr>
            <w:tcW w:w="950" w:type="pct"/>
            <w:shd w:val="clear" w:color="auto" w:fill="C6D9F1" w:themeFill="text2" w:themeFillTint="33"/>
          </w:tcPr>
          <w:p w14:paraId="63E5D9AF" w14:textId="2E31E2AE" w:rsidR="00043087" w:rsidRPr="00F57F1D" w:rsidRDefault="00043087" w:rsidP="00043087">
            <w:pPr>
              <w:pStyle w:val="TableText0"/>
            </w:pPr>
            <w:r w:rsidRPr="00F57F1D">
              <w:t>Duration of treatment</w:t>
            </w:r>
          </w:p>
        </w:tc>
        <w:tc>
          <w:tcPr>
            <w:tcW w:w="2270" w:type="pct"/>
            <w:shd w:val="clear" w:color="auto" w:fill="C6D9F1" w:themeFill="text2" w:themeFillTint="33"/>
          </w:tcPr>
          <w:p w14:paraId="03DD09AF" w14:textId="2BC6B247" w:rsidR="00043087" w:rsidRPr="00F57F1D" w:rsidRDefault="00043087" w:rsidP="00043087">
            <w:pPr>
              <w:pStyle w:val="TableText0"/>
            </w:pPr>
            <w:r w:rsidRPr="00F57F1D">
              <w:t xml:space="preserve">7.5 weeks based on the exposure duration from SOLSTICE. </w:t>
            </w:r>
          </w:p>
        </w:tc>
        <w:tc>
          <w:tcPr>
            <w:tcW w:w="1780" w:type="pct"/>
            <w:shd w:val="clear" w:color="auto" w:fill="auto"/>
          </w:tcPr>
          <w:p w14:paraId="1259597D" w14:textId="3B404F82" w:rsidR="00964534" w:rsidRPr="00F57F1D" w:rsidRDefault="00487DEF" w:rsidP="00C458A5">
            <w:pPr>
              <w:pStyle w:val="TableText0"/>
            </w:pPr>
            <w:r w:rsidRPr="00F57F1D">
              <w:t xml:space="preserve">Unchanged from the November 2023 submission. </w:t>
            </w:r>
            <w:r w:rsidR="00964534" w:rsidRPr="00F57F1D">
              <w:t xml:space="preserve">The </w:t>
            </w:r>
            <w:r w:rsidR="00CB752B" w:rsidRPr="00F57F1D">
              <w:t>duration</w:t>
            </w:r>
            <w:r w:rsidR="00964534" w:rsidRPr="00F57F1D">
              <w:t xml:space="preserve"> </w:t>
            </w:r>
            <w:r w:rsidR="008F4613" w:rsidRPr="00F57F1D">
              <w:t xml:space="preserve">derived from fixed 8-week treatment duration </w:t>
            </w:r>
            <w:r w:rsidR="00964534" w:rsidRPr="00F57F1D">
              <w:t>might not reflect practice</w:t>
            </w:r>
            <w:r w:rsidR="006B02AA">
              <w:t xml:space="preserve">. </w:t>
            </w:r>
          </w:p>
          <w:p w14:paraId="22B48885" w14:textId="77777777" w:rsidR="00964534" w:rsidRPr="00F57F1D" w:rsidRDefault="00964534" w:rsidP="00C458A5">
            <w:pPr>
              <w:pStyle w:val="TableText0"/>
            </w:pPr>
          </w:p>
          <w:p w14:paraId="51C942C2" w14:textId="0128222B" w:rsidR="00043087" w:rsidRPr="00F57F1D" w:rsidRDefault="00487DEF" w:rsidP="00C458A5">
            <w:pPr>
              <w:pStyle w:val="TableText0"/>
            </w:pPr>
            <w:r w:rsidRPr="00F57F1D">
              <w:t xml:space="preserve">The </w:t>
            </w:r>
            <w:r w:rsidR="00944B2F" w:rsidRPr="00F57F1D">
              <w:t xml:space="preserve">7.5-week treatment duration </w:t>
            </w:r>
            <w:r w:rsidR="00972715" w:rsidRPr="00F57F1D">
              <w:t xml:space="preserve">is </w:t>
            </w:r>
            <w:r w:rsidR="00964534" w:rsidRPr="00F57F1D">
              <w:t xml:space="preserve">based on the exposure duration </w:t>
            </w:r>
            <w:r w:rsidR="00AE531F" w:rsidRPr="00F57F1D">
              <w:t xml:space="preserve">in SOLSTICE </w:t>
            </w:r>
            <w:r w:rsidR="00964534" w:rsidRPr="00F57F1D">
              <w:t xml:space="preserve">and </w:t>
            </w:r>
            <w:r w:rsidR="00AE531F" w:rsidRPr="00F57F1D">
              <w:t xml:space="preserve">was </w:t>
            </w:r>
            <w:r w:rsidR="00972715" w:rsidRPr="00F57F1D">
              <w:t xml:space="preserve">slightly higher than its actual duration </w:t>
            </w:r>
            <w:r w:rsidR="00184FCB" w:rsidRPr="00F57F1D">
              <w:t>(</w:t>
            </w:r>
            <w:r w:rsidR="00CB3F70" w:rsidRPr="00F57F1D">
              <w:t>6.91 weeks or</w:t>
            </w:r>
            <w:r w:rsidR="00964534" w:rsidRPr="00F57F1D">
              <w:t xml:space="preserve"> 92.1% compliance</w:t>
            </w:r>
            <w:r w:rsidR="00184FCB" w:rsidRPr="00F57F1D">
              <w:t xml:space="preserve">). </w:t>
            </w:r>
            <w:r w:rsidR="00972715" w:rsidRPr="00F57F1D">
              <w:t xml:space="preserve"> </w:t>
            </w:r>
          </w:p>
        </w:tc>
      </w:tr>
      <w:tr w:rsidR="00C70AAF" w:rsidRPr="00F57F1D" w14:paraId="2B53F481" w14:textId="77777777" w:rsidTr="00C61831">
        <w:tc>
          <w:tcPr>
            <w:tcW w:w="950" w:type="pct"/>
            <w:shd w:val="clear" w:color="auto" w:fill="C6D9F1" w:themeFill="text2" w:themeFillTint="33"/>
            <w:vAlign w:val="center"/>
          </w:tcPr>
          <w:p w14:paraId="32A1BD27" w14:textId="408369FA" w:rsidR="00C70AAF" w:rsidRPr="00F57F1D" w:rsidRDefault="00C70AAF" w:rsidP="00C602B4">
            <w:pPr>
              <w:pStyle w:val="TableText0"/>
            </w:pPr>
            <w:r w:rsidRPr="00F57F1D">
              <w:t>Dose</w:t>
            </w:r>
          </w:p>
        </w:tc>
        <w:tc>
          <w:tcPr>
            <w:tcW w:w="2270" w:type="pct"/>
            <w:shd w:val="clear" w:color="auto" w:fill="C6D9F1" w:themeFill="text2" w:themeFillTint="33"/>
            <w:vAlign w:val="center"/>
          </w:tcPr>
          <w:p w14:paraId="01E24F53" w14:textId="016E4CC5" w:rsidR="00C70AAF" w:rsidRPr="00F57F1D" w:rsidRDefault="00C70AAF" w:rsidP="00C602B4">
            <w:pPr>
              <w:pStyle w:val="TableText0"/>
            </w:pPr>
            <w:r w:rsidRPr="00F57F1D">
              <w:t>400</w:t>
            </w:r>
            <w:r w:rsidR="00536D6C" w:rsidRPr="00F57F1D">
              <w:t>mg</w:t>
            </w:r>
            <w:r w:rsidRPr="00F57F1D">
              <w:t xml:space="preserve"> BID</w:t>
            </w:r>
            <w:r w:rsidR="0099339E" w:rsidRPr="00F57F1D">
              <w:t xml:space="preserve">, </w:t>
            </w:r>
            <w:r w:rsidR="00F30C53" w:rsidRPr="00F57F1D">
              <w:t xml:space="preserve">recommended </w:t>
            </w:r>
            <w:r w:rsidR="0099339E" w:rsidRPr="00F57F1D">
              <w:t>dose</w:t>
            </w:r>
            <w:r w:rsidR="003A2258" w:rsidRPr="00F57F1D">
              <w:t xml:space="preserve"> in SOLSTICE</w:t>
            </w:r>
          </w:p>
        </w:tc>
        <w:tc>
          <w:tcPr>
            <w:tcW w:w="1780" w:type="pct"/>
            <w:shd w:val="clear" w:color="auto" w:fill="auto"/>
            <w:vAlign w:val="center"/>
          </w:tcPr>
          <w:p w14:paraId="6209C192" w14:textId="0999D16F" w:rsidR="00C70AAF" w:rsidRPr="00F57F1D" w:rsidRDefault="00A745F2" w:rsidP="00C602B4">
            <w:pPr>
              <w:pStyle w:val="TableText0"/>
            </w:pPr>
            <w:r w:rsidRPr="00F57F1D">
              <w:t>Reasonable</w:t>
            </w:r>
          </w:p>
        </w:tc>
      </w:tr>
    </w:tbl>
    <w:p w14:paraId="792C3414" w14:textId="5C9E9D2A" w:rsidR="009B1AA9" w:rsidRPr="0023146D" w:rsidRDefault="009B1AA9" w:rsidP="00F50DAD">
      <w:pPr>
        <w:pStyle w:val="FooterTableFigure"/>
        <w:spacing w:after="0"/>
      </w:pPr>
      <w:r w:rsidRPr="0023146D">
        <w:t>Source: Table 4.1, p195, Table 4.3, p198, Table 4.5, p199, Table 4.10, p201, Table 4.12, p202, Table 4.13, p202, Table 4.19, p205, Table 4.22, p206, Table 4.29, p209</w:t>
      </w:r>
      <w:r w:rsidR="00CB752B" w:rsidRPr="0023146D">
        <w:t xml:space="preserve">; </w:t>
      </w:r>
      <w:r w:rsidR="004E1B66" w:rsidRPr="0023146D">
        <w:t>Figure 2, p124</w:t>
      </w:r>
      <w:r w:rsidR="00A71941" w:rsidRPr="0023146D">
        <w:t>,</w:t>
      </w:r>
      <w:r w:rsidR="004E1B66" w:rsidRPr="0023146D">
        <w:t xml:space="preserve"> </w:t>
      </w:r>
      <w:r w:rsidR="00832BA7" w:rsidRPr="0023146D">
        <w:t>Table 14.3.7.1.1.1</w:t>
      </w:r>
      <w:r w:rsidR="00A71941" w:rsidRPr="0023146D">
        <w:t>, p4076,</w:t>
      </w:r>
      <w:r w:rsidR="00832BA7" w:rsidRPr="0023146D">
        <w:t xml:space="preserve"> of the SOLSTICE’s clinical study report</w:t>
      </w:r>
      <w:r w:rsidR="007D55A4" w:rsidRPr="0023146D">
        <w:t xml:space="preserve">; DRUG UTILISATION SUB-COMMITTEE: ADVICE TO PBAC, maribavir, November 2023 PBAC meeting. </w:t>
      </w:r>
    </w:p>
    <w:p w14:paraId="2FD6D8AE" w14:textId="3128A105" w:rsidR="009B1AA9" w:rsidRPr="0023146D" w:rsidRDefault="00C002ED" w:rsidP="00F50DAD">
      <w:pPr>
        <w:pStyle w:val="FooterTableFigure"/>
        <w:spacing w:after="0"/>
      </w:pPr>
      <w:r w:rsidRPr="0023146D">
        <w:t xml:space="preserve">BID = twice daily; </w:t>
      </w:r>
      <w:r w:rsidR="009B1AA9" w:rsidRPr="0023146D">
        <w:t xml:space="preserve">CMV = cytomegalovirus; </w:t>
      </w:r>
      <w:r w:rsidR="00236CC0" w:rsidRPr="0023146D">
        <w:t xml:space="preserve">DUSC = Drug Utilisation Sub Committee; </w:t>
      </w:r>
      <w:r w:rsidR="009B1AA9" w:rsidRPr="0023146D">
        <w:t>HSCT = haematopoietic stem cell transplant;</w:t>
      </w:r>
      <w:r w:rsidR="009B1AA9" w:rsidRPr="0023146D">
        <w:rPr>
          <w:szCs w:val="18"/>
        </w:rPr>
        <w:t xml:space="preserve"> PBAC = Pharmaceutical Benefits Advisory Committee; PSD = public summary document;</w:t>
      </w:r>
      <w:r w:rsidR="009B1AA9" w:rsidRPr="0023146D">
        <w:t xml:space="preserve"> SoC = standard of care;</w:t>
      </w:r>
      <w:r w:rsidR="00F33276" w:rsidRPr="0023146D">
        <w:t xml:space="preserve"> SOT = solid organ transplant;</w:t>
      </w:r>
      <w:r w:rsidR="009B1AA9" w:rsidRPr="0023146D">
        <w:t xml:space="preserve"> Yr =year</w:t>
      </w:r>
    </w:p>
    <w:p w14:paraId="1AD835AD" w14:textId="77777777" w:rsidR="0013187B" w:rsidRPr="0023146D" w:rsidRDefault="0013187B" w:rsidP="0013187B">
      <w:pPr>
        <w:pStyle w:val="FooterTableFigure"/>
        <w:rPr>
          <w:sz w:val="16"/>
          <w:szCs w:val="20"/>
        </w:rPr>
      </w:pPr>
      <w:r w:rsidRPr="0023146D">
        <w:rPr>
          <w:szCs w:val="20"/>
        </w:rPr>
        <w:t>Data in blue-shade are those previously seen by the PBAC.</w:t>
      </w:r>
    </w:p>
    <w:p w14:paraId="01B0CEF7" w14:textId="5CA5C921" w:rsidR="003A2017" w:rsidRPr="00F57F1D" w:rsidRDefault="00DC7970" w:rsidP="00732F7D">
      <w:pPr>
        <w:pStyle w:val="3-BodyText"/>
      </w:pPr>
      <w:r w:rsidRPr="00F57F1D">
        <w:t>T</w:t>
      </w:r>
      <w:r w:rsidR="00615667" w:rsidRPr="00F57F1D">
        <w:t xml:space="preserve">he </w:t>
      </w:r>
      <w:r w:rsidR="006B02AA">
        <w:t xml:space="preserve">PBAC considered the </w:t>
      </w:r>
      <w:r w:rsidR="00276171" w:rsidRPr="00F57F1D">
        <w:t xml:space="preserve">assumed </w:t>
      </w:r>
      <w:r w:rsidR="00615667" w:rsidRPr="00F57F1D">
        <w:t xml:space="preserve">7.5 </w:t>
      </w:r>
      <w:r w:rsidR="00276171" w:rsidRPr="00F57F1D">
        <w:t xml:space="preserve">weeks of treatment </w:t>
      </w:r>
      <w:r w:rsidR="009941F0" w:rsidRPr="00F57F1D">
        <w:t>may not reflect clinical practice</w:t>
      </w:r>
      <w:r w:rsidR="00276171" w:rsidRPr="00F57F1D">
        <w:t>;</w:t>
      </w:r>
      <w:r w:rsidR="008F0FE2" w:rsidRPr="00F57F1D">
        <w:t xml:space="preserve"> </w:t>
      </w:r>
      <w:r w:rsidR="006B02AA">
        <w:t xml:space="preserve">although </w:t>
      </w:r>
      <w:r w:rsidR="00276171" w:rsidRPr="00F57F1D">
        <w:t>s</w:t>
      </w:r>
      <w:r w:rsidR="009941F0" w:rsidRPr="00F57F1D">
        <w:t xml:space="preserve">ome patients </w:t>
      </w:r>
      <w:r w:rsidR="00134EA8" w:rsidRPr="00F57F1D">
        <w:t>may</w:t>
      </w:r>
      <w:r w:rsidR="009941F0" w:rsidRPr="00F57F1D">
        <w:t xml:space="preserve"> require longer treatment</w:t>
      </w:r>
      <w:r w:rsidR="00985FE9" w:rsidRPr="00F57F1D">
        <w:t>,</w:t>
      </w:r>
      <w:r w:rsidR="00D00473" w:rsidRPr="00F57F1D">
        <w:t xml:space="preserve"> </w:t>
      </w:r>
      <w:r w:rsidR="006B02AA">
        <w:t>clinical experience with maribavir (as per the sponsor hearing) suggests that patients are likely to be monitored closely and treated until clearance, resulting in shorter durations than in SOLSTICE for many patients. In addition, the actual duration of treatment in SOLSTICE was 6.91 weeks when compliance was accounted for. W</w:t>
      </w:r>
      <w:r w:rsidR="00570B52" w:rsidRPr="00F57F1D">
        <w:t xml:space="preserve">hile </w:t>
      </w:r>
      <w:r w:rsidR="006B02AA">
        <w:t>patients</w:t>
      </w:r>
      <w:r w:rsidR="006B02AA" w:rsidRPr="00F57F1D">
        <w:t xml:space="preserve"> </w:t>
      </w:r>
      <w:r w:rsidR="00D00473" w:rsidRPr="00F57F1D">
        <w:t xml:space="preserve">may </w:t>
      </w:r>
      <w:r w:rsidR="00A6300C" w:rsidRPr="00F57F1D">
        <w:t>need</w:t>
      </w:r>
      <w:r w:rsidR="00D00473" w:rsidRPr="00F57F1D">
        <w:t xml:space="preserve"> retreatment for recurrence</w:t>
      </w:r>
      <w:r w:rsidR="006B02AA">
        <w:t>, this was not accounted for in the financial estimates or in the economic model</w:t>
      </w:r>
      <w:r w:rsidR="009941F0" w:rsidRPr="00F57F1D">
        <w:t>.</w:t>
      </w:r>
    </w:p>
    <w:p w14:paraId="312FC42E" w14:textId="641B9BA2" w:rsidR="005E0EF4" w:rsidRPr="00F57F1D" w:rsidRDefault="005E0EF4" w:rsidP="005E0EF4">
      <w:pPr>
        <w:pStyle w:val="3-BodyText"/>
        <w:rPr>
          <w:iCs/>
        </w:rPr>
      </w:pPr>
      <w:r w:rsidRPr="0023146D">
        <w:lastRenderedPageBreak/>
        <w:t xml:space="preserve">The resubmission did not present an estimation of changes in use and the financial impact of other medicines. While the resubmission noted the PBAC’s recent recommendation </w:t>
      </w:r>
      <w:r w:rsidR="00F8454F" w:rsidRPr="0023146D">
        <w:t xml:space="preserve">for </w:t>
      </w:r>
      <w:r w:rsidRPr="0023146D">
        <w:t xml:space="preserve">valganciclovir and ganciclovir for the same restriction requested in the resubmission </w:t>
      </w:r>
      <w:r w:rsidR="00316BED" w:rsidRPr="0023146D">
        <w:rPr>
          <w:lang w:val="en-GB" w:eastAsia="en-US"/>
        </w:rPr>
        <w:t>(page 53, March 2024 PBAC meeting outcome)</w:t>
      </w:r>
      <w:r w:rsidRPr="0023146D">
        <w:t xml:space="preserve">, it stated that the changes to the PBS listing had not yet occurred making it challenging to determine the impact of maribavir on these medicines. </w:t>
      </w:r>
      <w:r w:rsidRPr="00F57F1D">
        <w:rPr>
          <w:iCs/>
        </w:rPr>
        <w:t xml:space="preserve">The potential </w:t>
      </w:r>
      <w:r w:rsidR="006B02AA">
        <w:rPr>
          <w:iCs/>
        </w:rPr>
        <w:t xml:space="preserve">reduction in </w:t>
      </w:r>
      <w:r w:rsidRPr="00F57F1D">
        <w:rPr>
          <w:iCs/>
        </w:rPr>
        <w:t xml:space="preserve">use of valganciclovir and ganciclovir </w:t>
      </w:r>
      <w:r w:rsidR="006B02AA">
        <w:rPr>
          <w:iCs/>
        </w:rPr>
        <w:t>resulting from the listing of</w:t>
      </w:r>
      <w:r w:rsidRPr="00F57F1D">
        <w:rPr>
          <w:iCs/>
        </w:rPr>
        <w:t xml:space="preserve"> maribavir may lead to an overestimated net cost to </w:t>
      </w:r>
      <w:r w:rsidR="00C47734" w:rsidRPr="00F57F1D">
        <w:rPr>
          <w:iCs/>
        </w:rPr>
        <w:t xml:space="preserve">the </w:t>
      </w:r>
      <w:r w:rsidRPr="00F57F1D">
        <w:rPr>
          <w:iCs/>
        </w:rPr>
        <w:t xml:space="preserve">PBS for maribavir. However, this impact is likely minimal due to the </w:t>
      </w:r>
      <w:r w:rsidR="006B02AA">
        <w:rPr>
          <w:iCs/>
        </w:rPr>
        <w:t>comparatively</w:t>
      </w:r>
      <w:r w:rsidRPr="00F57F1D">
        <w:rPr>
          <w:iCs/>
        </w:rPr>
        <w:t xml:space="preserve"> low cost of these medicines on the PBS.</w:t>
      </w:r>
      <w:r w:rsidR="006B02AA">
        <w:rPr>
          <w:iCs/>
        </w:rPr>
        <w:t xml:space="preserve"> </w:t>
      </w:r>
    </w:p>
    <w:p w14:paraId="4345130E" w14:textId="4995BE1D" w:rsidR="009B1AA9" w:rsidRPr="00F57F1D" w:rsidRDefault="009B1AA9" w:rsidP="00732F7D">
      <w:pPr>
        <w:pStyle w:val="3-BodyText"/>
        <w:rPr>
          <w:iCs/>
        </w:rPr>
      </w:pPr>
      <w:r w:rsidRPr="00F57F1D">
        <w:rPr>
          <w:iCs/>
        </w:rPr>
        <w:t xml:space="preserve">The use of foscarnet is likely to decrease with the listing of maribavir, reducing the need for </w:t>
      </w:r>
      <w:r w:rsidR="00593E51" w:rsidRPr="00F57F1D">
        <w:rPr>
          <w:iCs/>
        </w:rPr>
        <w:t xml:space="preserve">infusion </w:t>
      </w:r>
      <w:r w:rsidRPr="00F57F1D">
        <w:rPr>
          <w:iCs/>
        </w:rPr>
        <w:t>drug administration (</w:t>
      </w:r>
      <w:r w:rsidR="00593E51" w:rsidRPr="00F57F1D">
        <w:rPr>
          <w:iCs/>
        </w:rPr>
        <w:t>Medicare Benefits Sche</w:t>
      </w:r>
      <w:r w:rsidR="00F8454F" w:rsidRPr="00F57F1D">
        <w:rPr>
          <w:iCs/>
        </w:rPr>
        <w:t>dule</w:t>
      </w:r>
      <w:r w:rsidR="00593E51" w:rsidRPr="00F57F1D">
        <w:rPr>
          <w:iCs/>
        </w:rPr>
        <w:t xml:space="preserve">; </w:t>
      </w:r>
      <w:r w:rsidRPr="00F57F1D">
        <w:rPr>
          <w:iCs/>
        </w:rPr>
        <w:t>MBS item 13950). Th</w:t>
      </w:r>
      <w:r w:rsidR="00F8454F" w:rsidRPr="00F57F1D">
        <w:rPr>
          <w:iCs/>
        </w:rPr>
        <w:t>e financial implications of th</w:t>
      </w:r>
      <w:r w:rsidRPr="00F57F1D">
        <w:rPr>
          <w:iCs/>
        </w:rPr>
        <w:t>is reduction w</w:t>
      </w:r>
      <w:r w:rsidR="00F8454F" w:rsidRPr="00F57F1D">
        <w:rPr>
          <w:iCs/>
        </w:rPr>
        <w:t>ere</w:t>
      </w:r>
      <w:r w:rsidRPr="00F57F1D">
        <w:rPr>
          <w:iCs/>
        </w:rPr>
        <w:t xml:space="preserve"> not estimated in the resubmission.</w:t>
      </w:r>
    </w:p>
    <w:p w14:paraId="385CE782" w14:textId="2CAF716A" w:rsidR="009B1AA9" w:rsidRPr="0023146D" w:rsidRDefault="005B7E82" w:rsidP="00732F7D">
      <w:pPr>
        <w:pStyle w:val="3-BodyText"/>
      </w:pPr>
      <w:r w:rsidRPr="0023146D">
        <w:t xml:space="preserve">A summary </w:t>
      </w:r>
      <w:r w:rsidR="007272B5" w:rsidRPr="0023146D">
        <w:t>of the e</w:t>
      </w:r>
      <w:r w:rsidRPr="0023146D">
        <w:t>stimated use and financial implications</w:t>
      </w:r>
      <w:r w:rsidR="007272B5" w:rsidRPr="0023146D">
        <w:t xml:space="preserve"> is presented in </w:t>
      </w:r>
      <w:r w:rsidR="007272B5" w:rsidRPr="0023146D">
        <w:fldChar w:fldCharType="begin" w:fldLock="1"/>
      </w:r>
      <w:r w:rsidR="007272B5" w:rsidRPr="0023146D">
        <w:instrText xml:space="preserve"> REF _Ref104805295 \h </w:instrText>
      </w:r>
      <w:r w:rsidR="007272B5" w:rsidRPr="0023146D">
        <w:fldChar w:fldCharType="separate"/>
      </w:r>
      <w:r w:rsidR="008854AA" w:rsidRPr="0023146D">
        <w:t xml:space="preserve">Table </w:t>
      </w:r>
      <w:r w:rsidR="008854AA">
        <w:rPr>
          <w:noProof/>
        </w:rPr>
        <w:t>14</w:t>
      </w:r>
      <w:r w:rsidR="007272B5" w:rsidRPr="0023146D">
        <w:fldChar w:fldCharType="end"/>
      </w:r>
      <w:r w:rsidR="007272B5" w:rsidRPr="0023146D">
        <w:t>.</w:t>
      </w:r>
    </w:p>
    <w:p w14:paraId="204A4714" w14:textId="6292AFC0" w:rsidR="00732F7D" w:rsidRPr="0023146D" w:rsidRDefault="00732F7D" w:rsidP="00591B0D">
      <w:pPr>
        <w:pStyle w:val="Caption"/>
        <w:spacing w:before="120"/>
      </w:pPr>
      <w:bookmarkStart w:id="66" w:name="_Ref104805295"/>
      <w:r w:rsidRPr="0023146D">
        <w:t xml:space="preserve">Table </w:t>
      </w:r>
      <w:r w:rsidR="008A7014">
        <w:fldChar w:fldCharType="begin" w:fldLock="1"/>
      </w:r>
      <w:r w:rsidR="008A7014">
        <w:instrText xml:space="preserve"> SEQ Table \* ARABIC </w:instrText>
      </w:r>
      <w:r w:rsidR="008A7014">
        <w:fldChar w:fldCharType="separate"/>
      </w:r>
      <w:r w:rsidR="008854AA">
        <w:rPr>
          <w:noProof/>
        </w:rPr>
        <w:t>14</w:t>
      </w:r>
      <w:r w:rsidR="008A7014">
        <w:rPr>
          <w:noProof/>
        </w:rPr>
        <w:fldChar w:fldCharType="end"/>
      </w:r>
      <w:bookmarkEnd w:id="66"/>
      <w:r w:rsidRPr="0023146D">
        <w:t>:</w:t>
      </w:r>
      <w:r w:rsidRPr="0023146D">
        <w:rPr>
          <w:rStyle w:val="CommentReference"/>
          <w:b/>
          <w:szCs w:val="24"/>
        </w:rPr>
        <w:t xml:space="preserve">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4: Estimated use and financial implications"/>
        <w:tblDescription w:val="Table 14: Estimated use and financial implications"/>
      </w:tblPr>
      <w:tblGrid>
        <w:gridCol w:w="2545"/>
        <w:gridCol w:w="1136"/>
        <w:gridCol w:w="992"/>
        <w:gridCol w:w="1134"/>
        <w:gridCol w:w="992"/>
        <w:gridCol w:w="1134"/>
        <w:gridCol w:w="1084"/>
      </w:tblGrid>
      <w:tr w:rsidR="00BD1DC2" w:rsidRPr="0023146D" w14:paraId="71059B0E" w14:textId="77777777" w:rsidTr="00BD1DC2">
        <w:trPr>
          <w:tblHeader/>
        </w:trPr>
        <w:tc>
          <w:tcPr>
            <w:tcW w:w="1411" w:type="pct"/>
            <w:shd w:val="clear" w:color="auto" w:fill="auto"/>
            <w:vAlign w:val="center"/>
          </w:tcPr>
          <w:p w14:paraId="5C958BAD" w14:textId="77777777" w:rsidR="00732F7D" w:rsidRPr="0023146D" w:rsidRDefault="00732F7D" w:rsidP="00F57F1D">
            <w:pPr>
              <w:pStyle w:val="In-tableHeading"/>
            </w:pPr>
          </w:p>
        </w:tc>
        <w:tc>
          <w:tcPr>
            <w:tcW w:w="630" w:type="pct"/>
            <w:shd w:val="clear" w:color="auto" w:fill="auto"/>
            <w:vAlign w:val="center"/>
          </w:tcPr>
          <w:p w14:paraId="701C5BA3" w14:textId="77777777" w:rsidR="00732F7D" w:rsidRPr="0023146D" w:rsidRDefault="00732F7D" w:rsidP="00B57303">
            <w:pPr>
              <w:pStyle w:val="In-tableHeading"/>
              <w:jc w:val="center"/>
            </w:pPr>
            <w:r w:rsidRPr="0023146D">
              <w:t>Year 1</w:t>
            </w:r>
          </w:p>
        </w:tc>
        <w:tc>
          <w:tcPr>
            <w:tcW w:w="550" w:type="pct"/>
            <w:shd w:val="clear" w:color="auto" w:fill="auto"/>
            <w:vAlign w:val="center"/>
          </w:tcPr>
          <w:p w14:paraId="0AF47CB8" w14:textId="77777777" w:rsidR="00732F7D" w:rsidRPr="0023146D" w:rsidRDefault="00732F7D" w:rsidP="00B57303">
            <w:pPr>
              <w:pStyle w:val="In-tableHeading"/>
              <w:jc w:val="center"/>
            </w:pPr>
            <w:r w:rsidRPr="0023146D">
              <w:t>Year 2</w:t>
            </w:r>
          </w:p>
        </w:tc>
        <w:tc>
          <w:tcPr>
            <w:tcW w:w="629" w:type="pct"/>
            <w:shd w:val="clear" w:color="auto" w:fill="auto"/>
            <w:vAlign w:val="center"/>
          </w:tcPr>
          <w:p w14:paraId="60616619" w14:textId="77777777" w:rsidR="00732F7D" w:rsidRPr="0023146D" w:rsidRDefault="00732F7D" w:rsidP="00B57303">
            <w:pPr>
              <w:pStyle w:val="In-tableHeading"/>
              <w:jc w:val="center"/>
            </w:pPr>
            <w:r w:rsidRPr="0023146D">
              <w:t>Year 3</w:t>
            </w:r>
          </w:p>
        </w:tc>
        <w:tc>
          <w:tcPr>
            <w:tcW w:w="550" w:type="pct"/>
            <w:shd w:val="clear" w:color="auto" w:fill="auto"/>
            <w:vAlign w:val="center"/>
          </w:tcPr>
          <w:p w14:paraId="1396C352" w14:textId="77777777" w:rsidR="00732F7D" w:rsidRPr="0023146D" w:rsidRDefault="00732F7D" w:rsidP="00B57303">
            <w:pPr>
              <w:pStyle w:val="In-tableHeading"/>
              <w:jc w:val="center"/>
            </w:pPr>
            <w:r w:rsidRPr="0023146D">
              <w:t>Year 4</w:t>
            </w:r>
          </w:p>
        </w:tc>
        <w:tc>
          <w:tcPr>
            <w:tcW w:w="629" w:type="pct"/>
            <w:shd w:val="clear" w:color="auto" w:fill="auto"/>
            <w:vAlign w:val="center"/>
          </w:tcPr>
          <w:p w14:paraId="19CFEC65" w14:textId="77777777" w:rsidR="00732F7D" w:rsidRPr="0023146D" w:rsidRDefault="00732F7D" w:rsidP="00B57303">
            <w:pPr>
              <w:pStyle w:val="In-tableHeading"/>
              <w:jc w:val="center"/>
            </w:pPr>
            <w:r w:rsidRPr="0023146D">
              <w:t>Year 5</w:t>
            </w:r>
          </w:p>
        </w:tc>
        <w:tc>
          <w:tcPr>
            <w:tcW w:w="601" w:type="pct"/>
            <w:vAlign w:val="center"/>
          </w:tcPr>
          <w:p w14:paraId="58AC9CBB" w14:textId="77777777" w:rsidR="00732F7D" w:rsidRPr="0023146D" w:rsidRDefault="00732F7D" w:rsidP="00B57303">
            <w:pPr>
              <w:pStyle w:val="In-tableHeading"/>
              <w:jc w:val="center"/>
            </w:pPr>
            <w:r w:rsidRPr="0023146D">
              <w:t>Year 6</w:t>
            </w:r>
          </w:p>
        </w:tc>
      </w:tr>
      <w:tr w:rsidR="00732F7D" w:rsidRPr="0023146D" w14:paraId="3236DB2E" w14:textId="77777777" w:rsidTr="006B02AA">
        <w:tc>
          <w:tcPr>
            <w:tcW w:w="5000" w:type="pct"/>
            <w:gridSpan w:val="7"/>
            <w:shd w:val="clear" w:color="auto" w:fill="auto"/>
            <w:vAlign w:val="center"/>
          </w:tcPr>
          <w:p w14:paraId="7F1A6237" w14:textId="77777777" w:rsidR="00732F7D" w:rsidRPr="0023146D" w:rsidRDefault="00732F7D" w:rsidP="00F57F1D">
            <w:pPr>
              <w:pStyle w:val="In-tableHeading"/>
            </w:pPr>
            <w:r w:rsidRPr="0023146D">
              <w:t>Estimated extent of use</w:t>
            </w:r>
          </w:p>
        </w:tc>
      </w:tr>
      <w:tr w:rsidR="00BD1DC2" w:rsidRPr="0023146D" w14:paraId="53401D1D" w14:textId="77777777" w:rsidTr="00BD1DC2">
        <w:tc>
          <w:tcPr>
            <w:tcW w:w="1411" w:type="pct"/>
            <w:shd w:val="clear" w:color="auto" w:fill="auto"/>
            <w:vAlign w:val="center"/>
          </w:tcPr>
          <w:p w14:paraId="7D834FA5" w14:textId="77777777" w:rsidR="00732F7D" w:rsidRPr="0023146D" w:rsidRDefault="00732F7D">
            <w:pPr>
              <w:pStyle w:val="TableText0"/>
              <w:rPr>
                <w:rFonts w:ascii="Times" w:hAnsi="Times"/>
              </w:rPr>
            </w:pPr>
            <w:r w:rsidRPr="0023146D">
              <w:t>Number of patients treated</w:t>
            </w:r>
          </w:p>
        </w:tc>
        <w:tc>
          <w:tcPr>
            <w:tcW w:w="630" w:type="pct"/>
            <w:shd w:val="clear" w:color="auto" w:fill="auto"/>
          </w:tcPr>
          <w:p w14:paraId="31936846" w14:textId="4EE5B031" w:rsidR="00732F7D" w:rsidRPr="006B3C65" w:rsidRDefault="007548FA" w:rsidP="00320249">
            <w:pPr>
              <w:pStyle w:val="TableText0"/>
              <w:jc w:val="center"/>
              <w:rPr>
                <w:highlight w:val="darkGray"/>
              </w:rPr>
            </w:pPr>
            <w:r w:rsidRPr="003B6666">
              <w:rPr>
                <w:rFonts w:hint="eastAsia"/>
                <w:color w:val="000000"/>
                <w:w w:val="15"/>
                <w:shd w:val="solid" w:color="000000" w:fill="000000"/>
                <w:fitText w:val="40" w:id="-760538112"/>
                <w14:textFill>
                  <w14:solidFill>
                    <w14:srgbClr w14:val="000000">
                      <w14:alpha w14:val="100000"/>
                    </w14:srgbClr>
                  </w14:solidFill>
                </w14:textFill>
              </w:rPr>
              <w:t xml:space="preserve">　</w:t>
            </w:r>
            <w:r w:rsidRPr="003B6666">
              <w:rPr>
                <w:color w:val="000000"/>
                <w:w w:val="15"/>
                <w:shd w:val="solid" w:color="000000" w:fill="000000"/>
                <w:fitText w:val="40" w:id="-760538112"/>
                <w14:textFill>
                  <w14:solidFill>
                    <w14:srgbClr w14:val="000000">
                      <w14:alpha w14:val="100000"/>
                    </w14:srgbClr>
                  </w14:solidFill>
                </w14:textFill>
              </w:rPr>
              <w:t>|</w:t>
            </w:r>
            <w:r w:rsidRPr="003B6666">
              <w:rPr>
                <w:rFonts w:hint="eastAsia"/>
                <w:color w:val="000000"/>
                <w:spacing w:val="-25"/>
                <w:w w:val="15"/>
                <w:shd w:val="solid" w:color="000000" w:fill="000000"/>
                <w:fitText w:val="40" w:id="-760538112"/>
                <w14:textFill>
                  <w14:solidFill>
                    <w14:srgbClr w14:val="000000">
                      <w14:alpha w14:val="100000"/>
                    </w14:srgbClr>
                  </w14:solidFill>
                </w14:textFill>
              </w:rPr>
              <w:t xml:space="preserve">　</w:t>
            </w:r>
            <w:r w:rsidR="002C63DC" w:rsidRPr="002C63DC">
              <w:rPr>
                <w:vertAlign w:val="superscript"/>
              </w:rPr>
              <w:t>1</w:t>
            </w:r>
          </w:p>
        </w:tc>
        <w:tc>
          <w:tcPr>
            <w:tcW w:w="550" w:type="pct"/>
            <w:shd w:val="clear" w:color="auto" w:fill="auto"/>
          </w:tcPr>
          <w:p w14:paraId="7F141EAA" w14:textId="5FF8002B" w:rsidR="00732F7D" w:rsidRPr="006B3C65" w:rsidRDefault="007548FA" w:rsidP="00320249">
            <w:pPr>
              <w:pStyle w:val="TableText0"/>
              <w:jc w:val="center"/>
              <w:rPr>
                <w:highlight w:val="darkGray"/>
              </w:rPr>
            </w:pPr>
            <w:r w:rsidRPr="003B6666">
              <w:rPr>
                <w:rFonts w:hint="eastAsia"/>
                <w:color w:val="000000"/>
                <w:w w:val="15"/>
                <w:shd w:val="solid" w:color="000000" w:fill="000000"/>
                <w:fitText w:val="40" w:id="-760538111"/>
                <w14:textFill>
                  <w14:solidFill>
                    <w14:srgbClr w14:val="000000">
                      <w14:alpha w14:val="100000"/>
                    </w14:srgbClr>
                  </w14:solidFill>
                </w14:textFill>
              </w:rPr>
              <w:t xml:space="preserve">　</w:t>
            </w:r>
            <w:r w:rsidRPr="003B6666">
              <w:rPr>
                <w:color w:val="000000"/>
                <w:w w:val="15"/>
                <w:shd w:val="solid" w:color="000000" w:fill="000000"/>
                <w:fitText w:val="40" w:id="-760538111"/>
                <w14:textFill>
                  <w14:solidFill>
                    <w14:srgbClr w14:val="000000">
                      <w14:alpha w14:val="100000"/>
                    </w14:srgbClr>
                  </w14:solidFill>
                </w14:textFill>
              </w:rPr>
              <w:t>|</w:t>
            </w:r>
            <w:r w:rsidRPr="003B6666">
              <w:rPr>
                <w:rFonts w:hint="eastAsia"/>
                <w:color w:val="000000"/>
                <w:spacing w:val="-25"/>
                <w:w w:val="15"/>
                <w:shd w:val="solid" w:color="000000" w:fill="000000"/>
                <w:fitText w:val="40" w:id="-760538111"/>
                <w14:textFill>
                  <w14:solidFill>
                    <w14:srgbClr w14:val="000000">
                      <w14:alpha w14:val="100000"/>
                    </w14:srgbClr>
                  </w14:solidFill>
                </w14:textFill>
              </w:rPr>
              <w:t xml:space="preserve">　</w:t>
            </w:r>
            <w:r w:rsidR="002C63DC" w:rsidRPr="002C63DC">
              <w:rPr>
                <w:vertAlign w:val="superscript"/>
              </w:rPr>
              <w:t>1</w:t>
            </w:r>
          </w:p>
        </w:tc>
        <w:tc>
          <w:tcPr>
            <w:tcW w:w="629" w:type="pct"/>
            <w:shd w:val="clear" w:color="auto" w:fill="auto"/>
          </w:tcPr>
          <w:p w14:paraId="41E96CC6" w14:textId="2A18D281" w:rsidR="00732F7D" w:rsidRPr="006B3C65" w:rsidRDefault="007548FA" w:rsidP="00320249">
            <w:pPr>
              <w:pStyle w:val="TableText0"/>
              <w:jc w:val="center"/>
              <w:rPr>
                <w:highlight w:val="darkGray"/>
              </w:rPr>
            </w:pPr>
            <w:r w:rsidRPr="003B6666">
              <w:rPr>
                <w:rFonts w:hint="eastAsia"/>
                <w:color w:val="000000"/>
                <w:w w:val="15"/>
                <w:shd w:val="solid" w:color="000000" w:fill="000000"/>
                <w:fitText w:val="40" w:id="-760537856"/>
                <w14:textFill>
                  <w14:solidFill>
                    <w14:srgbClr w14:val="000000">
                      <w14:alpha w14:val="100000"/>
                    </w14:srgbClr>
                  </w14:solidFill>
                </w14:textFill>
              </w:rPr>
              <w:t xml:space="preserve">　</w:t>
            </w:r>
            <w:r w:rsidRPr="003B6666">
              <w:rPr>
                <w:color w:val="000000"/>
                <w:w w:val="15"/>
                <w:shd w:val="solid" w:color="000000" w:fill="000000"/>
                <w:fitText w:val="40" w:id="-760537856"/>
                <w14:textFill>
                  <w14:solidFill>
                    <w14:srgbClr w14:val="000000">
                      <w14:alpha w14:val="100000"/>
                    </w14:srgbClr>
                  </w14:solidFill>
                </w14:textFill>
              </w:rPr>
              <w:t>|</w:t>
            </w:r>
            <w:r w:rsidRPr="003B6666">
              <w:rPr>
                <w:rFonts w:hint="eastAsia"/>
                <w:color w:val="000000"/>
                <w:spacing w:val="-25"/>
                <w:w w:val="15"/>
                <w:shd w:val="solid" w:color="000000" w:fill="000000"/>
                <w:fitText w:val="40" w:id="-760537856"/>
                <w14:textFill>
                  <w14:solidFill>
                    <w14:srgbClr w14:val="000000">
                      <w14:alpha w14:val="100000"/>
                    </w14:srgbClr>
                  </w14:solidFill>
                </w14:textFill>
              </w:rPr>
              <w:t xml:space="preserve">　</w:t>
            </w:r>
            <w:r w:rsidR="002C63DC" w:rsidRPr="002C63DC">
              <w:rPr>
                <w:vertAlign w:val="superscript"/>
              </w:rPr>
              <w:t>1</w:t>
            </w:r>
          </w:p>
        </w:tc>
        <w:tc>
          <w:tcPr>
            <w:tcW w:w="550" w:type="pct"/>
            <w:shd w:val="clear" w:color="auto" w:fill="auto"/>
          </w:tcPr>
          <w:p w14:paraId="32FEBC13" w14:textId="493B32F6" w:rsidR="00732F7D" w:rsidRPr="006B3C65" w:rsidRDefault="007548FA" w:rsidP="00320249">
            <w:pPr>
              <w:pStyle w:val="TableText0"/>
              <w:jc w:val="center"/>
              <w:rPr>
                <w:highlight w:val="darkGray"/>
              </w:rPr>
            </w:pPr>
            <w:r w:rsidRPr="003B6666">
              <w:rPr>
                <w:rFonts w:hint="eastAsia"/>
                <w:color w:val="000000"/>
                <w:w w:val="15"/>
                <w:shd w:val="solid" w:color="000000" w:fill="000000"/>
                <w:fitText w:val="40" w:id="-760537855"/>
                <w14:textFill>
                  <w14:solidFill>
                    <w14:srgbClr w14:val="000000">
                      <w14:alpha w14:val="100000"/>
                    </w14:srgbClr>
                  </w14:solidFill>
                </w14:textFill>
              </w:rPr>
              <w:t xml:space="preserve">　</w:t>
            </w:r>
            <w:r w:rsidRPr="003B6666">
              <w:rPr>
                <w:color w:val="000000"/>
                <w:w w:val="15"/>
                <w:shd w:val="solid" w:color="000000" w:fill="000000"/>
                <w:fitText w:val="40" w:id="-760537855"/>
                <w14:textFill>
                  <w14:solidFill>
                    <w14:srgbClr w14:val="000000">
                      <w14:alpha w14:val="100000"/>
                    </w14:srgbClr>
                  </w14:solidFill>
                </w14:textFill>
              </w:rPr>
              <w:t>|</w:t>
            </w:r>
            <w:r w:rsidRPr="003B6666">
              <w:rPr>
                <w:rFonts w:hint="eastAsia"/>
                <w:color w:val="000000"/>
                <w:spacing w:val="-25"/>
                <w:w w:val="15"/>
                <w:shd w:val="solid" w:color="000000" w:fill="000000"/>
                <w:fitText w:val="40" w:id="-760537855"/>
                <w14:textFill>
                  <w14:solidFill>
                    <w14:srgbClr w14:val="000000">
                      <w14:alpha w14:val="100000"/>
                    </w14:srgbClr>
                  </w14:solidFill>
                </w14:textFill>
              </w:rPr>
              <w:t xml:space="preserve">　</w:t>
            </w:r>
            <w:r w:rsidR="002C63DC" w:rsidRPr="002C63DC">
              <w:rPr>
                <w:vertAlign w:val="superscript"/>
              </w:rPr>
              <w:t>1</w:t>
            </w:r>
          </w:p>
        </w:tc>
        <w:tc>
          <w:tcPr>
            <w:tcW w:w="629" w:type="pct"/>
            <w:shd w:val="clear" w:color="auto" w:fill="auto"/>
          </w:tcPr>
          <w:p w14:paraId="7181FE10" w14:textId="3F80F3ED" w:rsidR="00732F7D" w:rsidRPr="006B3C65" w:rsidRDefault="007548FA" w:rsidP="00320249">
            <w:pPr>
              <w:pStyle w:val="TableText0"/>
              <w:jc w:val="center"/>
              <w:rPr>
                <w:highlight w:val="darkGray"/>
              </w:rPr>
            </w:pPr>
            <w:r w:rsidRPr="003B6666">
              <w:rPr>
                <w:rFonts w:hint="eastAsia"/>
                <w:color w:val="000000"/>
                <w:w w:val="15"/>
                <w:shd w:val="solid" w:color="000000" w:fill="000000"/>
                <w:fitText w:val="40" w:id="-760537854"/>
                <w14:textFill>
                  <w14:solidFill>
                    <w14:srgbClr w14:val="000000">
                      <w14:alpha w14:val="100000"/>
                    </w14:srgbClr>
                  </w14:solidFill>
                </w14:textFill>
              </w:rPr>
              <w:t xml:space="preserve">　</w:t>
            </w:r>
            <w:r w:rsidRPr="003B6666">
              <w:rPr>
                <w:color w:val="000000"/>
                <w:w w:val="15"/>
                <w:shd w:val="solid" w:color="000000" w:fill="000000"/>
                <w:fitText w:val="40" w:id="-760537854"/>
                <w14:textFill>
                  <w14:solidFill>
                    <w14:srgbClr w14:val="000000">
                      <w14:alpha w14:val="100000"/>
                    </w14:srgbClr>
                  </w14:solidFill>
                </w14:textFill>
              </w:rPr>
              <w:t>|</w:t>
            </w:r>
            <w:r w:rsidRPr="003B6666">
              <w:rPr>
                <w:rFonts w:hint="eastAsia"/>
                <w:color w:val="000000"/>
                <w:spacing w:val="-25"/>
                <w:w w:val="15"/>
                <w:shd w:val="solid" w:color="000000" w:fill="000000"/>
                <w:fitText w:val="40" w:id="-760537854"/>
                <w14:textFill>
                  <w14:solidFill>
                    <w14:srgbClr w14:val="000000">
                      <w14:alpha w14:val="100000"/>
                    </w14:srgbClr>
                  </w14:solidFill>
                </w14:textFill>
              </w:rPr>
              <w:t xml:space="preserve">　</w:t>
            </w:r>
            <w:r w:rsidR="002C63DC" w:rsidRPr="002C63DC">
              <w:rPr>
                <w:vertAlign w:val="superscript"/>
              </w:rPr>
              <w:t>1</w:t>
            </w:r>
          </w:p>
        </w:tc>
        <w:tc>
          <w:tcPr>
            <w:tcW w:w="601" w:type="pct"/>
          </w:tcPr>
          <w:p w14:paraId="22FCB1DC" w14:textId="1968B82B" w:rsidR="00732F7D" w:rsidRPr="006B3C65" w:rsidRDefault="007548FA" w:rsidP="00320249">
            <w:pPr>
              <w:pStyle w:val="TableText0"/>
              <w:jc w:val="center"/>
              <w:rPr>
                <w:highlight w:val="darkGray"/>
              </w:rPr>
            </w:pPr>
            <w:r w:rsidRPr="003B6666">
              <w:rPr>
                <w:rFonts w:hint="eastAsia"/>
                <w:color w:val="000000"/>
                <w:w w:val="15"/>
                <w:shd w:val="solid" w:color="000000" w:fill="000000"/>
                <w:fitText w:val="54" w:id="-760537853"/>
                <w14:textFill>
                  <w14:solidFill>
                    <w14:srgbClr w14:val="000000">
                      <w14:alpha w14:val="100000"/>
                    </w14:srgbClr>
                  </w14:solidFill>
                </w14:textFill>
              </w:rPr>
              <w:t xml:space="preserve">　</w:t>
            </w:r>
            <w:r w:rsidRPr="003B6666">
              <w:rPr>
                <w:color w:val="000000"/>
                <w:w w:val="15"/>
                <w:shd w:val="solid" w:color="000000" w:fill="000000"/>
                <w:fitText w:val="54" w:id="-760537853"/>
                <w14:textFill>
                  <w14:solidFill>
                    <w14:srgbClr w14:val="000000">
                      <w14:alpha w14:val="100000"/>
                    </w14:srgbClr>
                  </w14:solidFill>
                </w14:textFill>
              </w:rPr>
              <w:t>|</w:t>
            </w:r>
            <w:r w:rsidRPr="003B6666">
              <w:rPr>
                <w:rFonts w:hint="eastAsia"/>
                <w:color w:val="000000"/>
                <w:spacing w:val="-11"/>
                <w:w w:val="15"/>
                <w:shd w:val="solid" w:color="000000" w:fill="000000"/>
                <w:fitText w:val="54" w:id="-760537853"/>
                <w14:textFill>
                  <w14:solidFill>
                    <w14:srgbClr w14:val="000000">
                      <w14:alpha w14:val="100000"/>
                    </w14:srgbClr>
                  </w14:solidFill>
                </w14:textFill>
              </w:rPr>
              <w:t xml:space="preserve">　</w:t>
            </w:r>
            <w:r w:rsidR="002C63DC" w:rsidRPr="002C63DC">
              <w:rPr>
                <w:vertAlign w:val="superscript"/>
              </w:rPr>
              <w:t>1</w:t>
            </w:r>
          </w:p>
        </w:tc>
      </w:tr>
      <w:tr w:rsidR="00BD1DC2" w:rsidRPr="0023146D" w14:paraId="1A21E583" w14:textId="77777777" w:rsidTr="00BD1DC2">
        <w:tc>
          <w:tcPr>
            <w:tcW w:w="1411" w:type="pct"/>
            <w:shd w:val="clear" w:color="auto" w:fill="auto"/>
            <w:vAlign w:val="center"/>
          </w:tcPr>
          <w:p w14:paraId="5DA9B35B" w14:textId="122E84C0" w:rsidR="006B02AA" w:rsidRPr="0023146D" w:rsidRDefault="006B02AA" w:rsidP="006B02AA">
            <w:pPr>
              <w:pStyle w:val="TableText0"/>
              <w:rPr>
                <w:rFonts w:ascii="Times" w:hAnsi="Times"/>
              </w:rPr>
            </w:pPr>
            <w:r w:rsidRPr="0023146D">
              <w:t xml:space="preserve">Number of </w:t>
            </w:r>
            <w:r>
              <w:t>scripts</w:t>
            </w:r>
            <w:r w:rsidRPr="0023146D">
              <w:t xml:space="preserve"> dispensed</w:t>
            </w:r>
          </w:p>
        </w:tc>
        <w:tc>
          <w:tcPr>
            <w:tcW w:w="630" w:type="pct"/>
            <w:shd w:val="clear" w:color="auto" w:fill="auto"/>
            <w:vAlign w:val="center"/>
          </w:tcPr>
          <w:p w14:paraId="52529162" w14:textId="1FEA01ED" w:rsidR="006B02AA" w:rsidRPr="006B3C65" w:rsidRDefault="007548FA" w:rsidP="006B02AA">
            <w:pPr>
              <w:pStyle w:val="TableText0"/>
              <w:jc w:val="center"/>
              <w:rPr>
                <w:highlight w:val="darkGray"/>
              </w:rPr>
            </w:pPr>
            <w:r w:rsidRPr="003B6666">
              <w:rPr>
                <w:rFonts w:hint="eastAsia"/>
                <w:color w:val="000000"/>
                <w:w w:val="15"/>
                <w:shd w:val="solid" w:color="000000" w:fill="000000"/>
                <w:fitText w:val="40" w:id="-760537852"/>
                <w14:textFill>
                  <w14:solidFill>
                    <w14:srgbClr w14:val="000000">
                      <w14:alpha w14:val="100000"/>
                    </w14:srgbClr>
                  </w14:solidFill>
                </w14:textFill>
              </w:rPr>
              <w:t xml:space="preserve">　</w:t>
            </w:r>
            <w:r w:rsidRPr="003B6666">
              <w:rPr>
                <w:color w:val="000000"/>
                <w:w w:val="15"/>
                <w:shd w:val="solid" w:color="000000" w:fill="000000"/>
                <w:fitText w:val="40" w:id="-760537852"/>
                <w14:textFill>
                  <w14:solidFill>
                    <w14:srgbClr w14:val="000000">
                      <w14:alpha w14:val="100000"/>
                    </w14:srgbClr>
                  </w14:solidFill>
                </w14:textFill>
              </w:rPr>
              <w:t>|</w:t>
            </w:r>
            <w:r w:rsidRPr="003B6666">
              <w:rPr>
                <w:rFonts w:hint="eastAsia"/>
                <w:color w:val="000000"/>
                <w:spacing w:val="-25"/>
                <w:w w:val="15"/>
                <w:shd w:val="solid" w:color="000000" w:fill="000000"/>
                <w:fitText w:val="40" w:id="-760537852"/>
                <w14:textFill>
                  <w14:solidFill>
                    <w14:srgbClr w14:val="000000">
                      <w14:alpha w14:val="100000"/>
                    </w14:srgbClr>
                  </w14:solidFill>
                </w14:textFill>
              </w:rPr>
              <w:t xml:space="preserve">　</w:t>
            </w:r>
            <w:r w:rsidR="002C63DC" w:rsidRPr="002C63DC">
              <w:rPr>
                <w:vertAlign w:val="superscript"/>
              </w:rPr>
              <w:t>1</w:t>
            </w:r>
          </w:p>
        </w:tc>
        <w:tc>
          <w:tcPr>
            <w:tcW w:w="550" w:type="pct"/>
            <w:shd w:val="clear" w:color="auto" w:fill="auto"/>
            <w:vAlign w:val="center"/>
          </w:tcPr>
          <w:p w14:paraId="44A048F3" w14:textId="7A96DE62" w:rsidR="006B02AA" w:rsidRPr="006B3C65" w:rsidRDefault="007548FA" w:rsidP="006B02AA">
            <w:pPr>
              <w:pStyle w:val="TableText0"/>
              <w:jc w:val="center"/>
              <w:rPr>
                <w:highlight w:val="darkGray"/>
              </w:rPr>
            </w:pPr>
            <w:r w:rsidRPr="003B6666">
              <w:rPr>
                <w:rFonts w:hint="eastAsia"/>
                <w:color w:val="000000"/>
                <w:w w:val="15"/>
                <w:shd w:val="solid" w:color="000000" w:fill="000000"/>
                <w:fitText w:val="40" w:id="-760537851"/>
                <w14:textFill>
                  <w14:solidFill>
                    <w14:srgbClr w14:val="000000">
                      <w14:alpha w14:val="100000"/>
                    </w14:srgbClr>
                  </w14:solidFill>
                </w14:textFill>
              </w:rPr>
              <w:t xml:space="preserve">　</w:t>
            </w:r>
            <w:r w:rsidRPr="003B6666">
              <w:rPr>
                <w:color w:val="000000"/>
                <w:w w:val="15"/>
                <w:shd w:val="solid" w:color="000000" w:fill="000000"/>
                <w:fitText w:val="40" w:id="-760537851"/>
                <w14:textFill>
                  <w14:solidFill>
                    <w14:srgbClr w14:val="000000">
                      <w14:alpha w14:val="100000"/>
                    </w14:srgbClr>
                  </w14:solidFill>
                </w14:textFill>
              </w:rPr>
              <w:t>|</w:t>
            </w:r>
            <w:r w:rsidRPr="003B6666">
              <w:rPr>
                <w:rFonts w:hint="eastAsia"/>
                <w:color w:val="000000"/>
                <w:spacing w:val="-25"/>
                <w:w w:val="15"/>
                <w:shd w:val="solid" w:color="000000" w:fill="000000"/>
                <w:fitText w:val="40" w:id="-760537851"/>
                <w14:textFill>
                  <w14:solidFill>
                    <w14:srgbClr w14:val="000000">
                      <w14:alpha w14:val="100000"/>
                    </w14:srgbClr>
                  </w14:solidFill>
                </w14:textFill>
              </w:rPr>
              <w:t xml:space="preserve">　</w:t>
            </w:r>
            <w:r w:rsidR="002C63DC" w:rsidRPr="002C63DC">
              <w:rPr>
                <w:vertAlign w:val="superscript"/>
              </w:rPr>
              <w:t>1</w:t>
            </w:r>
          </w:p>
        </w:tc>
        <w:tc>
          <w:tcPr>
            <w:tcW w:w="629" w:type="pct"/>
            <w:shd w:val="clear" w:color="auto" w:fill="auto"/>
            <w:vAlign w:val="center"/>
          </w:tcPr>
          <w:p w14:paraId="541B5EC7" w14:textId="2987F14D" w:rsidR="006B02AA" w:rsidRPr="006B3C65" w:rsidRDefault="007548FA" w:rsidP="006B02AA">
            <w:pPr>
              <w:pStyle w:val="TableText0"/>
              <w:jc w:val="center"/>
              <w:rPr>
                <w:highlight w:val="darkGray"/>
              </w:rPr>
            </w:pPr>
            <w:r w:rsidRPr="003B6666">
              <w:rPr>
                <w:rFonts w:hint="eastAsia"/>
                <w:color w:val="000000"/>
                <w:w w:val="15"/>
                <w:shd w:val="solid" w:color="000000" w:fill="000000"/>
                <w:fitText w:val="40" w:id="-760537850"/>
                <w14:textFill>
                  <w14:solidFill>
                    <w14:srgbClr w14:val="000000">
                      <w14:alpha w14:val="100000"/>
                    </w14:srgbClr>
                  </w14:solidFill>
                </w14:textFill>
              </w:rPr>
              <w:t xml:space="preserve">　</w:t>
            </w:r>
            <w:r w:rsidRPr="003B6666">
              <w:rPr>
                <w:color w:val="000000"/>
                <w:w w:val="15"/>
                <w:shd w:val="solid" w:color="000000" w:fill="000000"/>
                <w:fitText w:val="40" w:id="-760537850"/>
                <w14:textFill>
                  <w14:solidFill>
                    <w14:srgbClr w14:val="000000">
                      <w14:alpha w14:val="100000"/>
                    </w14:srgbClr>
                  </w14:solidFill>
                </w14:textFill>
              </w:rPr>
              <w:t>|</w:t>
            </w:r>
            <w:r w:rsidRPr="003B6666">
              <w:rPr>
                <w:rFonts w:hint="eastAsia"/>
                <w:color w:val="000000"/>
                <w:spacing w:val="-25"/>
                <w:w w:val="15"/>
                <w:shd w:val="solid" w:color="000000" w:fill="000000"/>
                <w:fitText w:val="40" w:id="-760537850"/>
                <w14:textFill>
                  <w14:solidFill>
                    <w14:srgbClr w14:val="000000">
                      <w14:alpha w14:val="100000"/>
                    </w14:srgbClr>
                  </w14:solidFill>
                </w14:textFill>
              </w:rPr>
              <w:t xml:space="preserve">　</w:t>
            </w:r>
            <w:r w:rsidR="002C63DC" w:rsidRPr="002C63DC">
              <w:rPr>
                <w:vertAlign w:val="superscript"/>
              </w:rPr>
              <w:t xml:space="preserve">2 </w:t>
            </w:r>
          </w:p>
        </w:tc>
        <w:tc>
          <w:tcPr>
            <w:tcW w:w="550" w:type="pct"/>
            <w:shd w:val="clear" w:color="auto" w:fill="auto"/>
            <w:vAlign w:val="center"/>
          </w:tcPr>
          <w:p w14:paraId="390FE397" w14:textId="7271EA5A" w:rsidR="006B02AA" w:rsidRPr="006B3C65" w:rsidRDefault="007548FA" w:rsidP="006B02AA">
            <w:pPr>
              <w:pStyle w:val="TableText0"/>
              <w:jc w:val="center"/>
              <w:rPr>
                <w:highlight w:val="darkGray"/>
              </w:rPr>
            </w:pPr>
            <w:r w:rsidRPr="003B6666">
              <w:rPr>
                <w:rFonts w:hint="eastAsia"/>
                <w:color w:val="000000"/>
                <w:w w:val="15"/>
                <w:shd w:val="solid" w:color="000000" w:fill="000000"/>
                <w:fitText w:val="40" w:id="-760537849"/>
                <w14:textFill>
                  <w14:solidFill>
                    <w14:srgbClr w14:val="000000">
                      <w14:alpha w14:val="100000"/>
                    </w14:srgbClr>
                  </w14:solidFill>
                </w14:textFill>
              </w:rPr>
              <w:t xml:space="preserve">　</w:t>
            </w:r>
            <w:r w:rsidRPr="003B6666">
              <w:rPr>
                <w:color w:val="000000"/>
                <w:w w:val="15"/>
                <w:shd w:val="solid" w:color="000000" w:fill="000000"/>
                <w:fitText w:val="40" w:id="-760537849"/>
                <w14:textFill>
                  <w14:solidFill>
                    <w14:srgbClr w14:val="000000">
                      <w14:alpha w14:val="100000"/>
                    </w14:srgbClr>
                  </w14:solidFill>
                </w14:textFill>
              </w:rPr>
              <w:t>|</w:t>
            </w:r>
            <w:r w:rsidRPr="003B6666">
              <w:rPr>
                <w:rFonts w:hint="eastAsia"/>
                <w:color w:val="000000"/>
                <w:spacing w:val="-25"/>
                <w:w w:val="15"/>
                <w:shd w:val="solid" w:color="000000" w:fill="000000"/>
                <w:fitText w:val="40" w:id="-760537849"/>
                <w14:textFill>
                  <w14:solidFill>
                    <w14:srgbClr w14:val="000000">
                      <w14:alpha w14:val="100000"/>
                    </w14:srgbClr>
                  </w14:solidFill>
                </w14:textFill>
              </w:rPr>
              <w:t xml:space="preserve">　</w:t>
            </w:r>
            <w:r w:rsidR="002C63DC" w:rsidRPr="002C63DC">
              <w:rPr>
                <w:vertAlign w:val="superscript"/>
              </w:rPr>
              <w:t>2</w:t>
            </w:r>
          </w:p>
        </w:tc>
        <w:tc>
          <w:tcPr>
            <w:tcW w:w="629" w:type="pct"/>
            <w:shd w:val="clear" w:color="auto" w:fill="auto"/>
            <w:vAlign w:val="center"/>
          </w:tcPr>
          <w:p w14:paraId="319AF5E4" w14:textId="2DDF4CBA" w:rsidR="006B02AA" w:rsidRPr="006B3C65" w:rsidRDefault="007548FA" w:rsidP="006B02AA">
            <w:pPr>
              <w:pStyle w:val="TableText0"/>
              <w:jc w:val="center"/>
              <w:rPr>
                <w:highlight w:val="darkGray"/>
              </w:rPr>
            </w:pPr>
            <w:r w:rsidRPr="003B6666">
              <w:rPr>
                <w:rFonts w:hint="eastAsia"/>
                <w:color w:val="000000"/>
                <w:w w:val="15"/>
                <w:shd w:val="solid" w:color="000000" w:fill="000000"/>
                <w:fitText w:val="40" w:id="-760537848"/>
                <w14:textFill>
                  <w14:solidFill>
                    <w14:srgbClr w14:val="000000">
                      <w14:alpha w14:val="100000"/>
                    </w14:srgbClr>
                  </w14:solidFill>
                </w14:textFill>
              </w:rPr>
              <w:t xml:space="preserve">　</w:t>
            </w:r>
            <w:r w:rsidRPr="003B6666">
              <w:rPr>
                <w:color w:val="000000"/>
                <w:w w:val="15"/>
                <w:shd w:val="solid" w:color="000000" w:fill="000000"/>
                <w:fitText w:val="40" w:id="-760537848"/>
                <w14:textFill>
                  <w14:solidFill>
                    <w14:srgbClr w14:val="000000">
                      <w14:alpha w14:val="100000"/>
                    </w14:srgbClr>
                  </w14:solidFill>
                </w14:textFill>
              </w:rPr>
              <w:t>|</w:t>
            </w:r>
            <w:r w:rsidRPr="003B6666">
              <w:rPr>
                <w:rFonts w:hint="eastAsia"/>
                <w:color w:val="000000"/>
                <w:spacing w:val="-25"/>
                <w:w w:val="15"/>
                <w:shd w:val="solid" w:color="000000" w:fill="000000"/>
                <w:fitText w:val="40" w:id="-760537848"/>
                <w14:textFill>
                  <w14:solidFill>
                    <w14:srgbClr w14:val="000000">
                      <w14:alpha w14:val="100000"/>
                    </w14:srgbClr>
                  </w14:solidFill>
                </w14:textFill>
              </w:rPr>
              <w:t xml:space="preserve">　</w:t>
            </w:r>
            <w:r w:rsidR="002C63DC" w:rsidRPr="002C63DC">
              <w:rPr>
                <w:vertAlign w:val="superscript"/>
              </w:rPr>
              <w:t>2</w:t>
            </w:r>
          </w:p>
        </w:tc>
        <w:tc>
          <w:tcPr>
            <w:tcW w:w="601" w:type="pct"/>
            <w:vAlign w:val="center"/>
          </w:tcPr>
          <w:p w14:paraId="20D80419" w14:textId="7E9CE92E" w:rsidR="006B02AA" w:rsidRPr="006B3C65" w:rsidRDefault="007548FA" w:rsidP="006B02AA">
            <w:pPr>
              <w:pStyle w:val="TableText0"/>
              <w:jc w:val="center"/>
              <w:rPr>
                <w:highlight w:val="darkGray"/>
              </w:rPr>
            </w:pPr>
            <w:r w:rsidRPr="003B6666">
              <w:rPr>
                <w:rFonts w:hint="eastAsia"/>
                <w:color w:val="000000"/>
                <w:w w:val="15"/>
                <w:shd w:val="solid" w:color="000000" w:fill="000000"/>
                <w:fitText w:val="54" w:id="-760537847"/>
                <w14:textFill>
                  <w14:solidFill>
                    <w14:srgbClr w14:val="000000">
                      <w14:alpha w14:val="100000"/>
                    </w14:srgbClr>
                  </w14:solidFill>
                </w14:textFill>
              </w:rPr>
              <w:t xml:space="preserve">　</w:t>
            </w:r>
            <w:r w:rsidRPr="003B6666">
              <w:rPr>
                <w:color w:val="000000"/>
                <w:w w:val="15"/>
                <w:shd w:val="solid" w:color="000000" w:fill="000000"/>
                <w:fitText w:val="54" w:id="-760537847"/>
                <w14:textFill>
                  <w14:solidFill>
                    <w14:srgbClr w14:val="000000">
                      <w14:alpha w14:val="100000"/>
                    </w14:srgbClr>
                  </w14:solidFill>
                </w14:textFill>
              </w:rPr>
              <w:t>|</w:t>
            </w:r>
            <w:r w:rsidRPr="003B6666">
              <w:rPr>
                <w:rFonts w:hint="eastAsia"/>
                <w:color w:val="000000"/>
                <w:spacing w:val="-11"/>
                <w:w w:val="15"/>
                <w:shd w:val="solid" w:color="000000" w:fill="000000"/>
                <w:fitText w:val="54" w:id="-760537847"/>
                <w14:textFill>
                  <w14:solidFill>
                    <w14:srgbClr w14:val="000000">
                      <w14:alpha w14:val="100000"/>
                    </w14:srgbClr>
                  </w14:solidFill>
                </w14:textFill>
              </w:rPr>
              <w:t xml:space="preserve">　</w:t>
            </w:r>
            <w:r w:rsidR="002C63DC" w:rsidRPr="002C63DC">
              <w:rPr>
                <w:vertAlign w:val="superscript"/>
              </w:rPr>
              <w:t>2</w:t>
            </w:r>
          </w:p>
        </w:tc>
      </w:tr>
      <w:tr w:rsidR="00732F7D" w:rsidRPr="0023146D" w14:paraId="29815BAF" w14:textId="77777777" w:rsidTr="006B02AA">
        <w:tc>
          <w:tcPr>
            <w:tcW w:w="5000" w:type="pct"/>
            <w:gridSpan w:val="7"/>
            <w:shd w:val="clear" w:color="auto" w:fill="auto"/>
            <w:vAlign w:val="center"/>
          </w:tcPr>
          <w:p w14:paraId="216E8F6F" w14:textId="5DCBFD19" w:rsidR="00732F7D" w:rsidRPr="0023146D" w:rsidRDefault="00732F7D" w:rsidP="00F57F1D">
            <w:pPr>
              <w:pStyle w:val="In-tableHeading"/>
            </w:pPr>
            <w:r w:rsidRPr="0023146D">
              <w:t xml:space="preserve">Estimated financial implications of </w:t>
            </w:r>
            <w:r w:rsidR="00250730" w:rsidRPr="0023146D">
              <w:t>maribavir</w:t>
            </w:r>
          </w:p>
        </w:tc>
      </w:tr>
      <w:tr w:rsidR="00BD1DC2" w:rsidRPr="006B3C65" w14:paraId="79EEB6D5" w14:textId="77777777" w:rsidTr="00BD1DC2">
        <w:tc>
          <w:tcPr>
            <w:tcW w:w="1411" w:type="pct"/>
            <w:shd w:val="clear" w:color="auto" w:fill="auto"/>
            <w:vAlign w:val="center"/>
          </w:tcPr>
          <w:p w14:paraId="62A7118D" w14:textId="22EC2F78" w:rsidR="00732F7D" w:rsidRPr="0023146D" w:rsidRDefault="00732F7D">
            <w:pPr>
              <w:pStyle w:val="TableText0"/>
            </w:pPr>
            <w:r w:rsidRPr="0023146D">
              <w:t>Cost to PBS less copayments</w:t>
            </w:r>
            <w:r w:rsidR="00163540">
              <w:t xml:space="preserve"> ($)</w:t>
            </w:r>
          </w:p>
        </w:tc>
        <w:tc>
          <w:tcPr>
            <w:tcW w:w="630" w:type="pct"/>
            <w:shd w:val="clear" w:color="auto" w:fill="auto"/>
            <w:vAlign w:val="center"/>
          </w:tcPr>
          <w:p w14:paraId="3E594B47" w14:textId="2B50A7E1" w:rsidR="00732F7D" w:rsidRPr="006B3C65" w:rsidRDefault="007548FA" w:rsidP="006C1FE4">
            <w:pPr>
              <w:pStyle w:val="TableText0"/>
              <w:jc w:val="center"/>
              <w:rPr>
                <w:highlight w:val="darkGray"/>
              </w:rPr>
            </w:pPr>
            <w:r w:rsidRPr="003B6666">
              <w:rPr>
                <w:rFonts w:hint="eastAsia"/>
                <w:color w:val="000000"/>
                <w:w w:val="15"/>
                <w:shd w:val="solid" w:color="000000" w:fill="000000"/>
                <w:fitText w:val="40" w:id="-760537846"/>
                <w14:textFill>
                  <w14:solidFill>
                    <w14:srgbClr w14:val="000000">
                      <w14:alpha w14:val="100000"/>
                    </w14:srgbClr>
                  </w14:solidFill>
                </w14:textFill>
              </w:rPr>
              <w:t xml:space="preserve">　</w:t>
            </w:r>
            <w:r w:rsidRPr="003B6666">
              <w:rPr>
                <w:color w:val="000000"/>
                <w:w w:val="15"/>
                <w:shd w:val="solid" w:color="000000" w:fill="000000"/>
                <w:fitText w:val="40" w:id="-760537846"/>
                <w14:textFill>
                  <w14:solidFill>
                    <w14:srgbClr w14:val="000000">
                      <w14:alpha w14:val="100000"/>
                    </w14:srgbClr>
                  </w14:solidFill>
                </w14:textFill>
              </w:rPr>
              <w:t>|</w:t>
            </w:r>
            <w:r w:rsidRPr="003B6666">
              <w:rPr>
                <w:rFonts w:hint="eastAsia"/>
                <w:color w:val="000000"/>
                <w:spacing w:val="-25"/>
                <w:w w:val="15"/>
                <w:shd w:val="solid" w:color="000000" w:fill="000000"/>
                <w:fitText w:val="40" w:id="-760537846"/>
                <w14:textFill>
                  <w14:solidFill>
                    <w14:srgbClr w14:val="000000">
                      <w14:alpha w14:val="100000"/>
                    </w14:srgbClr>
                  </w14:solidFill>
                </w14:textFill>
              </w:rPr>
              <w:t xml:space="preserve">　</w:t>
            </w:r>
            <w:r w:rsidR="00820A05" w:rsidRPr="00820A05">
              <w:rPr>
                <w:vertAlign w:val="superscript"/>
              </w:rPr>
              <w:t>3</w:t>
            </w:r>
          </w:p>
        </w:tc>
        <w:tc>
          <w:tcPr>
            <w:tcW w:w="550" w:type="pct"/>
            <w:shd w:val="clear" w:color="auto" w:fill="auto"/>
            <w:vAlign w:val="center"/>
          </w:tcPr>
          <w:p w14:paraId="02A9C2B5" w14:textId="083FBFB3" w:rsidR="00732F7D" w:rsidRPr="006B3C65" w:rsidRDefault="007548FA" w:rsidP="006C1FE4">
            <w:pPr>
              <w:pStyle w:val="TableText0"/>
              <w:jc w:val="center"/>
              <w:rPr>
                <w:highlight w:val="darkGray"/>
              </w:rPr>
            </w:pPr>
            <w:r w:rsidRPr="003B6666">
              <w:rPr>
                <w:rFonts w:hint="eastAsia"/>
                <w:color w:val="000000"/>
                <w:w w:val="15"/>
                <w:shd w:val="solid" w:color="000000" w:fill="000000"/>
                <w:fitText w:val="40" w:id="-760537845"/>
                <w14:textFill>
                  <w14:solidFill>
                    <w14:srgbClr w14:val="000000">
                      <w14:alpha w14:val="100000"/>
                    </w14:srgbClr>
                  </w14:solidFill>
                </w14:textFill>
              </w:rPr>
              <w:t xml:space="preserve">　</w:t>
            </w:r>
            <w:r w:rsidRPr="003B6666">
              <w:rPr>
                <w:color w:val="000000"/>
                <w:w w:val="15"/>
                <w:shd w:val="solid" w:color="000000" w:fill="000000"/>
                <w:fitText w:val="40" w:id="-760537845"/>
                <w14:textFill>
                  <w14:solidFill>
                    <w14:srgbClr w14:val="000000">
                      <w14:alpha w14:val="100000"/>
                    </w14:srgbClr>
                  </w14:solidFill>
                </w14:textFill>
              </w:rPr>
              <w:t>|</w:t>
            </w:r>
            <w:r w:rsidRPr="003B6666">
              <w:rPr>
                <w:rFonts w:hint="eastAsia"/>
                <w:color w:val="000000"/>
                <w:spacing w:val="-25"/>
                <w:w w:val="15"/>
                <w:shd w:val="solid" w:color="000000" w:fill="000000"/>
                <w:fitText w:val="40" w:id="-760537845"/>
                <w14:textFill>
                  <w14:solidFill>
                    <w14:srgbClr w14:val="000000">
                      <w14:alpha w14:val="100000"/>
                    </w14:srgbClr>
                  </w14:solidFill>
                </w14:textFill>
              </w:rPr>
              <w:t xml:space="preserve">　</w:t>
            </w:r>
            <w:r w:rsidR="00820A05" w:rsidRPr="00820A05">
              <w:rPr>
                <w:vertAlign w:val="superscript"/>
              </w:rPr>
              <w:t>3</w:t>
            </w:r>
          </w:p>
        </w:tc>
        <w:tc>
          <w:tcPr>
            <w:tcW w:w="629" w:type="pct"/>
            <w:shd w:val="clear" w:color="auto" w:fill="auto"/>
            <w:vAlign w:val="center"/>
          </w:tcPr>
          <w:p w14:paraId="459F3A0C" w14:textId="5AB83A24" w:rsidR="00732F7D" w:rsidRPr="006B3C65" w:rsidRDefault="007548FA" w:rsidP="006C1FE4">
            <w:pPr>
              <w:pStyle w:val="TableText0"/>
              <w:jc w:val="center"/>
              <w:rPr>
                <w:highlight w:val="darkGray"/>
              </w:rPr>
            </w:pPr>
            <w:r w:rsidRPr="003B6666">
              <w:rPr>
                <w:rFonts w:hint="eastAsia"/>
                <w:color w:val="000000"/>
                <w:w w:val="15"/>
                <w:shd w:val="solid" w:color="000000" w:fill="000000"/>
                <w:fitText w:val="40" w:id="-760537844"/>
                <w14:textFill>
                  <w14:solidFill>
                    <w14:srgbClr w14:val="000000">
                      <w14:alpha w14:val="100000"/>
                    </w14:srgbClr>
                  </w14:solidFill>
                </w14:textFill>
              </w:rPr>
              <w:t xml:space="preserve">　</w:t>
            </w:r>
            <w:r w:rsidRPr="003B6666">
              <w:rPr>
                <w:color w:val="000000"/>
                <w:w w:val="15"/>
                <w:shd w:val="solid" w:color="000000" w:fill="000000"/>
                <w:fitText w:val="40" w:id="-760537844"/>
                <w14:textFill>
                  <w14:solidFill>
                    <w14:srgbClr w14:val="000000">
                      <w14:alpha w14:val="100000"/>
                    </w14:srgbClr>
                  </w14:solidFill>
                </w14:textFill>
              </w:rPr>
              <w:t>|</w:t>
            </w:r>
            <w:r w:rsidRPr="003B6666">
              <w:rPr>
                <w:rFonts w:hint="eastAsia"/>
                <w:color w:val="000000"/>
                <w:spacing w:val="-25"/>
                <w:w w:val="15"/>
                <w:shd w:val="solid" w:color="000000" w:fill="000000"/>
                <w:fitText w:val="40" w:id="-760537844"/>
                <w14:textFill>
                  <w14:solidFill>
                    <w14:srgbClr w14:val="000000">
                      <w14:alpha w14:val="100000"/>
                    </w14:srgbClr>
                  </w14:solidFill>
                </w14:textFill>
              </w:rPr>
              <w:t xml:space="preserve">　</w:t>
            </w:r>
            <w:r w:rsidR="00820A05" w:rsidRPr="00820A05">
              <w:rPr>
                <w:vertAlign w:val="superscript"/>
              </w:rPr>
              <w:t>3</w:t>
            </w:r>
          </w:p>
        </w:tc>
        <w:tc>
          <w:tcPr>
            <w:tcW w:w="550" w:type="pct"/>
            <w:shd w:val="clear" w:color="auto" w:fill="auto"/>
            <w:vAlign w:val="center"/>
          </w:tcPr>
          <w:p w14:paraId="0882C338" w14:textId="4A1E7831" w:rsidR="00732F7D" w:rsidRPr="006B3C65" w:rsidRDefault="007548FA" w:rsidP="006C1FE4">
            <w:pPr>
              <w:pStyle w:val="TableText0"/>
              <w:jc w:val="center"/>
              <w:rPr>
                <w:highlight w:val="darkGray"/>
              </w:rPr>
            </w:pPr>
            <w:r w:rsidRPr="003B6666">
              <w:rPr>
                <w:rFonts w:hint="eastAsia"/>
                <w:color w:val="000000"/>
                <w:w w:val="15"/>
                <w:shd w:val="solid" w:color="000000" w:fill="000000"/>
                <w:fitText w:val="40" w:id="-760537843"/>
                <w14:textFill>
                  <w14:solidFill>
                    <w14:srgbClr w14:val="000000">
                      <w14:alpha w14:val="100000"/>
                    </w14:srgbClr>
                  </w14:solidFill>
                </w14:textFill>
              </w:rPr>
              <w:t xml:space="preserve">　</w:t>
            </w:r>
            <w:r w:rsidRPr="003B6666">
              <w:rPr>
                <w:color w:val="000000"/>
                <w:w w:val="15"/>
                <w:shd w:val="solid" w:color="000000" w:fill="000000"/>
                <w:fitText w:val="40" w:id="-760537843"/>
                <w14:textFill>
                  <w14:solidFill>
                    <w14:srgbClr w14:val="000000">
                      <w14:alpha w14:val="100000"/>
                    </w14:srgbClr>
                  </w14:solidFill>
                </w14:textFill>
              </w:rPr>
              <w:t>|</w:t>
            </w:r>
            <w:r w:rsidRPr="003B6666">
              <w:rPr>
                <w:rFonts w:hint="eastAsia"/>
                <w:color w:val="000000"/>
                <w:spacing w:val="-25"/>
                <w:w w:val="15"/>
                <w:shd w:val="solid" w:color="000000" w:fill="000000"/>
                <w:fitText w:val="40" w:id="-760537843"/>
                <w14:textFill>
                  <w14:solidFill>
                    <w14:srgbClr w14:val="000000">
                      <w14:alpha w14:val="100000"/>
                    </w14:srgbClr>
                  </w14:solidFill>
                </w14:textFill>
              </w:rPr>
              <w:t xml:space="preserve">　</w:t>
            </w:r>
            <w:r w:rsidR="00820A05" w:rsidRPr="00820A05">
              <w:rPr>
                <w:vertAlign w:val="superscript"/>
              </w:rPr>
              <w:t>3</w:t>
            </w:r>
          </w:p>
        </w:tc>
        <w:tc>
          <w:tcPr>
            <w:tcW w:w="629" w:type="pct"/>
            <w:shd w:val="clear" w:color="auto" w:fill="auto"/>
            <w:vAlign w:val="center"/>
          </w:tcPr>
          <w:p w14:paraId="1B87F232" w14:textId="590F233D" w:rsidR="00732F7D" w:rsidRPr="006B3C65" w:rsidRDefault="007548FA" w:rsidP="006C1FE4">
            <w:pPr>
              <w:pStyle w:val="TableText0"/>
              <w:jc w:val="center"/>
              <w:rPr>
                <w:highlight w:val="darkGray"/>
              </w:rPr>
            </w:pPr>
            <w:r w:rsidRPr="003B6666">
              <w:rPr>
                <w:rFonts w:hint="eastAsia"/>
                <w:color w:val="000000"/>
                <w:w w:val="15"/>
                <w:shd w:val="solid" w:color="000000" w:fill="000000"/>
                <w:fitText w:val="40" w:id="-760537842"/>
                <w14:textFill>
                  <w14:solidFill>
                    <w14:srgbClr w14:val="000000">
                      <w14:alpha w14:val="100000"/>
                    </w14:srgbClr>
                  </w14:solidFill>
                </w14:textFill>
              </w:rPr>
              <w:t xml:space="preserve">　</w:t>
            </w:r>
            <w:r w:rsidRPr="003B6666">
              <w:rPr>
                <w:color w:val="000000"/>
                <w:w w:val="15"/>
                <w:shd w:val="solid" w:color="000000" w:fill="000000"/>
                <w:fitText w:val="40" w:id="-760537842"/>
                <w14:textFill>
                  <w14:solidFill>
                    <w14:srgbClr w14:val="000000">
                      <w14:alpha w14:val="100000"/>
                    </w14:srgbClr>
                  </w14:solidFill>
                </w14:textFill>
              </w:rPr>
              <w:t>|</w:t>
            </w:r>
            <w:r w:rsidRPr="003B6666">
              <w:rPr>
                <w:rFonts w:hint="eastAsia"/>
                <w:color w:val="000000"/>
                <w:spacing w:val="-25"/>
                <w:w w:val="15"/>
                <w:shd w:val="solid" w:color="000000" w:fill="000000"/>
                <w:fitText w:val="40" w:id="-760537842"/>
                <w14:textFill>
                  <w14:solidFill>
                    <w14:srgbClr w14:val="000000">
                      <w14:alpha w14:val="100000"/>
                    </w14:srgbClr>
                  </w14:solidFill>
                </w14:textFill>
              </w:rPr>
              <w:t xml:space="preserve">　</w:t>
            </w:r>
            <w:r w:rsidR="00820A05" w:rsidRPr="00820A05">
              <w:rPr>
                <w:vertAlign w:val="superscript"/>
              </w:rPr>
              <w:t>3</w:t>
            </w:r>
          </w:p>
        </w:tc>
        <w:tc>
          <w:tcPr>
            <w:tcW w:w="601" w:type="pct"/>
            <w:vAlign w:val="center"/>
          </w:tcPr>
          <w:p w14:paraId="49631A24" w14:textId="31C284A0" w:rsidR="00732F7D" w:rsidRPr="006B3C65" w:rsidRDefault="007548FA" w:rsidP="006C1FE4">
            <w:pPr>
              <w:pStyle w:val="TableText0"/>
              <w:jc w:val="center"/>
              <w:rPr>
                <w:highlight w:val="darkGray"/>
              </w:rPr>
            </w:pPr>
            <w:r w:rsidRPr="003B6666">
              <w:rPr>
                <w:rFonts w:hint="eastAsia"/>
                <w:color w:val="000000"/>
                <w:w w:val="15"/>
                <w:shd w:val="solid" w:color="000000" w:fill="000000"/>
                <w:fitText w:val="54" w:id="-760537841"/>
                <w14:textFill>
                  <w14:solidFill>
                    <w14:srgbClr w14:val="000000">
                      <w14:alpha w14:val="100000"/>
                    </w14:srgbClr>
                  </w14:solidFill>
                </w14:textFill>
              </w:rPr>
              <w:t xml:space="preserve">　</w:t>
            </w:r>
            <w:r w:rsidRPr="003B6666">
              <w:rPr>
                <w:color w:val="000000"/>
                <w:w w:val="15"/>
                <w:shd w:val="solid" w:color="000000" w:fill="000000"/>
                <w:fitText w:val="54" w:id="-760537841"/>
                <w14:textFill>
                  <w14:solidFill>
                    <w14:srgbClr w14:val="000000">
                      <w14:alpha w14:val="100000"/>
                    </w14:srgbClr>
                  </w14:solidFill>
                </w14:textFill>
              </w:rPr>
              <w:t>|</w:t>
            </w:r>
            <w:r w:rsidRPr="003B6666">
              <w:rPr>
                <w:rFonts w:hint="eastAsia"/>
                <w:color w:val="000000"/>
                <w:spacing w:val="-11"/>
                <w:w w:val="15"/>
                <w:shd w:val="solid" w:color="000000" w:fill="000000"/>
                <w:fitText w:val="54" w:id="-760537841"/>
                <w14:textFill>
                  <w14:solidFill>
                    <w14:srgbClr w14:val="000000">
                      <w14:alpha w14:val="100000"/>
                    </w14:srgbClr>
                  </w14:solidFill>
                </w14:textFill>
              </w:rPr>
              <w:t xml:space="preserve">　</w:t>
            </w:r>
            <w:r w:rsidR="00820A05" w:rsidRPr="00820A05">
              <w:rPr>
                <w:vertAlign w:val="superscript"/>
              </w:rPr>
              <w:t>3</w:t>
            </w:r>
          </w:p>
        </w:tc>
      </w:tr>
      <w:tr w:rsidR="00732F7D" w:rsidRPr="0023146D" w14:paraId="1535DDE3" w14:textId="77777777" w:rsidTr="006B02AA">
        <w:tc>
          <w:tcPr>
            <w:tcW w:w="5000" w:type="pct"/>
            <w:gridSpan w:val="7"/>
            <w:shd w:val="clear" w:color="auto" w:fill="auto"/>
            <w:vAlign w:val="center"/>
          </w:tcPr>
          <w:p w14:paraId="5CB48A98" w14:textId="0C71C997" w:rsidR="00732F7D" w:rsidRPr="0023146D" w:rsidRDefault="00732F7D" w:rsidP="00F57F1D">
            <w:pPr>
              <w:pStyle w:val="In-tableHeading"/>
            </w:pPr>
            <w:r w:rsidRPr="0023146D">
              <w:t>Net financial implications</w:t>
            </w:r>
          </w:p>
        </w:tc>
      </w:tr>
      <w:tr w:rsidR="00BD1DC2" w:rsidRPr="0023146D" w14:paraId="548F747B" w14:textId="77777777" w:rsidTr="00BD1DC2">
        <w:tc>
          <w:tcPr>
            <w:tcW w:w="1411" w:type="pct"/>
            <w:shd w:val="clear" w:color="auto" w:fill="auto"/>
            <w:vAlign w:val="center"/>
          </w:tcPr>
          <w:p w14:paraId="4E8DF9D2" w14:textId="3666B25C" w:rsidR="00732F7D" w:rsidRPr="0023146D" w:rsidRDefault="00732F7D">
            <w:pPr>
              <w:pStyle w:val="TableText0"/>
            </w:pPr>
            <w:r w:rsidRPr="0023146D">
              <w:t>Net cost to PBS</w:t>
            </w:r>
            <w:r w:rsidR="00163540">
              <w:t xml:space="preserve"> ($)</w:t>
            </w:r>
          </w:p>
        </w:tc>
        <w:tc>
          <w:tcPr>
            <w:tcW w:w="630" w:type="pct"/>
            <w:shd w:val="clear" w:color="auto" w:fill="auto"/>
            <w:vAlign w:val="center"/>
          </w:tcPr>
          <w:p w14:paraId="37B5DB82" w14:textId="6CA846E4" w:rsidR="00732F7D" w:rsidRPr="006B3C65" w:rsidRDefault="007548FA" w:rsidP="00763A33">
            <w:pPr>
              <w:pStyle w:val="TableText0"/>
              <w:jc w:val="center"/>
              <w:rPr>
                <w:highlight w:val="darkGray"/>
              </w:rPr>
            </w:pPr>
            <w:r w:rsidRPr="003B6666">
              <w:rPr>
                <w:rFonts w:hint="eastAsia"/>
                <w:color w:val="000000"/>
                <w:w w:val="15"/>
                <w:shd w:val="solid" w:color="000000" w:fill="000000"/>
                <w:fitText w:val="40" w:id="-760537840"/>
                <w14:textFill>
                  <w14:solidFill>
                    <w14:srgbClr w14:val="000000">
                      <w14:alpha w14:val="100000"/>
                    </w14:srgbClr>
                  </w14:solidFill>
                </w14:textFill>
              </w:rPr>
              <w:t xml:space="preserve">　</w:t>
            </w:r>
            <w:r w:rsidRPr="003B6666">
              <w:rPr>
                <w:color w:val="000000"/>
                <w:w w:val="15"/>
                <w:shd w:val="solid" w:color="000000" w:fill="000000"/>
                <w:fitText w:val="40" w:id="-760537840"/>
                <w14:textFill>
                  <w14:solidFill>
                    <w14:srgbClr w14:val="000000">
                      <w14:alpha w14:val="100000"/>
                    </w14:srgbClr>
                  </w14:solidFill>
                </w14:textFill>
              </w:rPr>
              <w:t>|</w:t>
            </w:r>
            <w:r w:rsidRPr="003B6666">
              <w:rPr>
                <w:rFonts w:hint="eastAsia"/>
                <w:color w:val="000000"/>
                <w:spacing w:val="-25"/>
                <w:w w:val="15"/>
                <w:shd w:val="solid" w:color="000000" w:fill="000000"/>
                <w:fitText w:val="40" w:id="-760537840"/>
                <w14:textFill>
                  <w14:solidFill>
                    <w14:srgbClr w14:val="000000">
                      <w14:alpha w14:val="100000"/>
                    </w14:srgbClr>
                  </w14:solidFill>
                </w14:textFill>
              </w:rPr>
              <w:t xml:space="preserve">　</w:t>
            </w:r>
            <w:r w:rsidR="00820A05" w:rsidRPr="00820A05">
              <w:rPr>
                <w:vertAlign w:val="superscript"/>
              </w:rPr>
              <w:t>3</w:t>
            </w:r>
          </w:p>
        </w:tc>
        <w:tc>
          <w:tcPr>
            <w:tcW w:w="550" w:type="pct"/>
            <w:shd w:val="clear" w:color="auto" w:fill="auto"/>
            <w:vAlign w:val="center"/>
          </w:tcPr>
          <w:p w14:paraId="56B2EB7C" w14:textId="2E967622" w:rsidR="00732F7D" w:rsidRPr="006B3C65" w:rsidRDefault="007548FA" w:rsidP="00763A33">
            <w:pPr>
              <w:pStyle w:val="TableText0"/>
              <w:jc w:val="center"/>
              <w:rPr>
                <w:highlight w:val="darkGray"/>
              </w:rPr>
            </w:pPr>
            <w:r w:rsidRPr="003B6666">
              <w:rPr>
                <w:rFonts w:hint="eastAsia"/>
                <w:color w:val="000000"/>
                <w:w w:val="15"/>
                <w:shd w:val="solid" w:color="000000" w:fill="000000"/>
                <w:fitText w:val="40" w:id="-760537856"/>
                <w14:textFill>
                  <w14:solidFill>
                    <w14:srgbClr w14:val="000000">
                      <w14:alpha w14:val="100000"/>
                    </w14:srgbClr>
                  </w14:solidFill>
                </w14:textFill>
              </w:rPr>
              <w:t xml:space="preserve">　</w:t>
            </w:r>
            <w:r w:rsidRPr="003B6666">
              <w:rPr>
                <w:color w:val="000000"/>
                <w:w w:val="15"/>
                <w:shd w:val="solid" w:color="000000" w:fill="000000"/>
                <w:fitText w:val="40" w:id="-760537856"/>
                <w14:textFill>
                  <w14:solidFill>
                    <w14:srgbClr w14:val="000000">
                      <w14:alpha w14:val="100000"/>
                    </w14:srgbClr>
                  </w14:solidFill>
                </w14:textFill>
              </w:rPr>
              <w:t>|</w:t>
            </w:r>
            <w:r w:rsidRPr="003B6666">
              <w:rPr>
                <w:rFonts w:hint="eastAsia"/>
                <w:color w:val="000000"/>
                <w:spacing w:val="-25"/>
                <w:w w:val="15"/>
                <w:shd w:val="solid" w:color="000000" w:fill="000000"/>
                <w:fitText w:val="40" w:id="-760537856"/>
                <w14:textFill>
                  <w14:solidFill>
                    <w14:srgbClr w14:val="000000">
                      <w14:alpha w14:val="100000"/>
                    </w14:srgbClr>
                  </w14:solidFill>
                </w14:textFill>
              </w:rPr>
              <w:t xml:space="preserve">　</w:t>
            </w:r>
            <w:r w:rsidR="00820A05" w:rsidRPr="00820A05">
              <w:rPr>
                <w:vertAlign w:val="superscript"/>
              </w:rPr>
              <w:t>3</w:t>
            </w:r>
          </w:p>
        </w:tc>
        <w:tc>
          <w:tcPr>
            <w:tcW w:w="629" w:type="pct"/>
            <w:shd w:val="clear" w:color="auto" w:fill="auto"/>
            <w:vAlign w:val="center"/>
          </w:tcPr>
          <w:p w14:paraId="2900C50C" w14:textId="72A759A7" w:rsidR="00732F7D" w:rsidRPr="006B3C65" w:rsidRDefault="007548FA" w:rsidP="00763A33">
            <w:pPr>
              <w:pStyle w:val="TableText0"/>
              <w:jc w:val="center"/>
              <w:rPr>
                <w:highlight w:val="darkGray"/>
              </w:rPr>
            </w:pPr>
            <w:r w:rsidRPr="003B6666">
              <w:rPr>
                <w:rFonts w:hint="eastAsia"/>
                <w:color w:val="000000"/>
                <w:w w:val="15"/>
                <w:shd w:val="solid" w:color="000000" w:fill="000000"/>
                <w:fitText w:val="40" w:id="-760537855"/>
                <w14:textFill>
                  <w14:solidFill>
                    <w14:srgbClr w14:val="000000">
                      <w14:alpha w14:val="100000"/>
                    </w14:srgbClr>
                  </w14:solidFill>
                </w14:textFill>
              </w:rPr>
              <w:t xml:space="preserve">　</w:t>
            </w:r>
            <w:r w:rsidRPr="003B6666">
              <w:rPr>
                <w:color w:val="000000"/>
                <w:w w:val="15"/>
                <w:shd w:val="solid" w:color="000000" w:fill="000000"/>
                <w:fitText w:val="40" w:id="-760537855"/>
                <w14:textFill>
                  <w14:solidFill>
                    <w14:srgbClr w14:val="000000">
                      <w14:alpha w14:val="100000"/>
                    </w14:srgbClr>
                  </w14:solidFill>
                </w14:textFill>
              </w:rPr>
              <w:t>|</w:t>
            </w:r>
            <w:r w:rsidRPr="003B6666">
              <w:rPr>
                <w:rFonts w:hint="eastAsia"/>
                <w:color w:val="000000"/>
                <w:spacing w:val="-25"/>
                <w:w w:val="15"/>
                <w:shd w:val="solid" w:color="000000" w:fill="000000"/>
                <w:fitText w:val="40" w:id="-760537855"/>
                <w14:textFill>
                  <w14:solidFill>
                    <w14:srgbClr w14:val="000000">
                      <w14:alpha w14:val="100000"/>
                    </w14:srgbClr>
                  </w14:solidFill>
                </w14:textFill>
              </w:rPr>
              <w:t xml:space="preserve">　</w:t>
            </w:r>
            <w:r w:rsidR="00820A05" w:rsidRPr="00820A05">
              <w:rPr>
                <w:vertAlign w:val="superscript"/>
              </w:rPr>
              <w:t>3</w:t>
            </w:r>
          </w:p>
        </w:tc>
        <w:tc>
          <w:tcPr>
            <w:tcW w:w="550" w:type="pct"/>
            <w:shd w:val="clear" w:color="auto" w:fill="auto"/>
            <w:vAlign w:val="center"/>
          </w:tcPr>
          <w:p w14:paraId="1D941E66" w14:textId="4B5D4AED" w:rsidR="00732F7D" w:rsidRPr="006B3C65" w:rsidRDefault="007548FA" w:rsidP="00763A33">
            <w:pPr>
              <w:pStyle w:val="TableText0"/>
              <w:jc w:val="center"/>
              <w:rPr>
                <w:highlight w:val="darkGray"/>
              </w:rPr>
            </w:pPr>
            <w:r w:rsidRPr="003B6666">
              <w:rPr>
                <w:rFonts w:hint="eastAsia"/>
                <w:color w:val="000000"/>
                <w:w w:val="15"/>
                <w:shd w:val="solid" w:color="000000" w:fill="000000"/>
                <w:fitText w:val="40" w:id="-760537854"/>
                <w14:textFill>
                  <w14:solidFill>
                    <w14:srgbClr w14:val="000000">
                      <w14:alpha w14:val="100000"/>
                    </w14:srgbClr>
                  </w14:solidFill>
                </w14:textFill>
              </w:rPr>
              <w:t xml:space="preserve">　</w:t>
            </w:r>
            <w:r w:rsidRPr="003B6666">
              <w:rPr>
                <w:color w:val="000000"/>
                <w:w w:val="15"/>
                <w:shd w:val="solid" w:color="000000" w:fill="000000"/>
                <w:fitText w:val="40" w:id="-760537854"/>
                <w14:textFill>
                  <w14:solidFill>
                    <w14:srgbClr w14:val="000000">
                      <w14:alpha w14:val="100000"/>
                    </w14:srgbClr>
                  </w14:solidFill>
                </w14:textFill>
              </w:rPr>
              <w:t>|</w:t>
            </w:r>
            <w:r w:rsidRPr="003B6666">
              <w:rPr>
                <w:rFonts w:hint="eastAsia"/>
                <w:color w:val="000000"/>
                <w:spacing w:val="-25"/>
                <w:w w:val="15"/>
                <w:shd w:val="solid" w:color="000000" w:fill="000000"/>
                <w:fitText w:val="40" w:id="-760537854"/>
                <w14:textFill>
                  <w14:solidFill>
                    <w14:srgbClr w14:val="000000">
                      <w14:alpha w14:val="100000"/>
                    </w14:srgbClr>
                  </w14:solidFill>
                </w14:textFill>
              </w:rPr>
              <w:t xml:space="preserve">　</w:t>
            </w:r>
            <w:r w:rsidR="00820A05" w:rsidRPr="00820A05">
              <w:rPr>
                <w:vertAlign w:val="superscript"/>
              </w:rPr>
              <w:t>3</w:t>
            </w:r>
          </w:p>
        </w:tc>
        <w:tc>
          <w:tcPr>
            <w:tcW w:w="629" w:type="pct"/>
            <w:shd w:val="clear" w:color="auto" w:fill="auto"/>
            <w:vAlign w:val="center"/>
          </w:tcPr>
          <w:p w14:paraId="565EFC01" w14:textId="459AA045" w:rsidR="00732F7D" w:rsidRPr="006B3C65" w:rsidRDefault="007548FA" w:rsidP="00763A33">
            <w:pPr>
              <w:pStyle w:val="TableText0"/>
              <w:jc w:val="center"/>
              <w:rPr>
                <w:highlight w:val="darkGray"/>
              </w:rPr>
            </w:pPr>
            <w:r w:rsidRPr="003B6666">
              <w:rPr>
                <w:rFonts w:hint="eastAsia"/>
                <w:color w:val="000000"/>
                <w:w w:val="15"/>
                <w:shd w:val="solid" w:color="000000" w:fill="000000"/>
                <w:fitText w:val="40" w:id="-760537853"/>
                <w14:textFill>
                  <w14:solidFill>
                    <w14:srgbClr w14:val="000000">
                      <w14:alpha w14:val="100000"/>
                    </w14:srgbClr>
                  </w14:solidFill>
                </w14:textFill>
              </w:rPr>
              <w:t xml:space="preserve">　</w:t>
            </w:r>
            <w:r w:rsidRPr="003B6666">
              <w:rPr>
                <w:color w:val="000000"/>
                <w:w w:val="15"/>
                <w:shd w:val="solid" w:color="000000" w:fill="000000"/>
                <w:fitText w:val="40" w:id="-760537853"/>
                <w14:textFill>
                  <w14:solidFill>
                    <w14:srgbClr w14:val="000000">
                      <w14:alpha w14:val="100000"/>
                    </w14:srgbClr>
                  </w14:solidFill>
                </w14:textFill>
              </w:rPr>
              <w:t>|</w:t>
            </w:r>
            <w:r w:rsidRPr="003B6666">
              <w:rPr>
                <w:rFonts w:hint="eastAsia"/>
                <w:color w:val="000000"/>
                <w:spacing w:val="-25"/>
                <w:w w:val="15"/>
                <w:shd w:val="solid" w:color="000000" w:fill="000000"/>
                <w:fitText w:val="40" w:id="-760537853"/>
                <w14:textFill>
                  <w14:solidFill>
                    <w14:srgbClr w14:val="000000">
                      <w14:alpha w14:val="100000"/>
                    </w14:srgbClr>
                  </w14:solidFill>
                </w14:textFill>
              </w:rPr>
              <w:t xml:space="preserve">　</w:t>
            </w:r>
            <w:r w:rsidR="00820A05" w:rsidRPr="00820A05">
              <w:rPr>
                <w:vertAlign w:val="superscript"/>
              </w:rPr>
              <w:t>3</w:t>
            </w:r>
          </w:p>
        </w:tc>
        <w:tc>
          <w:tcPr>
            <w:tcW w:w="601" w:type="pct"/>
            <w:vAlign w:val="center"/>
          </w:tcPr>
          <w:p w14:paraId="14F6A11C" w14:textId="421FF4C9" w:rsidR="00732F7D" w:rsidRPr="006B3C65" w:rsidRDefault="007548FA" w:rsidP="00763A33">
            <w:pPr>
              <w:pStyle w:val="TableText0"/>
              <w:jc w:val="center"/>
              <w:rPr>
                <w:highlight w:val="darkGray"/>
              </w:rPr>
            </w:pPr>
            <w:r w:rsidRPr="003B6666">
              <w:rPr>
                <w:rFonts w:hint="eastAsia"/>
                <w:color w:val="000000"/>
                <w:w w:val="15"/>
                <w:shd w:val="solid" w:color="000000" w:fill="000000"/>
                <w:fitText w:val="54" w:id="-760537852"/>
                <w14:textFill>
                  <w14:solidFill>
                    <w14:srgbClr w14:val="000000">
                      <w14:alpha w14:val="100000"/>
                    </w14:srgbClr>
                  </w14:solidFill>
                </w14:textFill>
              </w:rPr>
              <w:t xml:space="preserve">　</w:t>
            </w:r>
            <w:r w:rsidRPr="003B6666">
              <w:rPr>
                <w:color w:val="000000"/>
                <w:w w:val="15"/>
                <w:shd w:val="solid" w:color="000000" w:fill="000000"/>
                <w:fitText w:val="54" w:id="-760537852"/>
                <w14:textFill>
                  <w14:solidFill>
                    <w14:srgbClr w14:val="000000">
                      <w14:alpha w14:val="100000"/>
                    </w14:srgbClr>
                  </w14:solidFill>
                </w14:textFill>
              </w:rPr>
              <w:t>|</w:t>
            </w:r>
            <w:r w:rsidRPr="003B6666">
              <w:rPr>
                <w:rFonts w:hint="eastAsia"/>
                <w:color w:val="000000"/>
                <w:spacing w:val="-11"/>
                <w:w w:val="15"/>
                <w:shd w:val="solid" w:color="000000" w:fill="000000"/>
                <w:fitText w:val="54" w:id="-760537852"/>
                <w14:textFill>
                  <w14:solidFill>
                    <w14:srgbClr w14:val="000000">
                      <w14:alpha w14:val="100000"/>
                    </w14:srgbClr>
                  </w14:solidFill>
                </w14:textFill>
              </w:rPr>
              <w:t xml:space="preserve">　</w:t>
            </w:r>
            <w:r w:rsidR="00820A05" w:rsidRPr="00820A05">
              <w:rPr>
                <w:vertAlign w:val="superscript"/>
              </w:rPr>
              <w:t>3</w:t>
            </w:r>
          </w:p>
        </w:tc>
      </w:tr>
      <w:tr w:rsidR="00732F7D" w:rsidRPr="0023146D" w14:paraId="006C7818" w14:textId="77777777" w:rsidTr="006B02AA">
        <w:tc>
          <w:tcPr>
            <w:tcW w:w="5000" w:type="pct"/>
            <w:gridSpan w:val="7"/>
            <w:shd w:val="clear" w:color="auto" w:fill="B8CCE4" w:themeFill="accent1" w:themeFillTint="66"/>
            <w:vAlign w:val="center"/>
          </w:tcPr>
          <w:p w14:paraId="36BCB4AF" w14:textId="734A2F51" w:rsidR="00732F7D" w:rsidRPr="0023146D" w:rsidRDefault="00732F7D" w:rsidP="00F57F1D">
            <w:pPr>
              <w:pStyle w:val="In-tableHeading"/>
            </w:pPr>
            <w:r w:rsidRPr="0023146D">
              <w:t xml:space="preserve">Previous </w:t>
            </w:r>
            <w:r w:rsidR="00F74025" w:rsidRPr="0023146D">
              <w:t xml:space="preserve">November 2023 </w:t>
            </w:r>
            <w:r w:rsidRPr="0023146D">
              <w:t xml:space="preserve">submission </w:t>
            </w:r>
          </w:p>
        </w:tc>
      </w:tr>
      <w:tr w:rsidR="00BD1DC2" w:rsidRPr="0023146D" w14:paraId="31423ED3" w14:textId="77777777" w:rsidTr="00BD1DC2">
        <w:tc>
          <w:tcPr>
            <w:tcW w:w="1411" w:type="pct"/>
            <w:shd w:val="clear" w:color="auto" w:fill="B8CCE4" w:themeFill="accent1" w:themeFillTint="66"/>
            <w:vAlign w:val="center"/>
          </w:tcPr>
          <w:p w14:paraId="5C47CE04" w14:textId="4215950B" w:rsidR="00B53A79" w:rsidRPr="0023146D" w:rsidRDefault="00B53A79" w:rsidP="00B53A79">
            <w:pPr>
              <w:pStyle w:val="TableText0"/>
            </w:pPr>
            <w:r w:rsidRPr="0023146D">
              <w:t>Net cost to PBS</w:t>
            </w:r>
            <w:r w:rsidR="00163540">
              <w:t xml:space="preserve"> ($)</w:t>
            </w:r>
          </w:p>
        </w:tc>
        <w:tc>
          <w:tcPr>
            <w:tcW w:w="630" w:type="pct"/>
            <w:shd w:val="clear" w:color="auto" w:fill="B8CCE4" w:themeFill="accent1" w:themeFillTint="66"/>
            <w:vAlign w:val="center"/>
          </w:tcPr>
          <w:p w14:paraId="49B74A1E" w14:textId="67843811" w:rsidR="00B53A79" w:rsidRPr="006B3C65" w:rsidRDefault="007548FA" w:rsidP="00B53A79">
            <w:pPr>
              <w:pStyle w:val="TableText0"/>
              <w:jc w:val="center"/>
              <w:rPr>
                <w:highlight w:val="darkGray"/>
              </w:rPr>
            </w:pPr>
            <w:r w:rsidRPr="003B6666">
              <w:rPr>
                <w:rFonts w:hint="eastAsia"/>
                <w:color w:val="000000"/>
                <w:w w:val="15"/>
                <w:shd w:val="solid" w:color="000000" w:fill="000000"/>
                <w:fitText w:val="40" w:id="-760537851"/>
                <w14:textFill>
                  <w14:solidFill>
                    <w14:srgbClr w14:val="000000">
                      <w14:alpha w14:val="100000"/>
                    </w14:srgbClr>
                  </w14:solidFill>
                </w14:textFill>
              </w:rPr>
              <w:t xml:space="preserve">　</w:t>
            </w:r>
            <w:r w:rsidRPr="003B6666">
              <w:rPr>
                <w:color w:val="000000"/>
                <w:w w:val="15"/>
                <w:shd w:val="solid" w:color="000000" w:fill="000000"/>
                <w:fitText w:val="40" w:id="-760537851"/>
                <w14:textFill>
                  <w14:solidFill>
                    <w14:srgbClr w14:val="000000">
                      <w14:alpha w14:val="100000"/>
                    </w14:srgbClr>
                  </w14:solidFill>
                </w14:textFill>
              </w:rPr>
              <w:t>|</w:t>
            </w:r>
            <w:r w:rsidRPr="003B6666">
              <w:rPr>
                <w:rFonts w:hint="eastAsia"/>
                <w:color w:val="000000"/>
                <w:spacing w:val="-25"/>
                <w:w w:val="15"/>
                <w:shd w:val="solid" w:color="000000" w:fill="000000"/>
                <w:fitText w:val="40" w:id="-760537851"/>
                <w14:textFill>
                  <w14:solidFill>
                    <w14:srgbClr w14:val="000000">
                      <w14:alpha w14:val="100000"/>
                    </w14:srgbClr>
                  </w14:solidFill>
                </w14:textFill>
              </w:rPr>
              <w:t xml:space="preserve">　</w:t>
            </w:r>
            <w:r w:rsidR="00820A05" w:rsidRPr="00820A05">
              <w:rPr>
                <w:vertAlign w:val="superscript"/>
              </w:rPr>
              <w:t>3</w:t>
            </w:r>
          </w:p>
        </w:tc>
        <w:tc>
          <w:tcPr>
            <w:tcW w:w="550" w:type="pct"/>
            <w:shd w:val="clear" w:color="auto" w:fill="B8CCE4" w:themeFill="accent1" w:themeFillTint="66"/>
            <w:vAlign w:val="center"/>
          </w:tcPr>
          <w:p w14:paraId="17A33DF6" w14:textId="10601DAD" w:rsidR="00B53A79" w:rsidRPr="006B3C65" w:rsidRDefault="007548FA" w:rsidP="00B53A79">
            <w:pPr>
              <w:pStyle w:val="TableText0"/>
              <w:jc w:val="center"/>
              <w:rPr>
                <w:highlight w:val="darkGray"/>
              </w:rPr>
            </w:pPr>
            <w:r w:rsidRPr="003B6666">
              <w:rPr>
                <w:rFonts w:hint="eastAsia"/>
                <w:color w:val="000000"/>
                <w:w w:val="15"/>
                <w:shd w:val="solid" w:color="000000" w:fill="000000"/>
                <w:fitText w:val="40" w:id="-760537850"/>
                <w14:textFill>
                  <w14:solidFill>
                    <w14:srgbClr w14:val="000000">
                      <w14:alpha w14:val="100000"/>
                    </w14:srgbClr>
                  </w14:solidFill>
                </w14:textFill>
              </w:rPr>
              <w:t xml:space="preserve">　</w:t>
            </w:r>
            <w:r w:rsidRPr="003B6666">
              <w:rPr>
                <w:color w:val="000000"/>
                <w:w w:val="15"/>
                <w:shd w:val="solid" w:color="000000" w:fill="000000"/>
                <w:fitText w:val="40" w:id="-760537850"/>
                <w14:textFill>
                  <w14:solidFill>
                    <w14:srgbClr w14:val="000000">
                      <w14:alpha w14:val="100000"/>
                    </w14:srgbClr>
                  </w14:solidFill>
                </w14:textFill>
              </w:rPr>
              <w:t>|</w:t>
            </w:r>
            <w:r w:rsidRPr="003B6666">
              <w:rPr>
                <w:rFonts w:hint="eastAsia"/>
                <w:color w:val="000000"/>
                <w:spacing w:val="-25"/>
                <w:w w:val="15"/>
                <w:shd w:val="solid" w:color="000000" w:fill="000000"/>
                <w:fitText w:val="40" w:id="-760537850"/>
                <w14:textFill>
                  <w14:solidFill>
                    <w14:srgbClr w14:val="000000">
                      <w14:alpha w14:val="100000"/>
                    </w14:srgbClr>
                  </w14:solidFill>
                </w14:textFill>
              </w:rPr>
              <w:t xml:space="preserve">　</w:t>
            </w:r>
            <w:r w:rsidR="00820A05" w:rsidRPr="00820A05">
              <w:rPr>
                <w:vertAlign w:val="superscript"/>
              </w:rPr>
              <w:t>3</w:t>
            </w:r>
          </w:p>
        </w:tc>
        <w:tc>
          <w:tcPr>
            <w:tcW w:w="629" w:type="pct"/>
            <w:shd w:val="clear" w:color="auto" w:fill="B8CCE4" w:themeFill="accent1" w:themeFillTint="66"/>
            <w:vAlign w:val="center"/>
          </w:tcPr>
          <w:p w14:paraId="6C8CD0C5" w14:textId="7F0C15A4" w:rsidR="00B53A79" w:rsidRPr="006B3C65" w:rsidRDefault="007548FA" w:rsidP="00B53A79">
            <w:pPr>
              <w:pStyle w:val="TableText0"/>
              <w:jc w:val="center"/>
              <w:rPr>
                <w:highlight w:val="darkGray"/>
              </w:rPr>
            </w:pPr>
            <w:r w:rsidRPr="003B6666">
              <w:rPr>
                <w:rFonts w:hint="eastAsia"/>
                <w:color w:val="000000"/>
                <w:w w:val="15"/>
                <w:shd w:val="solid" w:color="000000" w:fill="000000"/>
                <w:fitText w:val="40" w:id="-760537849"/>
                <w14:textFill>
                  <w14:solidFill>
                    <w14:srgbClr w14:val="000000">
                      <w14:alpha w14:val="100000"/>
                    </w14:srgbClr>
                  </w14:solidFill>
                </w14:textFill>
              </w:rPr>
              <w:t xml:space="preserve">　</w:t>
            </w:r>
            <w:r w:rsidRPr="003B6666">
              <w:rPr>
                <w:color w:val="000000"/>
                <w:w w:val="15"/>
                <w:shd w:val="solid" w:color="000000" w:fill="000000"/>
                <w:fitText w:val="40" w:id="-760537849"/>
                <w14:textFill>
                  <w14:solidFill>
                    <w14:srgbClr w14:val="000000">
                      <w14:alpha w14:val="100000"/>
                    </w14:srgbClr>
                  </w14:solidFill>
                </w14:textFill>
              </w:rPr>
              <w:t>|</w:t>
            </w:r>
            <w:r w:rsidRPr="003B6666">
              <w:rPr>
                <w:rFonts w:hint="eastAsia"/>
                <w:color w:val="000000"/>
                <w:spacing w:val="-25"/>
                <w:w w:val="15"/>
                <w:shd w:val="solid" w:color="000000" w:fill="000000"/>
                <w:fitText w:val="40" w:id="-760537849"/>
                <w14:textFill>
                  <w14:solidFill>
                    <w14:srgbClr w14:val="000000">
                      <w14:alpha w14:val="100000"/>
                    </w14:srgbClr>
                  </w14:solidFill>
                </w14:textFill>
              </w:rPr>
              <w:t xml:space="preserve">　</w:t>
            </w:r>
            <w:r w:rsidR="00820A05" w:rsidRPr="00820A05">
              <w:rPr>
                <w:vertAlign w:val="superscript"/>
              </w:rPr>
              <w:t>3</w:t>
            </w:r>
          </w:p>
        </w:tc>
        <w:tc>
          <w:tcPr>
            <w:tcW w:w="550" w:type="pct"/>
            <w:shd w:val="clear" w:color="auto" w:fill="B8CCE4" w:themeFill="accent1" w:themeFillTint="66"/>
            <w:vAlign w:val="center"/>
          </w:tcPr>
          <w:p w14:paraId="7131FD90" w14:textId="3C192FFD" w:rsidR="00B53A79" w:rsidRPr="006B3C65" w:rsidRDefault="007548FA" w:rsidP="00B53A79">
            <w:pPr>
              <w:pStyle w:val="TableText0"/>
              <w:jc w:val="center"/>
              <w:rPr>
                <w:highlight w:val="darkGray"/>
              </w:rPr>
            </w:pPr>
            <w:r w:rsidRPr="003B6666">
              <w:rPr>
                <w:rFonts w:hint="eastAsia"/>
                <w:color w:val="000000"/>
                <w:w w:val="15"/>
                <w:shd w:val="solid" w:color="000000" w:fill="000000"/>
                <w:fitText w:val="40" w:id="-760537848"/>
                <w14:textFill>
                  <w14:solidFill>
                    <w14:srgbClr w14:val="000000">
                      <w14:alpha w14:val="100000"/>
                    </w14:srgbClr>
                  </w14:solidFill>
                </w14:textFill>
              </w:rPr>
              <w:t xml:space="preserve">　</w:t>
            </w:r>
            <w:r w:rsidRPr="003B6666">
              <w:rPr>
                <w:color w:val="000000"/>
                <w:w w:val="15"/>
                <w:shd w:val="solid" w:color="000000" w:fill="000000"/>
                <w:fitText w:val="40" w:id="-760537848"/>
                <w14:textFill>
                  <w14:solidFill>
                    <w14:srgbClr w14:val="000000">
                      <w14:alpha w14:val="100000"/>
                    </w14:srgbClr>
                  </w14:solidFill>
                </w14:textFill>
              </w:rPr>
              <w:t>|</w:t>
            </w:r>
            <w:r w:rsidRPr="003B6666">
              <w:rPr>
                <w:rFonts w:hint="eastAsia"/>
                <w:color w:val="000000"/>
                <w:spacing w:val="-25"/>
                <w:w w:val="15"/>
                <w:shd w:val="solid" w:color="000000" w:fill="000000"/>
                <w:fitText w:val="40" w:id="-760537848"/>
                <w14:textFill>
                  <w14:solidFill>
                    <w14:srgbClr w14:val="000000">
                      <w14:alpha w14:val="100000"/>
                    </w14:srgbClr>
                  </w14:solidFill>
                </w14:textFill>
              </w:rPr>
              <w:t xml:space="preserve">　</w:t>
            </w:r>
            <w:r w:rsidR="00820A05" w:rsidRPr="00820A05">
              <w:rPr>
                <w:vertAlign w:val="superscript"/>
              </w:rPr>
              <w:t>3</w:t>
            </w:r>
          </w:p>
        </w:tc>
        <w:tc>
          <w:tcPr>
            <w:tcW w:w="629" w:type="pct"/>
            <w:shd w:val="clear" w:color="auto" w:fill="B8CCE4" w:themeFill="accent1" w:themeFillTint="66"/>
            <w:vAlign w:val="center"/>
          </w:tcPr>
          <w:p w14:paraId="25D98203" w14:textId="11CCD329" w:rsidR="00B53A79" w:rsidRPr="006B3C65" w:rsidRDefault="007548FA" w:rsidP="00B53A79">
            <w:pPr>
              <w:pStyle w:val="TableText0"/>
              <w:jc w:val="center"/>
              <w:rPr>
                <w:highlight w:val="darkGray"/>
              </w:rPr>
            </w:pPr>
            <w:r w:rsidRPr="003B6666">
              <w:rPr>
                <w:rFonts w:hint="eastAsia"/>
                <w:color w:val="000000"/>
                <w:w w:val="15"/>
                <w:shd w:val="solid" w:color="000000" w:fill="000000"/>
                <w:fitText w:val="40" w:id="-760537847"/>
                <w14:textFill>
                  <w14:solidFill>
                    <w14:srgbClr w14:val="000000">
                      <w14:alpha w14:val="100000"/>
                    </w14:srgbClr>
                  </w14:solidFill>
                </w14:textFill>
              </w:rPr>
              <w:t xml:space="preserve">　</w:t>
            </w:r>
            <w:r w:rsidRPr="003B6666">
              <w:rPr>
                <w:color w:val="000000"/>
                <w:w w:val="15"/>
                <w:shd w:val="solid" w:color="000000" w:fill="000000"/>
                <w:fitText w:val="40" w:id="-760537847"/>
                <w14:textFill>
                  <w14:solidFill>
                    <w14:srgbClr w14:val="000000">
                      <w14:alpha w14:val="100000"/>
                    </w14:srgbClr>
                  </w14:solidFill>
                </w14:textFill>
              </w:rPr>
              <w:t>|</w:t>
            </w:r>
            <w:r w:rsidRPr="003B6666">
              <w:rPr>
                <w:rFonts w:hint="eastAsia"/>
                <w:color w:val="000000"/>
                <w:spacing w:val="-25"/>
                <w:w w:val="15"/>
                <w:shd w:val="solid" w:color="000000" w:fill="000000"/>
                <w:fitText w:val="40" w:id="-760537847"/>
                <w14:textFill>
                  <w14:solidFill>
                    <w14:srgbClr w14:val="000000">
                      <w14:alpha w14:val="100000"/>
                    </w14:srgbClr>
                  </w14:solidFill>
                </w14:textFill>
              </w:rPr>
              <w:t xml:space="preserve">　</w:t>
            </w:r>
            <w:r w:rsidR="00820A05" w:rsidRPr="00820A05">
              <w:rPr>
                <w:vertAlign w:val="superscript"/>
              </w:rPr>
              <w:t>3</w:t>
            </w:r>
          </w:p>
        </w:tc>
        <w:tc>
          <w:tcPr>
            <w:tcW w:w="601" w:type="pct"/>
            <w:shd w:val="clear" w:color="auto" w:fill="B8CCE4" w:themeFill="accent1" w:themeFillTint="66"/>
            <w:vAlign w:val="center"/>
          </w:tcPr>
          <w:p w14:paraId="245D7AF1" w14:textId="3753C5F4" w:rsidR="00B53A79" w:rsidRPr="006B3C65" w:rsidRDefault="007548FA" w:rsidP="00B53A79">
            <w:pPr>
              <w:pStyle w:val="TableText0"/>
              <w:jc w:val="center"/>
              <w:rPr>
                <w:highlight w:val="darkGray"/>
              </w:rPr>
            </w:pPr>
            <w:r w:rsidRPr="003B6666">
              <w:rPr>
                <w:rFonts w:hint="eastAsia"/>
                <w:color w:val="000000"/>
                <w:w w:val="15"/>
                <w:shd w:val="solid" w:color="000000" w:fill="000000"/>
                <w:fitText w:val="54" w:id="-760537846"/>
                <w14:textFill>
                  <w14:solidFill>
                    <w14:srgbClr w14:val="000000">
                      <w14:alpha w14:val="100000"/>
                    </w14:srgbClr>
                  </w14:solidFill>
                </w14:textFill>
              </w:rPr>
              <w:t xml:space="preserve">　</w:t>
            </w:r>
            <w:r w:rsidRPr="003B6666">
              <w:rPr>
                <w:color w:val="000000"/>
                <w:w w:val="15"/>
                <w:shd w:val="solid" w:color="000000" w:fill="000000"/>
                <w:fitText w:val="54" w:id="-760537846"/>
                <w14:textFill>
                  <w14:solidFill>
                    <w14:srgbClr w14:val="000000">
                      <w14:alpha w14:val="100000"/>
                    </w14:srgbClr>
                  </w14:solidFill>
                </w14:textFill>
              </w:rPr>
              <w:t>|</w:t>
            </w:r>
            <w:r w:rsidRPr="003B6666">
              <w:rPr>
                <w:rFonts w:hint="eastAsia"/>
                <w:color w:val="000000"/>
                <w:spacing w:val="-11"/>
                <w:w w:val="15"/>
                <w:shd w:val="solid" w:color="000000" w:fill="000000"/>
                <w:fitText w:val="54" w:id="-760537846"/>
                <w14:textFill>
                  <w14:solidFill>
                    <w14:srgbClr w14:val="000000">
                      <w14:alpha w14:val="100000"/>
                    </w14:srgbClr>
                  </w14:solidFill>
                </w14:textFill>
              </w:rPr>
              <w:t xml:space="preserve">　</w:t>
            </w:r>
            <w:r w:rsidR="00820A05" w:rsidRPr="00820A05">
              <w:rPr>
                <w:vertAlign w:val="superscript"/>
              </w:rPr>
              <w:t>3</w:t>
            </w:r>
          </w:p>
        </w:tc>
      </w:tr>
      <w:tr w:rsidR="006B02AA" w:rsidRPr="0023146D" w14:paraId="2259569F" w14:textId="77777777" w:rsidTr="006B02AA">
        <w:tc>
          <w:tcPr>
            <w:tcW w:w="5000" w:type="pct"/>
            <w:gridSpan w:val="7"/>
            <w:shd w:val="clear" w:color="auto" w:fill="auto"/>
            <w:vAlign w:val="center"/>
          </w:tcPr>
          <w:p w14:paraId="1CDB4100" w14:textId="07DC7D06" w:rsidR="006B02AA" w:rsidRPr="0023146D" w:rsidRDefault="006B02AA">
            <w:pPr>
              <w:pStyle w:val="In-tableHeading"/>
            </w:pPr>
            <w:r>
              <w:t>PBAC revised e</w:t>
            </w:r>
            <w:r w:rsidRPr="0023146D">
              <w:t xml:space="preserve">stimated extent of </w:t>
            </w:r>
            <w:proofErr w:type="spellStart"/>
            <w:r w:rsidRPr="0023146D">
              <w:t>use</w:t>
            </w:r>
            <w:r w:rsidRPr="006B02AA">
              <w:rPr>
                <w:vertAlign w:val="superscript"/>
              </w:rPr>
              <w:t>a</w:t>
            </w:r>
            <w:proofErr w:type="spellEnd"/>
          </w:p>
        </w:tc>
      </w:tr>
      <w:tr w:rsidR="00BD1DC2" w:rsidRPr="0023146D" w14:paraId="2F9712C4" w14:textId="77777777" w:rsidTr="00BD1DC2">
        <w:tc>
          <w:tcPr>
            <w:tcW w:w="1411" w:type="pct"/>
            <w:shd w:val="clear" w:color="auto" w:fill="auto"/>
            <w:vAlign w:val="center"/>
          </w:tcPr>
          <w:p w14:paraId="585CDF63" w14:textId="77777777" w:rsidR="006B02AA" w:rsidRPr="0023146D" w:rsidRDefault="006B02AA">
            <w:pPr>
              <w:pStyle w:val="TableText0"/>
              <w:rPr>
                <w:rFonts w:ascii="Times" w:hAnsi="Times"/>
              </w:rPr>
            </w:pPr>
            <w:r w:rsidRPr="0023146D">
              <w:t>Number of patients treated</w:t>
            </w:r>
          </w:p>
        </w:tc>
        <w:tc>
          <w:tcPr>
            <w:tcW w:w="630" w:type="pct"/>
            <w:shd w:val="clear" w:color="auto" w:fill="auto"/>
          </w:tcPr>
          <w:p w14:paraId="7DF2B9B2" w14:textId="3DF715F3" w:rsidR="006B02AA" w:rsidRPr="006B3C65" w:rsidRDefault="007548FA">
            <w:pPr>
              <w:pStyle w:val="TableText0"/>
              <w:jc w:val="center"/>
              <w:rPr>
                <w:highlight w:val="darkGray"/>
              </w:rPr>
            </w:pPr>
            <w:r w:rsidRPr="003B6666">
              <w:rPr>
                <w:rFonts w:hint="eastAsia"/>
                <w:color w:val="000000"/>
                <w:w w:val="15"/>
                <w:shd w:val="solid" w:color="000000" w:fill="000000"/>
                <w:fitText w:val="40" w:id="-760537845"/>
                <w14:textFill>
                  <w14:solidFill>
                    <w14:srgbClr w14:val="000000">
                      <w14:alpha w14:val="100000"/>
                    </w14:srgbClr>
                  </w14:solidFill>
                </w14:textFill>
              </w:rPr>
              <w:t xml:space="preserve">　</w:t>
            </w:r>
            <w:r w:rsidRPr="003B6666">
              <w:rPr>
                <w:color w:val="000000"/>
                <w:w w:val="15"/>
                <w:shd w:val="solid" w:color="000000" w:fill="000000"/>
                <w:fitText w:val="40" w:id="-760537845"/>
                <w14:textFill>
                  <w14:solidFill>
                    <w14:srgbClr w14:val="000000">
                      <w14:alpha w14:val="100000"/>
                    </w14:srgbClr>
                  </w14:solidFill>
                </w14:textFill>
              </w:rPr>
              <w:t>|</w:t>
            </w:r>
            <w:r w:rsidRPr="003B6666">
              <w:rPr>
                <w:rFonts w:hint="eastAsia"/>
                <w:color w:val="000000"/>
                <w:spacing w:val="-25"/>
                <w:w w:val="15"/>
                <w:shd w:val="solid" w:color="000000" w:fill="000000"/>
                <w:fitText w:val="40" w:id="-760537845"/>
                <w14:textFill>
                  <w14:solidFill>
                    <w14:srgbClr w14:val="000000">
                      <w14:alpha w14:val="100000"/>
                    </w14:srgbClr>
                  </w14:solidFill>
                </w14:textFill>
              </w:rPr>
              <w:t xml:space="preserve">　</w:t>
            </w:r>
            <w:r w:rsidR="002C63DC" w:rsidRPr="002C63DC">
              <w:rPr>
                <w:vertAlign w:val="superscript"/>
              </w:rPr>
              <w:t>1</w:t>
            </w:r>
          </w:p>
        </w:tc>
        <w:tc>
          <w:tcPr>
            <w:tcW w:w="550" w:type="pct"/>
            <w:shd w:val="clear" w:color="auto" w:fill="auto"/>
          </w:tcPr>
          <w:p w14:paraId="63CACE9C" w14:textId="56D35740" w:rsidR="006B02AA" w:rsidRPr="006B3C65" w:rsidRDefault="007548FA">
            <w:pPr>
              <w:pStyle w:val="TableText0"/>
              <w:jc w:val="center"/>
              <w:rPr>
                <w:highlight w:val="darkGray"/>
              </w:rPr>
            </w:pPr>
            <w:r w:rsidRPr="003B6666">
              <w:rPr>
                <w:rFonts w:hint="eastAsia"/>
                <w:color w:val="000000"/>
                <w:w w:val="15"/>
                <w:shd w:val="solid" w:color="000000" w:fill="000000"/>
                <w:fitText w:val="40" w:id="-760537844"/>
                <w14:textFill>
                  <w14:solidFill>
                    <w14:srgbClr w14:val="000000">
                      <w14:alpha w14:val="100000"/>
                    </w14:srgbClr>
                  </w14:solidFill>
                </w14:textFill>
              </w:rPr>
              <w:t xml:space="preserve">　</w:t>
            </w:r>
            <w:r w:rsidRPr="003B6666">
              <w:rPr>
                <w:color w:val="000000"/>
                <w:w w:val="15"/>
                <w:shd w:val="solid" w:color="000000" w:fill="000000"/>
                <w:fitText w:val="40" w:id="-760537844"/>
                <w14:textFill>
                  <w14:solidFill>
                    <w14:srgbClr w14:val="000000">
                      <w14:alpha w14:val="100000"/>
                    </w14:srgbClr>
                  </w14:solidFill>
                </w14:textFill>
              </w:rPr>
              <w:t>|</w:t>
            </w:r>
            <w:r w:rsidRPr="003B6666">
              <w:rPr>
                <w:rFonts w:hint="eastAsia"/>
                <w:color w:val="000000"/>
                <w:spacing w:val="-25"/>
                <w:w w:val="15"/>
                <w:shd w:val="solid" w:color="000000" w:fill="000000"/>
                <w:fitText w:val="40" w:id="-760537844"/>
                <w14:textFill>
                  <w14:solidFill>
                    <w14:srgbClr w14:val="000000">
                      <w14:alpha w14:val="100000"/>
                    </w14:srgbClr>
                  </w14:solidFill>
                </w14:textFill>
              </w:rPr>
              <w:t xml:space="preserve">　</w:t>
            </w:r>
            <w:r w:rsidR="002C63DC" w:rsidRPr="002C63DC">
              <w:rPr>
                <w:vertAlign w:val="superscript"/>
              </w:rPr>
              <w:t>1</w:t>
            </w:r>
          </w:p>
        </w:tc>
        <w:tc>
          <w:tcPr>
            <w:tcW w:w="629" w:type="pct"/>
            <w:shd w:val="clear" w:color="auto" w:fill="auto"/>
          </w:tcPr>
          <w:p w14:paraId="766514B4" w14:textId="7F886045" w:rsidR="006B02AA" w:rsidRPr="006B3C65" w:rsidRDefault="007548FA">
            <w:pPr>
              <w:pStyle w:val="TableText0"/>
              <w:jc w:val="center"/>
              <w:rPr>
                <w:highlight w:val="darkGray"/>
              </w:rPr>
            </w:pPr>
            <w:r w:rsidRPr="003B6666">
              <w:rPr>
                <w:rFonts w:hint="eastAsia"/>
                <w:color w:val="000000"/>
                <w:w w:val="15"/>
                <w:shd w:val="solid" w:color="000000" w:fill="000000"/>
                <w:fitText w:val="40" w:id="-760537843"/>
                <w14:textFill>
                  <w14:solidFill>
                    <w14:srgbClr w14:val="000000">
                      <w14:alpha w14:val="100000"/>
                    </w14:srgbClr>
                  </w14:solidFill>
                </w14:textFill>
              </w:rPr>
              <w:t xml:space="preserve">　</w:t>
            </w:r>
            <w:r w:rsidRPr="003B6666">
              <w:rPr>
                <w:color w:val="000000"/>
                <w:w w:val="15"/>
                <w:shd w:val="solid" w:color="000000" w:fill="000000"/>
                <w:fitText w:val="40" w:id="-760537843"/>
                <w14:textFill>
                  <w14:solidFill>
                    <w14:srgbClr w14:val="000000">
                      <w14:alpha w14:val="100000"/>
                    </w14:srgbClr>
                  </w14:solidFill>
                </w14:textFill>
              </w:rPr>
              <w:t>|</w:t>
            </w:r>
            <w:r w:rsidRPr="003B6666">
              <w:rPr>
                <w:rFonts w:hint="eastAsia"/>
                <w:color w:val="000000"/>
                <w:spacing w:val="-25"/>
                <w:w w:val="15"/>
                <w:shd w:val="solid" w:color="000000" w:fill="000000"/>
                <w:fitText w:val="40" w:id="-760537843"/>
                <w14:textFill>
                  <w14:solidFill>
                    <w14:srgbClr w14:val="000000">
                      <w14:alpha w14:val="100000"/>
                    </w14:srgbClr>
                  </w14:solidFill>
                </w14:textFill>
              </w:rPr>
              <w:t xml:space="preserve">　</w:t>
            </w:r>
            <w:r w:rsidR="002C63DC" w:rsidRPr="002C63DC">
              <w:rPr>
                <w:vertAlign w:val="superscript"/>
              </w:rPr>
              <w:t>1</w:t>
            </w:r>
          </w:p>
        </w:tc>
        <w:tc>
          <w:tcPr>
            <w:tcW w:w="550" w:type="pct"/>
            <w:shd w:val="clear" w:color="auto" w:fill="auto"/>
          </w:tcPr>
          <w:p w14:paraId="1ED83C06" w14:textId="42E0753D" w:rsidR="006B02AA" w:rsidRPr="006B3C65" w:rsidRDefault="007548FA">
            <w:pPr>
              <w:pStyle w:val="TableText0"/>
              <w:jc w:val="center"/>
              <w:rPr>
                <w:highlight w:val="darkGray"/>
              </w:rPr>
            </w:pPr>
            <w:r w:rsidRPr="003B6666">
              <w:rPr>
                <w:rFonts w:hint="eastAsia"/>
                <w:color w:val="000000"/>
                <w:w w:val="15"/>
                <w:shd w:val="solid" w:color="000000" w:fill="000000"/>
                <w:fitText w:val="40" w:id="-760537842"/>
                <w14:textFill>
                  <w14:solidFill>
                    <w14:srgbClr w14:val="000000">
                      <w14:alpha w14:val="100000"/>
                    </w14:srgbClr>
                  </w14:solidFill>
                </w14:textFill>
              </w:rPr>
              <w:t xml:space="preserve">　</w:t>
            </w:r>
            <w:r w:rsidRPr="003B6666">
              <w:rPr>
                <w:color w:val="000000"/>
                <w:w w:val="15"/>
                <w:shd w:val="solid" w:color="000000" w:fill="000000"/>
                <w:fitText w:val="40" w:id="-760537842"/>
                <w14:textFill>
                  <w14:solidFill>
                    <w14:srgbClr w14:val="000000">
                      <w14:alpha w14:val="100000"/>
                    </w14:srgbClr>
                  </w14:solidFill>
                </w14:textFill>
              </w:rPr>
              <w:t>|</w:t>
            </w:r>
            <w:r w:rsidRPr="003B6666">
              <w:rPr>
                <w:rFonts w:hint="eastAsia"/>
                <w:color w:val="000000"/>
                <w:spacing w:val="-25"/>
                <w:w w:val="15"/>
                <w:shd w:val="solid" w:color="000000" w:fill="000000"/>
                <w:fitText w:val="40" w:id="-760537842"/>
                <w14:textFill>
                  <w14:solidFill>
                    <w14:srgbClr w14:val="000000">
                      <w14:alpha w14:val="100000"/>
                    </w14:srgbClr>
                  </w14:solidFill>
                </w14:textFill>
              </w:rPr>
              <w:t xml:space="preserve">　</w:t>
            </w:r>
            <w:r w:rsidR="002C63DC" w:rsidRPr="002C63DC">
              <w:rPr>
                <w:vertAlign w:val="superscript"/>
              </w:rPr>
              <w:t>1</w:t>
            </w:r>
          </w:p>
        </w:tc>
        <w:tc>
          <w:tcPr>
            <w:tcW w:w="629" w:type="pct"/>
            <w:shd w:val="clear" w:color="auto" w:fill="auto"/>
          </w:tcPr>
          <w:p w14:paraId="688364C1" w14:textId="259E8C2E" w:rsidR="006B02AA" w:rsidRPr="006B3C65" w:rsidRDefault="007548FA">
            <w:pPr>
              <w:pStyle w:val="TableText0"/>
              <w:jc w:val="center"/>
              <w:rPr>
                <w:highlight w:val="darkGray"/>
              </w:rPr>
            </w:pPr>
            <w:r w:rsidRPr="003B6666">
              <w:rPr>
                <w:rFonts w:hint="eastAsia"/>
                <w:color w:val="000000"/>
                <w:w w:val="15"/>
                <w:shd w:val="solid" w:color="000000" w:fill="000000"/>
                <w:fitText w:val="40" w:id="-760537841"/>
                <w14:textFill>
                  <w14:solidFill>
                    <w14:srgbClr w14:val="000000">
                      <w14:alpha w14:val="100000"/>
                    </w14:srgbClr>
                  </w14:solidFill>
                </w14:textFill>
              </w:rPr>
              <w:t xml:space="preserve">　</w:t>
            </w:r>
            <w:r w:rsidRPr="003B6666">
              <w:rPr>
                <w:color w:val="000000"/>
                <w:w w:val="15"/>
                <w:shd w:val="solid" w:color="000000" w:fill="000000"/>
                <w:fitText w:val="40" w:id="-760537841"/>
                <w14:textFill>
                  <w14:solidFill>
                    <w14:srgbClr w14:val="000000">
                      <w14:alpha w14:val="100000"/>
                    </w14:srgbClr>
                  </w14:solidFill>
                </w14:textFill>
              </w:rPr>
              <w:t>|</w:t>
            </w:r>
            <w:r w:rsidRPr="003B6666">
              <w:rPr>
                <w:rFonts w:hint="eastAsia"/>
                <w:color w:val="000000"/>
                <w:spacing w:val="-25"/>
                <w:w w:val="15"/>
                <w:shd w:val="solid" w:color="000000" w:fill="000000"/>
                <w:fitText w:val="40" w:id="-760537841"/>
                <w14:textFill>
                  <w14:solidFill>
                    <w14:srgbClr w14:val="000000">
                      <w14:alpha w14:val="100000"/>
                    </w14:srgbClr>
                  </w14:solidFill>
                </w14:textFill>
              </w:rPr>
              <w:t xml:space="preserve">　</w:t>
            </w:r>
            <w:r w:rsidR="002C63DC" w:rsidRPr="002C63DC">
              <w:rPr>
                <w:vertAlign w:val="superscript"/>
              </w:rPr>
              <w:t>1</w:t>
            </w:r>
          </w:p>
        </w:tc>
        <w:tc>
          <w:tcPr>
            <w:tcW w:w="601" w:type="pct"/>
          </w:tcPr>
          <w:p w14:paraId="13BD3142" w14:textId="7D63012F" w:rsidR="006B02AA" w:rsidRPr="006B3C65" w:rsidRDefault="007548FA">
            <w:pPr>
              <w:pStyle w:val="TableText0"/>
              <w:jc w:val="center"/>
              <w:rPr>
                <w:highlight w:val="darkGray"/>
              </w:rPr>
            </w:pPr>
            <w:r w:rsidRPr="003B6666">
              <w:rPr>
                <w:rFonts w:hint="eastAsia"/>
                <w:color w:val="000000"/>
                <w:w w:val="15"/>
                <w:shd w:val="solid" w:color="000000" w:fill="000000"/>
                <w:fitText w:val="54" w:id="-760537840"/>
                <w14:textFill>
                  <w14:solidFill>
                    <w14:srgbClr w14:val="000000">
                      <w14:alpha w14:val="100000"/>
                    </w14:srgbClr>
                  </w14:solidFill>
                </w14:textFill>
              </w:rPr>
              <w:t xml:space="preserve">　</w:t>
            </w:r>
            <w:r w:rsidRPr="003B6666">
              <w:rPr>
                <w:color w:val="000000"/>
                <w:w w:val="15"/>
                <w:shd w:val="solid" w:color="000000" w:fill="000000"/>
                <w:fitText w:val="54" w:id="-760537840"/>
                <w14:textFill>
                  <w14:solidFill>
                    <w14:srgbClr w14:val="000000">
                      <w14:alpha w14:val="100000"/>
                    </w14:srgbClr>
                  </w14:solidFill>
                </w14:textFill>
              </w:rPr>
              <w:t>|</w:t>
            </w:r>
            <w:r w:rsidRPr="003B6666">
              <w:rPr>
                <w:rFonts w:hint="eastAsia"/>
                <w:color w:val="000000"/>
                <w:spacing w:val="-11"/>
                <w:w w:val="15"/>
                <w:shd w:val="solid" w:color="000000" w:fill="000000"/>
                <w:fitText w:val="54" w:id="-760537840"/>
                <w14:textFill>
                  <w14:solidFill>
                    <w14:srgbClr w14:val="000000">
                      <w14:alpha w14:val="100000"/>
                    </w14:srgbClr>
                  </w14:solidFill>
                </w14:textFill>
              </w:rPr>
              <w:t xml:space="preserve">　</w:t>
            </w:r>
            <w:r w:rsidR="002C63DC" w:rsidRPr="002C63DC">
              <w:rPr>
                <w:vertAlign w:val="superscript"/>
              </w:rPr>
              <w:t>1</w:t>
            </w:r>
          </w:p>
        </w:tc>
      </w:tr>
      <w:tr w:rsidR="00BD1DC2" w:rsidRPr="0023146D" w14:paraId="0301F2EE" w14:textId="77777777" w:rsidTr="00BD1DC2">
        <w:tc>
          <w:tcPr>
            <w:tcW w:w="1411" w:type="pct"/>
            <w:shd w:val="clear" w:color="auto" w:fill="auto"/>
            <w:vAlign w:val="center"/>
          </w:tcPr>
          <w:p w14:paraId="0A0DB574" w14:textId="77777777" w:rsidR="006B02AA" w:rsidRPr="0023146D" w:rsidRDefault="006B02AA" w:rsidP="006B02AA">
            <w:pPr>
              <w:pStyle w:val="TableText0"/>
              <w:rPr>
                <w:rFonts w:ascii="Times" w:hAnsi="Times"/>
              </w:rPr>
            </w:pPr>
            <w:r w:rsidRPr="0023146D">
              <w:t>Number of pack</w:t>
            </w:r>
            <w:r>
              <w:t>s</w:t>
            </w:r>
            <w:r w:rsidRPr="0023146D">
              <w:t xml:space="preserve"> dispensed</w:t>
            </w:r>
          </w:p>
        </w:tc>
        <w:tc>
          <w:tcPr>
            <w:tcW w:w="630" w:type="pct"/>
            <w:shd w:val="clear" w:color="auto" w:fill="auto"/>
            <w:vAlign w:val="center"/>
          </w:tcPr>
          <w:p w14:paraId="4AF6CC6D" w14:textId="1AB8A7BD" w:rsidR="006B02AA" w:rsidRPr="006B3C65" w:rsidRDefault="007548FA" w:rsidP="006B02AA">
            <w:pPr>
              <w:pStyle w:val="TableText0"/>
              <w:jc w:val="center"/>
              <w:rPr>
                <w:highlight w:val="darkGray"/>
              </w:rPr>
            </w:pPr>
            <w:r w:rsidRPr="003B6666">
              <w:rPr>
                <w:rFonts w:hint="eastAsia"/>
                <w:color w:val="000000"/>
                <w:w w:val="15"/>
                <w:shd w:val="solid" w:color="000000" w:fill="000000"/>
                <w:fitText w:val="40" w:id="-760537856"/>
                <w14:textFill>
                  <w14:solidFill>
                    <w14:srgbClr w14:val="000000">
                      <w14:alpha w14:val="100000"/>
                    </w14:srgbClr>
                  </w14:solidFill>
                </w14:textFill>
              </w:rPr>
              <w:t xml:space="preserve">　</w:t>
            </w:r>
            <w:r w:rsidRPr="003B6666">
              <w:rPr>
                <w:color w:val="000000"/>
                <w:w w:val="15"/>
                <w:shd w:val="solid" w:color="000000" w:fill="000000"/>
                <w:fitText w:val="40" w:id="-760537856"/>
                <w14:textFill>
                  <w14:solidFill>
                    <w14:srgbClr w14:val="000000">
                      <w14:alpha w14:val="100000"/>
                    </w14:srgbClr>
                  </w14:solidFill>
                </w14:textFill>
              </w:rPr>
              <w:t>|</w:t>
            </w:r>
            <w:r w:rsidRPr="003B6666">
              <w:rPr>
                <w:rFonts w:hint="eastAsia"/>
                <w:color w:val="000000"/>
                <w:spacing w:val="-25"/>
                <w:w w:val="15"/>
                <w:shd w:val="solid" w:color="000000" w:fill="000000"/>
                <w:fitText w:val="40" w:id="-760537856"/>
                <w14:textFill>
                  <w14:solidFill>
                    <w14:srgbClr w14:val="000000">
                      <w14:alpha w14:val="100000"/>
                    </w14:srgbClr>
                  </w14:solidFill>
                </w14:textFill>
              </w:rPr>
              <w:t xml:space="preserve">　</w:t>
            </w:r>
            <w:r w:rsidR="002C63DC" w:rsidRPr="002C63DC">
              <w:rPr>
                <w:vertAlign w:val="superscript"/>
              </w:rPr>
              <w:t>1</w:t>
            </w:r>
          </w:p>
        </w:tc>
        <w:tc>
          <w:tcPr>
            <w:tcW w:w="550" w:type="pct"/>
            <w:shd w:val="clear" w:color="auto" w:fill="auto"/>
            <w:vAlign w:val="center"/>
          </w:tcPr>
          <w:p w14:paraId="790D4EA8" w14:textId="56480527" w:rsidR="006B02AA" w:rsidRPr="006B3C65" w:rsidRDefault="007548FA" w:rsidP="006B02AA">
            <w:pPr>
              <w:pStyle w:val="TableText0"/>
              <w:jc w:val="center"/>
              <w:rPr>
                <w:highlight w:val="darkGray"/>
              </w:rPr>
            </w:pPr>
            <w:r w:rsidRPr="003B6666">
              <w:rPr>
                <w:rFonts w:hint="eastAsia"/>
                <w:color w:val="000000"/>
                <w:w w:val="15"/>
                <w:shd w:val="solid" w:color="000000" w:fill="000000"/>
                <w:fitText w:val="40" w:id="-760537855"/>
                <w14:textFill>
                  <w14:solidFill>
                    <w14:srgbClr w14:val="000000">
                      <w14:alpha w14:val="100000"/>
                    </w14:srgbClr>
                  </w14:solidFill>
                </w14:textFill>
              </w:rPr>
              <w:t xml:space="preserve">　</w:t>
            </w:r>
            <w:r w:rsidRPr="003B6666">
              <w:rPr>
                <w:color w:val="000000"/>
                <w:w w:val="15"/>
                <w:shd w:val="solid" w:color="000000" w:fill="000000"/>
                <w:fitText w:val="40" w:id="-760537855"/>
                <w14:textFill>
                  <w14:solidFill>
                    <w14:srgbClr w14:val="000000">
                      <w14:alpha w14:val="100000"/>
                    </w14:srgbClr>
                  </w14:solidFill>
                </w14:textFill>
              </w:rPr>
              <w:t>|</w:t>
            </w:r>
            <w:r w:rsidRPr="003B6666">
              <w:rPr>
                <w:rFonts w:hint="eastAsia"/>
                <w:color w:val="000000"/>
                <w:spacing w:val="-25"/>
                <w:w w:val="15"/>
                <w:shd w:val="solid" w:color="000000" w:fill="000000"/>
                <w:fitText w:val="40" w:id="-760537855"/>
                <w14:textFill>
                  <w14:solidFill>
                    <w14:srgbClr w14:val="000000">
                      <w14:alpha w14:val="100000"/>
                    </w14:srgbClr>
                  </w14:solidFill>
                </w14:textFill>
              </w:rPr>
              <w:t xml:space="preserve">　</w:t>
            </w:r>
            <w:r w:rsidR="002C63DC" w:rsidRPr="002C63DC">
              <w:rPr>
                <w:vertAlign w:val="superscript"/>
              </w:rPr>
              <w:t>1</w:t>
            </w:r>
          </w:p>
        </w:tc>
        <w:tc>
          <w:tcPr>
            <w:tcW w:w="629" w:type="pct"/>
            <w:shd w:val="clear" w:color="auto" w:fill="auto"/>
            <w:vAlign w:val="center"/>
          </w:tcPr>
          <w:p w14:paraId="0E8F73CD" w14:textId="68781D09" w:rsidR="006B02AA" w:rsidRPr="006B3C65" w:rsidRDefault="007548FA" w:rsidP="006B02AA">
            <w:pPr>
              <w:pStyle w:val="TableText0"/>
              <w:jc w:val="center"/>
              <w:rPr>
                <w:highlight w:val="darkGray"/>
              </w:rPr>
            </w:pPr>
            <w:r w:rsidRPr="00B20877">
              <w:rPr>
                <w:rFonts w:hint="eastAsia"/>
                <w:color w:val="000000"/>
                <w:w w:val="15"/>
                <w:shd w:val="solid" w:color="000000" w:fill="000000"/>
                <w:fitText w:val="40" w:id="-760537854"/>
                <w14:textFill>
                  <w14:solidFill>
                    <w14:srgbClr w14:val="000000">
                      <w14:alpha w14:val="100000"/>
                    </w14:srgbClr>
                  </w14:solidFill>
                </w14:textFill>
              </w:rPr>
              <w:t xml:space="preserve">　</w:t>
            </w:r>
            <w:r w:rsidRPr="00B20877">
              <w:rPr>
                <w:color w:val="000000"/>
                <w:w w:val="15"/>
                <w:shd w:val="solid" w:color="000000" w:fill="000000"/>
                <w:fitText w:val="40" w:id="-760537854"/>
                <w14:textFill>
                  <w14:solidFill>
                    <w14:srgbClr w14:val="000000">
                      <w14:alpha w14:val="100000"/>
                    </w14:srgbClr>
                  </w14:solidFill>
                </w14:textFill>
              </w:rPr>
              <w:t>|</w:t>
            </w:r>
            <w:r w:rsidRPr="00B20877">
              <w:rPr>
                <w:rFonts w:hint="eastAsia"/>
                <w:color w:val="000000"/>
                <w:spacing w:val="-25"/>
                <w:w w:val="15"/>
                <w:shd w:val="solid" w:color="000000" w:fill="000000"/>
                <w:fitText w:val="40" w:id="-760537854"/>
                <w14:textFill>
                  <w14:solidFill>
                    <w14:srgbClr w14:val="000000">
                      <w14:alpha w14:val="100000"/>
                    </w14:srgbClr>
                  </w14:solidFill>
                </w14:textFill>
              </w:rPr>
              <w:t xml:space="preserve">　</w:t>
            </w:r>
            <w:r w:rsidR="002C63DC" w:rsidRPr="002C63DC">
              <w:rPr>
                <w:vertAlign w:val="superscript"/>
              </w:rPr>
              <w:t>1</w:t>
            </w:r>
          </w:p>
        </w:tc>
        <w:tc>
          <w:tcPr>
            <w:tcW w:w="550" w:type="pct"/>
            <w:shd w:val="clear" w:color="auto" w:fill="auto"/>
            <w:vAlign w:val="center"/>
          </w:tcPr>
          <w:p w14:paraId="305A4130" w14:textId="4853CD5E" w:rsidR="006B02AA" w:rsidRPr="006B3C65" w:rsidRDefault="007548FA" w:rsidP="006B02AA">
            <w:pPr>
              <w:pStyle w:val="TableText0"/>
              <w:jc w:val="center"/>
              <w:rPr>
                <w:highlight w:val="darkGray"/>
              </w:rPr>
            </w:pPr>
            <w:r w:rsidRPr="00B20877">
              <w:rPr>
                <w:rFonts w:hint="eastAsia"/>
                <w:color w:val="000000"/>
                <w:w w:val="15"/>
                <w:shd w:val="solid" w:color="000000" w:fill="000000"/>
                <w:fitText w:val="40" w:id="-760537853"/>
                <w14:textFill>
                  <w14:solidFill>
                    <w14:srgbClr w14:val="000000">
                      <w14:alpha w14:val="100000"/>
                    </w14:srgbClr>
                  </w14:solidFill>
                </w14:textFill>
              </w:rPr>
              <w:t xml:space="preserve">　</w:t>
            </w:r>
            <w:r w:rsidRPr="00B20877">
              <w:rPr>
                <w:color w:val="000000"/>
                <w:w w:val="15"/>
                <w:shd w:val="solid" w:color="000000" w:fill="000000"/>
                <w:fitText w:val="40" w:id="-760537853"/>
                <w14:textFill>
                  <w14:solidFill>
                    <w14:srgbClr w14:val="000000">
                      <w14:alpha w14:val="100000"/>
                    </w14:srgbClr>
                  </w14:solidFill>
                </w14:textFill>
              </w:rPr>
              <w:t>|</w:t>
            </w:r>
            <w:r w:rsidRPr="00B20877">
              <w:rPr>
                <w:rFonts w:hint="eastAsia"/>
                <w:color w:val="000000"/>
                <w:spacing w:val="-25"/>
                <w:w w:val="15"/>
                <w:shd w:val="solid" w:color="000000" w:fill="000000"/>
                <w:fitText w:val="40" w:id="-760537853"/>
                <w14:textFill>
                  <w14:solidFill>
                    <w14:srgbClr w14:val="000000">
                      <w14:alpha w14:val="100000"/>
                    </w14:srgbClr>
                  </w14:solidFill>
                </w14:textFill>
              </w:rPr>
              <w:t xml:space="preserve">　</w:t>
            </w:r>
            <w:r w:rsidR="002C63DC" w:rsidRPr="002C63DC">
              <w:rPr>
                <w:vertAlign w:val="superscript"/>
              </w:rPr>
              <w:t>1</w:t>
            </w:r>
          </w:p>
        </w:tc>
        <w:tc>
          <w:tcPr>
            <w:tcW w:w="629" w:type="pct"/>
            <w:shd w:val="clear" w:color="auto" w:fill="auto"/>
            <w:vAlign w:val="center"/>
          </w:tcPr>
          <w:p w14:paraId="11838D61" w14:textId="43FE0352" w:rsidR="006B02AA" w:rsidRPr="006B3C65" w:rsidRDefault="007548FA" w:rsidP="006B02AA">
            <w:pPr>
              <w:pStyle w:val="TableText0"/>
              <w:jc w:val="center"/>
              <w:rPr>
                <w:highlight w:val="darkGray"/>
              </w:rPr>
            </w:pPr>
            <w:r w:rsidRPr="00B20877">
              <w:rPr>
                <w:rFonts w:hint="eastAsia"/>
                <w:color w:val="000000"/>
                <w:w w:val="15"/>
                <w:shd w:val="solid" w:color="000000" w:fill="000000"/>
                <w:fitText w:val="40" w:id="-760537852"/>
                <w14:textFill>
                  <w14:solidFill>
                    <w14:srgbClr w14:val="000000">
                      <w14:alpha w14:val="100000"/>
                    </w14:srgbClr>
                  </w14:solidFill>
                </w14:textFill>
              </w:rPr>
              <w:t xml:space="preserve">　</w:t>
            </w:r>
            <w:r w:rsidRPr="00B20877">
              <w:rPr>
                <w:color w:val="000000"/>
                <w:w w:val="15"/>
                <w:shd w:val="solid" w:color="000000" w:fill="000000"/>
                <w:fitText w:val="40" w:id="-760537852"/>
                <w14:textFill>
                  <w14:solidFill>
                    <w14:srgbClr w14:val="000000">
                      <w14:alpha w14:val="100000"/>
                    </w14:srgbClr>
                  </w14:solidFill>
                </w14:textFill>
              </w:rPr>
              <w:t>|</w:t>
            </w:r>
            <w:r w:rsidRPr="00B20877">
              <w:rPr>
                <w:rFonts w:hint="eastAsia"/>
                <w:color w:val="000000"/>
                <w:spacing w:val="-25"/>
                <w:w w:val="15"/>
                <w:shd w:val="solid" w:color="000000" w:fill="000000"/>
                <w:fitText w:val="40" w:id="-760537852"/>
                <w14:textFill>
                  <w14:solidFill>
                    <w14:srgbClr w14:val="000000">
                      <w14:alpha w14:val="100000"/>
                    </w14:srgbClr>
                  </w14:solidFill>
                </w14:textFill>
              </w:rPr>
              <w:t xml:space="preserve">　</w:t>
            </w:r>
            <w:r w:rsidR="002C63DC" w:rsidRPr="002C63DC">
              <w:rPr>
                <w:vertAlign w:val="superscript"/>
              </w:rPr>
              <w:t>1</w:t>
            </w:r>
          </w:p>
        </w:tc>
        <w:tc>
          <w:tcPr>
            <w:tcW w:w="601" w:type="pct"/>
            <w:vAlign w:val="center"/>
          </w:tcPr>
          <w:p w14:paraId="7ED38BE4" w14:textId="2D0C7C5C" w:rsidR="006B02AA" w:rsidRPr="006B3C65" w:rsidRDefault="007548FA" w:rsidP="006B02AA">
            <w:pPr>
              <w:pStyle w:val="TableText0"/>
              <w:jc w:val="center"/>
              <w:rPr>
                <w:highlight w:val="darkGray"/>
              </w:rPr>
            </w:pPr>
            <w:r w:rsidRPr="00B20877">
              <w:rPr>
                <w:rFonts w:hint="eastAsia"/>
                <w:color w:val="000000"/>
                <w:w w:val="15"/>
                <w:shd w:val="solid" w:color="000000" w:fill="000000"/>
                <w:fitText w:val="54" w:id="-760537851"/>
                <w14:textFill>
                  <w14:solidFill>
                    <w14:srgbClr w14:val="000000">
                      <w14:alpha w14:val="100000"/>
                    </w14:srgbClr>
                  </w14:solidFill>
                </w14:textFill>
              </w:rPr>
              <w:t xml:space="preserve">　</w:t>
            </w:r>
            <w:r w:rsidRPr="00B20877">
              <w:rPr>
                <w:color w:val="000000"/>
                <w:w w:val="15"/>
                <w:shd w:val="solid" w:color="000000" w:fill="000000"/>
                <w:fitText w:val="54" w:id="-760537851"/>
                <w14:textFill>
                  <w14:solidFill>
                    <w14:srgbClr w14:val="000000">
                      <w14:alpha w14:val="100000"/>
                    </w14:srgbClr>
                  </w14:solidFill>
                </w14:textFill>
              </w:rPr>
              <w:t>|</w:t>
            </w:r>
            <w:r w:rsidRPr="00B20877">
              <w:rPr>
                <w:rFonts w:hint="eastAsia"/>
                <w:color w:val="000000"/>
                <w:spacing w:val="-11"/>
                <w:w w:val="15"/>
                <w:shd w:val="solid" w:color="000000" w:fill="000000"/>
                <w:fitText w:val="54" w:id="-760537851"/>
                <w14:textFill>
                  <w14:solidFill>
                    <w14:srgbClr w14:val="000000">
                      <w14:alpha w14:val="100000"/>
                    </w14:srgbClr>
                  </w14:solidFill>
                </w14:textFill>
              </w:rPr>
              <w:t xml:space="preserve">　</w:t>
            </w:r>
            <w:r w:rsidR="002C63DC" w:rsidRPr="002C63DC">
              <w:rPr>
                <w:vertAlign w:val="superscript"/>
              </w:rPr>
              <w:t>1</w:t>
            </w:r>
          </w:p>
        </w:tc>
      </w:tr>
      <w:tr w:rsidR="006B02AA" w:rsidRPr="0023146D" w14:paraId="6E5CFBEF" w14:textId="77777777" w:rsidTr="006B02AA">
        <w:tc>
          <w:tcPr>
            <w:tcW w:w="5000" w:type="pct"/>
            <w:gridSpan w:val="7"/>
            <w:shd w:val="clear" w:color="auto" w:fill="auto"/>
            <w:vAlign w:val="center"/>
          </w:tcPr>
          <w:p w14:paraId="6FB78457" w14:textId="77777777" w:rsidR="006B02AA" w:rsidRPr="0023146D" w:rsidRDefault="006B02AA">
            <w:pPr>
              <w:pStyle w:val="In-tableHeading"/>
            </w:pPr>
            <w:r w:rsidRPr="0023146D">
              <w:t>Estimated financial implications of maribavir</w:t>
            </w:r>
          </w:p>
        </w:tc>
      </w:tr>
      <w:tr w:rsidR="00BD1DC2" w:rsidRPr="0023146D" w14:paraId="26D81AA2" w14:textId="77777777" w:rsidTr="00BD1DC2">
        <w:tc>
          <w:tcPr>
            <w:tcW w:w="1411" w:type="pct"/>
            <w:shd w:val="clear" w:color="auto" w:fill="auto"/>
            <w:vAlign w:val="center"/>
          </w:tcPr>
          <w:p w14:paraId="0039E342" w14:textId="77777777" w:rsidR="006B02AA" w:rsidRPr="0023146D" w:rsidRDefault="006B02AA" w:rsidP="006B02AA">
            <w:pPr>
              <w:pStyle w:val="TableText0"/>
            </w:pPr>
            <w:r w:rsidRPr="0023146D">
              <w:t>Cost to PBS less copayments</w:t>
            </w:r>
          </w:p>
        </w:tc>
        <w:tc>
          <w:tcPr>
            <w:tcW w:w="630" w:type="pct"/>
            <w:shd w:val="clear" w:color="auto" w:fill="auto"/>
            <w:vAlign w:val="center"/>
          </w:tcPr>
          <w:p w14:paraId="47D00FF3" w14:textId="53C47E05" w:rsidR="006B02AA" w:rsidRPr="006B3C65" w:rsidRDefault="007548FA" w:rsidP="006B02AA">
            <w:pPr>
              <w:pStyle w:val="TableText0"/>
              <w:jc w:val="center"/>
              <w:rPr>
                <w:highlight w:val="darkGray"/>
              </w:rPr>
            </w:pPr>
            <w:r w:rsidRPr="00B20877">
              <w:rPr>
                <w:rFonts w:hint="eastAsia"/>
                <w:color w:val="000000"/>
                <w:w w:val="15"/>
                <w:shd w:val="solid" w:color="000000" w:fill="000000"/>
                <w:fitText w:val="40" w:id="-760537850"/>
                <w14:textFill>
                  <w14:solidFill>
                    <w14:srgbClr w14:val="000000">
                      <w14:alpha w14:val="100000"/>
                    </w14:srgbClr>
                  </w14:solidFill>
                </w14:textFill>
              </w:rPr>
              <w:t xml:space="preserve">　</w:t>
            </w:r>
            <w:r w:rsidRPr="00B20877">
              <w:rPr>
                <w:color w:val="000000"/>
                <w:w w:val="15"/>
                <w:shd w:val="solid" w:color="000000" w:fill="000000"/>
                <w:fitText w:val="40" w:id="-760537850"/>
                <w14:textFill>
                  <w14:solidFill>
                    <w14:srgbClr w14:val="000000">
                      <w14:alpha w14:val="100000"/>
                    </w14:srgbClr>
                  </w14:solidFill>
                </w14:textFill>
              </w:rPr>
              <w:t>|</w:t>
            </w:r>
            <w:r w:rsidRPr="00B20877">
              <w:rPr>
                <w:rFonts w:hint="eastAsia"/>
                <w:color w:val="000000"/>
                <w:spacing w:val="-25"/>
                <w:w w:val="15"/>
                <w:shd w:val="solid" w:color="000000" w:fill="000000"/>
                <w:fitText w:val="40" w:id="-760537850"/>
                <w14:textFill>
                  <w14:solidFill>
                    <w14:srgbClr w14:val="000000">
                      <w14:alpha w14:val="100000"/>
                    </w14:srgbClr>
                  </w14:solidFill>
                </w14:textFill>
              </w:rPr>
              <w:t xml:space="preserve">　</w:t>
            </w:r>
            <w:r w:rsidR="00820A05" w:rsidRPr="00820A05">
              <w:rPr>
                <w:vertAlign w:val="superscript"/>
              </w:rPr>
              <w:t>3</w:t>
            </w:r>
          </w:p>
        </w:tc>
        <w:tc>
          <w:tcPr>
            <w:tcW w:w="550" w:type="pct"/>
            <w:shd w:val="clear" w:color="auto" w:fill="auto"/>
            <w:vAlign w:val="center"/>
          </w:tcPr>
          <w:p w14:paraId="1400C73B" w14:textId="58BF1D08" w:rsidR="006B02AA" w:rsidRPr="006B3C65" w:rsidRDefault="007548FA" w:rsidP="006B02AA">
            <w:pPr>
              <w:pStyle w:val="TableText0"/>
              <w:jc w:val="center"/>
              <w:rPr>
                <w:highlight w:val="darkGray"/>
              </w:rPr>
            </w:pPr>
            <w:r w:rsidRPr="00B20877">
              <w:rPr>
                <w:rFonts w:hint="eastAsia"/>
                <w:color w:val="000000"/>
                <w:w w:val="15"/>
                <w:shd w:val="solid" w:color="000000" w:fill="000000"/>
                <w:fitText w:val="40" w:id="-760537849"/>
                <w14:textFill>
                  <w14:solidFill>
                    <w14:srgbClr w14:val="000000">
                      <w14:alpha w14:val="100000"/>
                    </w14:srgbClr>
                  </w14:solidFill>
                </w14:textFill>
              </w:rPr>
              <w:t xml:space="preserve">　</w:t>
            </w:r>
            <w:r w:rsidRPr="00B20877">
              <w:rPr>
                <w:color w:val="000000"/>
                <w:w w:val="15"/>
                <w:shd w:val="solid" w:color="000000" w:fill="000000"/>
                <w:fitText w:val="40" w:id="-760537849"/>
                <w14:textFill>
                  <w14:solidFill>
                    <w14:srgbClr w14:val="000000">
                      <w14:alpha w14:val="100000"/>
                    </w14:srgbClr>
                  </w14:solidFill>
                </w14:textFill>
              </w:rPr>
              <w:t>|</w:t>
            </w:r>
            <w:r w:rsidRPr="00B20877">
              <w:rPr>
                <w:rFonts w:hint="eastAsia"/>
                <w:color w:val="000000"/>
                <w:spacing w:val="-25"/>
                <w:w w:val="15"/>
                <w:shd w:val="solid" w:color="000000" w:fill="000000"/>
                <w:fitText w:val="40" w:id="-760537849"/>
                <w14:textFill>
                  <w14:solidFill>
                    <w14:srgbClr w14:val="000000">
                      <w14:alpha w14:val="100000"/>
                    </w14:srgbClr>
                  </w14:solidFill>
                </w14:textFill>
              </w:rPr>
              <w:t xml:space="preserve">　</w:t>
            </w:r>
            <w:r w:rsidR="00820A05" w:rsidRPr="00820A05">
              <w:rPr>
                <w:vertAlign w:val="superscript"/>
              </w:rPr>
              <w:t>3</w:t>
            </w:r>
          </w:p>
        </w:tc>
        <w:tc>
          <w:tcPr>
            <w:tcW w:w="629" w:type="pct"/>
            <w:shd w:val="clear" w:color="auto" w:fill="auto"/>
            <w:vAlign w:val="center"/>
          </w:tcPr>
          <w:p w14:paraId="7CE7DE26" w14:textId="2AEB774F" w:rsidR="006B02AA" w:rsidRPr="00C15914" w:rsidRDefault="007548FA" w:rsidP="006B02AA">
            <w:pPr>
              <w:pStyle w:val="TableText0"/>
              <w:jc w:val="center"/>
              <w:rPr>
                <w:highlight w:val="darkGray"/>
                <w:vertAlign w:val="superscript"/>
              </w:rPr>
            </w:pPr>
            <w:r w:rsidRPr="00B20877">
              <w:rPr>
                <w:rFonts w:hint="eastAsia"/>
                <w:color w:val="000000"/>
                <w:w w:val="15"/>
                <w:shd w:val="solid" w:color="000000" w:fill="000000"/>
                <w:fitText w:val="40" w:id="-760537848"/>
                <w14:textFill>
                  <w14:solidFill>
                    <w14:srgbClr w14:val="000000">
                      <w14:alpha w14:val="100000"/>
                    </w14:srgbClr>
                  </w14:solidFill>
                </w14:textFill>
              </w:rPr>
              <w:t xml:space="preserve">　</w:t>
            </w:r>
            <w:r w:rsidRPr="00B20877">
              <w:rPr>
                <w:color w:val="000000"/>
                <w:w w:val="15"/>
                <w:shd w:val="solid" w:color="000000" w:fill="000000"/>
                <w:fitText w:val="40" w:id="-760537848"/>
                <w14:textFill>
                  <w14:solidFill>
                    <w14:srgbClr w14:val="000000">
                      <w14:alpha w14:val="100000"/>
                    </w14:srgbClr>
                  </w14:solidFill>
                </w14:textFill>
              </w:rPr>
              <w:t>|</w:t>
            </w:r>
            <w:r w:rsidRPr="00B20877">
              <w:rPr>
                <w:rFonts w:hint="eastAsia"/>
                <w:color w:val="000000"/>
                <w:spacing w:val="-25"/>
                <w:w w:val="15"/>
                <w:shd w:val="solid" w:color="000000" w:fill="000000"/>
                <w:fitText w:val="40" w:id="-760537848"/>
                <w14:textFill>
                  <w14:solidFill>
                    <w14:srgbClr w14:val="000000">
                      <w14:alpha w14:val="100000"/>
                    </w14:srgbClr>
                  </w14:solidFill>
                </w14:textFill>
              </w:rPr>
              <w:t xml:space="preserve">　</w:t>
            </w:r>
            <w:r w:rsidR="00C15914" w:rsidRPr="00C15914">
              <w:rPr>
                <w:vertAlign w:val="superscript"/>
              </w:rPr>
              <w:t>3</w:t>
            </w:r>
          </w:p>
        </w:tc>
        <w:tc>
          <w:tcPr>
            <w:tcW w:w="550" w:type="pct"/>
            <w:shd w:val="clear" w:color="auto" w:fill="auto"/>
            <w:vAlign w:val="center"/>
          </w:tcPr>
          <w:p w14:paraId="66424F17" w14:textId="23018EE4" w:rsidR="006B02AA" w:rsidRPr="006B3C65" w:rsidRDefault="007548FA" w:rsidP="006B02AA">
            <w:pPr>
              <w:pStyle w:val="TableText0"/>
              <w:jc w:val="center"/>
              <w:rPr>
                <w:highlight w:val="darkGray"/>
              </w:rPr>
            </w:pPr>
            <w:r w:rsidRPr="00B20877">
              <w:rPr>
                <w:rFonts w:hint="eastAsia"/>
                <w:color w:val="000000"/>
                <w:w w:val="15"/>
                <w:shd w:val="solid" w:color="000000" w:fill="000000"/>
                <w:fitText w:val="40" w:id="-760537847"/>
                <w14:textFill>
                  <w14:solidFill>
                    <w14:srgbClr w14:val="000000">
                      <w14:alpha w14:val="100000"/>
                    </w14:srgbClr>
                  </w14:solidFill>
                </w14:textFill>
              </w:rPr>
              <w:t xml:space="preserve">　</w:t>
            </w:r>
            <w:r w:rsidRPr="00B20877">
              <w:rPr>
                <w:color w:val="000000"/>
                <w:w w:val="15"/>
                <w:shd w:val="solid" w:color="000000" w:fill="000000"/>
                <w:fitText w:val="40" w:id="-760537847"/>
                <w14:textFill>
                  <w14:solidFill>
                    <w14:srgbClr w14:val="000000">
                      <w14:alpha w14:val="100000"/>
                    </w14:srgbClr>
                  </w14:solidFill>
                </w14:textFill>
              </w:rPr>
              <w:t>|</w:t>
            </w:r>
            <w:r w:rsidRPr="00B20877">
              <w:rPr>
                <w:rFonts w:hint="eastAsia"/>
                <w:color w:val="000000"/>
                <w:spacing w:val="-25"/>
                <w:w w:val="15"/>
                <w:shd w:val="solid" w:color="000000" w:fill="000000"/>
                <w:fitText w:val="40" w:id="-760537847"/>
                <w14:textFill>
                  <w14:solidFill>
                    <w14:srgbClr w14:val="000000">
                      <w14:alpha w14:val="100000"/>
                    </w14:srgbClr>
                  </w14:solidFill>
                </w14:textFill>
              </w:rPr>
              <w:t xml:space="preserve">　</w:t>
            </w:r>
            <w:r w:rsidR="00820A05" w:rsidRPr="00820A05">
              <w:rPr>
                <w:vertAlign w:val="superscript"/>
              </w:rPr>
              <w:t>3</w:t>
            </w:r>
          </w:p>
        </w:tc>
        <w:tc>
          <w:tcPr>
            <w:tcW w:w="629" w:type="pct"/>
            <w:shd w:val="clear" w:color="auto" w:fill="auto"/>
            <w:vAlign w:val="center"/>
          </w:tcPr>
          <w:p w14:paraId="18E105CA" w14:textId="57390686" w:rsidR="006B02AA" w:rsidRPr="006B3C65" w:rsidRDefault="007548FA" w:rsidP="006B02AA">
            <w:pPr>
              <w:pStyle w:val="TableText0"/>
              <w:jc w:val="center"/>
              <w:rPr>
                <w:highlight w:val="darkGray"/>
              </w:rPr>
            </w:pPr>
            <w:r w:rsidRPr="00B20877">
              <w:rPr>
                <w:rFonts w:hint="eastAsia"/>
                <w:color w:val="000000"/>
                <w:w w:val="15"/>
                <w:shd w:val="solid" w:color="000000" w:fill="000000"/>
                <w:fitText w:val="40" w:id="-760537846"/>
                <w14:textFill>
                  <w14:solidFill>
                    <w14:srgbClr w14:val="000000">
                      <w14:alpha w14:val="100000"/>
                    </w14:srgbClr>
                  </w14:solidFill>
                </w14:textFill>
              </w:rPr>
              <w:t xml:space="preserve">　</w:t>
            </w:r>
            <w:r w:rsidRPr="00B20877">
              <w:rPr>
                <w:color w:val="000000"/>
                <w:w w:val="15"/>
                <w:shd w:val="solid" w:color="000000" w:fill="000000"/>
                <w:fitText w:val="40" w:id="-760537846"/>
                <w14:textFill>
                  <w14:solidFill>
                    <w14:srgbClr w14:val="000000">
                      <w14:alpha w14:val="100000"/>
                    </w14:srgbClr>
                  </w14:solidFill>
                </w14:textFill>
              </w:rPr>
              <w:t>|</w:t>
            </w:r>
            <w:r w:rsidRPr="00B20877">
              <w:rPr>
                <w:rFonts w:hint="eastAsia"/>
                <w:color w:val="000000"/>
                <w:spacing w:val="-25"/>
                <w:w w:val="15"/>
                <w:shd w:val="solid" w:color="000000" w:fill="000000"/>
                <w:fitText w:val="40" w:id="-760537846"/>
                <w14:textFill>
                  <w14:solidFill>
                    <w14:srgbClr w14:val="000000">
                      <w14:alpha w14:val="100000"/>
                    </w14:srgbClr>
                  </w14:solidFill>
                </w14:textFill>
              </w:rPr>
              <w:t xml:space="preserve">　</w:t>
            </w:r>
            <w:r w:rsidR="00820A05" w:rsidRPr="00820A05">
              <w:rPr>
                <w:vertAlign w:val="superscript"/>
              </w:rPr>
              <w:t>3</w:t>
            </w:r>
          </w:p>
        </w:tc>
        <w:tc>
          <w:tcPr>
            <w:tcW w:w="601" w:type="pct"/>
            <w:vAlign w:val="center"/>
          </w:tcPr>
          <w:p w14:paraId="0BA7E775" w14:textId="205278C7" w:rsidR="006B02AA" w:rsidRPr="006B3C65" w:rsidRDefault="007548FA" w:rsidP="006B02AA">
            <w:pPr>
              <w:pStyle w:val="TableText0"/>
              <w:jc w:val="center"/>
              <w:rPr>
                <w:highlight w:val="darkGray"/>
              </w:rPr>
            </w:pPr>
            <w:r w:rsidRPr="00B20877">
              <w:rPr>
                <w:rFonts w:hint="eastAsia"/>
                <w:color w:val="000000"/>
                <w:w w:val="15"/>
                <w:shd w:val="solid" w:color="000000" w:fill="000000"/>
                <w:fitText w:val="54" w:id="-760537845"/>
                <w14:textFill>
                  <w14:solidFill>
                    <w14:srgbClr w14:val="000000">
                      <w14:alpha w14:val="100000"/>
                    </w14:srgbClr>
                  </w14:solidFill>
                </w14:textFill>
              </w:rPr>
              <w:t xml:space="preserve">　</w:t>
            </w:r>
            <w:r w:rsidRPr="00B20877">
              <w:rPr>
                <w:color w:val="000000"/>
                <w:w w:val="15"/>
                <w:shd w:val="solid" w:color="000000" w:fill="000000"/>
                <w:fitText w:val="54" w:id="-760537845"/>
                <w14:textFill>
                  <w14:solidFill>
                    <w14:srgbClr w14:val="000000">
                      <w14:alpha w14:val="100000"/>
                    </w14:srgbClr>
                  </w14:solidFill>
                </w14:textFill>
              </w:rPr>
              <w:t>|</w:t>
            </w:r>
            <w:r w:rsidRPr="00B20877">
              <w:rPr>
                <w:rFonts w:hint="eastAsia"/>
                <w:color w:val="000000"/>
                <w:spacing w:val="-11"/>
                <w:w w:val="15"/>
                <w:shd w:val="solid" w:color="000000" w:fill="000000"/>
                <w:fitText w:val="54" w:id="-760537845"/>
                <w14:textFill>
                  <w14:solidFill>
                    <w14:srgbClr w14:val="000000">
                      <w14:alpha w14:val="100000"/>
                    </w14:srgbClr>
                  </w14:solidFill>
                </w14:textFill>
              </w:rPr>
              <w:t xml:space="preserve">　</w:t>
            </w:r>
            <w:r w:rsidR="00820A05" w:rsidRPr="00820A05">
              <w:rPr>
                <w:vertAlign w:val="superscript"/>
              </w:rPr>
              <w:t>3</w:t>
            </w:r>
          </w:p>
        </w:tc>
      </w:tr>
    </w:tbl>
    <w:p w14:paraId="5571053C" w14:textId="0D79BF55" w:rsidR="00732F7D" w:rsidRPr="0023146D" w:rsidRDefault="00732F7D" w:rsidP="00732F7D">
      <w:pPr>
        <w:pStyle w:val="FooterTableFigure"/>
      </w:pPr>
      <w:r w:rsidRPr="0023146D">
        <w:rPr>
          <w:szCs w:val="18"/>
        </w:rPr>
        <w:t xml:space="preserve">Source: </w:t>
      </w:r>
      <w:r w:rsidR="00D30B6D" w:rsidRPr="0023146D">
        <w:rPr>
          <w:szCs w:val="18"/>
        </w:rPr>
        <w:t>Table 4.22, p206;</w:t>
      </w:r>
      <w:r w:rsidRPr="0023146D">
        <w:rPr>
          <w:szCs w:val="18"/>
        </w:rPr>
        <w:t xml:space="preserve"> </w:t>
      </w:r>
      <w:r w:rsidRPr="0023146D">
        <w:t>Table</w:t>
      </w:r>
      <w:r w:rsidR="00AC2277" w:rsidRPr="0023146D">
        <w:t xml:space="preserve"> 4.38, p213</w:t>
      </w:r>
      <w:r w:rsidR="00CF2138" w:rsidRPr="0023146D">
        <w:t xml:space="preserve">; Table 4.36, p212 of the resubmission. </w:t>
      </w:r>
    </w:p>
    <w:p w14:paraId="3A7FB173" w14:textId="4FC76B3C" w:rsidR="0013187B" w:rsidRPr="0023146D" w:rsidRDefault="0013187B" w:rsidP="00732F7D">
      <w:pPr>
        <w:pStyle w:val="FooterTableFigure"/>
        <w:rPr>
          <w:szCs w:val="18"/>
        </w:rPr>
      </w:pPr>
      <w:r w:rsidRPr="0023146D">
        <w:rPr>
          <w:szCs w:val="20"/>
        </w:rPr>
        <w:t>PBS = Pharmaceutical Benefits Scheme</w:t>
      </w:r>
    </w:p>
    <w:p w14:paraId="65106912" w14:textId="7C638216" w:rsidR="0069386C" w:rsidRPr="0023146D" w:rsidRDefault="0069386C" w:rsidP="00732F7D">
      <w:pPr>
        <w:pStyle w:val="FooterTableFigure"/>
        <w:rPr>
          <w:rStyle w:val="CommentReference"/>
          <w:b w:val="0"/>
          <w:sz w:val="18"/>
          <w:szCs w:val="18"/>
        </w:rPr>
      </w:pPr>
      <w:r w:rsidRPr="0023146D">
        <w:rPr>
          <w:rStyle w:val="CommentReference"/>
          <w:b w:val="0"/>
          <w:sz w:val="18"/>
          <w:szCs w:val="18"/>
        </w:rPr>
        <w:t>The resubmission assumed no RPBS scripts would be used as in the November 2023 submission, given ganciclovir and valganciclovir prophylaxis for RPBS is &lt;1%.</w:t>
      </w:r>
    </w:p>
    <w:p w14:paraId="54E9CE9F" w14:textId="77777777" w:rsidR="0013187B" w:rsidRDefault="0013187B" w:rsidP="0013187B">
      <w:pPr>
        <w:pStyle w:val="FooterTableFigure"/>
        <w:rPr>
          <w:szCs w:val="20"/>
        </w:rPr>
      </w:pPr>
      <w:r w:rsidRPr="0023146D">
        <w:rPr>
          <w:szCs w:val="20"/>
        </w:rPr>
        <w:t>Data in blue-shade are those previously seen by the PBAC.</w:t>
      </w:r>
    </w:p>
    <w:p w14:paraId="71CBD562" w14:textId="09F4172F" w:rsidR="002C63DC" w:rsidRDefault="006B02AA" w:rsidP="002C63DC">
      <w:pPr>
        <w:pStyle w:val="FooterTableFigure"/>
      </w:pPr>
      <w:r>
        <w:rPr>
          <w:szCs w:val="20"/>
        </w:rPr>
        <w:t>a Revision of the duration of maribavir treatment to 5.64 weeks, revision of the DPMQ for maribavir to $</w:t>
      </w:r>
      <w:r w:rsidR="007548FA" w:rsidRPr="00B20877">
        <w:rPr>
          <w:color w:val="000000"/>
          <w:spacing w:val="38"/>
          <w:szCs w:val="20"/>
          <w:shd w:val="solid" w:color="000000" w:fill="000000"/>
          <w:fitText w:val="274" w:id="-760537844"/>
          <w14:textFill>
            <w14:solidFill>
              <w14:srgbClr w14:val="000000">
                <w14:alpha w14:val="100000"/>
              </w14:srgbClr>
            </w14:solidFill>
          </w14:textFill>
        </w:rPr>
        <w:t xml:space="preserve">|  </w:t>
      </w:r>
      <w:r w:rsidR="007548FA" w:rsidRPr="00B20877">
        <w:rPr>
          <w:color w:val="000000"/>
          <w:spacing w:val="2"/>
          <w:szCs w:val="20"/>
          <w:shd w:val="solid" w:color="000000" w:fill="000000"/>
          <w:fitText w:val="274" w:id="-760537844"/>
          <w14:textFill>
            <w14:solidFill>
              <w14:srgbClr w14:val="000000">
                <w14:alpha w14:val="100000"/>
              </w14:srgbClr>
            </w14:solidFill>
          </w14:textFill>
        </w:rPr>
        <w:t>|</w:t>
      </w:r>
      <w:r>
        <w:rPr>
          <w:szCs w:val="20"/>
        </w:rPr>
        <w:t xml:space="preserve"> (public hospital) and $</w:t>
      </w:r>
      <w:r w:rsidR="007548FA" w:rsidRPr="00B20877">
        <w:rPr>
          <w:color w:val="000000"/>
          <w:spacing w:val="38"/>
          <w:szCs w:val="20"/>
          <w:shd w:val="solid" w:color="000000" w:fill="000000"/>
          <w:fitText w:val="274" w:id="-760537843"/>
          <w14:textFill>
            <w14:solidFill>
              <w14:srgbClr w14:val="000000">
                <w14:alpha w14:val="100000"/>
              </w14:srgbClr>
            </w14:solidFill>
          </w14:textFill>
        </w:rPr>
        <w:t xml:space="preserve">|  </w:t>
      </w:r>
      <w:r w:rsidR="007548FA" w:rsidRPr="00B20877">
        <w:rPr>
          <w:color w:val="000000"/>
          <w:spacing w:val="2"/>
          <w:szCs w:val="20"/>
          <w:shd w:val="solid" w:color="000000" w:fill="000000"/>
          <w:fitText w:val="274" w:id="-760537843"/>
          <w14:textFill>
            <w14:solidFill>
              <w14:srgbClr w14:val="000000">
                <w14:alpha w14:val="100000"/>
              </w14:srgbClr>
            </w14:solidFill>
          </w14:textFill>
        </w:rPr>
        <w:t>|</w:t>
      </w:r>
      <w:r>
        <w:rPr>
          <w:szCs w:val="20"/>
        </w:rPr>
        <w:t xml:space="preserve"> (private hospital) as per pre-PBAC response.</w:t>
      </w:r>
      <w:r w:rsidR="002C63DC" w:rsidRPr="002C63DC">
        <w:t xml:space="preserve"> </w:t>
      </w:r>
    </w:p>
    <w:p w14:paraId="03DB154F" w14:textId="0DB4F29B" w:rsidR="002C63DC" w:rsidRPr="00591B0D" w:rsidRDefault="002C63DC" w:rsidP="002C63DC">
      <w:pPr>
        <w:pStyle w:val="FooterTableFigure"/>
        <w:rPr>
          <w:i/>
          <w:iCs/>
          <w:szCs w:val="20"/>
        </w:rPr>
      </w:pPr>
      <w:r w:rsidRPr="00591B0D">
        <w:rPr>
          <w:i/>
          <w:iCs/>
          <w:szCs w:val="20"/>
        </w:rPr>
        <w:t>The redacted values correspond to the following ranges:</w:t>
      </w:r>
    </w:p>
    <w:p w14:paraId="06CD3C6A" w14:textId="77777777" w:rsidR="002C63DC" w:rsidRPr="00591B0D" w:rsidRDefault="002C63DC" w:rsidP="002C63DC">
      <w:pPr>
        <w:pStyle w:val="FooterTableFigure"/>
        <w:rPr>
          <w:i/>
          <w:iCs/>
          <w:szCs w:val="20"/>
        </w:rPr>
      </w:pPr>
      <w:r w:rsidRPr="00591B0D">
        <w:rPr>
          <w:i/>
          <w:iCs/>
          <w:szCs w:val="20"/>
        </w:rPr>
        <w:t xml:space="preserve">1 &lt;500 </w:t>
      </w:r>
    </w:p>
    <w:p w14:paraId="0A935147" w14:textId="77777777" w:rsidR="002C63DC" w:rsidRPr="00591B0D" w:rsidRDefault="002C63DC" w:rsidP="002C63DC">
      <w:pPr>
        <w:pStyle w:val="FooterTableFigure"/>
        <w:rPr>
          <w:i/>
          <w:iCs/>
          <w:szCs w:val="20"/>
        </w:rPr>
      </w:pPr>
      <w:r w:rsidRPr="00591B0D">
        <w:rPr>
          <w:i/>
          <w:iCs/>
          <w:szCs w:val="20"/>
        </w:rPr>
        <w:t>2 500 to &lt; 5,000</w:t>
      </w:r>
    </w:p>
    <w:p w14:paraId="2F3DD74C" w14:textId="6EB67450" w:rsidR="00FB40CD" w:rsidRPr="00591B0D" w:rsidRDefault="00FB40CD" w:rsidP="002C63DC">
      <w:pPr>
        <w:pStyle w:val="FooterTableFigure"/>
        <w:rPr>
          <w:i/>
          <w:iCs/>
          <w:szCs w:val="20"/>
        </w:rPr>
      </w:pPr>
      <w:r w:rsidRPr="00591B0D">
        <w:rPr>
          <w:i/>
          <w:iCs/>
          <w:szCs w:val="20"/>
        </w:rPr>
        <w:t>3 $0 to &lt; $10 million</w:t>
      </w:r>
    </w:p>
    <w:p w14:paraId="61B446AD" w14:textId="43809DEE" w:rsidR="006B02AA" w:rsidRDefault="00732F7D" w:rsidP="00E0397F">
      <w:pPr>
        <w:pStyle w:val="3-BodyText"/>
      </w:pPr>
      <w:bookmarkStart w:id="67" w:name="_Ref182912066"/>
      <w:r w:rsidRPr="0023146D">
        <w:t xml:space="preserve">The total cost to the PBS of listing </w:t>
      </w:r>
      <w:r w:rsidR="00F554C8" w:rsidRPr="0023146D">
        <w:t>maribavir</w:t>
      </w:r>
      <w:r w:rsidRPr="0023146D">
        <w:t xml:space="preserve"> was estimated to be </w:t>
      </w:r>
      <w:r w:rsidR="00C51BFF" w:rsidRPr="00C51BFF">
        <w:t>$0 to &lt;</w:t>
      </w:r>
      <w:r w:rsidR="00591B0D">
        <w:t> </w:t>
      </w:r>
      <w:r w:rsidR="00C51BFF" w:rsidRPr="00C51BFF">
        <w:t>$10</w:t>
      </w:r>
      <w:r w:rsidR="00591B0D">
        <w:t> </w:t>
      </w:r>
      <w:r w:rsidR="00C51BFF" w:rsidRPr="00C51BFF">
        <w:t>million</w:t>
      </w:r>
      <w:r w:rsidR="00C51BFF" w:rsidRPr="00C51BFF" w:rsidDel="00C51BFF">
        <w:t xml:space="preserve"> </w:t>
      </w:r>
      <w:r w:rsidR="00F8454F" w:rsidRPr="0023146D">
        <w:t xml:space="preserve">in </w:t>
      </w:r>
      <w:r w:rsidR="00752858">
        <w:t>y</w:t>
      </w:r>
      <w:r w:rsidR="00F8454F" w:rsidRPr="0023146D">
        <w:t>ear 6</w:t>
      </w:r>
      <w:r w:rsidRPr="0023146D">
        <w:t xml:space="preserve">, and a total of </w:t>
      </w:r>
      <w:r w:rsidR="003C0D0B" w:rsidRPr="003C0D0B">
        <w:t>$40 million to &lt; $50 million</w:t>
      </w:r>
      <w:r w:rsidR="00FB40CD">
        <w:t xml:space="preserve"> </w:t>
      </w:r>
      <w:r w:rsidRPr="0023146D">
        <w:t>in the first 6 years of listing</w:t>
      </w:r>
      <w:r w:rsidR="006B02AA">
        <w:t xml:space="preserve"> in the resubmission</w:t>
      </w:r>
      <w:r w:rsidRPr="0023146D">
        <w:t xml:space="preserve">. </w:t>
      </w:r>
      <w:r w:rsidR="006B02AA">
        <w:t xml:space="preserve">When the treatment duration was revised from 7.5 to 5.64 weeks, consistent with PBAC’s consideration of treatment duration in the economic evaluation, script numbers decreased to </w:t>
      </w:r>
      <w:r w:rsidR="00591B0D">
        <w:t>&lt; 500</w:t>
      </w:r>
      <w:r w:rsidR="006B02AA">
        <w:t xml:space="preserve"> in year 1 to </w:t>
      </w:r>
      <w:r w:rsidR="00591B0D">
        <w:t xml:space="preserve">&lt; 500 </w:t>
      </w:r>
      <w:r w:rsidR="006B02AA">
        <w:t xml:space="preserve">in year 6. With application of the reduced price for maribavir, the total cost was </w:t>
      </w:r>
      <w:r w:rsidR="006B02AA" w:rsidRPr="0023146D">
        <w:t xml:space="preserve">estimated to be </w:t>
      </w:r>
      <w:r w:rsidR="000D25B3" w:rsidRPr="000D25B3">
        <w:t>$0</w:t>
      </w:r>
      <w:r w:rsidR="00591B0D">
        <w:t> </w:t>
      </w:r>
      <w:r w:rsidR="000D25B3" w:rsidRPr="000D25B3">
        <w:t>to</w:t>
      </w:r>
      <w:r w:rsidR="00591B0D">
        <w:t> </w:t>
      </w:r>
      <w:r w:rsidR="000D25B3" w:rsidRPr="000D25B3">
        <w:t>&lt;</w:t>
      </w:r>
      <w:r w:rsidR="00591B0D">
        <w:t> </w:t>
      </w:r>
      <w:r w:rsidR="000D25B3" w:rsidRPr="000D25B3">
        <w:t>$10 million</w:t>
      </w:r>
      <w:r w:rsidR="006B02AA" w:rsidRPr="0023146D">
        <w:t xml:space="preserve"> in Year 6, and a total of </w:t>
      </w:r>
      <w:r w:rsidR="003A6B1C" w:rsidRPr="003A6B1C">
        <w:t>$30 million to &lt; $40 million</w:t>
      </w:r>
      <w:r w:rsidR="00752858">
        <w:t xml:space="preserve"> </w:t>
      </w:r>
      <w:r w:rsidR="006B02AA" w:rsidRPr="0023146D">
        <w:t>in the first 6</w:t>
      </w:r>
      <w:r w:rsidR="00591B0D">
        <w:t> </w:t>
      </w:r>
      <w:r w:rsidR="006B02AA" w:rsidRPr="0023146D">
        <w:t>years of listing</w:t>
      </w:r>
      <w:r w:rsidR="006B02AA">
        <w:t>.</w:t>
      </w:r>
      <w:bookmarkEnd w:id="67"/>
    </w:p>
    <w:p w14:paraId="323ACE98" w14:textId="33EFB1AA" w:rsidR="00B50AA4" w:rsidRPr="0023146D" w:rsidRDefault="00B54A22" w:rsidP="00E0397F">
      <w:pPr>
        <w:pStyle w:val="3-BodyText"/>
      </w:pPr>
      <w:r w:rsidRPr="00F57F1D">
        <w:lastRenderedPageBreak/>
        <w:t>T</w:t>
      </w:r>
      <w:r w:rsidR="00B50AA4" w:rsidRPr="00F57F1D">
        <w:t>he</w:t>
      </w:r>
      <w:r w:rsidR="006B02AA">
        <w:t xml:space="preserve"> PBAC considered the</w:t>
      </w:r>
      <w:r w:rsidR="00B50AA4" w:rsidRPr="00F57F1D">
        <w:t xml:space="preserve">re </w:t>
      </w:r>
      <w:r w:rsidR="00A24120" w:rsidRPr="00F57F1D">
        <w:t>remains</w:t>
      </w:r>
      <w:r w:rsidR="00B50AA4" w:rsidRPr="00F57F1D">
        <w:t xml:space="preserve"> </w:t>
      </w:r>
      <w:r w:rsidR="006C61C5" w:rsidRPr="00F57F1D">
        <w:t xml:space="preserve">uncertainty </w:t>
      </w:r>
      <w:r w:rsidR="00A523C9" w:rsidRPr="00F57F1D">
        <w:t xml:space="preserve">regarding both the </w:t>
      </w:r>
      <w:r w:rsidR="006B02AA" w:rsidRPr="00F57F1D">
        <w:t xml:space="preserve">length of treatment </w:t>
      </w:r>
      <w:r w:rsidR="006B02AA">
        <w:t xml:space="preserve">and the </w:t>
      </w:r>
      <w:r w:rsidR="00A523C9" w:rsidRPr="00F57F1D">
        <w:t xml:space="preserve">proportion of patients requiring </w:t>
      </w:r>
      <w:r w:rsidR="006B02AA">
        <w:t>re</w:t>
      </w:r>
      <w:r w:rsidR="00A523C9" w:rsidRPr="00F57F1D">
        <w:t>treatment.</w:t>
      </w:r>
    </w:p>
    <w:p w14:paraId="1C5305C0" w14:textId="77777777" w:rsidR="00732F7D" w:rsidRPr="0023146D" w:rsidRDefault="00732F7D" w:rsidP="00732F7D">
      <w:pPr>
        <w:pStyle w:val="4-SubsectionHeading"/>
      </w:pPr>
      <w:bookmarkStart w:id="68" w:name="_Toc22897648"/>
      <w:bookmarkStart w:id="69" w:name="_Toc177482519"/>
      <w:r w:rsidRPr="0023146D">
        <w:t>Quality Use of Medicines</w:t>
      </w:r>
      <w:bookmarkEnd w:id="68"/>
      <w:bookmarkEnd w:id="69"/>
    </w:p>
    <w:p w14:paraId="2761D5E5" w14:textId="5AF9FED2" w:rsidR="007D6E74" w:rsidRDefault="007D6E74" w:rsidP="007D6E74">
      <w:pPr>
        <w:pStyle w:val="3-BodyText"/>
        <w:numPr>
          <w:ilvl w:val="1"/>
          <w:numId w:val="1"/>
        </w:numPr>
        <w:spacing w:before="0"/>
      </w:pPr>
      <w:r w:rsidRPr="0023146D">
        <w:t>The resubmission stated th</w:t>
      </w:r>
      <w:r w:rsidR="00F8454F" w:rsidRPr="0023146D">
        <w:t>at th</w:t>
      </w:r>
      <w:r w:rsidRPr="0023146D">
        <w:t xml:space="preserve">e sponsor will support the correct use of maribavir with educational activities to ensure the population and circumstances of use are consistent with the evidence presented in the </w:t>
      </w:r>
      <w:r w:rsidR="00F8454F" w:rsidRPr="0023146D">
        <w:t>re</w:t>
      </w:r>
      <w:r w:rsidRPr="0023146D">
        <w:t xml:space="preserve">submission. </w:t>
      </w:r>
    </w:p>
    <w:p w14:paraId="74790A7D" w14:textId="77777777" w:rsidR="006B02AA" w:rsidRPr="0098262F" w:rsidRDefault="006B02AA" w:rsidP="006B02AA">
      <w:pPr>
        <w:pStyle w:val="4-SubsectionHeading"/>
      </w:pPr>
      <w:bookmarkStart w:id="70" w:name="_Toc22897649"/>
      <w:bookmarkStart w:id="71" w:name="_Toc177559119"/>
      <w:r w:rsidRPr="0098262F">
        <w:t>Financial Management – Risk Sharing Arrangements</w:t>
      </w:r>
      <w:bookmarkEnd w:id="70"/>
      <w:bookmarkEnd w:id="71"/>
    </w:p>
    <w:p w14:paraId="5967E8B7" w14:textId="0D7F9E81" w:rsidR="006B02AA" w:rsidRDefault="006B02AA">
      <w:pPr>
        <w:pStyle w:val="3-BodyText"/>
      </w:pPr>
      <w:r w:rsidRPr="0023146D">
        <w:t>The</w:t>
      </w:r>
      <w:r>
        <w:t xml:space="preserve"> pre-PBAC response stated that the sponsor does not see a need for a risk-sharing arrangement </w:t>
      </w:r>
      <w:r w:rsidRPr="0023146D">
        <w:t>(RSA</w:t>
      </w:r>
      <w:r>
        <w:t>)</w:t>
      </w:r>
      <w:r w:rsidRPr="0023146D">
        <w:t xml:space="preserve">. </w:t>
      </w:r>
      <w:r>
        <w:t xml:space="preserve">The PBAC considered that an RSA, with expenditure caps, would be required to mitigate the risk of a longer duration of treatment with maribavir, or frequent retreatment with maribavir, which would impact on the cost-effectiveness of maribavir. The PBAC considered that the financial estimates, with revisions as per paragraph </w:t>
      </w:r>
      <w:r>
        <w:fldChar w:fldCharType="begin" w:fldLock="1"/>
      </w:r>
      <w:r>
        <w:instrText xml:space="preserve"> REF _Ref182912066 \r \h </w:instrText>
      </w:r>
      <w:r>
        <w:fldChar w:fldCharType="separate"/>
      </w:r>
      <w:r w:rsidR="008854AA">
        <w:t>6.55</w:t>
      </w:r>
      <w:r>
        <w:fldChar w:fldCharType="end"/>
      </w:r>
      <w:r>
        <w:t>, would be a reasonable basis for calculation of the expenditure caps.</w:t>
      </w:r>
    </w:p>
    <w:p w14:paraId="1057DFBE" w14:textId="49350AEF" w:rsidR="00F8454F" w:rsidRPr="002F64DA" w:rsidRDefault="00294EFE" w:rsidP="002F64DA">
      <w:pPr>
        <w:spacing w:before="240" w:after="120"/>
        <w:ind w:firstLine="709"/>
        <w:rPr>
          <w:rFonts w:asciiTheme="minorHAnsi" w:hAnsiTheme="minorHAnsi" w:cs="Times New Roman"/>
          <w:i/>
          <w:lang w:eastAsia="en-US"/>
        </w:rPr>
      </w:pPr>
      <w:r w:rsidRPr="00045880">
        <w:rPr>
          <w:rFonts w:asciiTheme="minorHAnsi" w:hAnsiTheme="minorHAnsi" w:cs="Times New Roman"/>
          <w:i/>
          <w:lang w:eastAsia="en-US"/>
        </w:rPr>
        <w:t>For more detail on PBAC’s view, see section 7 PBAC outcome.</w:t>
      </w:r>
    </w:p>
    <w:p w14:paraId="7FFC0C13" w14:textId="77777777" w:rsidR="00294EFE" w:rsidRPr="0090150D" w:rsidRDefault="00294EFE" w:rsidP="00294EFE">
      <w:pPr>
        <w:pStyle w:val="2-SectionHeading"/>
        <w:numPr>
          <w:ilvl w:val="0"/>
          <w:numId w:val="1"/>
        </w:numPr>
      </w:pPr>
      <w:bookmarkStart w:id="72" w:name="_Hlk76381249"/>
      <w:bookmarkStart w:id="73" w:name="_Toc177482522"/>
      <w:r w:rsidRPr="0090150D">
        <w:t>PBAC Outcome</w:t>
      </w:r>
    </w:p>
    <w:p w14:paraId="654960EF" w14:textId="53DC3367" w:rsidR="00294EFE" w:rsidRPr="006B02AA" w:rsidRDefault="00294EFE">
      <w:pPr>
        <w:widowControl w:val="0"/>
        <w:numPr>
          <w:ilvl w:val="1"/>
          <w:numId w:val="1"/>
        </w:numPr>
        <w:spacing w:after="120"/>
        <w:rPr>
          <w:rFonts w:asciiTheme="minorHAnsi" w:hAnsiTheme="minorHAnsi"/>
          <w:snapToGrid w:val="0"/>
          <w:lang w:val="en-GB"/>
        </w:rPr>
      </w:pPr>
      <w:r w:rsidRPr="006B02AA">
        <w:rPr>
          <w:rFonts w:asciiTheme="minorHAnsi" w:hAnsiTheme="minorHAnsi"/>
          <w:snapToGrid w:val="0"/>
          <w:lang w:val="en-GB"/>
        </w:rPr>
        <w:t xml:space="preserve">The PBAC recommended the listing of </w:t>
      </w:r>
      <w:r w:rsidR="006B02AA" w:rsidRPr="006B02AA">
        <w:rPr>
          <w:rFonts w:asciiTheme="minorHAnsi" w:hAnsiTheme="minorHAnsi"/>
          <w:snapToGrid w:val="0"/>
          <w:lang w:val="en-GB"/>
        </w:rPr>
        <w:t>maribavir</w:t>
      </w:r>
      <w:r w:rsidRPr="006B02AA">
        <w:rPr>
          <w:rFonts w:asciiTheme="minorHAnsi" w:hAnsiTheme="minorHAnsi"/>
          <w:snapToGrid w:val="0"/>
          <w:lang w:val="en-GB"/>
        </w:rPr>
        <w:t xml:space="preserve">, </w:t>
      </w:r>
      <w:r w:rsidR="006B02AA">
        <w:rPr>
          <w:rFonts w:asciiTheme="minorHAnsi" w:hAnsiTheme="minorHAnsi"/>
          <w:snapToGrid w:val="0"/>
          <w:lang w:val="en-GB"/>
        </w:rPr>
        <w:t xml:space="preserve">for the treatment of post-transplant CMV infection and disease that is resistant, refractory or intolerant to one or more prior therapies, </w:t>
      </w:r>
      <w:r w:rsidRPr="006B02AA">
        <w:rPr>
          <w:rFonts w:asciiTheme="minorHAnsi" w:hAnsiTheme="minorHAnsi"/>
          <w:snapToGrid w:val="0"/>
          <w:lang w:val="en-GB"/>
        </w:rPr>
        <w:t>on the basis that it should be available only under special arrangements under Section 100</w:t>
      </w:r>
      <w:r w:rsidR="006B02AA">
        <w:rPr>
          <w:rFonts w:asciiTheme="minorHAnsi" w:hAnsiTheme="minorHAnsi"/>
          <w:snapToGrid w:val="0"/>
          <w:lang w:val="en-GB"/>
        </w:rPr>
        <w:t xml:space="preserve"> (HSD)</w:t>
      </w:r>
      <w:r w:rsidRPr="006B02AA">
        <w:rPr>
          <w:rFonts w:asciiTheme="minorHAnsi" w:hAnsiTheme="minorHAnsi"/>
          <w:snapToGrid w:val="0"/>
          <w:lang w:val="en-GB"/>
        </w:rPr>
        <w:t xml:space="preserve">. The PBAC </w:t>
      </w:r>
      <w:r w:rsidR="00192F2A">
        <w:rPr>
          <w:rFonts w:asciiTheme="minorHAnsi" w:hAnsiTheme="minorHAnsi"/>
          <w:snapToGrid w:val="0"/>
          <w:lang w:val="en-GB"/>
        </w:rPr>
        <w:t>wa</w:t>
      </w:r>
      <w:r w:rsidRPr="006B02AA">
        <w:rPr>
          <w:rFonts w:asciiTheme="minorHAnsi" w:hAnsiTheme="minorHAnsi"/>
          <w:snapToGrid w:val="0"/>
          <w:lang w:val="en-GB"/>
        </w:rPr>
        <w:t xml:space="preserve">s satisfied that </w:t>
      </w:r>
      <w:r w:rsidR="006B02AA">
        <w:rPr>
          <w:rFonts w:asciiTheme="minorHAnsi" w:hAnsiTheme="minorHAnsi"/>
          <w:snapToGrid w:val="0"/>
          <w:lang w:val="en-GB"/>
        </w:rPr>
        <w:t>maribavir</w:t>
      </w:r>
      <w:r w:rsidRPr="006B02AA">
        <w:rPr>
          <w:rFonts w:asciiTheme="minorHAnsi" w:hAnsiTheme="minorHAnsi"/>
          <w:snapToGrid w:val="0"/>
          <w:lang w:val="en-GB"/>
        </w:rPr>
        <w:t xml:space="preserve"> provides, for some patients, a significant improvement in efficacy over </w:t>
      </w:r>
      <w:r w:rsidR="006B02AA">
        <w:rPr>
          <w:rFonts w:asciiTheme="minorHAnsi" w:hAnsiTheme="minorHAnsi"/>
          <w:snapToGrid w:val="0"/>
          <w:lang w:val="en-GB"/>
        </w:rPr>
        <w:t>SoC (including ganciclovir, valganciclovir, cidofovir and foscarnet)</w:t>
      </w:r>
      <w:r w:rsidRPr="006B02AA">
        <w:rPr>
          <w:rFonts w:asciiTheme="minorHAnsi" w:hAnsiTheme="minorHAnsi"/>
          <w:snapToGrid w:val="0"/>
          <w:lang w:val="en-GB"/>
        </w:rPr>
        <w:t xml:space="preserve">. </w:t>
      </w:r>
      <w:r w:rsidR="006B02AA" w:rsidRPr="00C15280">
        <w:rPr>
          <w:rFonts w:asciiTheme="minorHAnsi" w:hAnsiTheme="minorHAnsi"/>
          <w:snapToGrid w:val="0"/>
          <w:lang w:val="en-GB" w:eastAsia="en-US"/>
        </w:rPr>
        <w:t xml:space="preserve">The PBAC </w:t>
      </w:r>
      <w:r w:rsidR="006B02AA">
        <w:rPr>
          <w:rFonts w:asciiTheme="minorHAnsi" w:hAnsiTheme="minorHAnsi"/>
          <w:snapToGrid w:val="0"/>
          <w:lang w:val="en-GB" w:eastAsia="en-US"/>
        </w:rPr>
        <w:t>recalled</w:t>
      </w:r>
      <w:r w:rsidR="006B02AA" w:rsidRPr="00C15280">
        <w:rPr>
          <w:rFonts w:asciiTheme="minorHAnsi" w:hAnsiTheme="minorHAnsi"/>
          <w:snapToGrid w:val="0"/>
          <w:lang w:val="en-GB" w:eastAsia="en-US"/>
        </w:rPr>
        <w:t xml:space="preserve"> that </w:t>
      </w:r>
      <w:r w:rsidR="006B02AA">
        <w:rPr>
          <w:rFonts w:asciiTheme="minorHAnsi" w:hAnsiTheme="minorHAnsi"/>
          <w:snapToGrid w:val="0"/>
          <w:lang w:val="en-GB" w:eastAsia="en-US"/>
        </w:rPr>
        <w:t xml:space="preserve">it previously considered the comparative clinical evidence was subject to uncertainty due to the limitations of the pivotal randomised study. The PBAC noted that no additional data were available to address this uncertainty, but notwithstanding its limitations, maintained that the </w:t>
      </w:r>
      <w:r w:rsidR="006B02AA">
        <w:rPr>
          <w:lang w:val="en-GB" w:eastAsia="en-US"/>
        </w:rPr>
        <w:t>SOLTICE trial suggests an advantage for maribavir in achieving viral clearance.</w:t>
      </w:r>
      <w:r w:rsidR="006B02AA">
        <w:rPr>
          <w:rFonts w:asciiTheme="minorHAnsi" w:hAnsiTheme="minorHAnsi"/>
          <w:snapToGrid w:val="0"/>
          <w:lang w:val="en-GB" w:eastAsia="en-US"/>
        </w:rPr>
        <w:t xml:space="preserve"> The PBAC noted that the resubmission addressed some areas of uncertainty in the economic evaluation, though a high level of uncertainty remained, largely due to the lack of long-term data. The PBAC considered that the treatment duration for maribavir appeared to be overestimated in the economic evaluation</w:t>
      </w:r>
      <w:r w:rsidR="00E12474">
        <w:rPr>
          <w:rFonts w:asciiTheme="minorHAnsi" w:hAnsiTheme="minorHAnsi"/>
          <w:snapToGrid w:val="0"/>
          <w:lang w:val="en-GB" w:eastAsia="en-US"/>
        </w:rPr>
        <w:t xml:space="preserve"> and noted that the evaluation was sensitive to this value. A</w:t>
      </w:r>
      <w:proofErr w:type="spellStart"/>
      <w:r w:rsidR="00E12474">
        <w:t>lthough</w:t>
      </w:r>
      <w:proofErr w:type="spellEnd"/>
      <w:r w:rsidR="00E12474">
        <w:t xml:space="preserve"> the treatment duration of maribavir in clinical practice is uncertain, additional analyses with reduced treatment duration provided reasonable assurance that maribavir would be cost effective at the price proposed in the pre-PBAC response</w:t>
      </w:r>
      <w:r w:rsidR="006B02AA">
        <w:rPr>
          <w:rFonts w:asciiTheme="minorHAnsi" w:hAnsiTheme="minorHAnsi"/>
          <w:snapToGrid w:val="0"/>
          <w:lang w:val="en-GB" w:eastAsia="en-US"/>
        </w:rPr>
        <w:t xml:space="preserve">. </w:t>
      </w:r>
    </w:p>
    <w:p w14:paraId="380C2CAB" w14:textId="1B8D58D6" w:rsidR="006B02AA" w:rsidRPr="00076E83" w:rsidRDefault="006B02AA" w:rsidP="002F64DA">
      <w:pPr>
        <w:numPr>
          <w:ilvl w:val="1"/>
          <w:numId w:val="1"/>
        </w:numPr>
        <w:spacing w:after="120"/>
        <w:rPr>
          <w:rFonts w:asciiTheme="minorHAnsi" w:hAnsiTheme="minorHAnsi"/>
          <w:snapToGrid w:val="0"/>
          <w:lang w:val="en-GB" w:eastAsia="en-US"/>
        </w:rPr>
      </w:pPr>
      <w:r w:rsidRPr="00076E83">
        <w:rPr>
          <w:rFonts w:asciiTheme="minorHAnsi" w:hAnsiTheme="minorHAnsi"/>
          <w:snapToGrid w:val="0"/>
          <w:lang w:val="en-GB" w:eastAsia="en-US"/>
        </w:rPr>
        <w:t xml:space="preserve">The PBAC noted the consumer comments and acknowledged the </w:t>
      </w:r>
      <w:r>
        <w:rPr>
          <w:rFonts w:asciiTheme="minorHAnsi" w:hAnsiTheme="minorHAnsi"/>
          <w:snapToGrid w:val="0"/>
          <w:lang w:val="en-GB" w:eastAsia="en-US"/>
        </w:rPr>
        <w:t xml:space="preserve">clinical need for effective treatments for CMV disease, and the </w:t>
      </w:r>
      <w:r w:rsidRPr="00076E83">
        <w:rPr>
          <w:rFonts w:asciiTheme="minorHAnsi" w:hAnsiTheme="minorHAnsi"/>
          <w:snapToGrid w:val="0"/>
          <w:lang w:val="en-GB" w:eastAsia="en-US"/>
        </w:rPr>
        <w:t>clinical utility of an orally active agent to treat CMV infection</w:t>
      </w:r>
      <w:r>
        <w:rPr>
          <w:rFonts w:asciiTheme="minorHAnsi" w:hAnsiTheme="minorHAnsi"/>
          <w:snapToGrid w:val="0"/>
          <w:lang w:val="en-GB" w:eastAsia="en-US"/>
        </w:rPr>
        <w:t>,</w:t>
      </w:r>
      <w:r w:rsidRPr="00076E83">
        <w:rPr>
          <w:rFonts w:asciiTheme="minorHAnsi" w:hAnsiTheme="minorHAnsi"/>
          <w:snapToGrid w:val="0"/>
          <w:lang w:val="en-GB" w:eastAsia="en-US"/>
        </w:rPr>
        <w:t xml:space="preserve"> with a different side effect profile to currently available therapies. </w:t>
      </w:r>
      <w:r>
        <w:rPr>
          <w:rFonts w:asciiTheme="minorHAnsi" w:hAnsiTheme="minorHAnsi"/>
          <w:snapToGrid w:val="0"/>
          <w:lang w:val="en-GB" w:eastAsia="en-US"/>
        </w:rPr>
        <w:t>The PBAC considered that there was a clinical need for additional treatment options for patients with disease resistant to available therapies.</w:t>
      </w:r>
    </w:p>
    <w:p w14:paraId="3086630B" w14:textId="10A30649" w:rsidR="006B02AA" w:rsidRPr="006B02AA" w:rsidRDefault="006B02AA" w:rsidP="006B02AA">
      <w:pPr>
        <w:pStyle w:val="3-BodyText"/>
      </w:pPr>
      <w:r>
        <w:lastRenderedPageBreak/>
        <w:t>The PBAC considered that the revisions to the proposed restrictions in the resubmission had adequately addressed its previous concerns regarding the appropriate clinical place for maribavir.</w:t>
      </w:r>
      <w:r w:rsidRPr="006B02AA">
        <w:rPr>
          <w:iCs/>
        </w:rPr>
        <w:t xml:space="preserve"> </w:t>
      </w:r>
      <w:r>
        <w:rPr>
          <w:iCs/>
        </w:rPr>
        <w:t xml:space="preserve">Specifically, the revised restrictions appropriately: removed the </w:t>
      </w:r>
      <w:r w:rsidRPr="006B02AA">
        <w:rPr>
          <w:iCs/>
        </w:rPr>
        <w:t>age criterion</w:t>
      </w:r>
      <w:r>
        <w:rPr>
          <w:iCs/>
        </w:rPr>
        <w:t>, added wording to prescribing instructions to exclude treatment with maribavir where there is evidence of genotypic resistance, adequately defined intolerance and refractoriness to other treatments, and allowed ongoing treatment beyond 8 weeks and retreatment where relapse has occurred.</w:t>
      </w:r>
      <w:r w:rsidRPr="006B02AA">
        <w:rPr>
          <w:i/>
          <w:iCs/>
        </w:rPr>
        <w:t xml:space="preserve"> </w:t>
      </w:r>
    </w:p>
    <w:p w14:paraId="6B95F03A" w14:textId="101F4FDC" w:rsidR="006B02AA" w:rsidRPr="00CE42B4" w:rsidRDefault="006B02AA" w:rsidP="006B02AA">
      <w:pPr>
        <w:pStyle w:val="3-BodyText"/>
        <w:rPr>
          <w:snapToGrid w:val="0"/>
          <w:lang w:val="en-GB"/>
        </w:rPr>
      </w:pPr>
      <w:r>
        <w:rPr>
          <w:snapToGrid w:val="0"/>
          <w:lang w:val="en-GB" w:eastAsia="en-US"/>
        </w:rPr>
        <w:t xml:space="preserve">The comparator proposed in the resubmission remained standard of care, which was defined to include ganciclovir, valganciclovir, foscarnet and cidofovir. </w:t>
      </w:r>
      <w:r>
        <w:rPr>
          <w:snapToGrid w:val="0"/>
          <w:lang w:val="en-GB"/>
        </w:rPr>
        <w:t xml:space="preserve">The PBAC considered that this was appropriate. The PBAC noted that changes to the PBS restrictions for valganciclovir and ganciclovir would help to ensure that they remained the first line option for treatment of CMV disease. </w:t>
      </w:r>
      <w:r>
        <w:t>While</w:t>
      </w:r>
      <w:r w:rsidRPr="0023146D">
        <w:t xml:space="preserve"> foscarnet</w:t>
      </w:r>
      <w:r>
        <w:t xml:space="preserve"> was a relevant comparator</w:t>
      </w:r>
      <w:r w:rsidRPr="0023146D">
        <w:t xml:space="preserve">, in clinical practice patients not responding to first-line treatment with valganciclovir or ganciclovir may be re-treated with higher doses of these therapies, therefore higher doses of these therapies </w:t>
      </w:r>
      <w:r>
        <w:t>were</w:t>
      </w:r>
      <w:r w:rsidRPr="0023146D">
        <w:t xml:space="preserve"> considered as comparators (para 5.4, maribavir PSD, November 2023 PBAC meeting).</w:t>
      </w:r>
    </w:p>
    <w:p w14:paraId="3EB9A73E" w14:textId="5485003E" w:rsidR="006B02AA" w:rsidRPr="006B02AA" w:rsidRDefault="006B02AA" w:rsidP="006B02AA">
      <w:pPr>
        <w:pStyle w:val="3-BodyText"/>
        <w:rPr>
          <w:rFonts w:cstheme="minorHAnsi"/>
          <w:snapToGrid w:val="0"/>
          <w:lang w:val="en-GB"/>
        </w:rPr>
      </w:pPr>
      <w:r w:rsidRPr="00435BD8">
        <w:rPr>
          <w:lang w:val="en-GB" w:eastAsia="en-US"/>
        </w:rPr>
        <w:t xml:space="preserve">The PBAC noted the primary clinical evidence presented in the submission was the </w:t>
      </w:r>
      <w:r>
        <w:rPr>
          <w:lang w:val="en-GB" w:eastAsia="en-US"/>
        </w:rPr>
        <w:t xml:space="preserve">open-label </w:t>
      </w:r>
      <w:r w:rsidRPr="00435BD8">
        <w:rPr>
          <w:lang w:val="en-GB" w:eastAsia="en-US"/>
        </w:rPr>
        <w:t xml:space="preserve">SOLSTICE trial, where patients </w:t>
      </w:r>
      <w:r>
        <w:rPr>
          <w:lang w:val="en-GB" w:eastAsia="en-US"/>
        </w:rPr>
        <w:t xml:space="preserve">with CMV infections who were refractory to one or more of ganciclovir, valganciclovir, foscarnet or cidofovir, </w:t>
      </w:r>
      <w:r w:rsidRPr="00435BD8">
        <w:rPr>
          <w:lang w:val="en-GB" w:eastAsia="en-US"/>
        </w:rPr>
        <w:t xml:space="preserve">were treated with maribavir or </w:t>
      </w:r>
      <w:r w:rsidR="00E12474" w:rsidRPr="0023146D">
        <w:t xml:space="preserve">investigator-assigned treatment </w:t>
      </w:r>
      <w:r w:rsidR="00E12474">
        <w:t>(</w:t>
      </w:r>
      <w:r w:rsidRPr="00435BD8">
        <w:rPr>
          <w:lang w:val="en-GB" w:eastAsia="en-US"/>
        </w:rPr>
        <w:t>IAT</w:t>
      </w:r>
      <w:r w:rsidR="00E12474">
        <w:rPr>
          <w:lang w:val="en-GB" w:eastAsia="en-US"/>
        </w:rPr>
        <w:t xml:space="preserve">, including </w:t>
      </w:r>
      <w:r>
        <w:rPr>
          <w:lang w:val="en-GB" w:eastAsia="en-US"/>
        </w:rPr>
        <w:t>ganciclovir or valganciclovir at standard or increased dose, or foscarnet or cidofovir)</w:t>
      </w:r>
      <w:r w:rsidRPr="00435BD8">
        <w:rPr>
          <w:lang w:val="en-GB" w:eastAsia="en-US"/>
        </w:rPr>
        <w:t>.</w:t>
      </w:r>
      <w:r w:rsidRPr="00583EB0" w:rsidDel="006B02AA">
        <w:rPr>
          <w:rFonts w:cstheme="minorHAnsi"/>
          <w:lang w:val="en-GB"/>
        </w:rPr>
        <w:t xml:space="preserve"> </w:t>
      </w:r>
      <w:r>
        <w:rPr>
          <w:lang w:val="en-GB" w:eastAsia="en-US"/>
        </w:rPr>
        <w:t xml:space="preserve">The PBAC recalled that it had previously considered that the number of patients who switched to the maribavir rescue arm (22) and </w:t>
      </w:r>
      <w:r w:rsidRPr="00421405">
        <w:rPr>
          <w:iCs/>
        </w:rPr>
        <w:t xml:space="preserve">the high rate of discontinuations in patients prior to 8 weeks in the IAT comparator arm </w:t>
      </w:r>
      <w:r>
        <w:rPr>
          <w:iCs/>
        </w:rPr>
        <w:t>(65.7%) potentially biased the outcomes in favour of maribavir and made it difficult to interpret</w:t>
      </w:r>
      <w:r w:rsidRPr="00421405">
        <w:rPr>
          <w:iCs/>
        </w:rPr>
        <w:t xml:space="preserve"> the trial results</w:t>
      </w:r>
      <w:r>
        <w:rPr>
          <w:iCs/>
        </w:rPr>
        <w:t xml:space="preserve"> (para 7.10, maribavir PSD, November 2023 PBAC meeting). </w:t>
      </w:r>
      <w:r>
        <w:rPr>
          <w:rFonts w:cstheme="minorHAnsi"/>
          <w:lang w:val="en-GB"/>
        </w:rPr>
        <w:t>The PBAC noted that no additional trial data were presented in the resubmission.</w:t>
      </w:r>
    </w:p>
    <w:p w14:paraId="014B81A8" w14:textId="2AA44CB9" w:rsidR="006B02AA" w:rsidRPr="006B02AA" w:rsidRDefault="006B02AA" w:rsidP="006B02AA">
      <w:pPr>
        <w:pStyle w:val="3-BodyText"/>
        <w:rPr>
          <w:snapToGrid w:val="0"/>
        </w:rPr>
      </w:pPr>
      <w:r w:rsidRPr="005D032A">
        <w:rPr>
          <w:lang w:val="en-GB" w:eastAsia="en-US"/>
        </w:rPr>
        <w:t>The PBAC noted that</w:t>
      </w:r>
      <w:r>
        <w:rPr>
          <w:lang w:val="en-GB" w:eastAsia="en-US"/>
        </w:rPr>
        <w:t>,</w:t>
      </w:r>
      <w:r w:rsidRPr="005D032A">
        <w:rPr>
          <w:lang w:val="en-GB" w:eastAsia="en-US"/>
        </w:rPr>
        <w:t xml:space="preserve"> in SOLSTICE</w:t>
      </w:r>
      <w:r>
        <w:rPr>
          <w:lang w:val="en-GB" w:eastAsia="en-US"/>
        </w:rPr>
        <w:t>,</w:t>
      </w:r>
      <w:r w:rsidRPr="005D032A">
        <w:rPr>
          <w:lang w:val="en-GB" w:eastAsia="en-US"/>
        </w:rPr>
        <w:t xml:space="preserve"> CMV </w:t>
      </w:r>
      <w:r>
        <w:rPr>
          <w:lang w:val="en-GB" w:eastAsia="en-US"/>
        </w:rPr>
        <w:t>viraemia</w:t>
      </w:r>
      <w:r w:rsidRPr="005D032A">
        <w:rPr>
          <w:lang w:val="en-GB" w:eastAsia="en-US"/>
        </w:rPr>
        <w:t xml:space="preserve"> clearance at 8 weeks was higher in patients treated with maribavir compared to IAT (131/235 (55.7%) versus 28/117 (23.9%)).</w:t>
      </w:r>
      <w:r>
        <w:rPr>
          <w:lang w:val="en-GB" w:eastAsia="en-US"/>
        </w:rPr>
        <w:t xml:space="preserve"> The evaluation noted that p</w:t>
      </w:r>
      <w:r w:rsidRPr="006B02AA">
        <w:rPr>
          <w:lang w:eastAsia="en-US"/>
        </w:rPr>
        <w:t xml:space="preserve">re-specified secondary outcomes of recurrence (during 8-week treatment, after 8-week treatment, and at any time during the study) </w:t>
      </w:r>
      <w:r>
        <w:rPr>
          <w:lang w:eastAsia="en-US"/>
        </w:rPr>
        <w:t>were</w:t>
      </w:r>
      <w:r w:rsidRPr="006B02AA">
        <w:rPr>
          <w:lang w:eastAsia="en-US"/>
        </w:rPr>
        <w:t xml:space="preserve"> higher with maribavir than IAT (e.g., 56.5% vs 33.8% for recurrence at any time during the study).</w:t>
      </w:r>
      <w:r w:rsidRPr="006B02AA">
        <w:rPr>
          <w:rFonts w:ascii="Calibri" w:eastAsia="Times New Roman" w:hAnsi="Calibri" w:cs="Arial"/>
          <w:szCs w:val="24"/>
        </w:rPr>
        <w:t xml:space="preserve"> </w:t>
      </w:r>
      <w:r>
        <w:rPr>
          <w:rFonts w:ascii="Calibri" w:eastAsia="Times New Roman" w:hAnsi="Calibri" w:cs="Arial"/>
          <w:szCs w:val="24"/>
        </w:rPr>
        <w:t xml:space="preserve">However, </w:t>
      </w:r>
      <w:r w:rsidRPr="006B02AA">
        <w:rPr>
          <w:lang w:eastAsia="en-US"/>
        </w:rPr>
        <w:t xml:space="preserve">the resubmission </w:t>
      </w:r>
      <w:r>
        <w:rPr>
          <w:lang w:eastAsia="en-US"/>
        </w:rPr>
        <w:t>argued</w:t>
      </w:r>
      <w:r w:rsidRPr="006B02AA">
        <w:rPr>
          <w:lang w:eastAsia="en-US"/>
        </w:rPr>
        <w:t xml:space="preserve"> that clinically relevant recurrence </w:t>
      </w:r>
      <w:r>
        <w:rPr>
          <w:lang w:eastAsia="en-US"/>
        </w:rPr>
        <w:t>is</w:t>
      </w:r>
      <w:r w:rsidRPr="006B02AA">
        <w:rPr>
          <w:lang w:eastAsia="en-US"/>
        </w:rPr>
        <w:t xml:space="preserve"> better represented by recurrences after Week 8 </w:t>
      </w:r>
      <w:r>
        <w:rPr>
          <w:lang w:eastAsia="en-US"/>
        </w:rPr>
        <w:t xml:space="preserve">(up to week 16) </w:t>
      </w:r>
      <w:r w:rsidRPr="006B02AA">
        <w:rPr>
          <w:lang w:eastAsia="en-US"/>
        </w:rPr>
        <w:t>which required alternative anti-CMV treatment, occurring less frequently in maribavir patients than in IAT patients (26.0% vs 35.7%).</w:t>
      </w:r>
      <w:r>
        <w:rPr>
          <w:lang w:eastAsia="en-US"/>
        </w:rPr>
        <w:t xml:space="preserve"> </w:t>
      </w:r>
      <w:r w:rsidRPr="00CE42B4">
        <w:rPr>
          <w:iCs/>
          <w:snapToGrid w:val="0"/>
        </w:rPr>
        <w:t>The</w:t>
      </w:r>
      <w:r w:rsidRPr="00CE42B4">
        <w:rPr>
          <w:snapToGrid w:val="0"/>
        </w:rPr>
        <w:t xml:space="preserve"> PBAC </w:t>
      </w:r>
      <w:r>
        <w:rPr>
          <w:snapToGrid w:val="0"/>
        </w:rPr>
        <w:t xml:space="preserve">recalled it had previously </w:t>
      </w:r>
      <w:r w:rsidRPr="00CE42B4">
        <w:rPr>
          <w:snapToGrid w:val="0"/>
        </w:rPr>
        <w:t xml:space="preserve">considered that the claim of </w:t>
      </w:r>
      <w:r>
        <w:rPr>
          <w:snapToGrid w:val="0"/>
        </w:rPr>
        <w:t>superior</w:t>
      </w:r>
      <w:r w:rsidRPr="00CE42B4">
        <w:rPr>
          <w:snapToGrid w:val="0"/>
        </w:rPr>
        <w:t xml:space="preserve"> comparative effectiveness was not </w:t>
      </w:r>
      <w:r>
        <w:rPr>
          <w:snapToGrid w:val="0"/>
        </w:rPr>
        <w:t>well-</w:t>
      </w:r>
      <w:r w:rsidRPr="00CE42B4">
        <w:rPr>
          <w:snapToGrid w:val="0"/>
        </w:rPr>
        <w:t>supported by the data</w:t>
      </w:r>
      <w:r>
        <w:rPr>
          <w:snapToGrid w:val="0"/>
        </w:rPr>
        <w:t xml:space="preserve"> (para 6.46, maribavir PSD, November 2023 PBAC meeting)</w:t>
      </w:r>
      <w:r w:rsidRPr="00CE42B4">
        <w:rPr>
          <w:snapToGrid w:val="0"/>
        </w:rPr>
        <w:t>.</w:t>
      </w:r>
      <w:r>
        <w:rPr>
          <w:snapToGrid w:val="0"/>
        </w:rPr>
        <w:t xml:space="preserve"> The PBAC </w:t>
      </w:r>
      <w:r w:rsidRPr="006B02AA">
        <w:rPr>
          <w:snapToGrid w:val="0"/>
        </w:rPr>
        <w:t>maintained that there was a high level of uncertainty in the magnitude of clinical benefit for maribavir due to the limitations of the trial</w:t>
      </w:r>
      <w:r>
        <w:rPr>
          <w:snapToGrid w:val="0"/>
        </w:rPr>
        <w:t xml:space="preserve"> but considered that the outcome of </w:t>
      </w:r>
      <w:r w:rsidRPr="00045880">
        <w:rPr>
          <w:iCs/>
        </w:rPr>
        <w:t>recurrence</w:t>
      </w:r>
      <w:r>
        <w:rPr>
          <w:snapToGrid w:val="0"/>
        </w:rPr>
        <w:t xml:space="preserve"> requiring retreatment was likely to be clinically meaningful and the SOLSTICE trial suggested maribavir was superior to IAT for this outcome. </w:t>
      </w:r>
    </w:p>
    <w:p w14:paraId="3B3A8F1A" w14:textId="057129F7" w:rsidR="006B02AA" w:rsidRPr="006B02AA" w:rsidRDefault="006B02AA" w:rsidP="006B02AA">
      <w:pPr>
        <w:pStyle w:val="3-BodyText"/>
        <w:rPr>
          <w:rFonts w:cstheme="minorHAnsi"/>
          <w:snapToGrid w:val="0"/>
          <w:lang w:val="en-GB"/>
        </w:rPr>
      </w:pPr>
      <w:r>
        <w:rPr>
          <w:lang w:val="en-GB" w:eastAsia="en-US"/>
        </w:rPr>
        <w:lastRenderedPageBreak/>
        <w:t xml:space="preserve">The PBAC recalled it previously acknowledged that maribavir appears to have a different safety profile compared with standard medical </w:t>
      </w:r>
      <w:proofErr w:type="gramStart"/>
      <w:r>
        <w:rPr>
          <w:lang w:val="en-GB" w:eastAsia="en-US"/>
        </w:rPr>
        <w:t>management, but</w:t>
      </w:r>
      <w:proofErr w:type="gramEnd"/>
      <w:r>
        <w:rPr>
          <w:lang w:val="en-GB" w:eastAsia="en-US"/>
        </w:rPr>
        <w:t xml:space="preserve"> considered that maribavir was not superior to standard medical management in terms of safety. The PBAC considered that the resubmission</w:t>
      </w:r>
      <w:r w:rsidR="00964407">
        <w:rPr>
          <w:lang w:val="en-GB" w:eastAsia="en-US"/>
        </w:rPr>
        <w:t>’</w:t>
      </w:r>
      <w:r>
        <w:rPr>
          <w:lang w:val="en-GB" w:eastAsia="en-US"/>
        </w:rPr>
        <w:t>s</w:t>
      </w:r>
      <w:r w:rsidR="00964407">
        <w:rPr>
          <w:lang w:val="en-GB" w:eastAsia="en-US"/>
        </w:rPr>
        <w:t xml:space="preserve"> </w:t>
      </w:r>
      <w:r>
        <w:rPr>
          <w:lang w:val="en-GB" w:eastAsia="en-US"/>
        </w:rPr>
        <w:t>claim of non</w:t>
      </w:r>
      <w:r>
        <w:rPr>
          <w:lang w:val="en-GB" w:eastAsia="en-US"/>
        </w:rPr>
        <w:noBreakHyphen/>
        <w:t>inferior safety was reasonable.</w:t>
      </w:r>
    </w:p>
    <w:p w14:paraId="423B6964" w14:textId="6D6719F0" w:rsidR="00964407" w:rsidRDefault="006B02AA" w:rsidP="006B02AA">
      <w:pPr>
        <w:pStyle w:val="3-BodyText"/>
      </w:pPr>
      <w:r>
        <w:rPr>
          <w:snapToGrid w:val="0"/>
          <w:lang w:val="en-GB" w:eastAsia="en-US"/>
        </w:rPr>
        <w:t>T</w:t>
      </w:r>
      <w:r w:rsidRPr="004F40B5">
        <w:rPr>
          <w:snapToGrid w:val="0"/>
          <w:lang w:val="en-GB" w:eastAsia="en-US"/>
        </w:rPr>
        <w:t xml:space="preserve">he </w:t>
      </w:r>
      <w:r>
        <w:rPr>
          <w:snapToGrid w:val="0"/>
          <w:lang w:val="en-GB" w:eastAsia="en-US"/>
        </w:rPr>
        <w:t>PBAC</w:t>
      </w:r>
      <w:r w:rsidRPr="004F40B5">
        <w:rPr>
          <w:snapToGrid w:val="0"/>
          <w:lang w:val="en-GB" w:eastAsia="en-US"/>
        </w:rPr>
        <w:t xml:space="preserve"> </w:t>
      </w:r>
      <w:r>
        <w:rPr>
          <w:snapToGrid w:val="0"/>
          <w:lang w:val="en-GB" w:eastAsia="en-US"/>
        </w:rPr>
        <w:t xml:space="preserve">recalled it previously </w:t>
      </w:r>
      <w:r w:rsidRPr="004F40B5">
        <w:rPr>
          <w:snapToGrid w:val="0"/>
          <w:lang w:val="en-GB" w:eastAsia="en-US"/>
        </w:rPr>
        <w:t>considered the</w:t>
      </w:r>
      <w:r>
        <w:rPr>
          <w:snapToGrid w:val="0"/>
          <w:lang w:val="en-GB" w:eastAsia="en-US"/>
        </w:rPr>
        <w:t xml:space="preserve">re was a high level of uncertainty in the modelled outcomes because the economic evaluation was based on trial outcomes up to only 8 </w:t>
      </w:r>
      <w:r w:rsidRPr="006B02AA">
        <w:rPr>
          <w:snapToGrid w:val="0"/>
          <w:lang w:val="en-GB" w:eastAsia="en-US"/>
        </w:rPr>
        <w:t>weeks and the model relied on multiple data sources and assumptions that were poorly justified (para 7.15, maribavir PSD, November 2023 PBAC meeting</w:t>
      </w:r>
      <w:r w:rsidR="00964407">
        <w:rPr>
          <w:snapToGrid w:val="0"/>
          <w:lang w:val="en-GB" w:eastAsia="en-US"/>
        </w:rPr>
        <w:t>)</w:t>
      </w:r>
      <w:r w:rsidRPr="006B02AA">
        <w:rPr>
          <w:snapToGrid w:val="0"/>
          <w:lang w:val="en-GB" w:eastAsia="en-US"/>
        </w:rPr>
        <w:t xml:space="preserve">. The PBAC noted that the resubmission model </w:t>
      </w:r>
      <w:r w:rsidRPr="006B02AA">
        <w:t xml:space="preserve">still relied heavily on unjustified assumptions regarding subsequent treatment in patients without CMV viremia clearance, including those who did not achieve viremia clearance at week 8 and beyond and those who experience recurrence. The PBAC considered that the reduction in the duration of stage 1 of the model </w:t>
      </w:r>
      <w:r w:rsidR="005D6A09">
        <w:t xml:space="preserve">from 78 weeks to 39.2 weeks </w:t>
      </w:r>
      <w:r w:rsidR="004805B0">
        <w:t xml:space="preserve">in the resubmission </w:t>
      </w:r>
      <w:r w:rsidRPr="006B02AA">
        <w:t>was appropriate and, to some extent, mitigates the impact of uncertainty from applying the short term observed data on clearance and mortality beyond the trial period.</w:t>
      </w:r>
      <w:r w:rsidRPr="00045880">
        <w:t xml:space="preserve"> </w:t>
      </w:r>
      <w:r w:rsidR="00964407">
        <w:t xml:space="preserve">However, the model remained highly sensitive to </w:t>
      </w:r>
      <w:r w:rsidR="00964407" w:rsidRPr="00F57F1D">
        <w:t>the clearance effect of maribavir at week 8</w:t>
      </w:r>
      <w:r w:rsidR="00964407">
        <w:t xml:space="preserve">, which was uncertain due to the limitations of the trial. </w:t>
      </w:r>
    </w:p>
    <w:p w14:paraId="124F98EA" w14:textId="57A09517" w:rsidR="006B02AA" w:rsidRPr="00964407" w:rsidRDefault="00964407" w:rsidP="00964407">
      <w:pPr>
        <w:pStyle w:val="3-BodyText"/>
      </w:pPr>
      <w:r>
        <w:t xml:space="preserve">The PBAC noted that the pre-PBAC response provided a revised base case which addressed some of the unjustified assumptions in the economic evaluation (treatment specific recurrence rates and IAT drug treatment durations) and proposed a price reduction for maribavir. The PBAC noted that this analysis resulted in an ICER of </w:t>
      </w:r>
      <w:r w:rsidR="00020590" w:rsidRPr="00020590">
        <w:t xml:space="preserve">$55,000 to &lt; $75,000 </w:t>
      </w:r>
      <w:r>
        <w:t xml:space="preserve">per QALY, however when the share of foscarnet retreatment was reduced by </w:t>
      </w:r>
      <w:r w:rsidRPr="00433A84">
        <w:t>50</w:t>
      </w:r>
      <w:r>
        <w:t xml:space="preserve">% and the time horizon shortened to 2 years the ICER increased to </w:t>
      </w:r>
      <w:r w:rsidR="00C24BD9" w:rsidRPr="00C24BD9">
        <w:t>$155,000 to &lt; $255,000</w:t>
      </w:r>
      <w:r w:rsidR="00591B0D">
        <w:t xml:space="preserve"> </w:t>
      </w:r>
      <w:r>
        <w:t xml:space="preserve">per QALY. The PBAC noted the advice provided in the sponsor hearing that response to maribavir is likely to be assessed frequently and use is likely to be </w:t>
      </w:r>
      <w:proofErr w:type="gramStart"/>
      <w:r>
        <w:t>similar to</w:t>
      </w:r>
      <w:proofErr w:type="gramEnd"/>
      <w:r>
        <w:t xml:space="preserve"> other treatments for CMV. Noting that the model assumed 7.5 weeks of maribavir treatment, and 5.14 weeks (average) for IAT, the PBAC considered that treatment costs for maribavir are likely to be overestimated in the model as they were driven by the 8-week trial design. The PBAC noted that </w:t>
      </w:r>
      <w:r w:rsidR="00826EC3">
        <w:t xml:space="preserve">the ICER was sensitive to the treatment duration for maribavir and </w:t>
      </w:r>
      <w:r>
        <w:t xml:space="preserve">when the duration was reduced to that of valganciclovir (5.64 weeks, the longest of IAT) the ICER was reduced from </w:t>
      </w:r>
      <w:r w:rsidR="000712FB" w:rsidRPr="000712FB">
        <w:t>$155,000 to &lt;</w:t>
      </w:r>
      <w:r w:rsidR="00591B0D">
        <w:t> </w:t>
      </w:r>
      <w:r w:rsidR="000712FB" w:rsidRPr="000712FB">
        <w:t>$255,000</w:t>
      </w:r>
      <w:r w:rsidR="00591B0D">
        <w:t xml:space="preserve"> </w:t>
      </w:r>
      <w:r>
        <w:t xml:space="preserve">per QALY to </w:t>
      </w:r>
      <w:r w:rsidR="002C3279" w:rsidRPr="002C3279">
        <w:t xml:space="preserve">$5,000 to &lt; $15,000 </w:t>
      </w:r>
      <w:r>
        <w:t>per QALY. The PBAC considered that</w:t>
      </w:r>
      <w:r w:rsidR="00826EC3">
        <w:t xml:space="preserve">, although the treatment duration of maribavir in clinical practice is uncertain, </w:t>
      </w:r>
      <w:r>
        <w:t>th</w:t>
      </w:r>
      <w:r w:rsidR="00826EC3">
        <w:t>e additional analysis</w:t>
      </w:r>
      <w:r>
        <w:t xml:space="preserve"> provided reasonable assurance that maribavir would be cost effective at the price proposed in the pre-PBAC response. </w:t>
      </w:r>
    </w:p>
    <w:p w14:paraId="0493451F" w14:textId="5A03C265" w:rsidR="00964407" w:rsidRPr="00964407" w:rsidRDefault="00964407" w:rsidP="00964407">
      <w:pPr>
        <w:pStyle w:val="3-BodyText"/>
        <w:rPr>
          <w:snapToGrid w:val="0"/>
        </w:rPr>
      </w:pPr>
      <w:bookmarkStart w:id="74" w:name="_Ref183003349"/>
      <w:bookmarkStart w:id="75" w:name="_Ref152099102"/>
      <w:r w:rsidRPr="00964407">
        <w:rPr>
          <w:snapToGrid w:val="0"/>
          <w:lang w:val="en-GB"/>
        </w:rPr>
        <w:t xml:space="preserve">The PBAC recalled it previously considered the submission’s estimates that </w:t>
      </w:r>
      <w:r w:rsidR="008305EA">
        <w:t xml:space="preserve">&lt; 500 </w:t>
      </w:r>
      <w:r w:rsidRPr="00964407">
        <w:rPr>
          <w:snapToGrid w:val="0"/>
          <w:lang w:val="en-GB"/>
        </w:rPr>
        <w:t>-</w:t>
      </w:r>
      <w:r w:rsidR="008305EA">
        <w:t xml:space="preserve">&lt; 500 </w:t>
      </w:r>
      <w:r w:rsidRPr="00964407">
        <w:rPr>
          <w:snapToGrid w:val="0"/>
          <w:lang w:val="en-GB"/>
        </w:rPr>
        <w:t xml:space="preserve">patients per year would be treated with maribavir were reasonable </w:t>
      </w:r>
      <w:r>
        <w:rPr>
          <w:snapToGrid w:val="0"/>
          <w:lang w:val="en-GB"/>
        </w:rPr>
        <w:t xml:space="preserve">and noted that these estimates were unchanged in the resubmission. </w:t>
      </w:r>
      <w:r w:rsidRPr="00964407">
        <w:rPr>
          <w:snapToGrid w:val="0"/>
        </w:rPr>
        <w:t>The PBAC considered there remains uncertainty regarding both the length of treatment and the proportion of patients requiring retreatment</w:t>
      </w:r>
      <w:r>
        <w:rPr>
          <w:snapToGrid w:val="0"/>
        </w:rPr>
        <w:t xml:space="preserve">. The PBAC considered that the treatment duration of 7.5 weeks was overestimated compared with </w:t>
      </w:r>
      <w:r w:rsidRPr="00964407">
        <w:rPr>
          <w:snapToGrid w:val="0"/>
        </w:rPr>
        <w:t xml:space="preserve">SOLSTICE </w:t>
      </w:r>
      <w:r>
        <w:rPr>
          <w:snapToGrid w:val="0"/>
        </w:rPr>
        <w:t>(</w:t>
      </w:r>
      <w:r w:rsidRPr="00964407">
        <w:rPr>
          <w:snapToGrid w:val="0"/>
        </w:rPr>
        <w:t xml:space="preserve">6.91 weeks when compliance </w:t>
      </w:r>
      <w:r>
        <w:rPr>
          <w:snapToGrid w:val="0"/>
        </w:rPr>
        <w:lastRenderedPageBreak/>
        <w:t xml:space="preserve">was accounted for) and longer than maribavir is likely to be used in clinical practice. The PBAC considered the duration should be reduced to 5.64 weeks, consistent with </w:t>
      </w:r>
      <w:r>
        <w:t xml:space="preserve">consideration of treatment duration in the economic evaluation. The PBAC noted that when the treatment duration was reduced and the pre-PBAC proposed DPMQ for maribavir were applied, the total cost </w:t>
      </w:r>
      <w:r w:rsidR="005D6A09">
        <w:t xml:space="preserve">for maribavir </w:t>
      </w:r>
      <w:r>
        <w:t xml:space="preserve">was </w:t>
      </w:r>
      <w:r w:rsidRPr="0023146D">
        <w:t xml:space="preserve">estimated to be </w:t>
      </w:r>
      <w:r w:rsidR="00A54522" w:rsidRPr="00A54522">
        <w:t>$0 to &lt;</w:t>
      </w:r>
      <w:r w:rsidR="008305EA">
        <w:t> </w:t>
      </w:r>
      <w:r w:rsidR="00A54522" w:rsidRPr="00A54522">
        <w:t>$10</w:t>
      </w:r>
      <w:r w:rsidR="008305EA">
        <w:t> </w:t>
      </w:r>
      <w:r w:rsidR="00A54522" w:rsidRPr="00A54522">
        <w:t>million</w:t>
      </w:r>
      <w:r w:rsidR="00FB40CD">
        <w:t xml:space="preserve"> </w:t>
      </w:r>
      <w:r w:rsidRPr="0023146D">
        <w:t xml:space="preserve">in Year 6, and a total of </w:t>
      </w:r>
      <w:r w:rsidR="0011033C" w:rsidRPr="0011033C">
        <w:t>$30 million to &lt; $40 million</w:t>
      </w:r>
      <w:r w:rsidR="00FB40CD">
        <w:t xml:space="preserve"> </w:t>
      </w:r>
      <w:r w:rsidRPr="0023146D">
        <w:t>in the first 6 years of listing</w:t>
      </w:r>
      <w:r>
        <w:t>.</w:t>
      </w:r>
      <w:bookmarkEnd w:id="74"/>
      <w:r w:rsidRPr="00964407">
        <w:rPr>
          <w:snapToGrid w:val="0"/>
        </w:rPr>
        <w:t xml:space="preserve"> </w:t>
      </w:r>
    </w:p>
    <w:p w14:paraId="424D6923" w14:textId="0C225210" w:rsidR="00964407" w:rsidRPr="00964407" w:rsidRDefault="00964407" w:rsidP="00964407">
      <w:pPr>
        <w:pStyle w:val="3-BodyText"/>
      </w:pPr>
      <w:r w:rsidRPr="00964407">
        <w:t xml:space="preserve">The PBAC considered that an RSA, with expenditure caps, would be required to mitigate the risk of a longer duration of treatment with maribavir, or frequent retreatment with maribavir, which would impact on the cost-effectiveness of maribavir. The PBAC considered that the financial estimates, with revisions as per paragraph </w:t>
      </w:r>
      <w:r w:rsidRPr="00964407">
        <w:fldChar w:fldCharType="begin" w:fldLock="1"/>
      </w:r>
      <w:r w:rsidRPr="00964407">
        <w:instrText xml:space="preserve"> REF _Ref183003349 \r \h </w:instrText>
      </w:r>
      <w:r>
        <w:instrText xml:space="preserve"> \* MERGEFORMAT </w:instrText>
      </w:r>
      <w:r w:rsidRPr="00964407">
        <w:fldChar w:fldCharType="separate"/>
      </w:r>
      <w:r w:rsidR="008854AA">
        <w:t>7.10</w:t>
      </w:r>
      <w:r w:rsidRPr="00964407">
        <w:fldChar w:fldCharType="end"/>
      </w:r>
      <w:r w:rsidRPr="00964407">
        <w:t xml:space="preserve">, would be a reasonable basis for calculation of the expenditure caps. </w:t>
      </w:r>
      <w:bookmarkEnd w:id="75"/>
    </w:p>
    <w:p w14:paraId="2C4126BA" w14:textId="072B89A5" w:rsidR="00294EFE" w:rsidRPr="00964407" w:rsidRDefault="00294EFE" w:rsidP="00964407">
      <w:pPr>
        <w:pStyle w:val="3-BodyText"/>
        <w:widowControl w:val="0"/>
        <w:rPr>
          <w:bCs/>
          <w:snapToGrid w:val="0"/>
          <w:lang w:val="en-GB"/>
        </w:rPr>
      </w:pPr>
      <w:r w:rsidRPr="00964407">
        <w:t xml:space="preserve">The </w:t>
      </w:r>
      <w:r w:rsidRPr="00964407">
        <w:rPr>
          <w:bCs/>
          <w:snapToGrid w:val="0"/>
          <w:lang w:val="en-GB"/>
        </w:rPr>
        <w:t xml:space="preserve">PBAC recommended that </w:t>
      </w:r>
      <w:r w:rsidR="00964407">
        <w:rPr>
          <w:bCs/>
          <w:snapToGrid w:val="0"/>
          <w:lang w:val="en-GB"/>
        </w:rPr>
        <w:t>maribavir</w:t>
      </w:r>
      <w:r w:rsidRPr="00964407">
        <w:rPr>
          <w:bCs/>
          <w:snapToGrid w:val="0"/>
          <w:lang w:val="en-GB"/>
        </w:rPr>
        <w:t xml:space="preserve"> should </w:t>
      </w:r>
      <w:r w:rsidR="00964407">
        <w:rPr>
          <w:bCs/>
          <w:snapToGrid w:val="0"/>
          <w:lang w:val="en-GB"/>
        </w:rPr>
        <w:t xml:space="preserve">not </w:t>
      </w:r>
      <w:r w:rsidRPr="00964407">
        <w:rPr>
          <w:bCs/>
          <w:snapToGrid w:val="0"/>
          <w:lang w:val="en-GB"/>
        </w:rPr>
        <w:t>be treated as interchangeable on an individual patient basis with any other drugs</w:t>
      </w:r>
      <w:r w:rsidR="00964407">
        <w:rPr>
          <w:bCs/>
          <w:snapToGrid w:val="0"/>
          <w:lang w:val="en-GB"/>
        </w:rPr>
        <w:t>.</w:t>
      </w:r>
    </w:p>
    <w:p w14:paraId="083E2FCD" w14:textId="1080284C" w:rsidR="00294EFE" w:rsidRDefault="00294EFE" w:rsidP="00294EFE">
      <w:pPr>
        <w:widowControl w:val="0"/>
        <w:numPr>
          <w:ilvl w:val="1"/>
          <w:numId w:val="1"/>
        </w:numPr>
        <w:spacing w:after="120"/>
        <w:rPr>
          <w:rFonts w:asciiTheme="minorHAnsi" w:hAnsiTheme="minorHAnsi"/>
          <w:bCs/>
          <w:snapToGrid w:val="0"/>
          <w:lang w:val="en-GB"/>
        </w:rPr>
      </w:pPr>
      <w:r w:rsidRPr="00525B39">
        <w:rPr>
          <w:rFonts w:asciiTheme="minorHAnsi" w:hAnsiTheme="minorHAnsi"/>
          <w:bCs/>
          <w:snapToGrid w:val="0"/>
          <w:lang w:val="en-GB"/>
        </w:rPr>
        <w:t xml:space="preserve">The PBAC advised that </w:t>
      </w:r>
      <w:r w:rsidR="00964407">
        <w:rPr>
          <w:rFonts w:asciiTheme="minorHAnsi" w:hAnsiTheme="minorHAnsi"/>
          <w:bCs/>
          <w:snapToGrid w:val="0"/>
          <w:lang w:val="en-GB"/>
        </w:rPr>
        <w:t>mariba</w:t>
      </w:r>
      <w:r w:rsidR="005D6A09">
        <w:rPr>
          <w:rFonts w:asciiTheme="minorHAnsi" w:hAnsiTheme="minorHAnsi"/>
          <w:bCs/>
          <w:snapToGrid w:val="0"/>
          <w:lang w:val="en-GB"/>
        </w:rPr>
        <w:t>v</w:t>
      </w:r>
      <w:r w:rsidR="00964407">
        <w:rPr>
          <w:rFonts w:asciiTheme="minorHAnsi" w:hAnsiTheme="minorHAnsi"/>
          <w:bCs/>
          <w:snapToGrid w:val="0"/>
          <w:lang w:val="en-GB"/>
        </w:rPr>
        <w:t>ir</w:t>
      </w:r>
      <w:r w:rsidRPr="00525B39">
        <w:rPr>
          <w:rFonts w:asciiTheme="minorHAnsi" w:hAnsiTheme="minorHAnsi"/>
          <w:bCs/>
          <w:snapToGrid w:val="0"/>
          <w:lang w:val="en-GB"/>
        </w:rPr>
        <w:t xml:space="preserve"> is not suitable for presc</w:t>
      </w:r>
      <w:r>
        <w:rPr>
          <w:rFonts w:asciiTheme="minorHAnsi" w:hAnsiTheme="minorHAnsi"/>
          <w:bCs/>
          <w:snapToGrid w:val="0"/>
          <w:lang w:val="en-GB"/>
        </w:rPr>
        <w:t xml:space="preserve">ribing by nurse practitioners. </w:t>
      </w:r>
    </w:p>
    <w:p w14:paraId="2AA6F4E1" w14:textId="4AE4AE5D" w:rsidR="00964407" w:rsidRPr="00525B39" w:rsidRDefault="00964407" w:rsidP="00294EFE">
      <w:pPr>
        <w:widowControl w:val="0"/>
        <w:numPr>
          <w:ilvl w:val="1"/>
          <w:numId w:val="1"/>
        </w:numPr>
        <w:spacing w:after="120"/>
        <w:rPr>
          <w:rFonts w:asciiTheme="minorHAnsi" w:hAnsiTheme="minorHAnsi"/>
          <w:bCs/>
          <w:snapToGrid w:val="0"/>
          <w:lang w:val="en-GB"/>
        </w:rPr>
      </w:pPr>
      <w:r w:rsidRPr="00964407">
        <w:rPr>
          <w:rFonts w:asciiTheme="minorHAnsi" w:hAnsiTheme="minorHAnsi"/>
          <w:bCs/>
          <w:snapToGrid w:val="0"/>
          <w:lang w:val="en-GB"/>
        </w:rPr>
        <w:t>The Early Supply Rule currently is not applied to some Section 100 Highly Specialised Drugs Program listings, including the antivirals: ganciclovir, valaciclovir and valganciclovir.</w:t>
      </w:r>
      <w:r>
        <w:rPr>
          <w:rFonts w:asciiTheme="minorHAnsi" w:hAnsiTheme="minorHAnsi"/>
          <w:bCs/>
          <w:snapToGrid w:val="0"/>
          <w:lang w:val="en-GB"/>
        </w:rPr>
        <w:t xml:space="preserve"> The PBAC considered the Early Supply Rule should not apply to maribavir.</w:t>
      </w:r>
    </w:p>
    <w:p w14:paraId="26D1BA25" w14:textId="1D509E2B" w:rsidR="00294EFE" w:rsidRPr="00D121C5" w:rsidRDefault="00294EFE" w:rsidP="00964407">
      <w:pPr>
        <w:pStyle w:val="3-BodyText"/>
        <w:rPr>
          <w:rFonts w:cstheme="minorHAnsi"/>
          <w:b/>
          <w:lang w:val="en-GB"/>
        </w:rPr>
      </w:pPr>
      <w:r w:rsidRPr="00D121C5">
        <w:rPr>
          <w:rFonts w:cstheme="minorHAnsi"/>
          <w:lang w:val="en-GB"/>
        </w:rPr>
        <w:t xml:space="preserve">The PBAC found that the criteria prescribed by the </w:t>
      </w:r>
      <w:r w:rsidRPr="00D121C5">
        <w:rPr>
          <w:rFonts w:cstheme="minorHAnsi"/>
          <w:i/>
          <w:lang w:val="en-GB"/>
        </w:rPr>
        <w:t>National Health (Pharmaceuticals and Vaccines – Cost Recovery) Regulations 20</w:t>
      </w:r>
      <w:r>
        <w:rPr>
          <w:rFonts w:cstheme="minorHAnsi"/>
          <w:i/>
          <w:lang w:val="en-GB"/>
        </w:rPr>
        <w:t>22</w:t>
      </w:r>
      <w:r w:rsidRPr="00D121C5">
        <w:rPr>
          <w:rFonts w:cstheme="minorHAnsi"/>
          <w:lang w:val="en-GB"/>
        </w:rPr>
        <w:t xml:space="preserve"> for Pricing Pathway A were not met. </w:t>
      </w:r>
      <w:proofErr w:type="gramStart"/>
      <w:r w:rsidRPr="00D121C5">
        <w:rPr>
          <w:rFonts w:cstheme="minorHAnsi"/>
          <w:lang w:val="en-GB"/>
        </w:rPr>
        <w:t>Specifically</w:t>
      </w:r>
      <w:proofErr w:type="gramEnd"/>
      <w:r w:rsidRPr="00D121C5">
        <w:rPr>
          <w:rFonts w:cstheme="minorHAnsi"/>
          <w:lang w:val="en-GB"/>
        </w:rPr>
        <w:t xml:space="preserve"> the PBAC found that in the circumstances of its recommendation for </w:t>
      </w:r>
      <w:r w:rsidR="00964407">
        <w:rPr>
          <w:rFonts w:cstheme="minorHAnsi"/>
          <w:lang w:val="en-GB"/>
        </w:rPr>
        <w:t>maribavir</w:t>
      </w:r>
      <w:r w:rsidRPr="00D121C5">
        <w:rPr>
          <w:rFonts w:cstheme="minorHAnsi"/>
          <w:lang w:val="en-GB"/>
        </w:rPr>
        <w:t>:</w:t>
      </w:r>
    </w:p>
    <w:p w14:paraId="56DEDE2E" w14:textId="73F062DF" w:rsidR="00294EFE" w:rsidRPr="00763DFB" w:rsidRDefault="00294EFE" w:rsidP="008305EA">
      <w:pPr>
        <w:widowControl w:val="0"/>
        <w:numPr>
          <w:ilvl w:val="1"/>
          <w:numId w:val="20"/>
        </w:numPr>
        <w:spacing w:after="120"/>
        <w:ind w:left="1134"/>
        <w:rPr>
          <w:rFonts w:asciiTheme="minorHAnsi" w:hAnsiTheme="minorHAnsi" w:cstheme="minorHAnsi"/>
          <w:lang w:val="en-GB"/>
        </w:rPr>
      </w:pPr>
      <w:r w:rsidRPr="00763DFB">
        <w:rPr>
          <w:rFonts w:asciiTheme="minorHAnsi" w:hAnsiTheme="minorHAnsi" w:cstheme="minorHAnsi"/>
          <w:lang w:val="en-GB"/>
        </w:rPr>
        <w:t>The treatment is</w:t>
      </w:r>
      <w:r w:rsidR="00964407">
        <w:rPr>
          <w:rFonts w:asciiTheme="minorHAnsi" w:hAnsiTheme="minorHAnsi" w:cstheme="minorHAnsi"/>
          <w:lang w:val="en-GB"/>
        </w:rPr>
        <w:t xml:space="preserve"> </w:t>
      </w:r>
      <w:r w:rsidRPr="00763DFB">
        <w:rPr>
          <w:rFonts w:asciiTheme="minorHAnsi" w:hAnsiTheme="minorHAnsi" w:cstheme="minorHAnsi"/>
          <w:lang w:val="en-GB"/>
        </w:rPr>
        <w:t>expected to provide a clinically relevant improvement in efficacy over alternative therapies,</w:t>
      </w:r>
      <w:r w:rsidR="00964407">
        <w:rPr>
          <w:rFonts w:asciiTheme="minorHAnsi" w:hAnsiTheme="minorHAnsi" w:cstheme="minorHAnsi"/>
          <w:lang w:val="en-GB"/>
        </w:rPr>
        <w:t xml:space="preserve"> on the basis of CMV </w:t>
      </w:r>
      <w:r w:rsidR="00964407">
        <w:rPr>
          <w:lang w:val="en-GB" w:eastAsia="en-US"/>
        </w:rPr>
        <w:t>viraemia</w:t>
      </w:r>
      <w:r w:rsidR="00964407" w:rsidRPr="005D032A">
        <w:rPr>
          <w:lang w:val="en-GB" w:eastAsia="en-US"/>
        </w:rPr>
        <w:t xml:space="preserve"> clearance</w:t>
      </w:r>
      <w:r w:rsidR="00E12474">
        <w:rPr>
          <w:lang w:val="en-GB" w:eastAsia="en-US"/>
        </w:rPr>
        <w:t xml:space="preserve"> however the magnitude of benefit is </w:t>
      </w:r>
      <w:proofErr w:type="gramStart"/>
      <w:r w:rsidR="00E12474">
        <w:rPr>
          <w:lang w:val="en-GB" w:eastAsia="en-US"/>
        </w:rPr>
        <w:t>uncertain</w:t>
      </w:r>
      <w:r w:rsidRPr="00763DFB">
        <w:rPr>
          <w:rFonts w:asciiTheme="minorHAnsi" w:hAnsiTheme="minorHAnsi" w:cstheme="minorHAnsi"/>
          <w:lang w:val="en-GB"/>
        </w:rPr>
        <w:t>;</w:t>
      </w:r>
      <w:proofErr w:type="gramEnd"/>
      <w:r w:rsidRPr="00763DFB">
        <w:rPr>
          <w:rFonts w:asciiTheme="minorHAnsi" w:hAnsiTheme="minorHAnsi" w:cstheme="minorHAnsi"/>
          <w:lang w:val="en-GB"/>
        </w:rPr>
        <w:t xml:space="preserve"> </w:t>
      </w:r>
    </w:p>
    <w:p w14:paraId="3EFE6227" w14:textId="5F4F8D00" w:rsidR="00294EFE" w:rsidRPr="00763DFB" w:rsidRDefault="00294EFE" w:rsidP="008305EA">
      <w:pPr>
        <w:widowControl w:val="0"/>
        <w:numPr>
          <w:ilvl w:val="1"/>
          <w:numId w:val="20"/>
        </w:numPr>
        <w:spacing w:after="120"/>
        <w:ind w:left="1134"/>
        <w:rPr>
          <w:rFonts w:asciiTheme="minorHAnsi" w:hAnsiTheme="minorHAnsi" w:cstheme="minorHAnsi"/>
          <w:lang w:val="en-GB"/>
        </w:rPr>
      </w:pPr>
      <w:r w:rsidRPr="00763DFB">
        <w:rPr>
          <w:rFonts w:asciiTheme="minorHAnsi" w:hAnsiTheme="minorHAnsi" w:cstheme="minorHAnsi"/>
          <w:lang w:val="en-GB"/>
        </w:rPr>
        <w:t xml:space="preserve">The treatment is not expected to address a high and urgent unmet clinical need </w:t>
      </w:r>
      <w:r w:rsidR="00964407">
        <w:rPr>
          <w:rFonts w:asciiTheme="minorHAnsi" w:hAnsiTheme="minorHAnsi" w:cstheme="minorHAnsi"/>
          <w:lang w:val="en-GB"/>
        </w:rPr>
        <w:t xml:space="preserve">as alternative treatments are </w:t>
      </w:r>
      <w:proofErr w:type="gramStart"/>
      <w:r w:rsidR="00964407">
        <w:rPr>
          <w:rFonts w:asciiTheme="minorHAnsi" w:hAnsiTheme="minorHAnsi" w:cstheme="minorHAnsi"/>
          <w:lang w:val="en-GB"/>
        </w:rPr>
        <w:t>available</w:t>
      </w:r>
      <w:r w:rsidRPr="00763DFB">
        <w:rPr>
          <w:rFonts w:asciiTheme="minorHAnsi" w:hAnsiTheme="minorHAnsi" w:cstheme="minorHAnsi"/>
          <w:lang w:val="en-GB"/>
        </w:rPr>
        <w:t>;</w:t>
      </w:r>
      <w:proofErr w:type="gramEnd"/>
    </w:p>
    <w:p w14:paraId="59F50A73" w14:textId="3669424E" w:rsidR="00964407" w:rsidRPr="00763DFB" w:rsidRDefault="00294EFE" w:rsidP="008305EA">
      <w:pPr>
        <w:widowControl w:val="0"/>
        <w:numPr>
          <w:ilvl w:val="1"/>
          <w:numId w:val="20"/>
        </w:numPr>
        <w:spacing w:after="120"/>
        <w:ind w:left="1134"/>
        <w:rPr>
          <w:rFonts w:asciiTheme="minorHAnsi" w:hAnsiTheme="minorHAnsi" w:cstheme="minorHAnsi"/>
          <w:lang w:val="en-GB"/>
        </w:rPr>
      </w:pPr>
      <w:r w:rsidRPr="00763DFB">
        <w:rPr>
          <w:rFonts w:asciiTheme="minorHAnsi" w:hAnsiTheme="minorHAnsi" w:cstheme="minorHAnsi"/>
          <w:lang w:val="en-GB"/>
        </w:rPr>
        <w:t>It was not necessary to make a finding in relation to whether it would be in the public interest for the subsequent pricing application to be progressed under Pricing Pathway A because one or more of the preceding tests had failed</w:t>
      </w:r>
      <w:r w:rsidR="00964407">
        <w:rPr>
          <w:rFonts w:asciiTheme="minorHAnsi" w:hAnsiTheme="minorHAnsi" w:cstheme="minorHAnsi"/>
          <w:lang w:val="en-GB"/>
        </w:rPr>
        <w:t xml:space="preserve">. </w:t>
      </w:r>
    </w:p>
    <w:p w14:paraId="6A8D3DE5" w14:textId="4FE3D60B" w:rsidR="00294EFE" w:rsidRPr="00C70D3C" w:rsidRDefault="00294EFE" w:rsidP="00294EFE">
      <w:pPr>
        <w:widowControl w:val="0"/>
        <w:numPr>
          <w:ilvl w:val="1"/>
          <w:numId w:val="1"/>
        </w:numPr>
        <w:spacing w:after="120"/>
        <w:rPr>
          <w:rFonts w:asciiTheme="minorHAnsi" w:hAnsiTheme="minorHAnsi"/>
          <w:bCs/>
          <w:snapToGrid w:val="0"/>
          <w:lang w:val="en-GB"/>
        </w:rPr>
      </w:pPr>
      <w:r w:rsidRPr="00525B39">
        <w:rPr>
          <w:rFonts w:asciiTheme="minorHAnsi" w:hAnsiTheme="minorHAnsi"/>
          <w:bCs/>
          <w:snapToGrid w:val="0"/>
          <w:lang w:val="en-GB"/>
        </w:rPr>
        <w:t>The PBAC noted that this submission is not eligible for an Independent Review</w:t>
      </w:r>
      <w:r w:rsidR="00964407">
        <w:rPr>
          <w:rFonts w:asciiTheme="minorHAnsi" w:hAnsiTheme="minorHAnsi"/>
          <w:bCs/>
          <w:snapToGrid w:val="0"/>
          <w:lang w:val="en-GB"/>
        </w:rPr>
        <w:t xml:space="preserve"> as it is a positive recommendation</w:t>
      </w:r>
      <w:r w:rsidRPr="00525B39">
        <w:rPr>
          <w:rFonts w:asciiTheme="minorHAnsi" w:hAnsiTheme="minorHAnsi"/>
          <w:bCs/>
          <w:snapToGrid w:val="0"/>
          <w:lang w:val="en-GB"/>
        </w:rPr>
        <w:t xml:space="preserve">. </w:t>
      </w:r>
    </w:p>
    <w:p w14:paraId="478C63B1" w14:textId="77777777" w:rsidR="00294EFE" w:rsidRPr="00525B39" w:rsidRDefault="00294EFE" w:rsidP="00294EFE">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52A63A4D" w14:textId="49FBDFC4" w:rsidR="00294EFE" w:rsidRPr="00FB7D7C" w:rsidRDefault="00294EFE" w:rsidP="00FB7D7C">
      <w:pPr>
        <w:rPr>
          <w:rFonts w:asciiTheme="minorHAnsi" w:hAnsiTheme="minorHAnsi"/>
          <w:bCs/>
          <w:snapToGrid w:val="0"/>
          <w:lang w:val="en-GB"/>
        </w:rPr>
      </w:pPr>
      <w:r w:rsidRPr="00525B39">
        <w:rPr>
          <w:rFonts w:asciiTheme="minorHAnsi" w:hAnsiTheme="minorHAnsi"/>
          <w:bCs/>
          <w:snapToGrid w:val="0"/>
          <w:lang w:val="en-GB"/>
        </w:rPr>
        <w:t>Recommended</w:t>
      </w:r>
    </w:p>
    <w:bookmarkEnd w:id="72"/>
    <w:p w14:paraId="4E178A1E" w14:textId="77777777" w:rsidR="00294EFE" w:rsidRPr="00907671" w:rsidRDefault="00294EFE" w:rsidP="001F428E">
      <w:pPr>
        <w:pStyle w:val="2-SectionHeading"/>
        <w:keepLines/>
        <w:numPr>
          <w:ilvl w:val="0"/>
          <w:numId w:val="1"/>
        </w:numPr>
      </w:pPr>
      <w:r w:rsidRPr="00907671">
        <w:t>Recommended listing</w:t>
      </w:r>
    </w:p>
    <w:p w14:paraId="00B166B2" w14:textId="645F0276" w:rsidR="00F826BF" w:rsidRPr="008305EA" w:rsidRDefault="00294EFE" w:rsidP="00D3597D">
      <w:pPr>
        <w:pStyle w:val="3-BodyText"/>
        <w:numPr>
          <w:ilvl w:val="0"/>
          <w:numId w:val="0"/>
        </w:numPr>
        <w:rPr>
          <w:rFonts w:cs="Arial"/>
          <w:snapToGrid w:val="0"/>
        </w:rPr>
      </w:pPr>
      <w:r w:rsidRPr="00525B39">
        <w:rPr>
          <w:snapToGrid w:val="0"/>
        </w:rPr>
        <w:t>Add new item:</w:t>
      </w:r>
      <w:bookmarkEnd w:id="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2668"/>
        <w:gridCol w:w="811"/>
        <w:gridCol w:w="812"/>
        <w:gridCol w:w="811"/>
        <w:gridCol w:w="812"/>
        <w:gridCol w:w="1831"/>
      </w:tblGrid>
      <w:tr w:rsidR="00F826BF" w:rsidRPr="00DC3A4F" w14:paraId="69EC871C" w14:textId="77777777">
        <w:trPr>
          <w:cantSplit/>
          <w:trHeight w:val="20"/>
        </w:trPr>
        <w:tc>
          <w:tcPr>
            <w:tcW w:w="3939" w:type="dxa"/>
            <w:gridSpan w:val="2"/>
            <w:vAlign w:val="center"/>
          </w:tcPr>
          <w:p w14:paraId="30BD6B25" w14:textId="77777777" w:rsidR="00F826BF" w:rsidRPr="00DC3A4F" w:rsidRDefault="00F826BF" w:rsidP="001F428E">
            <w:pPr>
              <w:keepNext/>
              <w:keepLines/>
              <w:widowControl w:val="0"/>
              <w:rPr>
                <w:rFonts w:ascii="Arial Narrow" w:hAnsi="Arial Narrow"/>
                <w:b/>
                <w:bCs/>
                <w:sz w:val="20"/>
                <w:szCs w:val="20"/>
              </w:rPr>
            </w:pPr>
            <w:r w:rsidRPr="00DC3A4F">
              <w:rPr>
                <w:rFonts w:ascii="Arial Narrow" w:hAnsi="Arial Narrow"/>
                <w:b/>
                <w:bCs/>
                <w:sz w:val="20"/>
                <w:szCs w:val="20"/>
              </w:rPr>
              <w:lastRenderedPageBreak/>
              <w:t>MEDICINAL PRODUCT</w:t>
            </w:r>
          </w:p>
          <w:p w14:paraId="6DC431EC" w14:textId="77777777" w:rsidR="00F826BF" w:rsidRPr="00DC3A4F" w:rsidRDefault="00F826BF" w:rsidP="001F428E">
            <w:pPr>
              <w:keepNext/>
              <w:keepLines/>
              <w:widowControl w:val="0"/>
              <w:rPr>
                <w:rFonts w:ascii="Arial Narrow" w:hAnsi="Arial Narrow"/>
                <w:b/>
                <w:sz w:val="20"/>
                <w:szCs w:val="20"/>
              </w:rPr>
            </w:pPr>
            <w:r w:rsidRPr="00DC3A4F">
              <w:rPr>
                <w:rFonts w:ascii="Arial Narrow" w:hAnsi="Arial Narrow"/>
                <w:b/>
                <w:bCs/>
                <w:sz w:val="20"/>
                <w:szCs w:val="20"/>
              </w:rPr>
              <w:t>medicinal product pack</w:t>
            </w:r>
          </w:p>
        </w:tc>
        <w:tc>
          <w:tcPr>
            <w:tcW w:w="811" w:type="dxa"/>
            <w:vAlign w:val="center"/>
          </w:tcPr>
          <w:p w14:paraId="1ABC1B04" w14:textId="77777777" w:rsidR="00F826BF" w:rsidRPr="00DC3A4F" w:rsidRDefault="00F826BF" w:rsidP="001F428E">
            <w:pPr>
              <w:keepNext/>
              <w:keepLines/>
              <w:widowControl w:val="0"/>
              <w:jc w:val="center"/>
              <w:rPr>
                <w:rFonts w:ascii="Arial Narrow" w:hAnsi="Arial Narrow"/>
                <w:b/>
                <w:sz w:val="20"/>
                <w:szCs w:val="20"/>
              </w:rPr>
            </w:pPr>
            <w:r w:rsidRPr="00DC3A4F">
              <w:rPr>
                <w:rFonts w:ascii="Arial Narrow" w:hAnsi="Arial Narrow"/>
                <w:b/>
                <w:sz w:val="20"/>
                <w:szCs w:val="20"/>
              </w:rPr>
              <w:t>PBS item code</w:t>
            </w:r>
          </w:p>
        </w:tc>
        <w:tc>
          <w:tcPr>
            <w:tcW w:w="812" w:type="dxa"/>
            <w:vAlign w:val="center"/>
          </w:tcPr>
          <w:p w14:paraId="3D653674" w14:textId="77777777" w:rsidR="00F826BF" w:rsidRPr="00DC3A4F" w:rsidRDefault="00F826BF" w:rsidP="001F428E">
            <w:pPr>
              <w:keepNext/>
              <w:keepLines/>
              <w:widowControl w:val="0"/>
              <w:jc w:val="center"/>
              <w:rPr>
                <w:rFonts w:ascii="Arial Narrow" w:hAnsi="Arial Narrow"/>
                <w:b/>
                <w:sz w:val="20"/>
                <w:szCs w:val="20"/>
              </w:rPr>
            </w:pPr>
            <w:r w:rsidRPr="00DC3A4F">
              <w:rPr>
                <w:rFonts w:ascii="Arial Narrow" w:hAnsi="Arial Narrow"/>
                <w:b/>
                <w:sz w:val="20"/>
                <w:szCs w:val="20"/>
              </w:rPr>
              <w:t>Max. qty packs</w:t>
            </w:r>
          </w:p>
        </w:tc>
        <w:tc>
          <w:tcPr>
            <w:tcW w:w="811" w:type="dxa"/>
            <w:vAlign w:val="center"/>
          </w:tcPr>
          <w:p w14:paraId="6EE6DD59" w14:textId="77777777" w:rsidR="00F826BF" w:rsidRPr="00DC3A4F" w:rsidRDefault="00F826BF" w:rsidP="001F428E">
            <w:pPr>
              <w:keepNext/>
              <w:keepLines/>
              <w:widowControl w:val="0"/>
              <w:jc w:val="center"/>
              <w:rPr>
                <w:rFonts w:ascii="Arial Narrow" w:hAnsi="Arial Narrow"/>
                <w:b/>
                <w:sz w:val="20"/>
                <w:szCs w:val="20"/>
              </w:rPr>
            </w:pPr>
            <w:r w:rsidRPr="00DC3A4F">
              <w:rPr>
                <w:rFonts w:ascii="Arial Narrow" w:hAnsi="Arial Narrow"/>
                <w:b/>
                <w:sz w:val="20"/>
                <w:szCs w:val="20"/>
              </w:rPr>
              <w:t>Max. qty units</w:t>
            </w:r>
          </w:p>
        </w:tc>
        <w:tc>
          <w:tcPr>
            <w:tcW w:w="812" w:type="dxa"/>
            <w:vAlign w:val="center"/>
          </w:tcPr>
          <w:p w14:paraId="29C69E0A" w14:textId="77777777" w:rsidR="00F826BF" w:rsidRPr="00DC3A4F" w:rsidRDefault="00F826BF" w:rsidP="001F428E">
            <w:pPr>
              <w:keepNext/>
              <w:keepLines/>
              <w:widowControl w:val="0"/>
              <w:jc w:val="center"/>
              <w:rPr>
                <w:rFonts w:ascii="Arial Narrow" w:hAnsi="Arial Narrow"/>
                <w:b/>
                <w:sz w:val="20"/>
                <w:szCs w:val="20"/>
              </w:rPr>
            </w:pPr>
            <w:r w:rsidRPr="00DC3A4F">
              <w:rPr>
                <w:rFonts w:ascii="Arial Narrow" w:hAnsi="Arial Narrow"/>
                <w:b/>
                <w:sz w:val="20"/>
                <w:szCs w:val="20"/>
              </w:rPr>
              <w:t>№.of</w:t>
            </w:r>
          </w:p>
          <w:p w14:paraId="43A99F1A" w14:textId="77777777" w:rsidR="00F826BF" w:rsidRPr="00DC3A4F" w:rsidRDefault="00F826BF" w:rsidP="001F428E">
            <w:pPr>
              <w:keepNext/>
              <w:keepLines/>
              <w:widowControl w:val="0"/>
              <w:jc w:val="center"/>
              <w:rPr>
                <w:rFonts w:ascii="Arial Narrow" w:hAnsi="Arial Narrow"/>
                <w:b/>
                <w:sz w:val="20"/>
                <w:szCs w:val="20"/>
              </w:rPr>
            </w:pPr>
            <w:r w:rsidRPr="00DC3A4F">
              <w:rPr>
                <w:rFonts w:ascii="Arial Narrow" w:hAnsi="Arial Narrow"/>
                <w:b/>
                <w:sz w:val="20"/>
                <w:szCs w:val="20"/>
              </w:rPr>
              <w:t>Rpts</w:t>
            </w:r>
          </w:p>
        </w:tc>
        <w:tc>
          <w:tcPr>
            <w:tcW w:w="1831" w:type="dxa"/>
            <w:vAlign w:val="center"/>
          </w:tcPr>
          <w:p w14:paraId="5D498E7F" w14:textId="77777777" w:rsidR="00F826BF" w:rsidRPr="00DC3A4F" w:rsidRDefault="00F826BF" w:rsidP="001F428E">
            <w:pPr>
              <w:keepNext/>
              <w:keepLines/>
              <w:widowControl w:val="0"/>
              <w:rPr>
                <w:rFonts w:ascii="Arial Narrow" w:hAnsi="Arial Narrow"/>
                <w:b/>
                <w:sz w:val="20"/>
                <w:szCs w:val="20"/>
                <w:lang w:val="fr-FR"/>
              </w:rPr>
            </w:pPr>
            <w:r w:rsidRPr="00DC3A4F">
              <w:rPr>
                <w:rFonts w:ascii="Arial Narrow" w:hAnsi="Arial Narrow"/>
                <w:b/>
                <w:sz w:val="20"/>
                <w:szCs w:val="20"/>
              </w:rPr>
              <w:t>Available brands</w:t>
            </w:r>
          </w:p>
        </w:tc>
      </w:tr>
      <w:tr w:rsidR="00F826BF" w:rsidRPr="00634132" w14:paraId="7E27E013" w14:textId="77777777">
        <w:trPr>
          <w:cantSplit/>
          <w:trHeight w:val="20"/>
        </w:trPr>
        <w:tc>
          <w:tcPr>
            <w:tcW w:w="9016" w:type="dxa"/>
            <w:gridSpan w:val="7"/>
            <w:vAlign w:val="center"/>
          </w:tcPr>
          <w:p w14:paraId="3208295F" w14:textId="77777777" w:rsidR="00F826BF" w:rsidRPr="00634132" w:rsidRDefault="00F826BF" w:rsidP="001F428E">
            <w:pPr>
              <w:keepNext/>
              <w:keepLines/>
              <w:widowControl w:val="0"/>
              <w:rPr>
                <w:rFonts w:ascii="Arial Narrow" w:hAnsi="Arial Narrow"/>
                <w:sz w:val="20"/>
                <w:szCs w:val="20"/>
              </w:rPr>
            </w:pPr>
            <w:r w:rsidRPr="00634132">
              <w:rPr>
                <w:rFonts w:ascii="Arial Narrow" w:hAnsi="Arial Narrow"/>
                <w:sz w:val="20"/>
                <w:szCs w:val="20"/>
              </w:rPr>
              <w:t>MARIBAVIR</w:t>
            </w:r>
          </w:p>
        </w:tc>
      </w:tr>
      <w:tr w:rsidR="00F826BF" w:rsidRPr="00634132" w14:paraId="774B3797" w14:textId="77777777">
        <w:trPr>
          <w:cantSplit/>
          <w:trHeight w:val="20"/>
        </w:trPr>
        <w:tc>
          <w:tcPr>
            <w:tcW w:w="3939" w:type="dxa"/>
            <w:gridSpan w:val="2"/>
            <w:vAlign w:val="center"/>
          </w:tcPr>
          <w:p w14:paraId="5ACC2C71" w14:textId="77777777" w:rsidR="00F826BF" w:rsidRPr="00634132" w:rsidRDefault="00F826BF" w:rsidP="001F428E">
            <w:pPr>
              <w:keepNext/>
              <w:keepLines/>
              <w:widowControl w:val="0"/>
              <w:rPr>
                <w:rFonts w:ascii="Arial Narrow" w:hAnsi="Arial Narrow"/>
                <w:sz w:val="20"/>
                <w:szCs w:val="20"/>
              </w:rPr>
            </w:pPr>
            <w:r w:rsidRPr="00634132">
              <w:rPr>
                <w:rFonts w:ascii="Arial Narrow" w:hAnsi="Arial Narrow"/>
                <w:sz w:val="20"/>
                <w:szCs w:val="20"/>
              </w:rPr>
              <w:t>maribavir 200 mg tablet, 28</w:t>
            </w:r>
          </w:p>
        </w:tc>
        <w:tc>
          <w:tcPr>
            <w:tcW w:w="811" w:type="dxa"/>
            <w:vAlign w:val="center"/>
          </w:tcPr>
          <w:p w14:paraId="65D1C87C" w14:textId="77777777" w:rsidR="00F826BF" w:rsidRPr="00634132" w:rsidRDefault="00F826BF" w:rsidP="001F428E">
            <w:pPr>
              <w:keepNext/>
              <w:keepLines/>
              <w:widowControl w:val="0"/>
              <w:jc w:val="center"/>
              <w:rPr>
                <w:rFonts w:ascii="Arial Narrow" w:hAnsi="Arial Narrow"/>
                <w:sz w:val="20"/>
                <w:szCs w:val="20"/>
              </w:rPr>
            </w:pPr>
            <w:r w:rsidRPr="00634132">
              <w:rPr>
                <w:rFonts w:ascii="Arial Narrow" w:hAnsi="Arial Narrow"/>
                <w:sz w:val="20"/>
                <w:szCs w:val="20"/>
              </w:rPr>
              <w:t>NEW</w:t>
            </w:r>
          </w:p>
        </w:tc>
        <w:tc>
          <w:tcPr>
            <w:tcW w:w="812" w:type="dxa"/>
            <w:vAlign w:val="center"/>
          </w:tcPr>
          <w:p w14:paraId="3C052A4B" w14:textId="77777777" w:rsidR="00F826BF" w:rsidRPr="00634132" w:rsidRDefault="00F826BF" w:rsidP="001F428E">
            <w:pPr>
              <w:keepNext/>
              <w:keepLines/>
              <w:widowControl w:val="0"/>
              <w:jc w:val="center"/>
              <w:rPr>
                <w:rFonts w:ascii="Arial Narrow" w:hAnsi="Arial Narrow"/>
                <w:sz w:val="20"/>
                <w:szCs w:val="20"/>
              </w:rPr>
            </w:pPr>
            <w:r w:rsidRPr="00634132">
              <w:rPr>
                <w:rFonts w:ascii="Arial Narrow" w:hAnsi="Arial Narrow"/>
                <w:sz w:val="20"/>
                <w:szCs w:val="20"/>
              </w:rPr>
              <w:t>4</w:t>
            </w:r>
          </w:p>
        </w:tc>
        <w:tc>
          <w:tcPr>
            <w:tcW w:w="811" w:type="dxa"/>
            <w:vAlign w:val="center"/>
          </w:tcPr>
          <w:p w14:paraId="2D3452A5" w14:textId="77777777" w:rsidR="00F826BF" w:rsidRPr="00634132" w:rsidRDefault="00F826BF" w:rsidP="001F428E">
            <w:pPr>
              <w:keepNext/>
              <w:keepLines/>
              <w:widowControl w:val="0"/>
              <w:jc w:val="center"/>
              <w:rPr>
                <w:rFonts w:ascii="Arial Narrow" w:hAnsi="Arial Narrow"/>
                <w:sz w:val="20"/>
                <w:szCs w:val="20"/>
              </w:rPr>
            </w:pPr>
            <w:r w:rsidRPr="00634132">
              <w:rPr>
                <w:rFonts w:ascii="Arial Narrow" w:hAnsi="Arial Narrow"/>
                <w:sz w:val="20"/>
                <w:szCs w:val="20"/>
              </w:rPr>
              <w:t>112</w:t>
            </w:r>
          </w:p>
        </w:tc>
        <w:tc>
          <w:tcPr>
            <w:tcW w:w="812" w:type="dxa"/>
            <w:vAlign w:val="center"/>
          </w:tcPr>
          <w:p w14:paraId="4B533DC9" w14:textId="77777777" w:rsidR="00F826BF" w:rsidRPr="00634132" w:rsidRDefault="00F826BF" w:rsidP="001F428E">
            <w:pPr>
              <w:keepNext/>
              <w:keepLines/>
              <w:widowControl w:val="0"/>
              <w:jc w:val="center"/>
              <w:rPr>
                <w:rFonts w:ascii="Arial Narrow" w:hAnsi="Arial Narrow"/>
                <w:sz w:val="20"/>
                <w:szCs w:val="20"/>
              </w:rPr>
            </w:pPr>
            <w:r w:rsidRPr="00634132">
              <w:rPr>
                <w:rFonts w:ascii="Arial Narrow" w:hAnsi="Arial Narrow"/>
                <w:sz w:val="20"/>
                <w:szCs w:val="20"/>
              </w:rPr>
              <w:t>1</w:t>
            </w:r>
          </w:p>
        </w:tc>
        <w:tc>
          <w:tcPr>
            <w:tcW w:w="1831" w:type="dxa"/>
            <w:vAlign w:val="center"/>
          </w:tcPr>
          <w:p w14:paraId="53762A8D" w14:textId="77777777" w:rsidR="00F826BF" w:rsidRPr="00634132" w:rsidRDefault="00F826BF" w:rsidP="001F428E">
            <w:pPr>
              <w:pStyle w:val="Tabletext"/>
              <w:keepNext/>
              <w:keepLines/>
              <w:widowControl w:val="0"/>
              <w:jc w:val="center"/>
              <w:rPr>
                <w:szCs w:val="20"/>
              </w:rPr>
            </w:pPr>
            <w:proofErr w:type="spellStart"/>
            <w:r w:rsidRPr="00634132">
              <w:rPr>
                <w:szCs w:val="20"/>
              </w:rPr>
              <w:t>Liventicity</w:t>
            </w:r>
            <w:proofErr w:type="spellEnd"/>
          </w:p>
        </w:tc>
      </w:tr>
      <w:tr w:rsidR="00F826BF" w:rsidRPr="00634132" w14:paraId="78D81C7D" w14:textId="77777777">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1BA089ED" w14:textId="77777777" w:rsidR="00F826BF" w:rsidRPr="00634132" w:rsidRDefault="00F826BF" w:rsidP="001F428E">
            <w:pPr>
              <w:keepNext/>
              <w:keepLines/>
              <w:widowControl w:val="0"/>
              <w:rPr>
                <w:rFonts w:ascii="Arial Narrow" w:hAnsi="Arial Narrow"/>
                <w:b/>
                <w:sz w:val="20"/>
                <w:szCs w:val="20"/>
              </w:rPr>
            </w:pPr>
            <w:r w:rsidRPr="00634132">
              <w:rPr>
                <w:rFonts w:ascii="Arial Narrow" w:hAnsi="Arial Narrow"/>
                <w:b/>
                <w:sz w:val="20"/>
                <w:szCs w:val="20"/>
              </w:rPr>
              <w:t xml:space="preserve">Restriction Summary [new] / Treatment of Concept: [new] </w:t>
            </w:r>
          </w:p>
        </w:tc>
      </w:tr>
      <w:tr w:rsidR="00F826BF" w:rsidRPr="00634132" w14:paraId="7DDE78D9" w14:textId="77777777">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15C9EDFC" w14:textId="5BB7A61C" w:rsidR="00F826BF" w:rsidRPr="00634132" w:rsidRDefault="00F826BF" w:rsidP="001F428E">
            <w:pPr>
              <w:keepNext/>
              <w:keepLines/>
              <w:widowControl w:val="0"/>
              <w:jc w:val="center"/>
              <w:rPr>
                <w:rFonts w:ascii="Arial Narrow" w:hAnsi="Arial Narrow"/>
                <w:b/>
                <w:sz w:val="20"/>
                <w:szCs w:val="20"/>
              </w:rPr>
            </w:pPr>
            <w:r w:rsidRPr="00634132">
              <w:rPr>
                <w:rFonts w:ascii="Arial Narrow" w:hAnsi="Arial Narrow"/>
                <w:sz w:val="20"/>
                <w:szCs w:val="20"/>
              </w:rPr>
              <w:t>)</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EBB98B6" w14:textId="77777777" w:rsidR="00F826BF" w:rsidRPr="00634132" w:rsidRDefault="00F826BF" w:rsidP="001F428E">
            <w:pPr>
              <w:keepNext/>
              <w:keepLines/>
              <w:widowControl w:val="0"/>
              <w:rPr>
                <w:rFonts w:ascii="Arial Narrow" w:hAnsi="Arial Narrow"/>
                <w:sz w:val="20"/>
                <w:szCs w:val="20"/>
              </w:rPr>
            </w:pPr>
            <w:r w:rsidRPr="00634132">
              <w:rPr>
                <w:rFonts w:ascii="Arial Narrow" w:hAnsi="Arial Narrow"/>
                <w:b/>
                <w:sz w:val="20"/>
                <w:szCs w:val="20"/>
              </w:rPr>
              <w:t xml:space="preserve">Category / Program: </w:t>
            </w:r>
            <w:r w:rsidRPr="00634132">
              <w:rPr>
                <w:rFonts w:ascii="Arial Narrow" w:hAnsi="Arial Narrow"/>
                <w:sz w:val="20"/>
                <w:szCs w:val="20"/>
              </w:rPr>
              <w:t>Section 100 – Highly Specialised Drugs Program {Public/Private/Community Access (CA))</w:t>
            </w:r>
          </w:p>
        </w:tc>
      </w:tr>
      <w:tr w:rsidR="00F826BF" w:rsidRPr="00DC3A4F" w14:paraId="7F98980C" w14:textId="77777777">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5ACF0B0D" w14:textId="77777777" w:rsidR="00F826BF" w:rsidRPr="00DC3A4F" w:rsidRDefault="00F826BF" w:rsidP="001F428E">
            <w:pPr>
              <w:keepNext/>
              <w:keepLines/>
              <w:widowControl w:val="0"/>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3E7D30E" w14:textId="77777777" w:rsidR="00F826BF" w:rsidRPr="00634132" w:rsidRDefault="00F826BF" w:rsidP="001F428E">
            <w:pPr>
              <w:keepNext/>
              <w:keepLines/>
              <w:widowControl w:val="0"/>
              <w:rPr>
                <w:rFonts w:ascii="Arial Narrow" w:hAnsi="Arial Narrow"/>
                <w:b/>
                <w:sz w:val="20"/>
                <w:szCs w:val="20"/>
              </w:rPr>
            </w:pPr>
            <w:r w:rsidRPr="00634132">
              <w:rPr>
                <w:rFonts w:ascii="Arial Narrow" w:hAnsi="Arial Narrow"/>
                <w:b/>
                <w:sz w:val="20"/>
                <w:szCs w:val="20"/>
              </w:rPr>
              <w:t xml:space="preserve">Prescriber type: </w:t>
            </w:r>
            <w:r w:rsidRPr="00634132">
              <w:rPr>
                <w:rFonts w:ascii="Arial Narrow" w:hAnsi="Arial Narrow"/>
                <w:sz w:val="20"/>
                <w:szCs w:val="20"/>
              </w:rPr>
              <w:fldChar w:fldCharType="begin" w:fldLock="1">
                <w:ffData>
                  <w:name w:val=""/>
                  <w:enabled/>
                  <w:calcOnExit w:val="0"/>
                  <w:checkBox>
                    <w:sizeAuto/>
                    <w:default w:val="1"/>
                  </w:checkBox>
                </w:ffData>
              </w:fldChar>
            </w:r>
            <w:r w:rsidRPr="00634132">
              <w:rPr>
                <w:rFonts w:ascii="Arial Narrow" w:hAnsi="Arial Narrow"/>
                <w:sz w:val="20"/>
                <w:szCs w:val="20"/>
              </w:rPr>
              <w:instrText xml:space="preserve"> FORMCHECKBOX </w:instrText>
            </w:r>
            <w:r w:rsidRPr="00634132">
              <w:rPr>
                <w:rFonts w:ascii="Arial Narrow" w:hAnsi="Arial Narrow"/>
                <w:sz w:val="20"/>
                <w:szCs w:val="20"/>
              </w:rPr>
            </w:r>
            <w:r w:rsidRPr="00634132">
              <w:rPr>
                <w:rFonts w:ascii="Arial Narrow" w:hAnsi="Arial Narrow"/>
                <w:sz w:val="20"/>
                <w:szCs w:val="20"/>
              </w:rPr>
              <w:fldChar w:fldCharType="separate"/>
            </w:r>
            <w:r w:rsidRPr="00634132">
              <w:rPr>
                <w:rFonts w:ascii="Arial Narrow" w:hAnsi="Arial Narrow"/>
                <w:sz w:val="20"/>
                <w:szCs w:val="20"/>
              </w:rPr>
              <w:fldChar w:fldCharType="end"/>
            </w:r>
            <w:r w:rsidRPr="00634132">
              <w:rPr>
                <w:rFonts w:ascii="Arial Narrow" w:hAnsi="Arial Narrow"/>
                <w:sz w:val="20"/>
                <w:szCs w:val="20"/>
              </w:rPr>
              <w:t xml:space="preserve">Medical Practitioners </w:t>
            </w:r>
          </w:p>
        </w:tc>
      </w:tr>
      <w:tr w:rsidR="00F826BF" w:rsidRPr="00DC3A4F" w14:paraId="344F7008" w14:textId="77777777">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bottom w:val="single" w:sz="4" w:space="0" w:color="auto"/>
              <w:right w:val="single" w:sz="4" w:space="0" w:color="auto"/>
            </w:tcBorders>
          </w:tcPr>
          <w:p w14:paraId="1C0E0E01" w14:textId="77777777" w:rsidR="00F826BF" w:rsidRPr="00DC3A4F" w:rsidRDefault="00F826BF" w:rsidP="001F428E">
            <w:pPr>
              <w:keepNext/>
              <w:keepLines/>
              <w:widowControl w:val="0"/>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23C09C3" w14:textId="77777777" w:rsidR="00F826BF" w:rsidRPr="00634132" w:rsidRDefault="00F826BF" w:rsidP="001F428E">
            <w:pPr>
              <w:keepNext/>
              <w:keepLines/>
              <w:widowControl w:val="0"/>
              <w:jc w:val="left"/>
              <w:rPr>
                <w:rFonts w:ascii="Arial Narrow" w:eastAsia="Calibri" w:hAnsi="Arial Narrow"/>
                <w:color w:val="FF0000"/>
                <w:sz w:val="20"/>
                <w:szCs w:val="20"/>
              </w:rPr>
            </w:pPr>
            <w:r w:rsidRPr="00634132">
              <w:rPr>
                <w:rFonts w:ascii="Arial Narrow" w:hAnsi="Arial Narrow"/>
                <w:b/>
                <w:sz w:val="20"/>
                <w:szCs w:val="20"/>
              </w:rPr>
              <w:t>Restriction type:</w:t>
            </w:r>
            <w:r w:rsidRPr="00634132">
              <w:rPr>
                <w:rFonts w:ascii="Arial Narrow" w:eastAsia="Calibri" w:hAnsi="Arial Narrow"/>
                <w:sz w:val="20"/>
                <w:szCs w:val="20"/>
              </w:rPr>
              <w:br/>
            </w:r>
            <w:r w:rsidRPr="00634132">
              <w:rPr>
                <w:rFonts w:ascii="Arial Narrow" w:eastAsia="Calibri" w:hAnsi="Arial Narrow"/>
                <w:sz w:val="20"/>
                <w:szCs w:val="20"/>
              </w:rPr>
              <w:fldChar w:fldCharType="begin" w:fldLock="1">
                <w:ffData>
                  <w:name w:val=""/>
                  <w:enabled/>
                  <w:calcOnExit w:val="0"/>
                  <w:checkBox>
                    <w:sizeAuto/>
                    <w:default w:val="1"/>
                  </w:checkBox>
                </w:ffData>
              </w:fldChar>
            </w:r>
            <w:r w:rsidRPr="00634132">
              <w:rPr>
                <w:rFonts w:ascii="Arial Narrow" w:eastAsia="Calibri" w:hAnsi="Arial Narrow"/>
                <w:sz w:val="20"/>
                <w:szCs w:val="20"/>
              </w:rPr>
              <w:instrText xml:space="preserve"> FORMCHECKBOX </w:instrText>
            </w:r>
            <w:r w:rsidRPr="00634132">
              <w:rPr>
                <w:rFonts w:ascii="Arial Narrow" w:eastAsia="Calibri" w:hAnsi="Arial Narrow"/>
                <w:sz w:val="20"/>
                <w:szCs w:val="20"/>
              </w:rPr>
            </w:r>
            <w:r w:rsidRPr="00634132">
              <w:rPr>
                <w:rFonts w:ascii="Arial Narrow" w:eastAsia="Calibri" w:hAnsi="Arial Narrow"/>
                <w:sz w:val="20"/>
                <w:szCs w:val="20"/>
              </w:rPr>
              <w:fldChar w:fldCharType="separate"/>
            </w:r>
            <w:r w:rsidRPr="00634132">
              <w:rPr>
                <w:rFonts w:ascii="Arial Narrow" w:eastAsia="Calibri" w:hAnsi="Arial Narrow"/>
                <w:sz w:val="20"/>
                <w:szCs w:val="20"/>
              </w:rPr>
              <w:fldChar w:fldCharType="end"/>
            </w:r>
            <w:r w:rsidRPr="00634132">
              <w:rPr>
                <w:rFonts w:ascii="Arial Narrow" w:eastAsia="Calibri" w:hAnsi="Arial Narrow"/>
                <w:sz w:val="20"/>
                <w:szCs w:val="20"/>
              </w:rPr>
              <w:t xml:space="preserve">Authority Required (Streamlined) [new digit code] </w:t>
            </w:r>
          </w:p>
        </w:tc>
      </w:tr>
      <w:tr w:rsidR="00F826BF" w:rsidRPr="003B4382" w14:paraId="7485B3E5" w14:textId="77777777">
        <w:tblPrEx>
          <w:tblCellMar>
            <w:top w:w="15" w:type="dxa"/>
            <w:bottom w:w="15" w:type="dxa"/>
          </w:tblCellMar>
          <w:tblLook w:val="04A0" w:firstRow="1" w:lastRow="0" w:firstColumn="1" w:lastColumn="0" w:noHBand="0" w:noVBand="1"/>
        </w:tblPrEx>
        <w:trPr>
          <w:trHeight w:val="20"/>
        </w:trPr>
        <w:tc>
          <w:tcPr>
            <w:tcW w:w="1271" w:type="dxa"/>
            <w:vAlign w:val="center"/>
          </w:tcPr>
          <w:p w14:paraId="6689B5DA" w14:textId="72C6BDA6" w:rsidR="00F826BF" w:rsidRPr="003B4382" w:rsidRDefault="00F826BF" w:rsidP="001F428E">
            <w:pPr>
              <w:keepNext/>
              <w:keepLines/>
              <w:widowControl w:val="0"/>
              <w:rPr>
                <w:rFonts w:ascii="Arial Narrow" w:hAnsi="Arial Narrow"/>
                <w:b/>
                <w:sz w:val="20"/>
                <w:szCs w:val="20"/>
              </w:rPr>
            </w:pPr>
          </w:p>
        </w:tc>
        <w:tc>
          <w:tcPr>
            <w:tcW w:w="7745" w:type="dxa"/>
            <w:gridSpan w:val="6"/>
            <w:vAlign w:val="center"/>
          </w:tcPr>
          <w:p w14:paraId="4C1248F5" w14:textId="77777777" w:rsidR="00F826BF" w:rsidRPr="003B4382" w:rsidRDefault="00F826BF" w:rsidP="001F428E">
            <w:pPr>
              <w:keepNext/>
              <w:keepLines/>
              <w:widowControl w:val="0"/>
              <w:rPr>
                <w:rFonts w:ascii="Arial Narrow" w:hAnsi="Arial Narrow"/>
                <w:b/>
                <w:sz w:val="20"/>
                <w:szCs w:val="20"/>
              </w:rPr>
            </w:pPr>
            <w:r w:rsidRPr="003B4382">
              <w:rPr>
                <w:rFonts w:ascii="Arial Narrow" w:hAnsi="Arial Narrow"/>
                <w:b/>
                <w:sz w:val="20"/>
                <w:szCs w:val="20"/>
              </w:rPr>
              <w:t>Administrative Advice: Special Pricing Arrangements apply.</w:t>
            </w:r>
          </w:p>
        </w:tc>
      </w:tr>
      <w:tr w:rsidR="00F826BF" w:rsidRPr="003B4382" w14:paraId="358DEA70" w14:textId="77777777">
        <w:tblPrEx>
          <w:tblCellMar>
            <w:top w:w="15" w:type="dxa"/>
            <w:bottom w:w="15" w:type="dxa"/>
          </w:tblCellMar>
          <w:tblLook w:val="04A0" w:firstRow="1" w:lastRow="0" w:firstColumn="1" w:lastColumn="0" w:noHBand="0" w:noVBand="1"/>
        </w:tblPrEx>
        <w:trPr>
          <w:trHeight w:val="20"/>
        </w:trPr>
        <w:tc>
          <w:tcPr>
            <w:tcW w:w="1271" w:type="dxa"/>
            <w:vAlign w:val="center"/>
          </w:tcPr>
          <w:p w14:paraId="485350AD" w14:textId="6EDACC2E" w:rsidR="00F826BF" w:rsidRPr="003B4382" w:rsidRDefault="00F826BF" w:rsidP="001F428E">
            <w:pPr>
              <w:keepNext/>
              <w:keepLines/>
              <w:widowControl w:val="0"/>
              <w:rPr>
                <w:rFonts w:ascii="Arial Narrow" w:hAnsi="Arial Narrow"/>
                <w:b/>
                <w:sz w:val="20"/>
                <w:szCs w:val="20"/>
              </w:rPr>
            </w:pPr>
          </w:p>
        </w:tc>
        <w:tc>
          <w:tcPr>
            <w:tcW w:w="7745" w:type="dxa"/>
            <w:gridSpan w:val="6"/>
            <w:vAlign w:val="center"/>
          </w:tcPr>
          <w:p w14:paraId="3F4AD9AF" w14:textId="77777777" w:rsidR="00F826BF" w:rsidRPr="003B4382" w:rsidRDefault="00F826BF" w:rsidP="001F428E">
            <w:pPr>
              <w:keepNext/>
              <w:keepLines/>
              <w:widowControl w:val="0"/>
              <w:rPr>
                <w:rFonts w:ascii="Arial Narrow" w:hAnsi="Arial Narrow"/>
                <w:b/>
                <w:sz w:val="20"/>
                <w:szCs w:val="20"/>
              </w:rPr>
            </w:pPr>
            <w:r w:rsidRPr="003B4382">
              <w:rPr>
                <w:rFonts w:ascii="Arial Narrow" w:hAnsi="Arial Narrow"/>
                <w:b/>
                <w:sz w:val="20"/>
                <w:szCs w:val="20"/>
              </w:rPr>
              <w:t>Administrative Advice: No increase in the maximum number of repeats may be authorised.</w:t>
            </w:r>
          </w:p>
        </w:tc>
      </w:tr>
    </w:tbl>
    <w:tbl>
      <w:tblPr>
        <w:tblStyle w:val="TableGrid"/>
        <w:tblW w:w="5000" w:type="pct"/>
        <w:tblLook w:val="04A0" w:firstRow="1" w:lastRow="0" w:firstColumn="1" w:lastColumn="0" w:noHBand="0" w:noVBand="1"/>
      </w:tblPr>
      <w:tblGrid>
        <w:gridCol w:w="1271"/>
        <w:gridCol w:w="7746"/>
      </w:tblGrid>
      <w:tr w:rsidR="00F826BF" w:rsidRPr="003B4382" w14:paraId="65C71EC4" w14:textId="77777777" w:rsidTr="003B4382">
        <w:trPr>
          <w:trHeight w:val="89"/>
        </w:trPr>
        <w:tc>
          <w:tcPr>
            <w:tcW w:w="705" w:type="pct"/>
          </w:tcPr>
          <w:p w14:paraId="56E86A33" w14:textId="2919C810" w:rsidR="00F826BF" w:rsidRPr="003B4382" w:rsidRDefault="00F826BF" w:rsidP="001F428E">
            <w:pPr>
              <w:pStyle w:val="Tabletext8pt"/>
              <w:widowControl w:val="0"/>
              <w:rPr>
                <w:rFonts w:ascii="Arial Narrow" w:hAnsi="Arial Narrow"/>
                <w:b/>
                <w:sz w:val="20"/>
                <w:szCs w:val="20"/>
                <w:lang w:eastAsia="en-AU"/>
              </w:rPr>
            </w:pPr>
          </w:p>
        </w:tc>
        <w:tc>
          <w:tcPr>
            <w:tcW w:w="4295" w:type="pct"/>
            <w:hideMark/>
          </w:tcPr>
          <w:p w14:paraId="2D3F059D" w14:textId="1A6A3028" w:rsidR="00F826BF" w:rsidRPr="003B4382" w:rsidRDefault="00F826BF" w:rsidP="001F428E">
            <w:pPr>
              <w:pStyle w:val="Tabletext8pt"/>
              <w:widowControl w:val="0"/>
              <w:rPr>
                <w:rFonts w:ascii="Arial Narrow" w:hAnsi="Arial Narrow"/>
                <w:b/>
                <w:sz w:val="20"/>
                <w:szCs w:val="20"/>
                <w:lang w:eastAsia="en-AU"/>
              </w:rPr>
            </w:pPr>
            <w:r w:rsidRPr="003B4382">
              <w:rPr>
                <w:rFonts w:ascii="Arial Narrow" w:hAnsi="Arial Narrow"/>
                <w:b/>
                <w:color w:val="333333"/>
                <w:sz w:val="20"/>
                <w:szCs w:val="20"/>
                <w:lang w:eastAsia="en-AU"/>
              </w:rPr>
              <w:t>Condition: Cytomegalovirus (CMV) infection and disease </w:t>
            </w:r>
          </w:p>
        </w:tc>
      </w:tr>
      <w:tr w:rsidR="00F826BF" w:rsidRPr="003B4382" w14:paraId="44A45145" w14:textId="77777777" w:rsidTr="003B4382">
        <w:trPr>
          <w:trHeight w:val="300"/>
        </w:trPr>
        <w:tc>
          <w:tcPr>
            <w:tcW w:w="705" w:type="pct"/>
          </w:tcPr>
          <w:p w14:paraId="22F43107" w14:textId="782DD255" w:rsidR="00F826BF" w:rsidRPr="003B4382" w:rsidRDefault="00F826BF" w:rsidP="001F428E">
            <w:pPr>
              <w:pStyle w:val="Tabletext8pt"/>
              <w:widowControl w:val="0"/>
              <w:rPr>
                <w:rFonts w:ascii="Arial Narrow" w:hAnsi="Arial Narrow"/>
                <w:b/>
                <w:sz w:val="20"/>
                <w:szCs w:val="20"/>
                <w:lang w:eastAsia="en-AU"/>
              </w:rPr>
            </w:pPr>
          </w:p>
        </w:tc>
        <w:tc>
          <w:tcPr>
            <w:tcW w:w="4295" w:type="pct"/>
            <w:hideMark/>
          </w:tcPr>
          <w:p w14:paraId="0D099BA2" w14:textId="34E14EFA" w:rsidR="00F826BF" w:rsidRPr="003B4382" w:rsidRDefault="00F826BF" w:rsidP="001F428E">
            <w:pPr>
              <w:pStyle w:val="Tabletext8pt"/>
              <w:widowControl w:val="0"/>
              <w:rPr>
                <w:rFonts w:ascii="Arial Narrow" w:hAnsi="Arial Narrow"/>
                <w:b/>
                <w:sz w:val="20"/>
                <w:szCs w:val="20"/>
                <w:lang w:eastAsia="en-AU"/>
              </w:rPr>
            </w:pPr>
            <w:r w:rsidRPr="003B4382">
              <w:rPr>
                <w:rFonts w:ascii="Arial Narrow" w:hAnsi="Arial Narrow"/>
                <w:b/>
                <w:color w:val="333333"/>
                <w:sz w:val="20"/>
                <w:szCs w:val="20"/>
                <w:lang w:eastAsia="en-AU"/>
              </w:rPr>
              <w:t>Indication: Cytomegalovirus (CMV) infection and disease</w:t>
            </w:r>
          </w:p>
        </w:tc>
      </w:tr>
      <w:tr w:rsidR="00F826BF" w:rsidRPr="003A0D25" w14:paraId="44817FCF" w14:textId="77777777" w:rsidTr="003B4382">
        <w:trPr>
          <w:trHeight w:val="113"/>
        </w:trPr>
        <w:tc>
          <w:tcPr>
            <w:tcW w:w="705" w:type="pct"/>
          </w:tcPr>
          <w:p w14:paraId="6ECE9F7A" w14:textId="77777777" w:rsidR="00F826BF" w:rsidRPr="003A0D25" w:rsidRDefault="00F826BF" w:rsidP="001F428E">
            <w:pPr>
              <w:pStyle w:val="Tabletext8pt"/>
              <w:widowControl w:val="0"/>
              <w:rPr>
                <w:rFonts w:ascii="Arial Narrow" w:hAnsi="Arial Narrow"/>
                <w:sz w:val="20"/>
                <w:szCs w:val="20"/>
                <w:lang w:eastAsia="en-AU"/>
              </w:rPr>
            </w:pPr>
          </w:p>
        </w:tc>
        <w:tc>
          <w:tcPr>
            <w:tcW w:w="4295" w:type="pct"/>
            <w:hideMark/>
          </w:tcPr>
          <w:p w14:paraId="07C8FC3E" w14:textId="77777777" w:rsidR="00F826BF" w:rsidRPr="003A0D25" w:rsidRDefault="00F826BF" w:rsidP="001F428E">
            <w:pPr>
              <w:pStyle w:val="Tabletext8pt"/>
              <w:widowControl w:val="0"/>
              <w:rPr>
                <w:rFonts w:ascii="Arial Narrow" w:hAnsi="Arial Narrow"/>
                <w:b/>
                <w:sz w:val="20"/>
                <w:szCs w:val="20"/>
                <w:lang w:eastAsia="en-AU"/>
              </w:rPr>
            </w:pPr>
            <w:r w:rsidRPr="003A0D25">
              <w:rPr>
                <w:rFonts w:ascii="Arial Narrow" w:hAnsi="Arial Narrow"/>
                <w:b/>
                <w:color w:val="333333"/>
                <w:sz w:val="20"/>
                <w:szCs w:val="20"/>
                <w:lang w:eastAsia="en-AU"/>
              </w:rPr>
              <w:t>Clinical criteria: </w:t>
            </w:r>
          </w:p>
        </w:tc>
      </w:tr>
      <w:tr w:rsidR="00F826BF" w:rsidRPr="003A0D25" w14:paraId="5DFA5206" w14:textId="77777777" w:rsidTr="003B4382">
        <w:trPr>
          <w:trHeight w:val="159"/>
        </w:trPr>
        <w:tc>
          <w:tcPr>
            <w:tcW w:w="705" w:type="pct"/>
          </w:tcPr>
          <w:p w14:paraId="37110543" w14:textId="5A8E4796" w:rsidR="00F826BF" w:rsidRPr="003A0D25" w:rsidRDefault="00F826BF" w:rsidP="001F428E">
            <w:pPr>
              <w:pStyle w:val="Tabletext8pt"/>
              <w:widowControl w:val="0"/>
              <w:rPr>
                <w:rFonts w:ascii="Arial Narrow" w:hAnsi="Arial Narrow"/>
                <w:sz w:val="20"/>
                <w:szCs w:val="20"/>
                <w:lang w:eastAsia="en-AU"/>
              </w:rPr>
            </w:pPr>
          </w:p>
        </w:tc>
        <w:tc>
          <w:tcPr>
            <w:tcW w:w="4295" w:type="pct"/>
            <w:hideMark/>
          </w:tcPr>
          <w:p w14:paraId="2303A5BF" w14:textId="77777777" w:rsidR="00F826BF" w:rsidRPr="003A0D25" w:rsidRDefault="00F826BF" w:rsidP="001F428E">
            <w:pPr>
              <w:pStyle w:val="Tabletext8pt"/>
              <w:widowControl w:val="0"/>
              <w:rPr>
                <w:rFonts w:ascii="Arial Narrow" w:hAnsi="Arial Narrow"/>
                <w:sz w:val="20"/>
                <w:szCs w:val="20"/>
                <w:lang w:eastAsia="en-AU"/>
              </w:rPr>
            </w:pPr>
            <w:r w:rsidRPr="003A0D25">
              <w:rPr>
                <w:rFonts w:ascii="Arial Narrow" w:hAnsi="Arial Narrow"/>
                <w:sz w:val="20"/>
                <w:szCs w:val="20"/>
                <w:lang w:eastAsia="en-AU"/>
              </w:rPr>
              <w:t>Patient must have received a hematopoietic stem-cell transplant </w:t>
            </w:r>
          </w:p>
        </w:tc>
      </w:tr>
      <w:tr w:rsidR="00F826BF" w:rsidRPr="003A0D25" w14:paraId="6B936D3D" w14:textId="77777777" w:rsidTr="003B4382">
        <w:trPr>
          <w:trHeight w:val="191"/>
        </w:trPr>
        <w:tc>
          <w:tcPr>
            <w:tcW w:w="705" w:type="pct"/>
          </w:tcPr>
          <w:p w14:paraId="67298E83" w14:textId="5AF6142F" w:rsidR="00F826BF" w:rsidRPr="003A0D25" w:rsidRDefault="00F826BF" w:rsidP="001F428E">
            <w:pPr>
              <w:pStyle w:val="Tabletext8pt"/>
              <w:widowControl w:val="0"/>
              <w:rPr>
                <w:rFonts w:ascii="Arial Narrow" w:hAnsi="Arial Narrow"/>
                <w:sz w:val="20"/>
                <w:szCs w:val="20"/>
                <w:lang w:eastAsia="en-AU"/>
              </w:rPr>
            </w:pPr>
          </w:p>
        </w:tc>
        <w:tc>
          <w:tcPr>
            <w:tcW w:w="4295" w:type="pct"/>
            <w:hideMark/>
          </w:tcPr>
          <w:p w14:paraId="404D2BBB" w14:textId="77777777" w:rsidR="00F826BF" w:rsidRPr="003A0D25" w:rsidRDefault="00F826BF" w:rsidP="001F428E">
            <w:pPr>
              <w:pStyle w:val="Tabletext8pt"/>
              <w:widowControl w:val="0"/>
              <w:rPr>
                <w:rFonts w:ascii="Arial Narrow" w:hAnsi="Arial Narrow"/>
                <w:sz w:val="20"/>
                <w:szCs w:val="20"/>
                <w:lang w:eastAsia="en-AU"/>
              </w:rPr>
            </w:pPr>
            <w:r w:rsidRPr="003A0D25">
              <w:rPr>
                <w:rFonts w:ascii="Arial Narrow" w:hAnsi="Arial Narrow"/>
                <w:color w:val="333333"/>
                <w:sz w:val="20"/>
                <w:szCs w:val="20"/>
                <w:lang w:eastAsia="en-AU"/>
              </w:rPr>
              <w:t>OR </w:t>
            </w:r>
          </w:p>
        </w:tc>
      </w:tr>
      <w:tr w:rsidR="00F826BF" w:rsidRPr="003A0D25" w14:paraId="6C8A1605" w14:textId="77777777" w:rsidTr="003B4382">
        <w:trPr>
          <w:trHeight w:val="223"/>
        </w:trPr>
        <w:tc>
          <w:tcPr>
            <w:tcW w:w="705" w:type="pct"/>
          </w:tcPr>
          <w:p w14:paraId="11D2A1DE" w14:textId="6A779C74" w:rsidR="00F826BF" w:rsidRPr="003A0D25" w:rsidRDefault="00F826BF" w:rsidP="001F428E">
            <w:pPr>
              <w:pStyle w:val="Tabletext8pt"/>
              <w:widowControl w:val="0"/>
              <w:rPr>
                <w:rFonts w:ascii="Arial Narrow" w:hAnsi="Arial Narrow"/>
                <w:sz w:val="20"/>
                <w:szCs w:val="20"/>
                <w:lang w:eastAsia="en-AU"/>
              </w:rPr>
            </w:pPr>
          </w:p>
        </w:tc>
        <w:tc>
          <w:tcPr>
            <w:tcW w:w="4295" w:type="pct"/>
            <w:hideMark/>
          </w:tcPr>
          <w:p w14:paraId="589879EB" w14:textId="77777777" w:rsidR="00F826BF" w:rsidRPr="003A0D25" w:rsidRDefault="00F826BF" w:rsidP="001F428E">
            <w:pPr>
              <w:pStyle w:val="Tabletext8pt"/>
              <w:widowControl w:val="0"/>
              <w:rPr>
                <w:rFonts w:ascii="Arial Narrow" w:hAnsi="Arial Narrow"/>
                <w:sz w:val="20"/>
                <w:szCs w:val="20"/>
                <w:lang w:eastAsia="en-AU"/>
              </w:rPr>
            </w:pPr>
            <w:r w:rsidRPr="003A0D25">
              <w:rPr>
                <w:rFonts w:ascii="Arial Narrow" w:hAnsi="Arial Narrow"/>
                <w:sz w:val="20"/>
                <w:szCs w:val="20"/>
                <w:lang w:eastAsia="en-AU"/>
              </w:rPr>
              <w:t>Patient must have received a solid-organ transplant </w:t>
            </w:r>
          </w:p>
        </w:tc>
      </w:tr>
      <w:tr w:rsidR="00F826BF" w:rsidRPr="003A0D25" w14:paraId="28248550" w14:textId="77777777" w:rsidTr="003B4382">
        <w:trPr>
          <w:trHeight w:val="127"/>
        </w:trPr>
        <w:tc>
          <w:tcPr>
            <w:tcW w:w="705" w:type="pct"/>
          </w:tcPr>
          <w:p w14:paraId="087B9C01" w14:textId="03FFAD5A" w:rsidR="00F826BF" w:rsidRPr="003A0D25" w:rsidRDefault="00F826BF" w:rsidP="001F428E">
            <w:pPr>
              <w:pStyle w:val="Tabletext8pt"/>
              <w:widowControl w:val="0"/>
              <w:rPr>
                <w:rFonts w:ascii="Arial Narrow" w:hAnsi="Arial Narrow"/>
                <w:sz w:val="20"/>
                <w:szCs w:val="20"/>
                <w:lang w:eastAsia="en-AU"/>
              </w:rPr>
            </w:pPr>
          </w:p>
        </w:tc>
        <w:tc>
          <w:tcPr>
            <w:tcW w:w="4295" w:type="pct"/>
            <w:hideMark/>
          </w:tcPr>
          <w:p w14:paraId="091C9248" w14:textId="77777777" w:rsidR="00F826BF" w:rsidRPr="003A0D25" w:rsidRDefault="00F826BF" w:rsidP="001F428E">
            <w:pPr>
              <w:pStyle w:val="Tabletext8pt"/>
              <w:widowControl w:val="0"/>
              <w:rPr>
                <w:rFonts w:ascii="Arial Narrow" w:hAnsi="Arial Narrow"/>
                <w:sz w:val="20"/>
                <w:szCs w:val="20"/>
                <w:lang w:eastAsia="en-AU"/>
              </w:rPr>
            </w:pPr>
            <w:r w:rsidRPr="003A0D25">
              <w:rPr>
                <w:rFonts w:ascii="Arial Narrow" w:hAnsi="Arial Narrow"/>
                <w:color w:val="333333"/>
                <w:sz w:val="20"/>
                <w:szCs w:val="20"/>
                <w:lang w:eastAsia="en-AU"/>
              </w:rPr>
              <w:t>AND </w:t>
            </w:r>
          </w:p>
        </w:tc>
      </w:tr>
      <w:tr w:rsidR="00F826BF" w:rsidRPr="003A0D25" w14:paraId="2522BB7B" w14:textId="77777777" w:rsidTr="003B4382">
        <w:trPr>
          <w:trHeight w:val="301"/>
        </w:trPr>
        <w:tc>
          <w:tcPr>
            <w:tcW w:w="705" w:type="pct"/>
          </w:tcPr>
          <w:p w14:paraId="1C1B0789" w14:textId="52E36F7D" w:rsidR="00F826BF" w:rsidRPr="003A0D25" w:rsidRDefault="00F826BF" w:rsidP="001F428E">
            <w:pPr>
              <w:pStyle w:val="Tabletext8pt"/>
              <w:widowControl w:val="0"/>
              <w:rPr>
                <w:rFonts w:ascii="Arial Narrow" w:hAnsi="Arial Narrow"/>
                <w:sz w:val="20"/>
                <w:szCs w:val="20"/>
                <w:lang w:eastAsia="en-AU"/>
              </w:rPr>
            </w:pPr>
          </w:p>
        </w:tc>
        <w:tc>
          <w:tcPr>
            <w:tcW w:w="4295" w:type="pct"/>
            <w:hideMark/>
          </w:tcPr>
          <w:p w14:paraId="53FCD275" w14:textId="77777777" w:rsidR="00F826BF" w:rsidRPr="003A0D25" w:rsidRDefault="00F826BF" w:rsidP="001F428E">
            <w:pPr>
              <w:pStyle w:val="Tabletext8pt"/>
              <w:widowControl w:val="0"/>
              <w:rPr>
                <w:rFonts w:ascii="Arial Narrow" w:hAnsi="Arial Narrow"/>
                <w:sz w:val="20"/>
                <w:szCs w:val="20"/>
                <w:lang w:eastAsia="en-AU"/>
              </w:rPr>
            </w:pPr>
            <w:r w:rsidRPr="003A0D25">
              <w:rPr>
                <w:rFonts w:ascii="Arial Narrow" w:hAnsi="Arial Narrow"/>
                <w:sz w:val="20"/>
                <w:szCs w:val="20"/>
                <w:lang w:eastAsia="en-AU"/>
              </w:rPr>
              <w:t xml:space="preserve">Patient must have a CMV infection or </w:t>
            </w:r>
            <w:r w:rsidRPr="006911ED">
              <w:rPr>
                <w:rFonts w:ascii="Arial Narrow" w:hAnsi="Arial Narrow"/>
                <w:sz w:val="20"/>
                <w:szCs w:val="20"/>
                <w:lang w:eastAsia="en-AU"/>
              </w:rPr>
              <w:t xml:space="preserve">CMV </w:t>
            </w:r>
            <w:r w:rsidRPr="003A0D25">
              <w:rPr>
                <w:rFonts w:ascii="Arial Narrow" w:hAnsi="Arial Narrow"/>
                <w:sz w:val="20"/>
                <w:szCs w:val="20"/>
                <w:lang w:eastAsia="en-AU"/>
              </w:rPr>
              <w:t>disease that is resistant, refractory or intolerant</w:t>
            </w:r>
            <w:r>
              <w:rPr>
                <w:rFonts w:ascii="Arial Narrow" w:hAnsi="Arial Narrow"/>
                <w:sz w:val="20"/>
                <w:szCs w:val="20"/>
                <w:lang w:eastAsia="en-AU"/>
              </w:rPr>
              <w:t>/</w:t>
            </w:r>
            <w:r w:rsidRPr="00964407">
              <w:rPr>
                <w:rFonts w:ascii="Arial Narrow" w:hAnsi="Arial Narrow"/>
                <w:sz w:val="20"/>
                <w:szCs w:val="20"/>
                <w:lang w:eastAsia="en-AU"/>
              </w:rPr>
              <w:t>contraindicated</w:t>
            </w:r>
            <w:r w:rsidRPr="003A0D25">
              <w:rPr>
                <w:rFonts w:ascii="Arial Narrow" w:hAnsi="Arial Narrow"/>
                <w:sz w:val="20"/>
                <w:szCs w:val="20"/>
                <w:lang w:eastAsia="en-AU"/>
              </w:rPr>
              <w:t xml:space="preserve"> to </w:t>
            </w:r>
            <w:r>
              <w:rPr>
                <w:rFonts w:ascii="Arial Narrow" w:hAnsi="Arial Narrow"/>
                <w:sz w:val="20"/>
                <w:szCs w:val="20"/>
                <w:lang w:eastAsia="en-AU"/>
              </w:rPr>
              <w:t>appropriately dosed ganciclovir, valganciclovir, cidofovir or foscarnet</w:t>
            </w:r>
            <w:r w:rsidRPr="003A0D25">
              <w:rPr>
                <w:rFonts w:ascii="Arial Narrow" w:hAnsi="Arial Narrow"/>
                <w:sz w:val="20"/>
                <w:szCs w:val="20"/>
                <w:lang w:eastAsia="en-AU"/>
              </w:rPr>
              <w:t> </w:t>
            </w:r>
          </w:p>
        </w:tc>
      </w:tr>
      <w:tr w:rsidR="00F826BF" w:rsidRPr="003A0D25" w14:paraId="6D3EA246" w14:textId="77777777">
        <w:trPr>
          <w:trHeight w:val="301"/>
        </w:trPr>
        <w:tc>
          <w:tcPr>
            <w:tcW w:w="705" w:type="pct"/>
          </w:tcPr>
          <w:p w14:paraId="407F2384" w14:textId="77777777" w:rsidR="00F826BF" w:rsidRPr="003A0D25" w:rsidRDefault="00F826BF" w:rsidP="001F428E">
            <w:pPr>
              <w:pStyle w:val="Tabletext8pt"/>
              <w:widowControl w:val="0"/>
              <w:rPr>
                <w:rFonts w:ascii="Arial Narrow" w:hAnsi="Arial Narrow"/>
                <w:color w:val="333333"/>
                <w:sz w:val="20"/>
                <w:szCs w:val="20"/>
                <w:lang w:eastAsia="en-AU"/>
              </w:rPr>
            </w:pPr>
          </w:p>
        </w:tc>
        <w:tc>
          <w:tcPr>
            <w:tcW w:w="4295" w:type="pct"/>
          </w:tcPr>
          <w:p w14:paraId="688263E1" w14:textId="77777777" w:rsidR="00F826BF" w:rsidRPr="003A0D25" w:rsidRDefault="00F826BF" w:rsidP="001F428E">
            <w:pPr>
              <w:pStyle w:val="Tabletext8pt"/>
              <w:widowControl w:val="0"/>
              <w:rPr>
                <w:rFonts w:ascii="Arial Narrow" w:hAnsi="Arial Narrow"/>
                <w:sz w:val="20"/>
                <w:szCs w:val="20"/>
                <w:lang w:eastAsia="en-AU"/>
              </w:rPr>
            </w:pPr>
            <w:r>
              <w:rPr>
                <w:rFonts w:ascii="Arial Narrow" w:hAnsi="Arial Narrow"/>
                <w:sz w:val="20"/>
                <w:szCs w:val="20"/>
                <w:lang w:eastAsia="en-AU"/>
              </w:rPr>
              <w:t>OR</w:t>
            </w:r>
          </w:p>
        </w:tc>
      </w:tr>
      <w:tr w:rsidR="00F826BF" w:rsidRPr="003A0D25" w14:paraId="4057DBE9" w14:textId="77777777">
        <w:trPr>
          <w:trHeight w:val="301"/>
        </w:trPr>
        <w:tc>
          <w:tcPr>
            <w:tcW w:w="705" w:type="pct"/>
          </w:tcPr>
          <w:p w14:paraId="16E45B15" w14:textId="77777777" w:rsidR="00F826BF" w:rsidRPr="003A0D25" w:rsidRDefault="00F826BF" w:rsidP="001F428E">
            <w:pPr>
              <w:pStyle w:val="Tabletext8pt"/>
              <w:widowControl w:val="0"/>
              <w:rPr>
                <w:rFonts w:ascii="Arial Narrow" w:hAnsi="Arial Narrow"/>
                <w:color w:val="333333"/>
                <w:sz w:val="20"/>
                <w:szCs w:val="20"/>
                <w:lang w:eastAsia="en-AU"/>
              </w:rPr>
            </w:pPr>
          </w:p>
        </w:tc>
        <w:tc>
          <w:tcPr>
            <w:tcW w:w="4295" w:type="pct"/>
          </w:tcPr>
          <w:p w14:paraId="5186EDA6" w14:textId="4D7B8FBE" w:rsidR="00F826BF" w:rsidRPr="00634132" w:rsidRDefault="00F826BF" w:rsidP="001F428E">
            <w:pPr>
              <w:pStyle w:val="Tabletext8pt"/>
              <w:widowControl w:val="0"/>
              <w:rPr>
                <w:rFonts w:ascii="Arial Narrow" w:hAnsi="Arial Narrow"/>
                <w:sz w:val="20"/>
                <w:szCs w:val="20"/>
                <w:lang w:eastAsia="en-AU"/>
              </w:rPr>
            </w:pPr>
            <w:r w:rsidRPr="00634132">
              <w:rPr>
                <w:rFonts w:ascii="Arial Narrow" w:hAnsi="Arial Narrow"/>
                <w:sz w:val="20"/>
                <w:szCs w:val="20"/>
                <w:lang w:eastAsia="en-AU"/>
              </w:rPr>
              <w:t>Patient must have received and is intolerant to continued use of appropriately dosed ganciclovir,</w:t>
            </w:r>
            <w:r w:rsidR="008C070C">
              <w:rPr>
                <w:rFonts w:ascii="Arial Narrow" w:hAnsi="Arial Narrow"/>
                <w:sz w:val="20"/>
                <w:szCs w:val="20"/>
                <w:lang w:eastAsia="en-AU"/>
              </w:rPr>
              <w:t xml:space="preserve"> </w:t>
            </w:r>
            <w:r w:rsidRPr="00634132">
              <w:rPr>
                <w:rFonts w:ascii="Arial Narrow" w:hAnsi="Arial Narrow"/>
                <w:sz w:val="20"/>
                <w:szCs w:val="20"/>
                <w:lang w:eastAsia="en-AU"/>
              </w:rPr>
              <w:t xml:space="preserve">valganciclovir, </w:t>
            </w:r>
            <w:r w:rsidRPr="00D67B60">
              <w:rPr>
                <w:rFonts w:ascii="Arial Narrow" w:hAnsi="Arial Narrow"/>
                <w:sz w:val="20"/>
                <w:szCs w:val="20"/>
                <w:lang w:eastAsia="en-AU"/>
              </w:rPr>
              <w:t>cidofovir or foscarnet.</w:t>
            </w:r>
          </w:p>
        </w:tc>
      </w:tr>
      <w:tr w:rsidR="00F826BF" w:rsidRPr="003A0D25" w14:paraId="7A38EB0B" w14:textId="77777777" w:rsidTr="003B4382">
        <w:trPr>
          <w:trHeight w:val="165"/>
        </w:trPr>
        <w:tc>
          <w:tcPr>
            <w:tcW w:w="705" w:type="pct"/>
          </w:tcPr>
          <w:p w14:paraId="059C54FC" w14:textId="77777777" w:rsidR="00F826BF" w:rsidRPr="003A0D25" w:rsidRDefault="00F826BF" w:rsidP="001F428E">
            <w:pPr>
              <w:pStyle w:val="Tabletext8pt"/>
              <w:widowControl w:val="0"/>
              <w:rPr>
                <w:rFonts w:ascii="Arial Narrow" w:hAnsi="Arial Narrow"/>
                <w:sz w:val="20"/>
                <w:szCs w:val="20"/>
                <w:lang w:eastAsia="en-AU"/>
              </w:rPr>
            </w:pPr>
          </w:p>
        </w:tc>
        <w:tc>
          <w:tcPr>
            <w:tcW w:w="4295" w:type="pct"/>
            <w:hideMark/>
          </w:tcPr>
          <w:p w14:paraId="59750B22" w14:textId="77777777" w:rsidR="00F826BF" w:rsidRPr="003A0D25" w:rsidRDefault="00F826BF" w:rsidP="001F428E">
            <w:pPr>
              <w:pStyle w:val="Tabletext8pt"/>
              <w:widowControl w:val="0"/>
              <w:rPr>
                <w:rFonts w:ascii="Arial Narrow" w:hAnsi="Arial Narrow"/>
                <w:b/>
                <w:sz w:val="20"/>
                <w:szCs w:val="20"/>
                <w:lang w:eastAsia="en-AU"/>
              </w:rPr>
            </w:pPr>
            <w:r w:rsidRPr="003A0D25">
              <w:rPr>
                <w:rFonts w:ascii="Arial Narrow" w:hAnsi="Arial Narrow"/>
                <w:b/>
                <w:sz w:val="20"/>
                <w:szCs w:val="20"/>
                <w:lang w:eastAsia="en-AU"/>
              </w:rPr>
              <w:t>Prescribing instructions:</w:t>
            </w:r>
          </w:p>
        </w:tc>
      </w:tr>
      <w:tr w:rsidR="00F826BF" w:rsidRPr="003A0D25" w14:paraId="3EA98901" w14:textId="77777777" w:rsidTr="003B4382">
        <w:trPr>
          <w:trHeight w:val="300"/>
        </w:trPr>
        <w:tc>
          <w:tcPr>
            <w:tcW w:w="705" w:type="pct"/>
          </w:tcPr>
          <w:p w14:paraId="749E0113" w14:textId="74C56154" w:rsidR="00F826BF" w:rsidRPr="003A0D25" w:rsidRDefault="00F826BF" w:rsidP="001F428E">
            <w:pPr>
              <w:pStyle w:val="Tabletext8pt"/>
              <w:widowControl w:val="0"/>
              <w:rPr>
                <w:rFonts w:ascii="Arial Narrow" w:hAnsi="Arial Narrow"/>
                <w:sz w:val="20"/>
                <w:szCs w:val="20"/>
                <w:lang w:eastAsia="en-AU"/>
              </w:rPr>
            </w:pPr>
          </w:p>
        </w:tc>
        <w:tc>
          <w:tcPr>
            <w:tcW w:w="4295" w:type="pct"/>
            <w:hideMark/>
          </w:tcPr>
          <w:p w14:paraId="6C9C2E4F" w14:textId="77777777" w:rsidR="00F826BF" w:rsidRPr="003A0D25" w:rsidRDefault="00F826BF" w:rsidP="001F428E">
            <w:pPr>
              <w:pStyle w:val="Tabletext8pt"/>
              <w:widowControl w:val="0"/>
              <w:rPr>
                <w:rFonts w:ascii="Arial Narrow" w:hAnsi="Arial Narrow"/>
                <w:sz w:val="20"/>
                <w:szCs w:val="20"/>
                <w:lang w:eastAsia="en-AU"/>
              </w:rPr>
            </w:pPr>
            <w:r w:rsidRPr="003A0D25">
              <w:rPr>
                <w:rFonts w:ascii="Arial Narrow" w:hAnsi="Arial Narrow"/>
                <w:sz w:val="20"/>
                <w:szCs w:val="20"/>
                <w:lang w:eastAsia="en-AU"/>
              </w:rPr>
              <w:t>Patients are determined to be refractory if after</w:t>
            </w:r>
            <w:r>
              <w:rPr>
                <w:rFonts w:ascii="Arial Narrow" w:hAnsi="Arial Narrow"/>
                <w:sz w:val="20"/>
                <w:szCs w:val="20"/>
                <w:lang w:eastAsia="en-AU"/>
              </w:rPr>
              <w:t xml:space="preserve"> at least</w:t>
            </w:r>
            <w:r w:rsidRPr="003A0D25">
              <w:rPr>
                <w:rFonts w:ascii="Arial Narrow" w:hAnsi="Arial Narrow"/>
                <w:sz w:val="20"/>
                <w:szCs w:val="20"/>
                <w:lang w:eastAsia="en-AU"/>
              </w:rPr>
              <w:t xml:space="preserve"> two weeks of appropriately dose</w:t>
            </w:r>
            <w:r w:rsidRPr="00634132">
              <w:rPr>
                <w:rFonts w:ascii="Arial Narrow" w:hAnsi="Arial Narrow"/>
                <w:sz w:val="20"/>
                <w:szCs w:val="20"/>
                <w:lang w:eastAsia="en-AU"/>
              </w:rPr>
              <w:t>d</w:t>
            </w:r>
            <w:r w:rsidRPr="003A0D25">
              <w:rPr>
                <w:rFonts w:ascii="Arial Narrow" w:hAnsi="Arial Narrow"/>
                <w:sz w:val="20"/>
                <w:szCs w:val="20"/>
                <w:lang w:eastAsia="en-AU"/>
              </w:rPr>
              <w:t xml:space="preserve"> </w:t>
            </w:r>
            <w:r w:rsidRPr="007401C5">
              <w:rPr>
                <w:rFonts w:ascii="Arial Narrow" w:hAnsi="Arial Narrow"/>
                <w:sz w:val="20"/>
                <w:szCs w:val="20"/>
                <w:lang w:eastAsia="en-AU"/>
              </w:rPr>
              <w:t>ganciclovir, valganciclovir, cidofovir or foscarnet, they fail to achieve a &gt;1log10 decrease in CMV DNA level.</w:t>
            </w:r>
          </w:p>
        </w:tc>
      </w:tr>
      <w:tr w:rsidR="00F826BF" w:rsidRPr="003A0D25" w14:paraId="3EBC9376" w14:textId="77777777">
        <w:trPr>
          <w:trHeight w:val="300"/>
        </w:trPr>
        <w:tc>
          <w:tcPr>
            <w:tcW w:w="705" w:type="pct"/>
          </w:tcPr>
          <w:p w14:paraId="08F9D265" w14:textId="33303B19" w:rsidR="00F826BF" w:rsidRPr="003A0D25" w:rsidRDefault="00F826BF" w:rsidP="001F428E">
            <w:pPr>
              <w:pStyle w:val="Tabletext8pt"/>
              <w:widowControl w:val="0"/>
              <w:rPr>
                <w:rFonts w:ascii="Arial Narrow" w:hAnsi="Arial Narrow"/>
                <w:color w:val="333333"/>
                <w:sz w:val="20"/>
                <w:szCs w:val="20"/>
                <w:lang w:eastAsia="en-AU"/>
              </w:rPr>
            </w:pPr>
          </w:p>
        </w:tc>
        <w:tc>
          <w:tcPr>
            <w:tcW w:w="4295" w:type="pct"/>
          </w:tcPr>
          <w:p w14:paraId="730916CC" w14:textId="77777777" w:rsidR="00F826BF" w:rsidRPr="003A0D25" w:rsidRDefault="00F826BF" w:rsidP="001F428E">
            <w:pPr>
              <w:pStyle w:val="Tabletext8pt"/>
              <w:widowControl w:val="0"/>
              <w:rPr>
                <w:rFonts w:ascii="Arial Narrow" w:hAnsi="Arial Narrow"/>
                <w:sz w:val="20"/>
                <w:szCs w:val="20"/>
                <w:lang w:eastAsia="en-AU"/>
              </w:rPr>
            </w:pPr>
            <w:r w:rsidRPr="007401C5">
              <w:rPr>
                <w:rFonts w:ascii="Arial Narrow" w:hAnsi="Arial Narrow"/>
                <w:sz w:val="20"/>
                <w:szCs w:val="20"/>
                <w:lang w:eastAsia="en-AU"/>
              </w:rPr>
              <w:t>Patients are determined to be resistant by the identification of a genetic alteration that decreases susceptibility to ganciclovir, valganciclovir, cidofovir or foscarnet.</w:t>
            </w:r>
          </w:p>
        </w:tc>
      </w:tr>
      <w:tr w:rsidR="00F826BF" w:rsidRPr="003A0D25" w14:paraId="0B561F93" w14:textId="77777777">
        <w:trPr>
          <w:trHeight w:val="300"/>
        </w:trPr>
        <w:tc>
          <w:tcPr>
            <w:tcW w:w="705" w:type="pct"/>
          </w:tcPr>
          <w:p w14:paraId="6371D960" w14:textId="54F532A5" w:rsidR="00F826BF" w:rsidRPr="003A0D25" w:rsidRDefault="00F826BF" w:rsidP="001F428E">
            <w:pPr>
              <w:pStyle w:val="Tabletext8pt"/>
              <w:widowControl w:val="0"/>
              <w:rPr>
                <w:rFonts w:ascii="Arial Narrow" w:hAnsi="Arial Narrow"/>
                <w:color w:val="333333"/>
                <w:sz w:val="20"/>
                <w:szCs w:val="20"/>
                <w:lang w:eastAsia="en-AU"/>
              </w:rPr>
            </w:pPr>
          </w:p>
        </w:tc>
        <w:tc>
          <w:tcPr>
            <w:tcW w:w="4295" w:type="pct"/>
          </w:tcPr>
          <w:p w14:paraId="21AD2AF8" w14:textId="38E21661" w:rsidR="00F826BF" w:rsidRPr="003A0D25" w:rsidRDefault="00F826BF" w:rsidP="001F428E">
            <w:pPr>
              <w:pStyle w:val="Tabletext8pt"/>
              <w:widowControl w:val="0"/>
              <w:rPr>
                <w:rFonts w:ascii="Arial Narrow" w:hAnsi="Arial Narrow"/>
                <w:sz w:val="20"/>
                <w:szCs w:val="20"/>
                <w:lang w:eastAsia="en-AU"/>
              </w:rPr>
            </w:pPr>
            <w:r w:rsidRPr="007401C5">
              <w:rPr>
                <w:rFonts w:ascii="Arial Narrow" w:hAnsi="Arial Narrow"/>
                <w:sz w:val="20"/>
                <w:szCs w:val="20"/>
                <w:lang w:eastAsia="en-AU"/>
              </w:rPr>
              <w:t xml:space="preserve">Patients </w:t>
            </w:r>
            <w:r w:rsidR="00F3080B">
              <w:rPr>
                <w:rFonts w:ascii="Arial Narrow" w:hAnsi="Arial Narrow"/>
                <w:sz w:val="20"/>
                <w:szCs w:val="20"/>
                <w:lang w:eastAsia="en-AU"/>
              </w:rPr>
              <w:t xml:space="preserve">with </w:t>
            </w:r>
            <w:r w:rsidRPr="007401C5">
              <w:rPr>
                <w:rFonts w:ascii="Arial Narrow" w:hAnsi="Arial Narrow"/>
                <w:sz w:val="20"/>
                <w:szCs w:val="20"/>
                <w:lang w:eastAsia="en-AU"/>
              </w:rPr>
              <w:t>Grade 3 neutropenia (absolute neutrophil count &lt; 1000/mm</w:t>
            </w:r>
            <w:r w:rsidRPr="007401C5">
              <w:rPr>
                <w:rFonts w:ascii="Arial Narrow" w:hAnsi="Arial Narrow"/>
                <w:sz w:val="20"/>
                <w:szCs w:val="20"/>
                <w:vertAlign w:val="superscript"/>
                <w:lang w:eastAsia="en-AU"/>
              </w:rPr>
              <w:t>3</w:t>
            </w:r>
            <w:r w:rsidRPr="007401C5">
              <w:rPr>
                <w:rFonts w:ascii="Arial Narrow" w:hAnsi="Arial Narrow"/>
                <w:sz w:val="20"/>
                <w:szCs w:val="20"/>
                <w:lang w:eastAsia="en-AU"/>
              </w:rPr>
              <w:t>) or impaired renal function (creatinine clearance &lt; 50ml/min)</w:t>
            </w:r>
            <w:r w:rsidR="00F3080B">
              <w:rPr>
                <w:rFonts w:ascii="Arial Narrow" w:hAnsi="Arial Narrow"/>
                <w:sz w:val="20"/>
                <w:szCs w:val="20"/>
                <w:lang w:eastAsia="en-AU"/>
              </w:rPr>
              <w:t xml:space="preserve"> </w:t>
            </w:r>
            <w:r w:rsidR="00F3080B" w:rsidRPr="00D67B60">
              <w:rPr>
                <w:rFonts w:ascii="Arial Narrow" w:hAnsi="Arial Narrow"/>
                <w:sz w:val="20"/>
                <w:szCs w:val="20"/>
                <w:lang w:eastAsia="en-AU"/>
              </w:rPr>
              <w:t>are determined to be intolerant/contraindicated</w:t>
            </w:r>
            <w:r w:rsidRPr="00D67B60">
              <w:rPr>
                <w:rFonts w:ascii="Arial Narrow" w:hAnsi="Arial Narrow"/>
                <w:sz w:val="20"/>
                <w:szCs w:val="20"/>
                <w:lang w:eastAsia="en-AU"/>
              </w:rPr>
              <w:t>.</w:t>
            </w:r>
          </w:p>
        </w:tc>
      </w:tr>
      <w:tr w:rsidR="00F826BF" w:rsidRPr="003A0D25" w14:paraId="34DBE974" w14:textId="77777777">
        <w:trPr>
          <w:trHeight w:val="300"/>
        </w:trPr>
        <w:tc>
          <w:tcPr>
            <w:tcW w:w="705" w:type="pct"/>
          </w:tcPr>
          <w:p w14:paraId="0205F5B7" w14:textId="72D39252" w:rsidR="00F826BF" w:rsidRPr="003A0D25" w:rsidRDefault="00F826BF" w:rsidP="001F428E">
            <w:pPr>
              <w:pStyle w:val="Tabletext8pt"/>
              <w:widowControl w:val="0"/>
              <w:rPr>
                <w:rFonts w:ascii="Arial Narrow" w:hAnsi="Arial Narrow"/>
                <w:color w:val="333333"/>
                <w:sz w:val="20"/>
                <w:szCs w:val="20"/>
                <w:lang w:eastAsia="en-AU"/>
              </w:rPr>
            </w:pPr>
          </w:p>
        </w:tc>
        <w:tc>
          <w:tcPr>
            <w:tcW w:w="4295" w:type="pct"/>
          </w:tcPr>
          <w:p w14:paraId="39B02082" w14:textId="77777777" w:rsidR="00F826BF" w:rsidRPr="003A0D25" w:rsidRDefault="00F826BF" w:rsidP="001F428E">
            <w:pPr>
              <w:pStyle w:val="Tabletext8pt"/>
              <w:widowControl w:val="0"/>
              <w:rPr>
                <w:rFonts w:ascii="Arial Narrow" w:hAnsi="Arial Narrow"/>
                <w:sz w:val="20"/>
                <w:szCs w:val="20"/>
              </w:rPr>
            </w:pPr>
            <w:r w:rsidRPr="007401C5">
              <w:rPr>
                <w:rFonts w:ascii="Arial Narrow" w:hAnsi="Arial Narrow"/>
                <w:sz w:val="20"/>
                <w:szCs w:val="20"/>
              </w:rPr>
              <w:t>Maribavir should be used as monotherapy and use with valganciclovir or ganciclovir is contraindicated.</w:t>
            </w:r>
          </w:p>
        </w:tc>
      </w:tr>
      <w:tr w:rsidR="00F826BF" w:rsidRPr="003A0D25" w14:paraId="3E2DBA03" w14:textId="77777777">
        <w:trPr>
          <w:trHeight w:val="300"/>
        </w:trPr>
        <w:tc>
          <w:tcPr>
            <w:tcW w:w="705" w:type="pct"/>
          </w:tcPr>
          <w:p w14:paraId="7397E9E5" w14:textId="2DF1C8A8" w:rsidR="00F826BF" w:rsidRDefault="00F826BF" w:rsidP="001F428E">
            <w:pPr>
              <w:pStyle w:val="Tabletext8pt"/>
              <w:widowControl w:val="0"/>
              <w:rPr>
                <w:rFonts w:ascii="Arial Narrow" w:hAnsi="Arial Narrow"/>
                <w:color w:val="333333"/>
                <w:sz w:val="20"/>
                <w:szCs w:val="20"/>
                <w:lang w:eastAsia="en-AU"/>
              </w:rPr>
            </w:pPr>
          </w:p>
        </w:tc>
        <w:tc>
          <w:tcPr>
            <w:tcW w:w="4295" w:type="pct"/>
          </w:tcPr>
          <w:p w14:paraId="25F4DF78" w14:textId="77777777" w:rsidR="00F826BF" w:rsidRPr="003A0D25" w:rsidRDefault="00F826BF" w:rsidP="001F428E">
            <w:pPr>
              <w:pStyle w:val="Tabletext8pt"/>
              <w:widowControl w:val="0"/>
              <w:rPr>
                <w:rFonts w:ascii="Arial Narrow" w:hAnsi="Arial Narrow"/>
                <w:sz w:val="20"/>
                <w:szCs w:val="20"/>
              </w:rPr>
            </w:pPr>
            <w:r w:rsidRPr="007401C5">
              <w:rPr>
                <w:rFonts w:ascii="Arial Narrow" w:hAnsi="Arial Narrow"/>
                <w:sz w:val="20"/>
                <w:szCs w:val="20"/>
              </w:rPr>
              <w:t>Maribavir should not be used in patients with demonstrated resistance to maribavir.</w:t>
            </w:r>
          </w:p>
        </w:tc>
      </w:tr>
      <w:tr w:rsidR="00F826BF" w:rsidRPr="003A0D25" w14:paraId="3A9EFB85" w14:textId="77777777">
        <w:trPr>
          <w:trHeight w:val="300"/>
        </w:trPr>
        <w:tc>
          <w:tcPr>
            <w:tcW w:w="705" w:type="pct"/>
          </w:tcPr>
          <w:p w14:paraId="7B45E080" w14:textId="2FABADF9" w:rsidR="00F826BF" w:rsidRDefault="00F826BF" w:rsidP="001F428E">
            <w:pPr>
              <w:pStyle w:val="Tabletext8pt"/>
              <w:widowControl w:val="0"/>
              <w:rPr>
                <w:rFonts w:ascii="Arial Narrow" w:hAnsi="Arial Narrow"/>
                <w:color w:val="333333"/>
                <w:sz w:val="20"/>
                <w:szCs w:val="20"/>
                <w:lang w:eastAsia="en-AU"/>
              </w:rPr>
            </w:pPr>
          </w:p>
        </w:tc>
        <w:tc>
          <w:tcPr>
            <w:tcW w:w="4295" w:type="pct"/>
          </w:tcPr>
          <w:p w14:paraId="42C27F6B" w14:textId="77777777" w:rsidR="00F826BF" w:rsidRPr="003A0D25" w:rsidRDefault="00F826BF" w:rsidP="001F428E">
            <w:pPr>
              <w:pStyle w:val="Tabletext8pt"/>
              <w:widowControl w:val="0"/>
              <w:rPr>
                <w:rFonts w:ascii="Arial Narrow" w:hAnsi="Arial Narrow"/>
                <w:sz w:val="20"/>
                <w:szCs w:val="20"/>
              </w:rPr>
            </w:pPr>
            <w:r w:rsidRPr="00D56E2A">
              <w:rPr>
                <w:rFonts w:ascii="Arial Narrow" w:hAnsi="Arial Narrow"/>
                <w:sz w:val="20"/>
                <w:szCs w:val="20"/>
              </w:rPr>
              <w:t>Maribavir should not be used in patients with CMV disease that involves the central nervous system.</w:t>
            </w:r>
          </w:p>
        </w:tc>
      </w:tr>
      <w:tr w:rsidR="00F826BF" w:rsidRPr="003A0D25" w14:paraId="3435EC95" w14:textId="77777777">
        <w:trPr>
          <w:trHeight w:val="300"/>
        </w:trPr>
        <w:tc>
          <w:tcPr>
            <w:tcW w:w="705" w:type="pct"/>
          </w:tcPr>
          <w:p w14:paraId="0023FA62" w14:textId="683DF43C" w:rsidR="00F826BF" w:rsidRDefault="00F826BF" w:rsidP="001F428E">
            <w:pPr>
              <w:pStyle w:val="Tabletext8pt"/>
              <w:widowControl w:val="0"/>
              <w:rPr>
                <w:rFonts w:ascii="Arial Narrow" w:hAnsi="Arial Narrow"/>
                <w:color w:val="333333"/>
                <w:sz w:val="20"/>
                <w:szCs w:val="20"/>
                <w:lang w:eastAsia="en-AU"/>
              </w:rPr>
            </w:pPr>
          </w:p>
        </w:tc>
        <w:tc>
          <w:tcPr>
            <w:tcW w:w="4295" w:type="pct"/>
          </w:tcPr>
          <w:p w14:paraId="7F4925A3" w14:textId="77777777" w:rsidR="00F826BF" w:rsidRPr="003A0D25" w:rsidRDefault="00F826BF" w:rsidP="001F428E">
            <w:pPr>
              <w:pStyle w:val="Tabletext8pt"/>
              <w:widowControl w:val="0"/>
              <w:rPr>
                <w:rFonts w:ascii="Arial Narrow" w:hAnsi="Arial Narrow"/>
                <w:sz w:val="20"/>
                <w:szCs w:val="20"/>
              </w:rPr>
            </w:pPr>
            <w:r w:rsidRPr="00D56E2A">
              <w:rPr>
                <w:rFonts w:ascii="Arial Narrow" w:hAnsi="Arial Narrow"/>
                <w:sz w:val="20"/>
                <w:szCs w:val="20"/>
              </w:rPr>
              <w:t>Maribavir should not be used in patients with CMV retinitis.</w:t>
            </w:r>
          </w:p>
        </w:tc>
      </w:tr>
    </w:tbl>
    <w:p w14:paraId="2ED9E3C3" w14:textId="2E1A66FD" w:rsidR="002B09A4" w:rsidRPr="00EB3825" w:rsidRDefault="00294EFE" w:rsidP="00EB3825">
      <w:pPr>
        <w:keepNext/>
        <w:keepLines/>
        <w:spacing w:before="120"/>
        <w:rPr>
          <w:rFonts w:asciiTheme="minorHAnsi" w:hAnsiTheme="minorHAnsi"/>
          <w:b/>
          <w:i/>
          <w:iCs/>
          <w:snapToGrid w:val="0"/>
          <w:lang w:val="en-GB"/>
        </w:rPr>
      </w:pPr>
      <w:r w:rsidRPr="00907671">
        <w:rPr>
          <w:rFonts w:asciiTheme="minorHAnsi" w:hAnsiTheme="minorHAnsi"/>
          <w:b/>
          <w:i/>
          <w:iCs/>
          <w:snapToGrid w:val="0"/>
          <w:lang w:val="en-GB"/>
        </w:rPr>
        <w:t>These restrictions may be subject to further review. Should there be any changes made to the restriction the sponsor will be informed.</w:t>
      </w:r>
    </w:p>
    <w:p w14:paraId="12025EC6" w14:textId="69C38C88" w:rsidR="004862F4" w:rsidRPr="004862F4" w:rsidRDefault="004862F4" w:rsidP="004862F4">
      <w:pPr>
        <w:pStyle w:val="2-SectionHeading"/>
        <w:keepLines/>
        <w:numPr>
          <w:ilvl w:val="0"/>
          <w:numId w:val="1"/>
        </w:numPr>
      </w:pPr>
      <w:r w:rsidRPr="004862F4">
        <w:t>Context for Decision</w:t>
      </w:r>
    </w:p>
    <w:p w14:paraId="7FFA9DAE" w14:textId="77777777" w:rsidR="004862F4" w:rsidRPr="00F6239B" w:rsidRDefault="004862F4" w:rsidP="004862F4">
      <w:pPr>
        <w:pStyle w:val="paragraph"/>
        <w:spacing w:before="0" w:beforeAutospacing="0" w:after="0" w:afterAutospacing="0"/>
        <w:ind w:left="720"/>
        <w:jc w:val="both"/>
        <w:textAlignment w:val="baseline"/>
        <w:rPr>
          <w:rFonts w:ascii="Segoe UI" w:hAnsi="Segoe UI" w:cs="Segoe UI"/>
          <w:sz w:val="18"/>
          <w:szCs w:val="18"/>
        </w:rPr>
      </w:pPr>
      <w:r w:rsidRPr="00F6239B">
        <w:rPr>
          <w:rStyle w:val="normaltextrun"/>
          <w:rFonts w:ascii="Calibri" w:hAnsi="Calibri" w:cs="Calibri"/>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w:t>
      </w:r>
      <w:r w:rsidRPr="00F6239B">
        <w:rPr>
          <w:rStyle w:val="normaltextrun"/>
          <w:rFonts w:ascii="Calibri" w:hAnsi="Calibri" w:cs="Calibri"/>
          <w:lang w:val="en-GB"/>
        </w:rPr>
        <w:lastRenderedPageBreak/>
        <w:t>merits of the medicine or the circumstances in which it should be made available through the PBS. The PBAC welcomes applications containing new information at any time.</w:t>
      </w:r>
      <w:r w:rsidRPr="00F6239B">
        <w:rPr>
          <w:rStyle w:val="eop"/>
          <w:rFonts w:ascii="Calibri" w:hAnsi="Calibri" w:cs="Calibri"/>
        </w:rPr>
        <w:t> </w:t>
      </w:r>
    </w:p>
    <w:p w14:paraId="4C800E8D" w14:textId="7D4F6430" w:rsidR="004862F4" w:rsidRPr="00CE43A1" w:rsidRDefault="004862F4" w:rsidP="00CE43A1">
      <w:pPr>
        <w:pStyle w:val="2-SectionHeading"/>
        <w:keepLines/>
        <w:numPr>
          <w:ilvl w:val="0"/>
          <w:numId w:val="1"/>
        </w:numPr>
      </w:pPr>
      <w:r w:rsidRPr="00CE43A1">
        <w:t>Sponsor’s Comment</w:t>
      </w:r>
    </w:p>
    <w:p w14:paraId="24FC7552" w14:textId="5E2645C4" w:rsidR="004862F4" w:rsidRPr="00D3597D" w:rsidRDefault="004862F4" w:rsidP="00A6172B">
      <w:pPr>
        <w:pStyle w:val="paragraph"/>
        <w:spacing w:before="0" w:beforeAutospacing="0" w:after="0" w:afterAutospacing="0"/>
        <w:ind w:left="720"/>
        <w:jc w:val="both"/>
        <w:textAlignment w:val="baseline"/>
        <w:rPr>
          <w:rFonts w:ascii="Segoe UI" w:hAnsi="Segoe UI" w:cs="Segoe UI"/>
          <w:sz w:val="18"/>
          <w:szCs w:val="18"/>
        </w:rPr>
      </w:pPr>
      <w:r w:rsidRPr="0048671A">
        <w:rPr>
          <w:rStyle w:val="normaltextrun"/>
          <w:rFonts w:ascii="Calibri" w:hAnsi="Calibri" w:cs="Calibri"/>
        </w:rPr>
        <w:t>The sponsor had no comment.</w:t>
      </w:r>
    </w:p>
    <w:sectPr w:rsidR="004862F4" w:rsidRPr="00D3597D" w:rsidSect="00251006">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07F1A" w14:textId="77777777" w:rsidR="00587742" w:rsidRDefault="00587742" w:rsidP="00124A51">
      <w:r>
        <w:separator/>
      </w:r>
    </w:p>
    <w:p w14:paraId="15E90607" w14:textId="77777777" w:rsidR="00587742" w:rsidRDefault="00587742"/>
  </w:endnote>
  <w:endnote w:type="continuationSeparator" w:id="0">
    <w:p w14:paraId="33686B0A" w14:textId="77777777" w:rsidR="00587742" w:rsidRDefault="00587742" w:rsidP="00124A51">
      <w:r>
        <w:continuationSeparator/>
      </w:r>
    </w:p>
    <w:p w14:paraId="47DF1FBF" w14:textId="77777777" w:rsidR="00587742" w:rsidRDefault="00587742"/>
  </w:endnote>
  <w:endnote w:type="continuationNotice" w:id="1">
    <w:p w14:paraId="694BB8F5" w14:textId="77777777" w:rsidR="00587742" w:rsidRDefault="005877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imes New Roman"/>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FD6DD" w14:textId="77777777" w:rsidR="007548FA" w:rsidRDefault="00754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3511" w14:textId="77777777" w:rsidR="00D843F2" w:rsidRDefault="00D843F2" w:rsidP="00753B29">
    <w:pPr>
      <w:pStyle w:val="Footer"/>
      <w:jc w:val="center"/>
    </w:pPr>
  </w:p>
  <w:p w14:paraId="37484CD3" w14:textId="527DC444" w:rsidR="00D843F2" w:rsidRPr="00045880" w:rsidRDefault="0027615A" w:rsidP="006028D3">
    <w:pPr>
      <w:pStyle w:val="PageFooter"/>
    </w:pPr>
    <w:sdt>
      <w:sdtPr>
        <w:id w:val="1036156457"/>
        <w:docPartObj>
          <w:docPartGallery w:val="Page Numbers (Bottom of Page)"/>
          <w:docPartUnique/>
        </w:docPartObj>
      </w:sdtPr>
      <w:sdtEndPr>
        <w:rPr>
          <w:noProof/>
        </w:rPr>
      </w:sdtEndPr>
      <w:sdtContent>
        <w:r w:rsidR="00D843F2" w:rsidRPr="00045880">
          <w:fldChar w:fldCharType="begin"/>
        </w:r>
        <w:r w:rsidR="00D843F2" w:rsidRPr="00045880">
          <w:instrText xml:space="preserve"> PAGE   \* MERGEFORMAT </w:instrText>
        </w:r>
        <w:r w:rsidR="00D843F2" w:rsidRPr="00045880">
          <w:fldChar w:fldCharType="separate"/>
        </w:r>
        <w:r w:rsidR="00D843F2" w:rsidRPr="00045880">
          <w:rPr>
            <w:noProof/>
          </w:rPr>
          <w:t>2</w:t>
        </w:r>
        <w:r w:rsidR="00D843F2" w:rsidRPr="00045880">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DF5FC" w14:textId="77777777" w:rsidR="007548FA" w:rsidRDefault="00754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60E98" w14:textId="77777777" w:rsidR="00587742" w:rsidRDefault="00587742" w:rsidP="00124A51">
      <w:r>
        <w:separator/>
      </w:r>
    </w:p>
    <w:p w14:paraId="098ACA3E" w14:textId="77777777" w:rsidR="00587742" w:rsidRDefault="00587742"/>
  </w:footnote>
  <w:footnote w:type="continuationSeparator" w:id="0">
    <w:p w14:paraId="62821E88" w14:textId="77777777" w:rsidR="00587742" w:rsidRDefault="00587742" w:rsidP="00124A51">
      <w:r>
        <w:continuationSeparator/>
      </w:r>
    </w:p>
    <w:p w14:paraId="34DA24B1" w14:textId="77777777" w:rsidR="00587742" w:rsidRDefault="00587742"/>
  </w:footnote>
  <w:footnote w:type="continuationNotice" w:id="1">
    <w:p w14:paraId="394C314F" w14:textId="77777777" w:rsidR="00587742" w:rsidRDefault="00587742"/>
  </w:footnote>
  <w:footnote w:id="2">
    <w:p w14:paraId="7EB53C5E" w14:textId="2A5FD280" w:rsidR="00021977" w:rsidRPr="009B1436" w:rsidRDefault="00021977" w:rsidP="00021977">
      <w:pPr>
        <w:pStyle w:val="EndNoteBibliography"/>
        <w:spacing w:after="0"/>
        <w:rPr>
          <w:i/>
          <w:iCs/>
        </w:rPr>
      </w:pPr>
      <w:r w:rsidRPr="009B1436">
        <w:rPr>
          <w:rStyle w:val="FootnoteReference"/>
          <w:i/>
          <w:iCs/>
        </w:rPr>
        <w:footnoteRef/>
      </w:r>
      <w:r w:rsidRPr="009B1436">
        <w:rPr>
          <w:i/>
          <w:iCs/>
        </w:rPr>
        <w:t xml:space="preserve"> </w:t>
      </w:r>
      <w:r w:rsidRPr="009B1436">
        <w:rPr>
          <w:rFonts w:asciiTheme="minorHAnsi" w:hAnsiTheme="minorHAnsi" w:cstheme="minorHAnsi"/>
          <w:i/>
          <w:iCs/>
        </w:rPr>
        <w:t xml:space="preserve">NICE. British National Formulary (BNF) 2023 [Available from: </w:t>
      </w:r>
      <w:hyperlink r:id="rId1" w:history="1">
        <w:r w:rsidRPr="009B1436">
          <w:rPr>
            <w:rStyle w:val="Hyperlink"/>
            <w:rFonts w:asciiTheme="minorHAnsi" w:hAnsiTheme="minorHAnsi" w:cstheme="minorHAnsi"/>
            <w:i/>
            <w:iCs/>
          </w:rPr>
          <w:t>https://bnf.nice.org.uk/</w:t>
        </w:r>
      </w:hyperlink>
      <w:r w:rsidRPr="009B1436">
        <w:rPr>
          <w:rFonts w:asciiTheme="minorHAnsi" w:hAnsiTheme="minorHAnsi" w:cstheme="minorHAnsi"/>
          <w:i/>
          <w:iCs/>
        </w:rPr>
        <w:t>.</w:t>
      </w:r>
    </w:p>
  </w:footnote>
  <w:footnote w:id="3">
    <w:p w14:paraId="30E554CA" w14:textId="17F9C228" w:rsidR="0061393C" w:rsidRPr="009B1436" w:rsidRDefault="0061393C" w:rsidP="0061393C">
      <w:pPr>
        <w:pStyle w:val="EndNoteBibliography"/>
        <w:spacing w:after="0"/>
        <w:rPr>
          <w:i/>
          <w:iCs/>
        </w:rPr>
      </w:pPr>
      <w:r w:rsidRPr="009B1436">
        <w:rPr>
          <w:rStyle w:val="FootnoteReference"/>
          <w:i/>
          <w:iCs/>
        </w:rPr>
        <w:footnoteRef/>
      </w:r>
      <w:r w:rsidRPr="009B1436">
        <w:rPr>
          <w:i/>
          <w:iCs/>
        </w:rPr>
        <w:t xml:space="preserve"> </w:t>
      </w:r>
      <w:r w:rsidRPr="009B1436">
        <w:rPr>
          <w:rFonts w:asciiTheme="minorHAnsi" w:hAnsiTheme="minorHAnsi" w:cstheme="minorHAnsi"/>
          <w:i/>
          <w:iCs/>
        </w:rPr>
        <w:t xml:space="preserve">Therapeutic Guidelines. Cytomegalovirus (CMV) infection tgldcdp-tg-org-au: Therapeutic Guidelines; 2019 [Available from: </w:t>
      </w:r>
      <w:hyperlink r:id="rId2" w:anchor="r_abg16-c21-ref1" w:history="1">
        <w:r w:rsidRPr="009B1436">
          <w:rPr>
            <w:rStyle w:val="Hyperlink"/>
            <w:rFonts w:asciiTheme="minorHAnsi" w:hAnsiTheme="minorHAnsi" w:cstheme="minorHAnsi"/>
            <w:i/>
            <w:iCs/>
          </w:rPr>
          <w:t>https://tgldcdp-tg-org-au.ezproxy.library.sydney.edu.au/viewTopic?etgAccess=true&amp;guidelinePage=Antibiotic&amp;topicfile=bartonella-infections&amp;guidelinename=auto&amp;sectionId=r_abg16-c21-ref1#r_abg16-c21-ref1</w:t>
        </w:r>
      </w:hyperlink>
      <w:r w:rsidRPr="009B1436">
        <w:rPr>
          <w:rFonts w:asciiTheme="minorHAnsi" w:hAnsiTheme="minorHAnsi" w:cstheme="minorHAnsi"/>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1E7F5" w14:textId="77777777" w:rsidR="007548FA" w:rsidRDefault="00754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5E204" w14:textId="4C80089E" w:rsidR="00D843F2" w:rsidRPr="00A6172B" w:rsidRDefault="00AC69EE" w:rsidP="00D822E2">
    <w:pPr>
      <w:pStyle w:val="Header"/>
      <w:rPr>
        <w:rFonts w:asciiTheme="minorHAnsi" w:hAnsiTheme="minorHAnsi"/>
        <w:i w:val="0"/>
      </w:rPr>
    </w:pPr>
    <w:r w:rsidRPr="00A6172B">
      <w:rPr>
        <w:rFonts w:asciiTheme="minorHAnsi" w:hAnsiTheme="minorHAnsi"/>
      </w:rPr>
      <w:t>Public Summary Document</w:t>
    </w:r>
    <w:r w:rsidRPr="00A6172B" w:rsidDel="00AC69EE">
      <w:rPr>
        <w:rFonts w:asciiTheme="minorHAnsi" w:hAnsiTheme="minorHAnsi"/>
      </w:rPr>
      <w:t xml:space="preserve"> </w:t>
    </w:r>
    <w:r w:rsidR="00045880" w:rsidRPr="00A6172B">
      <w:rPr>
        <w:rFonts w:asciiTheme="minorHAnsi" w:hAnsiTheme="minorHAnsi"/>
      </w:rPr>
      <w:t xml:space="preserve">- </w:t>
    </w:r>
    <w:r w:rsidR="00BA469B" w:rsidRPr="00A6172B">
      <w:rPr>
        <w:rFonts w:asciiTheme="minorHAnsi" w:hAnsiTheme="minorHAnsi"/>
      </w:rPr>
      <w:t>November 2024</w:t>
    </w:r>
    <w:r w:rsidR="00D843F2" w:rsidRPr="00A6172B">
      <w:rPr>
        <w:rFonts w:asciiTheme="minorHAnsi" w:hAnsiTheme="minorHAnsi"/>
      </w:rPr>
      <w:t xml:space="preserve"> PBAC Meeting</w:t>
    </w:r>
  </w:p>
  <w:p w14:paraId="03AF943B" w14:textId="77777777" w:rsidR="00D843F2" w:rsidRPr="008C7ECB" w:rsidRDefault="00D843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873CD" w14:textId="77777777" w:rsidR="007548FA" w:rsidRDefault="00754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620D94"/>
    <w:multiLevelType w:val="multilevel"/>
    <w:tmpl w:val="A94C5558"/>
    <w:styleLink w:val="CurrentList8"/>
    <w:lvl w:ilvl="0">
      <w:start w:val="1"/>
      <w:numFmt w:val="decimal"/>
      <w:lvlText w:val="%1)"/>
      <w:lvlJc w:val="left"/>
      <w:pPr>
        <w:ind w:left="720" w:hanging="360"/>
      </w:pPr>
      <w:rPr>
        <w:rFonts w:hint="default"/>
        <w:b w:val="0"/>
        <w:bCs w:val="0"/>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544EB4"/>
    <w:multiLevelType w:val="multilevel"/>
    <w:tmpl w:val="060C721C"/>
    <w:lvl w:ilvl="0">
      <w:start w:val="1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5" w15:restartNumberingAfterBreak="0">
    <w:nsid w:val="1FC6242B"/>
    <w:multiLevelType w:val="hybridMultilevel"/>
    <w:tmpl w:val="8D72BB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488326D"/>
    <w:multiLevelType w:val="multilevel"/>
    <w:tmpl w:val="9C4CB24C"/>
    <w:lvl w:ilvl="0">
      <w:start w:val="12"/>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9"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346AD7"/>
    <w:multiLevelType w:val="hybridMultilevel"/>
    <w:tmpl w:val="71A65F8E"/>
    <w:lvl w:ilvl="0" w:tplc="CFBE442A">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40147309"/>
    <w:multiLevelType w:val="hybridMultilevel"/>
    <w:tmpl w:val="FCAACBA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69CE5E85"/>
    <w:multiLevelType w:val="hybridMultilevel"/>
    <w:tmpl w:val="0686BCFE"/>
    <w:lvl w:ilvl="0" w:tplc="0C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84D033C"/>
    <w:multiLevelType w:val="multilevel"/>
    <w:tmpl w:val="320409C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 w:val="0"/>
        <w:bCs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9EC272B"/>
    <w:multiLevelType w:val="hybridMultilevel"/>
    <w:tmpl w:val="72F0D2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2749670">
    <w:abstractNumId w:val="19"/>
  </w:num>
  <w:num w:numId="2" w16cid:durableId="166479859">
    <w:abstractNumId w:val="12"/>
  </w:num>
  <w:num w:numId="3" w16cid:durableId="765153459">
    <w:abstractNumId w:val="0"/>
  </w:num>
  <w:num w:numId="4" w16cid:durableId="1999989723">
    <w:abstractNumId w:val="20"/>
  </w:num>
  <w:num w:numId="5" w16cid:durableId="604768057">
    <w:abstractNumId w:val="16"/>
  </w:num>
  <w:num w:numId="6" w16cid:durableId="1874418972">
    <w:abstractNumId w:val="10"/>
  </w:num>
  <w:num w:numId="7" w16cid:durableId="1772235500">
    <w:abstractNumId w:val="19"/>
  </w:num>
  <w:num w:numId="8" w16cid:durableId="1940942513">
    <w:abstractNumId w:val="3"/>
  </w:num>
  <w:num w:numId="9" w16cid:durableId="1814980783">
    <w:abstractNumId w:val="13"/>
  </w:num>
  <w:num w:numId="10" w16cid:durableId="1126314514">
    <w:abstractNumId w:val="11"/>
  </w:num>
  <w:num w:numId="11" w16cid:durableId="1803620565">
    <w:abstractNumId w:val="5"/>
  </w:num>
  <w:num w:numId="12" w16cid:durableId="1916818864">
    <w:abstractNumId w:val="17"/>
  </w:num>
  <w:num w:numId="13" w16cid:durableId="16127000">
    <w:abstractNumId w:val="14"/>
  </w:num>
  <w:num w:numId="14" w16cid:durableId="502015150">
    <w:abstractNumId w:val="2"/>
  </w:num>
  <w:num w:numId="15" w16cid:durableId="2097900097">
    <w:abstractNumId w:val="1"/>
  </w:num>
  <w:num w:numId="16" w16cid:durableId="1186599386">
    <w:abstractNumId w:val="7"/>
  </w:num>
  <w:num w:numId="17" w16cid:durableId="1787305695">
    <w:abstractNumId w:val="9"/>
  </w:num>
  <w:num w:numId="18" w16cid:durableId="1431046888">
    <w:abstractNumId w:val="6"/>
  </w:num>
  <w:num w:numId="19" w16cid:durableId="111818001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6530840">
    <w:abstractNumId w:val="18"/>
  </w:num>
  <w:num w:numId="21" w16cid:durableId="10763949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41658286">
    <w:abstractNumId w:val="11"/>
  </w:num>
  <w:num w:numId="23" w16cid:durableId="306595793">
    <w:abstractNumId w:val="4"/>
  </w:num>
  <w:num w:numId="24" w16cid:durableId="1306664496">
    <w:abstractNumId w:val="8"/>
  </w:num>
  <w:num w:numId="25" w16cid:durableId="1820533898">
    <w:abstractNumId w:val="19"/>
  </w:num>
  <w:num w:numId="26" w16cid:durableId="124140823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AU" w:vendorID="64" w:dllVersion="4096"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2A4"/>
    <w:rsid w:val="0000033E"/>
    <w:rsid w:val="00000610"/>
    <w:rsid w:val="00000673"/>
    <w:rsid w:val="00000676"/>
    <w:rsid w:val="00000790"/>
    <w:rsid w:val="00000A5F"/>
    <w:rsid w:val="00000C16"/>
    <w:rsid w:val="00000C33"/>
    <w:rsid w:val="0000110B"/>
    <w:rsid w:val="00001248"/>
    <w:rsid w:val="0000127F"/>
    <w:rsid w:val="000016CC"/>
    <w:rsid w:val="000017FB"/>
    <w:rsid w:val="00001A77"/>
    <w:rsid w:val="00001EFD"/>
    <w:rsid w:val="00001F64"/>
    <w:rsid w:val="0000209F"/>
    <w:rsid w:val="00002282"/>
    <w:rsid w:val="00002300"/>
    <w:rsid w:val="000024B2"/>
    <w:rsid w:val="000024C2"/>
    <w:rsid w:val="000024C5"/>
    <w:rsid w:val="00002C52"/>
    <w:rsid w:val="00002CCB"/>
    <w:rsid w:val="00002D4E"/>
    <w:rsid w:val="00002ECE"/>
    <w:rsid w:val="00003499"/>
    <w:rsid w:val="000035D2"/>
    <w:rsid w:val="00003612"/>
    <w:rsid w:val="000039B7"/>
    <w:rsid w:val="00003A74"/>
    <w:rsid w:val="00004029"/>
    <w:rsid w:val="00004187"/>
    <w:rsid w:val="0000436A"/>
    <w:rsid w:val="00004395"/>
    <w:rsid w:val="00004439"/>
    <w:rsid w:val="00004640"/>
    <w:rsid w:val="000048F5"/>
    <w:rsid w:val="00004E3A"/>
    <w:rsid w:val="000050B0"/>
    <w:rsid w:val="00005288"/>
    <w:rsid w:val="000052D4"/>
    <w:rsid w:val="0000542E"/>
    <w:rsid w:val="00005448"/>
    <w:rsid w:val="000056B9"/>
    <w:rsid w:val="000059C2"/>
    <w:rsid w:val="00005B30"/>
    <w:rsid w:val="00005B46"/>
    <w:rsid w:val="00005B75"/>
    <w:rsid w:val="00005C11"/>
    <w:rsid w:val="00005FBD"/>
    <w:rsid w:val="0000625E"/>
    <w:rsid w:val="0000639A"/>
    <w:rsid w:val="000065B5"/>
    <w:rsid w:val="000066A1"/>
    <w:rsid w:val="000066BE"/>
    <w:rsid w:val="0000676D"/>
    <w:rsid w:val="00006999"/>
    <w:rsid w:val="00006CEA"/>
    <w:rsid w:val="00006E7A"/>
    <w:rsid w:val="00006F0C"/>
    <w:rsid w:val="00006F3A"/>
    <w:rsid w:val="00007002"/>
    <w:rsid w:val="00007184"/>
    <w:rsid w:val="00007432"/>
    <w:rsid w:val="00007A62"/>
    <w:rsid w:val="00007AFE"/>
    <w:rsid w:val="00007ECB"/>
    <w:rsid w:val="00007FBB"/>
    <w:rsid w:val="00010374"/>
    <w:rsid w:val="00010513"/>
    <w:rsid w:val="000105C6"/>
    <w:rsid w:val="0001077A"/>
    <w:rsid w:val="00010841"/>
    <w:rsid w:val="000109E3"/>
    <w:rsid w:val="00010A2A"/>
    <w:rsid w:val="00010B24"/>
    <w:rsid w:val="00010B72"/>
    <w:rsid w:val="00010CD8"/>
    <w:rsid w:val="0001103C"/>
    <w:rsid w:val="00011232"/>
    <w:rsid w:val="0001131D"/>
    <w:rsid w:val="00011630"/>
    <w:rsid w:val="00011968"/>
    <w:rsid w:val="00011ABF"/>
    <w:rsid w:val="00011B4E"/>
    <w:rsid w:val="00011E36"/>
    <w:rsid w:val="0001200F"/>
    <w:rsid w:val="000123CE"/>
    <w:rsid w:val="000125F2"/>
    <w:rsid w:val="00012994"/>
    <w:rsid w:val="000129D9"/>
    <w:rsid w:val="00012D47"/>
    <w:rsid w:val="00012F00"/>
    <w:rsid w:val="00012F2A"/>
    <w:rsid w:val="00013247"/>
    <w:rsid w:val="000133C8"/>
    <w:rsid w:val="00013473"/>
    <w:rsid w:val="000136B2"/>
    <w:rsid w:val="00013828"/>
    <w:rsid w:val="000139B2"/>
    <w:rsid w:val="00013A24"/>
    <w:rsid w:val="00013B70"/>
    <w:rsid w:val="00013C0A"/>
    <w:rsid w:val="00014180"/>
    <w:rsid w:val="000141EE"/>
    <w:rsid w:val="00014F69"/>
    <w:rsid w:val="0001507B"/>
    <w:rsid w:val="00015202"/>
    <w:rsid w:val="0001567D"/>
    <w:rsid w:val="00015699"/>
    <w:rsid w:val="00015886"/>
    <w:rsid w:val="00015BBE"/>
    <w:rsid w:val="00015FF0"/>
    <w:rsid w:val="00016230"/>
    <w:rsid w:val="000162EF"/>
    <w:rsid w:val="000168F6"/>
    <w:rsid w:val="00016981"/>
    <w:rsid w:val="00016BB0"/>
    <w:rsid w:val="00016DA1"/>
    <w:rsid w:val="000170A2"/>
    <w:rsid w:val="0001744A"/>
    <w:rsid w:val="00017632"/>
    <w:rsid w:val="00017A49"/>
    <w:rsid w:val="00017AEC"/>
    <w:rsid w:val="00017B2C"/>
    <w:rsid w:val="00017B93"/>
    <w:rsid w:val="00017C37"/>
    <w:rsid w:val="00017D57"/>
    <w:rsid w:val="00017F51"/>
    <w:rsid w:val="0002024D"/>
    <w:rsid w:val="00020590"/>
    <w:rsid w:val="000205D9"/>
    <w:rsid w:val="00020689"/>
    <w:rsid w:val="000207C3"/>
    <w:rsid w:val="000207C9"/>
    <w:rsid w:val="0002095A"/>
    <w:rsid w:val="00021221"/>
    <w:rsid w:val="0002122B"/>
    <w:rsid w:val="00021405"/>
    <w:rsid w:val="00021574"/>
    <w:rsid w:val="000217BD"/>
    <w:rsid w:val="000217F8"/>
    <w:rsid w:val="0002194E"/>
    <w:rsid w:val="00021977"/>
    <w:rsid w:val="00021A6A"/>
    <w:rsid w:val="00021B69"/>
    <w:rsid w:val="0002225F"/>
    <w:rsid w:val="0002255E"/>
    <w:rsid w:val="00022658"/>
    <w:rsid w:val="000226D8"/>
    <w:rsid w:val="0002280E"/>
    <w:rsid w:val="00022945"/>
    <w:rsid w:val="00022BC0"/>
    <w:rsid w:val="000230DE"/>
    <w:rsid w:val="00023130"/>
    <w:rsid w:val="000232F1"/>
    <w:rsid w:val="00023491"/>
    <w:rsid w:val="00023763"/>
    <w:rsid w:val="0002387E"/>
    <w:rsid w:val="00023BE3"/>
    <w:rsid w:val="00023D65"/>
    <w:rsid w:val="00024363"/>
    <w:rsid w:val="00024B54"/>
    <w:rsid w:val="00024B95"/>
    <w:rsid w:val="00024B99"/>
    <w:rsid w:val="00024EB5"/>
    <w:rsid w:val="00025221"/>
    <w:rsid w:val="00025A06"/>
    <w:rsid w:val="00025B81"/>
    <w:rsid w:val="00025E00"/>
    <w:rsid w:val="00026012"/>
    <w:rsid w:val="000260A1"/>
    <w:rsid w:val="0002645B"/>
    <w:rsid w:val="00026522"/>
    <w:rsid w:val="00026552"/>
    <w:rsid w:val="00026D83"/>
    <w:rsid w:val="00026FA2"/>
    <w:rsid w:val="000271C6"/>
    <w:rsid w:val="000274B8"/>
    <w:rsid w:val="000276E4"/>
    <w:rsid w:val="00027AB6"/>
    <w:rsid w:val="00027C83"/>
    <w:rsid w:val="00027E42"/>
    <w:rsid w:val="00027F0F"/>
    <w:rsid w:val="00030130"/>
    <w:rsid w:val="000302B4"/>
    <w:rsid w:val="00030715"/>
    <w:rsid w:val="00030C8E"/>
    <w:rsid w:val="00030E27"/>
    <w:rsid w:val="00030F92"/>
    <w:rsid w:val="000311F6"/>
    <w:rsid w:val="00031389"/>
    <w:rsid w:val="000316AA"/>
    <w:rsid w:val="0003170F"/>
    <w:rsid w:val="00031795"/>
    <w:rsid w:val="000317BC"/>
    <w:rsid w:val="00031BEC"/>
    <w:rsid w:val="00031C78"/>
    <w:rsid w:val="00031EF7"/>
    <w:rsid w:val="00032172"/>
    <w:rsid w:val="00032228"/>
    <w:rsid w:val="00032323"/>
    <w:rsid w:val="0003258B"/>
    <w:rsid w:val="000326BE"/>
    <w:rsid w:val="00032984"/>
    <w:rsid w:val="00032CFE"/>
    <w:rsid w:val="00032E2E"/>
    <w:rsid w:val="000336A4"/>
    <w:rsid w:val="000337B3"/>
    <w:rsid w:val="00033821"/>
    <w:rsid w:val="00033863"/>
    <w:rsid w:val="000339F6"/>
    <w:rsid w:val="00033B41"/>
    <w:rsid w:val="00033BB7"/>
    <w:rsid w:val="00033FDF"/>
    <w:rsid w:val="000340AD"/>
    <w:rsid w:val="00034518"/>
    <w:rsid w:val="00034614"/>
    <w:rsid w:val="000349A4"/>
    <w:rsid w:val="00034B06"/>
    <w:rsid w:val="00034C08"/>
    <w:rsid w:val="00034DFC"/>
    <w:rsid w:val="000357BA"/>
    <w:rsid w:val="000358D4"/>
    <w:rsid w:val="00035903"/>
    <w:rsid w:val="00035A3A"/>
    <w:rsid w:val="00035A3D"/>
    <w:rsid w:val="00035BEF"/>
    <w:rsid w:val="00035C5F"/>
    <w:rsid w:val="00035DC0"/>
    <w:rsid w:val="00035F3B"/>
    <w:rsid w:val="0003624A"/>
    <w:rsid w:val="00036829"/>
    <w:rsid w:val="00036CBC"/>
    <w:rsid w:val="00036CE8"/>
    <w:rsid w:val="00036D35"/>
    <w:rsid w:val="000372A0"/>
    <w:rsid w:val="0003760E"/>
    <w:rsid w:val="000377A1"/>
    <w:rsid w:val="00037C10"/>
    <w:rsid w:val="00037DFF"/>
    <w:rsid w:val="000402A3"/>
    <w:rsid w:val="000403A4"/>
    <w:rsid w:val="00040674"/>
    <w:rsid w:val="00040699"/>
    <w:rsid w:val="00040895"/>
    <w:rsid w:val="000409DF"/>
    <w:rsid w:val="00040BFB"/>
    <w:rsid w:val="000410A0"/>
    <w:rsid w:val="000413F3"/>
    <w:rsid w:val="000414D2"/>
    <w:rsid w:val="000416AA"/>
    <w:rsid w:val="0004184C"/>
    <w:rsid w:val="00041E5A"/>
    <w:rsid w:val="000420A2"/>
    <w:rsid w:val="00042371"/>
    <w:rsid w:val="000426F5"/>
    <w:rsid w:val="00043087"/>
    <w:rsid w:val="00043184"/>
    <w:rsid w:val="000431A5"/>
    <w:rsid w:val="0004326B"/>
    <w:rsid w:val="00043421"/>
    <w:rsid w:val="000435EE"/>
    <w:rsid w:val="000437B1"/>
    <w:rsid w:val="00043BE1"/>
    <w:rsid w:val="00043C37"/>
    <w:rsid w:val="00044039"/>
    <w:rsid w:val="0004414F"/>
    <w:rsid w:val="00044307"/>
    <w:rsid w:val="000446B9"/>
    <w:rsid w:val="000447AC"/>
    <w:rsid w:val="00044844"/>
    <w:rsid w:val="0004493D"/>
    <w:rsid w:val="00045017"/>
    <w:rsid w:val="00045165"/>
    <w:rsid w:val="00045182"/>
    <w:rsid w:val="000457AA"/>
    <w:rsid w:val="0004581B"/>
    <w:rsid w:val="00045880"/>
    <w:rsid w:val="00045946"/>
    <w:rsid w:val="00045A2B"/>
    <w:rsid w:val="00045B23"/>
    <w:rsid w:val="00045C00"/>
    <w:rsid w:val="00045C1C"/>
    <w:rsid w:val="000460AC"/>
    <w:rsid w:val="000460AE"/>
    <w:rsid w:val="00046274"/>
    <w:rsid w:val="000464A8"/>
    <w:rsid w:val="0004655C"/>
    <w:rsid w:val="000465FE"/>
    <w:rsid w:val="000467E0"/>
    <w:rsid w:val="0004698F"/>
    <w:rsid w:val="00046D64"/>
    <w:rsid w:val="000470FA"/>
    <w:rsid w:val="000472FC"/>
    <w:rsid w:val="0004741A"/>
    <w:rsid w:val="00047517"/>
    <w:rsid w:val="00047531"/>
    <w:rsid w:val="000475C2"/>
    <w:rsid w:val="00047653"/>
    <w:rsid w:val="000476FB"/>
    <w:rsid w:val="0004771F"/>
    <w:rsid w:val="000478E6"/>
    <w:rsid w:val="00047939"/>
    <w:rsid w:val="00047A98"/>
    <w:rsid w:val="00047B82"/>
    <w:rsid w:val="00047D30"/>
    <w:rsid w:val="00047DE4"/>
    <w:rsid w:val="00047FAF"/>
    <w:rsid w:val="00050171"/>
    <w:rsid w:val="00050562"/>
    <w:rsid w:val="00050704"/>
    <w:rsid w:val="000508C2"/>
    <w:rsid w:val="00051189"/>
    <w:rsid w:val="0005119B"/>
    <w:rsid w:val="000513E1"/>
    <w:rsid w:val="00051588"/>
    <w:rsid w:val="00051760"/>
    <w:rsid w:val="00051776"/>
    <w:rsid w:val="000517E0"/>
    <w:rsid w:val="0005181F"/>
    <w:rsid w:val="00051A3F"/>
    <w:rsid w:val="00051FEC"/>
    <w:rsid w:val="000521EB"/>
    <w:rsid w:val="000521F6"/>
    <w:rsid w:val="000526E1"/>
    <w:rsid w:val="000527AC"/>
    <w:rsid w:val="00052B8C"/>
    <w:rsid w:val="00052D37"/>
    <w:rsid w:val="00052DE4"/>
    <w:rsid w:val="00052E84"/>
    <w:rsid w:val="00053067"/>
    <w:rsid w:val="0005322A"/>
    <w:rsid w:val="00053520"/>
    <w:rsid w:val="000538B8"/>
    <w:rsid w:val="000539D0"/>
    <w:rsid w:val="00053B56"/>
    <w:rsid w:val="00053C7E"/>
    <w:rsid w:val="00053E64"/>
    <w:rsid w:val="00053F76"/>
    <w:rsid w:val="00053FB8"/>
    <w:rsid w:val="0005443E"/>
    <w:rsid w:val="00054613"/>
    <w:rsid w:val="00054621"/>
    <w:rsid w:val="000546D7"/>
    <w:rsid w:val="00054868"/>
    <w:rsid w:val="0005499B"/>
    <w:rsid w:val="00054A8D"/>
    <w:rsid w:val="00054D3C"/>
    <w:rsid w:val="0005501B"/>
    <w:rsid w:val="000552E7"/>
    <w:rsid w:val="000553AD"/>
    <w:rsid w:val="000554A3"/>
    <w:rsid w:val="000555E6"/>
    <w:rsid w:val="00055893"/>
    <w:rsid w:val="00055A70"/>
    <w:rsid w:val="00055E1F"/>
    <w:rsid w:val="00056275"/>
    <w:rsid w:val="0005629F"/>
    <w:rsid w:val="0005647B"/>
    <w:rsid w:val="00056509"/>
    <w:rsid w:val="00056665"/>
    <w:rsid w:val="00056813"/>
    <w:rsid w:val="0005690B"/>
    <w:rsid w:val="00056D11"/>
    <w:rsid w:val="00056ECC"/>
    <w:rsid w:val="00056ECF"/>
    <w:rsid w:val="0005717E"/>
    <w:rsid w:val="000575DA"/>
    <w:rsid w:val="000575F5"/>
    <w:rsid w:val="0005787B"/>
    <w:rsid w:val="00057A89"/>
    <w:rsid w:val="00057B3F"/>
    <w:rsid w:val="00057D78"/>
    <w:rsid w:val="00057E7D"/>
    <w:rsid w:val="00057F96"/>
    <w:rsid w:val="0006013B"/>
    <w:rsid w:val="000601ED"/>
    <w:rsid w:val="00060206"/>
    <w:rsid w:val="000604DF"/>
    <w:rsid w:val="000604E2"/>
    <w:rsid w:val="000606AA"/>
    <w:rsid w:val="00060B0D"/>
    <w:rsid w:val="00060CC0"/>
    <w:rsid w:val="00061075"/>
    <w:rsid w:val="00061098"/>
    <w:rsid w:val="0006120C"/>
    <w:rsid w:val="00061268"/>
    <w:rsid w:val="00061519"/>
    <w:rsid w:val="0006174B"/>
    <w:rsid w:val="000618E4"/>
    <w:rsid w:val="00061935"/>
    <w:rsid w:val="00061A09"/>
    <w:rsid w:val="00061A8F"/>
    <w:rsid w:val="00061B12"/>
    <w:rsid w:val="00061E06"/>
    <w:rsid w:val="00061F0E"/>
    <w:rsid w:val="00061F2F"/>
    <w:rsid w:val="00062090"/>
    <w:rsid w:val="00062324"/>
    <w:rsid w:val="00062A0F"/>
    <w:rsid w:val="00062A40"/>
    <w:rsid w:val="00062E1A"/>
    <w:rsid w:val="0006317C"/>
    <w:rsid w:val="000631C9"/>
    <w:rsid w:val="000631D5"/>
    <w:rsid w:val="00063201"/>
    <w:rsid w:val="000634E6"/>
    <w:rsid w:val="0006368F"/>
    <w:rsid w:val="00063743"/>
    <w:rsid w:val="00063A01"/>
    <w:rsid w:val="00063F27"/>
    <w:rsid w:val="0006401B"/>
    <w:rsid w:val="000641CB"/>
    <w:rsid w:val="00064293"/>
    <w:rsid w:val="0006455C"/>
    <w:rsid w:val="00064774"/>
    <w:rsid w:val="00064884"/>
    <w:rsid w:val="000648D8"/>
    <w:rsid w:val="00064A22"/>
    <w:rsid w:val="00064A5F"/>
    <w:rsid w:val="00064CC2"/>
    <w:rsid w:val="00064D15"/>
    <w:rsid w:val="00064F78"/>
    <w:rsid w:val="000653B5"/>
    <w:rsid w:val="00065563"/>
    <w:rsid w:val="000655EF"/>
    <w:rsid w:val="00065836"/>
    <w:rsid w:val="00065F78"/>
    <w:rsid w:val="000661D9"/>
    <w:rsid w:val="00066360"/>
    <w:rsid w:val="0006643B"/>
    <w:rsid w:val="0006686E"/>
    <w:rsid w:val="00066963"/>
    <w:rsid w:val="000669B5"/>
    <w:rsid w:val="00066A68"/>
    <w:rsid w:val="00066AF8"/>
    <w:rsid w:val="00066B2D"/>
    <w:rsid w:val="00067799"/>
    <w:rsid w:val="000677FC"/>
    <w:rsid w:val="00067FA3"/>
    <w:rsid w:val="0007010D"/>
    <w:rsid w:val="00070289"/>
    <w:rsid w:val="00070398"/>
    <w:rsid w:val="000706DD"/>
    <w:rsid w:val="000709F4"/>
    <w:rsid w:val="00070FA0"/>
    <w:rsid w:val="00071075"/>
    <w:rsid w:val="00071078"/>
    <w:rsid w:val="00071248"/>
    <w:rsid w:val="000712FB"/>
    <w:rsid w:val="000716B3"/>
    <w:rsid w:val="00071875"/>
    <w:rsid w:val="00071C0C"/>
    <w:rsid w:val="00071F41"/>
    <w:rsid w:val="00071FDF"/>
    <w:rsid w:val="000720B9"/>
    <w:rsid w:val="000722E9"/>
    <w:rsid w:val="000723E9"/>
    <w:rsid w:val="0007243D"/>
    <w:rsid w:val="00072885"/>
    <w:rsid w:val="000729CB"/>
    <w:rsid w:val="00072ACA"/>
    <w:rsid w:val="00072C44"/>
    <w:rsid w:val="00073285"/>
    <w:rsid w:val="00073551"/>
    <w:rsid w:val="000737F7"/>
    <w:rsid w:val="000738EE"/>
    <w:rsid w:val="00073E20"/>
    <w:rsid w:val="00074338"/>
    <w:rsid w:val="00074A68"/>
    <w:rsid w:val="00074D78"/>
    <w:rsid w:val="00075024"/>
    <w:rsid w:val="00075225"/>
    <w:rsid w:val="00075297"/>
    <w:rsid w:val="000752B0"/>
    <w:rsid w:val="00075525"/>
    <w:rsid w:val="000755BA"/>
    <w:rsid w:val="000755EB"/>
    <w:rsid w:val="00075783"/>
    <w:rsid w:val="00075DDC"/>
    <w:rsid w:val="00076594"/>
    <w:rsid w:val="0007672F"/>
    <w:rsid w:val="00076835"/>
    <w:rsid w:val="0007687F"/>
    <w:rsid w:val="0007694E"/>
    <w:rsid w:val="00076B54"/>
    <w:rsid w:val="00076B7D"/>
    <w:rsid w:val="00076C83"/>
    <w:rsid w:val="00076D68"/>
    <w:rsid w:val="0007721C"/>
    <w:rsid w:val="000774F0"/>
    <w:rsid w:val="00077AA8"/>
    <w:rsid w:val="00077C8C"/>
    <w:rsid w:val="00077EE6"/>
    <w:rsid w:val="000800D0"/>
    <w:rsid w:val="000801C8"/>
    <w:rsid w:val="000801D1"/>
    <w:rsid w:val="0008030A"/>
    <w:rsid w:val="0008048C"/>
    <w:rsid w:val="0008074F"/>
    <w:rsid w:val="000807C9"/>
    <w:rsid w:val="00080909"/>
    <w:rsid w:val="00080B90"/>
    <w:rsid w:val="00080BC4"/>
    <w:rsid w:val="00080D23"/>
    <w:rsid w:val="00080DE4"/>
    <w:rsid w:val="00081070"/>
    <w:rsid w:val="000812CA"/>
    <w:rsid w:val="00081368"/>
    <w:rsid w:val="00081479"/>
    <w:rsid w:val="00081521"/>
    <w:rsid w:val="0008162B"/>
    <w:rsid w:val="00081D97"/>
    <w:rsid w:val="00081E63"/>
    <w:rsid w:val="00082164"/>
    <w:rsid w:val="0008232B"/>
    <w:rsid w:val="0008258D"/>
    <w:rsid w:val="00082679"/>
    <w:rsid w:val="00082777"/>
    <w:rsid w:val="00082800"/>
    <w:rsid w:val="00082A77"/>
    <w:rsid w:val="00082ABA"/>
    <w:rsid w:val="00082AED"/>
    <w:rsid w:val="00082DE5"/>
    <w:rsid w:val="00082F89"/>
    <w:rsid w:val="00083031"/>
    <w:rsid w:val="000830A6"/>
    <w:rsid w:val="00083382"/>
    <w:rsid w:val="00083475"/>
    <w:rsid w:val="00083E99"/>
    <w:rsid w:val="00083EE8"/>
    <w:rsid w:val="00083F29"/>
    <w:rsid w:val="0008436F"/>
    <w:rsid w:val="000846D8"/>
    <w:rsid w:val="00084779"/>
    <w:rsid w:val="00084814"/>
    <w:rsid w:val="00084B51"/>
    <w:rsid w:val="00084C56"/>
    <w:rsid w:val="00084E8A"/>
    <w:rsid w:val="00084FA8"/>
    <w:rsid w:val="00085360"/>
    <w:rsid w:val="00085415"/>
    <w:rsid w:val="0008565E"/>
    <w:rsid w:val="00085678"/>
    <w:rsid w:val="000856C5"/>
    <w:rsid w:val="00085C31"/>
    <w:rsid w:val="00085C6C"/>
    <w:rsid w:val="00085E32"/>
    <w:rsid w:val="00086086"/>
    <w:rsid w:val="00086141"/>
    <w:rsid w:val="000862AC"/>
    <w:rsid w:val="00086379"/>
    <w:rsid w:val="000863F5"/>
    <w:rsid w:val="00086500"/>
    <w:rsid w:val="00086537"/>
    <w:rsid w:val="00086539"/>
    <w:rsid w:val="00086CBE"/>
    <w:rsid w:val="00086E1C"/>
    <w:rsid w:val="000871A1"/>
    <w:rsid w:val="000872DD"/>
    <w:rsid w:val="0008751E"/>
    <w:rsid w:val="00087585"/>
    <w:rsid w:val="000875D0"/>
    <w:rsid w:val="000876E4"/>
    <w:rsid w:val="000878BB"/>
    <w:rsid w:val="00087986"/>
    <w:rsid w:val="00087E53"/>
    <w:rsid w:val="0009008C"/>
    <w:rsid w:val="000900E9"/>
    <w:rsid w:val="000901BB"/>
    <w:rsid w:val="000902D9"/>
    <w:rsid w:val="00090313"/>
    <w:rsid w:val="00090BCD"/>
    <w:rsid w:val="00090C7E"/>
    <w:rsid w:val="00090DD9"/>
    <w:rsid w:val="000911AC"/>
    <w:rsid w:val="0009143A"/>
    <w:rsid w:val="000914A5"/>
    <w:rsid w:val="0009191C"/>
    <w:rsid w:val="00091958"/>
    <w:rsid w:val="00091D78"/>
    <w:rsid w:val="0009227F"/>
    <w:rsid w:val="000924A8"/>
    <w:rsid w:val="0009257E"/>
    <w:rsid w:val="00092600"/>
    <w:rsid w:val="0009262B"/>
    <w:rsid w:val="0009264C"/>
    <w:rsid w:val="00092796"/>
    <w:rsid w:val="000927EA"/>
    <w:rsid w:val="00092AB7"/>
    <w:rsid w:val="00092AD8"/>
    <w:rsid w:val="00092B77"/>
    <w:rsid w:val="00092CF6"/>
    <w:rsid w:val="00092F94"/>
    <w:rsid w:val="00093310"/>
    <w:rsid w:val="00093448"/>
    <w:rsid w:val="0009365E"/>
    <w:rsid w:val="0009370A"/>
    <w:rsid w:val="00093ADE"/>
    <w:rsid w:val="00093B0A"/>
    <w:rsid w:val="00093E54"/>
    <w:rsid w:val="00093E85"/>
    <w:rsid w:val="00094118"/>
    <w:rsid w:val="00094269"/>
    <w:rsid w:val="0009432B"/>
    <w:rsid w:val="0009445C"/>
    <w:rsid w:val="000944D7"/>
    <w:rsid w:val="0009455C"/>
    <w:rsid w:val="0009465E"/>
    <w:rsid w:val="000946AA"/>
    <w:rsid w:val="00094769"/>
    <w:rsid w:val="00094997"/>
    <w:rsid w:val="000949C3"/>
    <w:rsid w:val="00094B61"/>
    <w:rsid w:val="00094B69"/>
    <w:rsid w:val="00094F64"/>
    <w:rsid w:val="00095200"/>
    <w:rsid w:val="0009536D"/>
    <w:rsid w:val="0009541F"/>
    <w:rsid w:val="00095571"/>
    <w:rsid w:val="000955E3"/>
    <w:rsid w:val="00095FE5"/>
    <w:rsid w:val="00096284"/>
    <w:rsid w:val="000962AE"/>
    <w:rsid w:val="00096BD3"/>
    <w:rsid w:val="00096C7C"/>
    <w:rsid w:val="00096DE2"/>
    <w:rsid w:val="00097319"/>
    <w:rsid w:val="0009746D"/>
    <w:rsid w:val="0009759F"/>
    <w:rsid w:val="000A09C8"/>
    <w:rsid w:val="000A0E54"/>
    <w:rsid w:val="000A0F85"/>
    <w:rsid w:val="000A10E3"/>
    <w:rsid w:val="000A13DF"/>
    <w:rsid w:val="000A162A"/>
    <w:rsid w:val="000A1968"/>
    <w:rsid w:val="000A1BC0"/>
    <w:rsid w:val="000A2004"/>
    <w:rsid w:val="000A20DE"/>
    <w:rsid w:val="000A21E7"/>
    <w:rsid w:val="000A236E"/>
    <w:rsid w:val="000A27C4"/>
    <w:rsid w:val="000A285F"/>
    <w:rsid w:val="000A29C3"/>
    <w:rsid w:val="000A2BD8"/>
    <w:rsid w:val="000A2BDF"/>
    <w:rsid w:val="000A2BF8"/>
    <w:rsid w:val="000A2CF0"/>
    <w:rsid w:val="000A2D2D"/>
    <w:rsid w:val="000A2D6B"/>
    <w:rsid w:val="000A2F9E"/>
    <w:rsid w:val="000A3073"/>
    <w:rsid w:val="000A3345"/>
    <w:rsid w:val="000A34B6"/>
    <w:rsid w:val="000A3585"/>
    <w:rsid w:val="000A3663"/>
    <w:rsid w:val="000A36AA"/>
    <w:rsid w:val="000A370C"/>
    <w:rsid w:val="000A37D0"/>
    <w:rsid w:val="000A3A26"/>
    <w:rsid w:val="000A3C58"/>
    <w:rsid w:val="000A3DA2"/>
    <w:rsid w:val="000A3E47"/>
    <w:rsid w:val="000A4078"/>
    <w:rsid w:val="000A410D"/>
    <w:rsid w:val="000A4229"/>
    <w:rsid w:val="000A433E"/>
    <w:rsid w:val="000A4558"/>
    <w:rsid w:val="000A4C60"/>
    <w:rsid w:val="000A4CD4"/>
    <w:rsid w:val="000A5000"/>
    <w:rsid w:val="000A522B"/>
    <w:rsid w:val="000A52E0"/>
    <w:rsid w:val="000A54FF"/>
    <w:rsid w:val="000A55BE"/>
    <w:rsid w:val="000A57B8"/>
    <w:rsid w:val="000A5879"/>
    <w:rsid w:val="000A5941"/>
    <w:rsid w:val="000A5AA8"/>
    <w:rsid w:val="000A6039"/>
    <w:rsid w:val="000A6275"/>
    <w:rsid w:val="000A6504"/>
    <w:rsid w:val="000A69FF"/>
    <w:rsid w:val="000A6A30"/>
    <w:rsid w:val="000A6C03"/>
    <w:rsid w:val="000A6CE7"/>
    <w:rsid w:val="000A6D0F"/>
    <w:rsid w:val="000A6F81"/>
    <w:rsid w:val="000A6FA7"/>
    <w:rsid w:val="000A7453"/>
    <w:rsid w:val="000A785F"/>
    <w:rsid w:val="000A7A54"/>
    <w:rsid w:val="000A7CA1"/>
    <w:rsid w:val="000A7CC2"/>
    <w:rsid w:val="000A7D08"/>
    <w:rsid w:val="000A7D66"/>
    <w:rsid w:val="000A7E57"/>
    <w:rsid w:val="000A7ED0"/>
    <w:rsid w:val="000B0121"/>
    <w:rsid w:val="000B056D"/>
    <w:rsid w:val="000B064B"/>
    <w:rsid w:val="000B0670"/>
    <w:rsid w:val="000B073C"/>
    <w:rsid w:val="000B08B5"/>
    <w:rsid w:val="000B0A9D"/>
    <w:rsid w:val="000B0CB9"/>
    <w:rsid w:val="000B0CDC"/>
    <w:rsid w:val="000B0E75"/>
    <w:rsid w:val="000B0EC7"/>
    <w:rsid w:val="000B1013"/>
    <w:rsid w:val="000B10D1"/>
    <w:rsid w:val="000B1161"/>
    <w:rsid w:val="000B11C7"/>
    <w:rsid w:val="000B127E"/>
    <w:rsid w:val="000B1411"/>
    <w:rsid w:val="000B184F"/>
    <w:rsid w:val="000B1E6F"/>
    <w:rsid w:val="000B208E"/>
    <w:rsid w:val="000B21CE"/>
    <w:rsid w:val="000B2736"/>
    <w:rsid w:val="000B28EF"/>
    <w:rsid w:val="000B2DCB"/>
    <w:rsid w:val="000B2DE1"/>
    <w:rsid w:val="000B3170"/>
    <w:rsid w:val="000B33DD"/>
    <w:rsid w:val="000B34D7"/>
    <w:rsid w:val="000B3518"/>
    <w:rsid w:val="000B3733"/>
    <w:rsid w:val="000B389E"/>
    <w:rsid w:val="000B3A75"/>
    <w:rsid w:val="000B3AD7"/>
    <w:rsid w:val="000B3C9C"/>
    <w:rsid w:val="000B3D20"/>
    <w:rsid w:val="000B4557"/>
    <w:rsid w:val="000B468E"/>
    <w:rsid w:val="000B46C4"/>
    <w:rsid w:val="000B48DD"/>
    <w:rsid w:val="000B4903"/>
    <w:rsid w:val="000B4D0B"/>
    <w:rsid w:val="000B4E4B"/>
    <w:rsid w:val="000B502E"/>
    <w:rsid w:val="000B50B5"/>
    <w:rsid w:val="000B5195"/>
    <w:rsid w:val="000B54BC"/>
    <w:rsid w:val="000B564E"/>
    <w:rsid w:val="000B5A2E"/>
    <w:rsid w:val="000B5AF5"/>
    <w:rsid w:val="000B5CE0"/>
    <w:rsid w:val="000B5E58"/>
    <w:rsid w:val="000B6400"/>
    <w:rsid w:val="000B6B40"/>
    <w:rsid w:val="000B6CAC"/>
    <w:rsid w:val="000B6D04"/>
    <w:rsid w:val="000B6DA2"/>
    <w:rsid w:val="000B6E31"/>
    <w:rsid w:val="000B6F76"/>
    <w:rsid w:val="000B702F"/>
    <w:rsid w:val="000B707E"/>
    <w:rsid w:val="000B748C"/>
    <w:rsid w:val="000B7612"/>
    <w:rsid w:val="000B7674"/>
    <w:rsid w:val="000B78AE"/>
    <w:rsid w:val="000B7A1D"/>
    <w:rsid w:val="000B7B36"/>
    <w:rsid w:val="000B7B3A"/>
    <w:rsid w:val="000B7E3B"/>
    <w:rsid w:val="000C007B"/>
    <w:rsid w:val="000C09CB"/>
    <w:rsid w:val="000C0CAE"/>
    <w:rsid w:val="000C0DFA"/>
    <w:rsid w:val="000C129C"/>
    <w:rsid w:val="000C140D"/>
    <w:rsid w:val="000C15BE"/>
    <w:rsid w:val="000C1713"/>
    <w:rsid w:val="000C185C"/>
    <w:rsid w:val="000C1ADE"/>
    <w:rsid w:val="000C1B63"/>
    <w:rsid w:val="000C1C54"/>
    <w:rsid w:val="000C1EF2"/>
    <w:rsid w:val="000C27B8"/>
    <w:rsid w:val="000C2A80"/>
    <w:rsid w:val="000C2CD8"/>
    <w:rsid w:val="000C308E"/>
    <w:rsid w:val="000C32E7"/>
    <w:rsid w:val="000C3417"/>
    <w:rsid w:val="000C36FD"/>
    <w:rsid w:val="000C37C0"/>
    <w:rsid w:val="000C37EC"/>
    <w:rsid w:val="000C3A52"/>
    <w:rsid w:val="000C3CA9"/>
    <w:rsid w:val="000C3D4F"/>
    <w:rsid w:val="000C3DF9"/>
    <w:rsid w:val="000C3E98"/>
    <w:rsid w:val="000C3EC0"/>
    <w:rsid w:val="000C3F97"/>
    <w:rsid w:val="000C3FC3"/>
    <w:rsid w:val="000C4377"/>
    <w:rsid w:val="000C4660"/>
    <w:rsid w:val="000C4840"/>
    <w:rsid w:val="000C4BA5"/>
    <w:rsid w:val="000C4CF2"/>
    <w:rsid w:val="000C4E05"/>
    <w:rsid w:val="000C51EF"/>
    <w:rsid w:val="000C59F0"/>
    <w:rsid w:val="000C5B3C"/>
    <w:rsid w:val="000C5B73"/>
    <w:rsid w:val="000C5C13"/>
    <w:rsid w:val="000C5D29"/>
    <w:rsid w:val="000C5E3F"/>
    <w:rsid w:val="000C63FF"/>
    <w:rsid w:val="000C65D7"/>
    <w:rsid w:val="000C66D1"/>
    <w:rsid w:val="000C6713"/>
    <w:rsid w:val="000C6AD7"/>
    <w:rsid w:val="000C6B15"/>
    <w:rsid w:val="000C6C51"/>
    <w:rsid w:val="000C6D77"/>
    <w:rsid w:val="000C6DE8"/>
    <w:rsid w:val="000C6F74"/>
    <w:rsid w:val="000C6FEA"/>
    <w:rsid w:val="000C7424"/>
    <w:rsid w:val="000C784D"/>
    <w:rsid w:val="000C7967"/>
    <w:rsid w:val="000C7B8E"/>
    <w:rsid w:val="000C7D00"/>
    <w:rsid w:val="000D00E6"/>
    <w:rsid w:val="000D016D"/>
    <w:rsid w:val="000D01B4"/>
    <w:rsid w:val="000D01BD"/>
    <w:rsid w:val="000D02D9"/>
    <w:rsid w:val="000D0378"/>
    <w:rsid w:val="000D0577"/>
    <w:rsid w:val="000D0812"/>
    <w:rsid w:val="000D0817"/>
    <w:rsid w:val="000D0A93"/>
    <w:rsid w:val="000D0CF2"/>
    <w:rsid w:val="000D0D5E"/>
    <w:rsid w:val="000D110B"/>
    <w:rsid w:val="000D1360"/>
    <w:rsid w:val="000D1ADF"/>
    <w:rsid w:val="000D1BFC"/>
    <w:rsid w:val="000D1BFF"/>
    <w:rsid w:val="000D1D5D"/>
    <w:rsid w:val="000D1F11"/>
    <w:rsid w:val="000D206B"/>
    <w:rsid w:val="000D20F1"/>
    <w:rsid w:val="000D22A7"/>
    <w:rsid w:val="000D25B3"/>
    <w:rsid w:val="000D26BE"/>
    <w:rsid w:val="000D281A"/>
    <w:rsid w:val="000D2848"/>
    <w:rsid w:val="000D2874"/>
    <w:rsid w:val="000D2BAC"/>
    <w:rsid w:val="000D2EB0"/>
    <w:rsid w:val="000D2F8C"/>
    <w:rsid w:val="000D2FEB"/>
    <w:rsid w:val="000D326A"/>
    <w:rsid w:val="000D327C"/>
    <w:rsid w:val="000D35B1"/>
    <w:rsid w:val="000D37B3"/>
    <w:rsid w:val="000D3901"/>
    <w:rsid w:val="000D3983"/>
    <w:rsid w:val="000D3A7B"/>
    <w:rsid w:val="000D3CD1"/>
    <w:rsid w:val="000D42BE"/>
    <w:rsid w:val="000D437F"/>
    <w:rsid w:val="000D48B1"/>
    <w:rsid w:val="000D48FE"/>
    <w:rsid w:val="000D4C77"/>
    <w:rsid w:val="000D4F55"/>
    <w:rsid w:val="000D50A1"/>
    <w:rsid w:val="000D51FB"/>
    <w:rsid w:val="000D533C"/>
    <w:rsid w:val="000D568D"/>
    <w:rsid w:val="000D56D0"/>
    <w:rsid w:val="000D581C"/>
    <w:rsid w:val="000D5DBA"/>
    <w:rsid w:val="000D5DF2"/>
    <w:rsid w:val="000D5E62"/>
    <w:rsid w:val="000D6417"/>
    <w:rsid w:val="000D64B6"/>
    <w:rsid w:val="000D6A18"/>
    <w:rsid w:val="000D6A83"/>
    <w:rsid w:val="000D6C06"/>
    <w:rsid w:val="000D6C22"/>
    <w:rsid w:val="000D6C59"/>
    <w:rsid w:val="000D6C5E"/>
    <w:rsid w:val="000D77BE"/>
    <w:rsid w:val="000D799C"/>
    <w:rsid w:val="000D79FE"/>
    <w:rsid w:val="000D7A9E"/>
    <w:rsid w:val="000D7E94"/>
    <w:rsid w:val="000D7FAB"/>
    <w:rsid w:val="000E0476"/>
    <w:rsid w:val="000E0546"/>
    <w:rsid w:val="000E055C"/>
    <w:rsid w:val="000E0640"/>
    <w:rsid w:val="000E067D"/>
    <w:rsid w:val="000E0684"/>
    <w:rsid w:val="000E06F4"/>
    <w:rsid w:val="000E0C9F"/>
    <w:rsid w:val="000E0DD8"/>
    <w:rsid w:val="000E1195"/>
    <w:rsid w:val="000E135D"/>
    <w:rsid w:val="000E152D"/>
    <w:rsid w:val="000E165E"/>
    <w:rsid w:val="000E1B8B"/>
    <w:rsid w:val="000E1D5A"/>
    <w:rsid w:val="000E1DA3"/>
    <w:rsid w:val="000E1DB2"/>
    <w:rsid w:val="000E20EE"/>
    <w:rsid w:val="000E21A7"/>
    <w:rsid w:val="000E2355"/>
    <w:rsid w:val="000E2451"/>
    <w:rsid w:val="000E24A9"/>
    <w:rsid w:val="000E257D"/>
    <w:rsid w:val="000E27BB"/>
    <w:rsid w:val="000E296D"/>
    <w:rsid w:val="000E2A1E"/>
    <w:rsid w:val="000E2EAB"/>
    <w:rsid w:val="000E33A7"/>
    <w:rsid w:val="000E33CE"/>
    <w:rsid w:val="000E348F"/>
    <w:rsid w:val="000E35C7"/>
    <w:rsid w:val="000E3A64"/>
    <w:rsid w:val="000E3A83"/>
    <w:rsid w:val="000E3E54"/>
    <w:rsid w:val="000E45E2"/>
    <w:rsid w:val="000E46C5"/>
    <w:rsid w:val="000E4F16"/>
    <w:rsid w:val="000E4F72"/>
    <w:rsid w:val="000E548B"/>
    <w:rsid w:val="000E573D"/>
    <w:rsid w:val="000E58EE"/>
    <w:rsid w:val="000E59F6"/>
    <w:rsid w:val="000E5A1B"/>
    <w:rsid w:val="000E5C28"/>
    <w:rsid w:val="000E5C8F"/>
    <w:rsid w:val="000E5F1A"/>
    <w:rsid w:val="000E6121"/>
    <w:rsid w:val="000E627B"/>
    <w:rsid w:val="000E67F8"/>
    <w:rsid w:val="000E69E1"/>
    <w:rsid w:val="000E6CB3"/>
    <w:rsid w:val="000E73FF"/>
    <w:rsid w:val="000E7B75"/>
    <w:rsid w:val="000E7E36"/>
    <w:rsid w:val="000F00BA"/>
    <w:rsid w:val="000F00C5"/>
    <w:rsid w:val="000F01CE"/>
    <w:rsid w:val="000F01EF"/>
    <w:rsid w:val="000F0296"/>
    <w:rsid w:val="000F02D6"/>
    <w:rsid w:val="000F06A8"/>
    <w:rsid w:val="000F097E"/>
    <w:rsid w:val="000F0989"/>
    <w:rsid w:val="000F0BC8"/>
    <w:rsid w:val="000F0C69"/>
    <w:rsid w:val="000F0CE8"/>
    <w:rsid w:val="000F0D5B"/>
    <w:rsid w:val="000F0D85"/>
    <w:rsid w:val="000F0F6C"/>
    <w:rsid w:val="000F108E"/>
    <w:rsid w:val="000F10DF"/>
    <w:rsid w:val="000F158D"/>
    <w:rsid w:val="000F15B4"/>
    <w:rsid w:val="000F16FA"/>
    <w:rsid w:val="000F1CF6"/>
    <w:rsid w:val="000F2572"/>
    <w:rsid w:val="000F2DA3"/>
    <w:rsid w:val="000F2EA3"/>
    <w:rsid w:val="000F316A"/>
    <w:rsid w:val="000F3190"/>
    <w:rsid w:val="000F3323"/>
    <w:rsid w:val="000F346B"/>
    <w:rsid w:val="000F36A7"/>
    <w:rsid w:val="000F3B38"/>
    <w:rsid w:val="000F3BA7"/>
    <w:rsid w:val="000F3C74"/>
    <w:rsid w:val="000F3E13"/>
    <w:rsid w:val="000F3E70"/>
    <w:rsid w:val="000F3F74"/>
    <w:rsid w:val="000F4704"/>
    <w:rsid w:val="000F48F5"/>
    <w:rsid w:val="000F492D"/>
    <w:rsid w:val="000F493E"/>
    <w:rsid w:val="000F4B9C"/>
    <w:rsid w:val="000F4BB8"/>
    <w:rsid w:val="000F4D60"/>
    <w:rsid w:val="000F4E37"/>
    <w:rsid w:val="000F4FA9"/>
    <w:rsid w:val="000F5054"/>
    <w:rsid w:val="000F5106"/>
    <w:rsid w:val="000F5252"/>
    <w:rsid w:val="000F53FB"/>
    <w:rsid w:val="000F56CD"/>
    <w:rsid w:val="000F5883"/>
    <w:rsid w:val="000F5B60"/>
    <w:rsid w:val="000F5D2F"/>
    <w:rsid w:val="000F6334"/>
    <w:rsid w:val="000F6534"/>
    <w:rsid w:val="000F65C5"/>
    <w:rsid w:val="000F660A"/>
    <w:rsid w:val="000F66B1"/>
    <w:rsid w:val="000F6F1D"/>
    <w:rsid w:val="000F707F"/>
    <w:rsid w:val="000F70DC"/>
    <w:rsid w:val="000F7120"/>
    <w:rsid w:val="000F7127"/>
    <w:rsid w:val="000F7162"/>
    <w:rsid w:val="000F75AA"/>
    <w:rsid w:val="000F75F1"/>
    <w:rsid w:val="000F7ABB"/>
    <w:rsid w:val="000F7AF7"/>
    <w:rsid w:val="000F7B54"/>
    <w:rsid w:val="000F7F99"/>
    <w:rsid w:val="000F7FB3"/>
    <w:rsid w:val="000F7FE1"/>
    <w:rsid w:val="001000B3"/>
    <w:rsid w:val="001002BE"/>
    <w:rsid w:val="00100428"/>
    <w:rsid w:val="00100477"/>
    <w:rsid w:val="001009F7"/>
    <w:rsid w:val="00100B7E"/>
    <w:rsid w:val="00100EA4"/>
    <w:rsid w:val="00100F8A"/>
    <w:rsid w:val="00100FA8"/>
    <w:rsid w:val="0010149D"/>
    <w:rsid w:val="00101540"/>
    <w:rsid w:val="00101863"/>
    <w:rsid w:val="001019C7"/>
    <w:rsid w:val="001019FD"/>
    <w:rsid w:val="00101CAD"/>
    <w:rsid w:val="00101DB9"/>
    <w:rsid w:val="00101E3C"/>
    <w:rsid w:val="00102175"/>
    <w:rsid w:val="0010235E"/>
    <w:rsid w:val="001023D8"/>
    <w:rsid w:val="00102495"/>
    <w:rsid w:val="0010268B"/>
    <w:rsid w:val="00102931"/>
    <w:rsid w:val="00102A87"/>
    <w:rsid w:val="00102A97"/>
    <w:rsid w:val="00102A9D"/>
    <w:rsid w:val="00102DF6"/>
    <w:rsid w:val="00103155"/>
    <w:rsid w:val="00103370"/>
    <w:rsid w:val="0010366E"/>
    <w:rsid w:val="00103782"/>
    <w:rsid w:val="00103B31"/>
    <w:rsid w:val="00103DF9"/>
    <w:rsid w:val="0010452E"/>
    <w:rsid w:val="0010516A"/>
    <w:rsid w:val="00105476"/>
    <w:rsid w:val="00105594"/>
    <w:rsid w:val="001059CD"/>
    <w:rsid w:val="00105AE2"/>
    <w:rsid w:val="00105B6C"/>
    <w:rsid w:val="00105BE8"/>
    <w:rsid w:val="00105D09"/>
    <w:rsid w:val="00105D59"/>
    <w:rsid w:val="00105E4A"/>
    <w:rsid w:val="001060C6"/>
    <w:rsid w:val="00106140"/>
    <w:rsid w:val="001061D6"/>
    <w:rsid w:val="00106350"/>
    <w:rsid w:val="0010657F"/>
    <w:rsid w:val="0010667C"/>
    <w:rsid w:val="0010680E"/>
    <w:rsid w:val="0010695D"/>
    <w:rsid w:val="00106B80"/>
    <w:rsid w:val="00106D33"/>
    <w:rsid w:val="00106E2D"/>
    <w:rsid w:val="001070E5"/>
    <w:rsid w:val="001074E6"/>
    <w:rsid w:val="0010756D"/>
    <w:rsid w:val="001077AC"/>
    <w:rsid w:val="001077C1"/>
    <w:rsid w:val="001078FC"/>
    <w:rsid w:val="0010799A"/>
    <w:rsid w:val="001079E5"/>
    <w:rsid w:val="00107EBF"/>
    <w:rsid w:val="001100CB"/>
    <w:rsid w:val="00110149"/>
    <w:rsid w:val="0011032E"/>
    <w:rsid w:val="0011033C"/>
    <w:rsid w:val="0011064A"/>
    <w:rsid w:val="0011069B"/>
    <w:rsid w:val="001106CD"/>
    <w:rsid w:val="001106EA"/>
    <w:rsid w:val="00110B23"/>
    <w:rsid w:val="00110D06"/>
    <w:rsid w:val="00110D1E"/>
    <w:rsid w:val="00110DB9"/>
    <w:rsid w:val="00110E07"/>
    <w:rsid w:val="00110F34"/>
    <w:rsid w:val="001110B1"/>
    <w:rsid w:val="00111123"/>
    <w:rsid w:val="00111181"/>
    <w:rsid w:val="001111CC"/>
    <w:rsid w:val="00111793"/>
    <w:rsid w:val="00111821"/>
    <w:rsid w:val="0011183F"/>
    <w:rsid w:val="0011192C"/>
    <w:rsid w:val="00111DBE"/>
    <w:rsid w:val="0011217E"/>
    <w:rsid w:val="001124AB"/>
    <w:rsid w:val="0011267C"/>
    <w:rsid w:val="001126CB"/>
    <w:rsid w:val="001128C9"/>
    <w:rsid w:val="001129B4"/>
    <w:rsid w:val="00112A3E"/>
    <w:rsid w:val="00112BFE"/>
    <w:rsid w:val="00112C78"/>
    <w:rsid w:val="00112CF0"/>
    <w:rsid w:val="00112DDB"/>
    <w:rsid w:val="00112FF4"/>
    <w:rsid w:val="001132BD"/>
    <w:rsid w:val="0011348B"/>
    <w:rsid w:val="001139FC"/>
    <w:rsid w:val="00113D1C"/>
    <w:rsid w:val="00114325"/>
    <w:rsid w:val="001143D8"/>
    <w:rsid w:val="00114534"/>
    <w:rsid w:val="001148BE"/>
    <w:rsid w:val="00114976"/>
    <w:rsid w:val="00114D16"/>
    <w:rsid w:val="00114DCB"/>
    <w:rsid w:val="001152BC"/>
    <w:rsid w:val="0011573E"/>
    <w:rsid w:val="00115982"/>
    <w:rsid w:val="00115C37"/>
    <w:rsid w:val="00115CC4"/>
    <w:rsid w:val="00115F2D"/>
    <w:rsid w:val="001162A7"/>
    <w:rsid w:val="00116385"/>
    <w:rsid w:val="0011642C"/>
    <w:rsid w:val="001169CE"/>
    <w:rsid w:val="00116A63"/>
    <w:rsid w:val="00116C53"/>
    <w:rsid w:val="00116D6E"/>
    <w:rsid w:val="0011712E"/>
    <w:rsid w:val="001171E0"/>
    <w:rsid w:val="001172A5"/>
    <w:rsid w:val="00117424"/>
    <w:rsid w:val="00117CD0"/>
    <w:rsid w:val="00117CF6"/>
    <w:rsid w:val="00117D81"/>
    <w:rsid w:val="00117DF6"/>
    <w:rsid w:val="00120002"/>
    <w:rsid w:val="00120243"/>
    <w:rsid w:val="001203DF"/>
    <w:rsid w:val="0012056C"/>
    <w:rsid w:val="001205C4"/>
    <w:rsid w:val="001205D1"/>
    <w:rsid w:val="00120860"/>
    <w:rsid w:val="00120AAB"/>
    <w:rsid w:val="00120B75"/>
    <w:rsid w:val="00120D6A"/>
    <w:rsid w:val="00121799"/>
    <w:rsid w:val="00121913"/>
    <w:rsid w:val="00121C69"/>
    <w:rsid w:val="00121DCC"/>
    <w:rsid w:val="00121F7C"/>
    <w:rsid w:val="001221CB"/>
    <w:rsid w:val="001221D2"/>
    <w:rsid w:val="001222FC"/>
    <w:rsid w:val="0012244E"/>
    <w:rsid w:val="00122584"/>
    <w:rsid w:val="00122924"/>
    <w:rsid w:val="00122AA0"/>
    <w:rsid w:val="00122C45"/>
    <w:rsid w:val="00122C61"/>
    <w:rsid w:val="00122CBB"/>
    <w:rsid w:val="00122CE1"/>
    <w:rsid w:val="00122E94"/>
    <w:rsid w:val="00122EF6"/>
    <w:rsid w:val="00122F3B"/>
    <w:rsid w:val="0012337A"/>
    <w:rsid w:val="00123730"/>
    <w:rsid w:val="001237E6"/>
    <w:rsid w:val="00123873"/>
    <w:rsid w:val="00123902"/>
    <w:rsid w:val="00123A30"/>
    <w:rsid w:val="00123B2F"/>
    <w:rsid w:val="00123ED6"/>
    <w:rsid w:val="00123F17"/>
    <w:rsid w:val="001242A2"/>
    <w:rsid w:val="00124773"/>
    <w:rsid w:val="00124811"/>
    <w:rsid w:val="00124946"/>
    <w:rsid w:val="00124A51"/>
    <w:rsid w:val="00124D7D"/>
    <w:rsid w:val="00124E89"/>
    <w:rsid w:val="00124FBD"/>
    <w:rsid w:val="00125027"/>
    <w:rsid w:val="00125194"/>
    <w:rsid w:val="00125272"/>
    <w:rsid w:val="0012536C"/>
    <w:rsid w:val="001253B3"/>
    <w:rsid w:val="00125589"/>
    <w:rsid w:val="0012559A"/>
    <w:rsid w:val="001258EF"/>
    <w:rsid w:val="001259BD"/>
    <w:rsid w:val="00125C28"/>
    <w:rsid w:val="00125D18"/>
    <w:rsid w:val="00125DE3"/>
    <w:rsid w:val="00125EDF"/>
    <w:rsid w:val="0012607D"/>
    <w:rsid w:val="0012640F"/>
    <w:rsid w:val="00126621"/>
    <w:rsid w:val="00126B1D"/>
    <w:rsid w:val="00126BDA"/>
    <w:rsid w:val="00126D78"/>
    <w:rsid w:val="00126D9A"/>
    <w:rsid w:val="00127403"/>
    <w:rsid w:val="001278CA"/>
    <w:rsid w:val="00127927"/>
    <w:rsid w:val="00127B4F"/>
    <w:rsid w:val="001301CA"/>
    <w:rsid w:val="001301E9"/>
    <w:rsid w:val="0013020D"/>
    <w:rsid w:val="001302ED"/>
    <w:rsid w:val="00130329"/>
    <w:rsid w:val="00130360"/>
    <w:rsid w:val="001303F9"/>
    <w:rsid w:val="001304CC"/>
    <w:rsid w:val="00130611"/>
    <w:rsid w:val="0013074E"/>
    <w:rsid w:val="00130A80"/>
    <w:rsid w:val="00130A94"/>
    <w:rsid w:val="00130D23"/>
    <w:rsid w:val="00131219"/>
    <w:rsid w:val="00131425"/>
    <w:rsid w:val="00131456"/>
    <w:rsid w:val="001314B0"/>
    <w:rsid w:val="00131769"/>
    <w:rsid w:val="0013187B"/>
    <w:rsid w:val="00131952"/>
    <w:rsid w:val="00131D82"/>
    <w:rsid w:val="00131F46"/>
    <w:rsid w:val="0013244B"/>
    <w:rsid w:val="00132495"/>
    <w:rsid w:val="00132625"/>
    <w:rsid w:val="00132719"/>
    <w:rsid w:val="00132B22"/>
    <w:rsid w:val="00132E0C"/>
    <w:rsid w:val="00132F37"/>
    <w:rsid w:val="00133380"/>
    <w:rsid w:val="00133439"/>
    <w:rsid w:val="00133589"/>
    <w:rsid w:val="001336CA"/>
    <w:rsid w:val="00133888"/>
    <w:rsid w:val="00133976"/>
    <w:rsid w:val="00133A06"/>
    <w:rsid w:val="00133C35"/>
    <w:rsid w:val="00133D2B"/>
    <w:rsid w:val="00133D36"/>
    <w:rsid w:val="00133D3F"/>
    <w:rsid w:val="00133E3B"/>
    <w:rsid w:val="00133FC1"/>
    <w:rsid w:val="00133FCE"/>
    <w:rsid w:val="00134053"/>
    <w:rsid w:val="001343D0"/>
    <w:rsid w:val="00134532"/>
    <w:rsid w:val="00134708"/>
    <w:rsid w:val="00134716"/>
    <w:rsid w:val="001347AD"/>
    <w:rsid w:val="001348AD"/>
    <w:rsid w:val="00134A38"/>
    <w:rsid w:val="00134AFC"/>
    <w:rsid w:val="00134B2B"/>
    <w:rsid w:val="00134CA0"/>
    <w:rsid w:val="00134EA8"/>
    <w:rsid w:val="00135244"/>
    <w:rsid w:val="001352B1"/>
    <w:rsid w:val="001352EC"/>
    <w:rsid w:val="00135444"/>
    <w:rsid w:val="0013550C"/>
    <w:rsid w:val="00135527"/>
    <w:rsid w:val="00135531"/>
    <w:rsid w:val="00135910"/>
    <w:rsid w:val="00135BFC"/>
    <w:rsid w:val="00135C60"/>
    <w:rsid w:val="00135C94"/>
    <w:rsid w:val="001367AA"/>
    <w:rsid w:val="001367EB"/>
    <w:rsid w:val="0013693F"/>
    <w:rsid w:val="00136BE2"/>
    <w:rsid w:val="00136C90"/>
    <w:rsid w:val="00136DF2"/>
    <w:rsid w:val="00136F45"/>
    <w:rsid w:val="001370BC"/>
    <w:rsid w:val="00137228"/>
    <w:rsid w:val="00137365"/>
    <w:rsid w:val="001373B4"/>
    <w:rsid w:val="00137519"/>
    <w:rsid w:val="0013762D"/>
    <w:rsid w:val="00137645"/>
    <w:rsid w:val="001379E9"/>
    <w:rsid w:val="00137D13"/>
    <w:rsid w:val="0014002D"/>
    <w:rsid w:val="0014015A"/>
    <w:rsid w:val="00140178"/>
    <w:rsid w:val="0014050E"/>
    <w:rsid w:val="0014065E"/>
    <w:rsid w:val="00140B31"/>
    <w:rsid w:val="00140E99"/>
    <w:rsid w:val="00140EB0"/>
    <w:rsid w:val="00140F12"/>
    <w:rsid w:val="00140FCF"/>
    <w:rsid w:val="0014106E"/>
    <w:rsid w:val="001414E5"/>
    <w:rsid w:val="0014180D"/>
    <w:rsid w:val="0014197C"/>
    <w:rsid w:val="00141BD0"/>
    <w:rsid w:val="00141DDE"/>
    <w:rsid w:val="00141DED"/>
    <w:rsid w:val="00141EF9"/>
    <w:rsid w:val="001420EF"/>
    <w:rsid w:val="0014248A"/>
    <w:rsid w:val="00142790"/>
    <w:rsid w:val="001427A5"/>
    <w:rsid w:val="0014293C"/>
    <w:rsid w:val="00142970"/>
    <w:rsid w:val="0014298E"/>
    <w:rsid w:val="00142A7B"/>
    <w:rsid w:val="001431CA"/>
    <w:rsid w:val="001431E4"/>
    <w:rsid w:val="0014346D"/>
    <w:rsid w:val="00143798"/>
    <w:rsid w:val="00143936"/>
    <w:rsid w:val="001439DE"/>
    <w:rsid w:val="00143AD6"/>
    <w:rsid w:val="00143C03"/>
    <w:rsid w:val="00143CBF"/>
    <w:rsid w:val="00143F67"/>
    <w:rsid w:val="00144009"/>
    <w:rsid w:val="0014414B"/>
    <w:rsid w:val="0014439B"/>
    <w:rsid w:val="001444E7"/>
    <w:rsid w:val="0014453A"/>
    <w:rsid w:val="0014495D"/>
    <w:rsid w:val="0014495E"/>
    <w:rsid w:val="00144B3B"/>
    <w:rsid w:val="00144E5F"/>
    <w:rsid w:val="00144F54"/>
    <w:rsid w:val="00145064"/>
    <w:rsid w:val="00145165"/>
    <w:rsid w:val="00145234"/>
    <w:rsid w:val="001453B7"/>
    <w:rsid w:val="00145540"/>
    <w:rsid w:val="001456B0"/>
    <w:rsid w:val="0014577B"/>
    <w:rsid w:val="001458C1"/>
    <w:rsid w:val="0014614E"/>
    <w:rsid w:val="00146205"/>
    <w:rsid w:val="001462C6"/>
    <w:rsid w:val="00146490"/>
    <w:rsid w:val="001464DA"/>
    <w:rsid w:val="0014666B"/>
    <w:rsid w:val="001466F5"/>
    <w:rsid w:val="0014698F"/>
    <w:rsid w:val="00146C18"/>
    <w:rsid w:val="001476BB"/>
    <w:rsid w:val="00147936"/>
    <w:rsid w:val="00147AE4"/>
    <w:rsid w:val="00150011"/>
    <w:rsid w:val="00150333"/>
    <w:rsid w:val="001503A0"/>
    <w:rsid w:val="00150547"/>
    <w:rsid w:val="001506AC"/>
    <w:rsid w:val="00150A70"/>
    <w:rsid w:val="00150A89"/>
    <w:rsid w:val="00150B0D"/>
    <w:rsid w:val="001513F7"/>
    <w:rsid w:val="00151422"/>
    <w:rsid w:val="0015146F"/>
    <w:rsid w:val="001516B9"/>
    <w:rsid w:val="0015172F"/>
    <w:rsid w:val="00151950"/>
    <w:rsid w:val="001519B3"/>
    <w:rsid w:val="00151C56"/>
    <w:rsid w:val="00151E05"/>
    <w:rsid w:val="0015207B"/>
    <w:rsid w:val="001520EF"/>
    <w:rsid w:val="001524D7"/>
    <w:rsid w:val="00152602"/>
    <w:rsid w:val="001527A5"/>
    <w:rsid w:val="00152C2A"/>
    <w:rsid w:val="00152C5E"/>
    <w:rsid w:val="00152D3F"/>
    <w:rsid w:val="00153193"/>
    <w:rsid w:val="0015332F"/>
    <w:rsid w:val="001538E5"/>
    <w:rsid w:val="001539DE"/>
    <w:rsid w:val="00153AB0"/>
    <w:rsid w:val="00153C2F"/>
    <w:rsid w:val="00153DC4"/>
    <w:rsid w:val="0015433C"/>
    <w:rsid w:val="0015440B"/>
    <w:rsid w:val="00154676"/>
    <w:rsid w:val="0015467C"/>
    <w:rsid w:val="001547AB"/>
    <w:rsid w:val="001550A7"/>
    <w:rsid w:val="0015524B"/>
    <w:rsid w:val="001555DC"/>
    <w:rsid w:val="001555E8"/>
    <w:rsid w:val="0015571A"/>
    <w:rsid w:val="00155A45"/>
    <w:rsid w:val="00155CAE"/>
    <w:rsid w:val="00155D86"/>
    <w:rsid w:val="00155EC0"/>
    <w:rsid w:val="00155FA0"/>
    <w:rsid w:val="00156356"/>
    <w:rsid w:val="001567CB"/>
    <w:rsid w:val="0015683C"/>
    <w:rsid w:val="00156B18"/>
    <w:rsid w:val="00156F8F"/>
    <w:rsid w:val="001570D6"/>
    <w:rsid w:val="00157130"/>
    <w:rsid w:val="001571B6"/>
    <w:rsid w:val="00157285"/>
    <w:rsid w:val="00157419"/>
    <w:rsid w:val="001575F0"/>
    <w:rsid w:val="001576B1"/>
    <w:rsid w:val="0015789C"/>
    <w:rsid w:val="001578E2"/>
    <w:rsid w:val="00157B83"/>
    <w:rsid w:val="0016047B"/>
    <w:rsid w:val="001606C6"/>
    <w:rsid w:val="00160A2F"/>
    <w:rsid w:val="00160A4C"/>
    <w:rsid w:val="00160B6D"/>
    <w:rsid w:val="001614C6"/>
    <w:rsid w:val="001615B1"/>
    <w:rsid w:val="0016160C"/>
    <w:rsid w:val="0016190F"/>
    <w:rsid w:val="00161969"/>
    <w:rsid w:val="00161BC1"/>
    <w:rsid w:val="00161BD3"/>
    <w:rsid w:val="00161C61"/>
    <w:rsid w:val="00161D4E"/>
    <w:rsid w:val="00161DDA"/>
    <w:rsid w:val="0016213E"/>
    <w:rsid w:val="001621E7"/>
    <w:rsid w:val="0016230D"/>
    <w:rsid w:val="001623C3"/>
    <w:rsid w:val="0016274E"/>
    <w:rsid w:val="0016285E"/>
    <w:rsid w:val="00162913"/>
    <w:rsid w:val="00162A85"/>
    <w:rsid w:val="00162ADD"/>
    <w:rsid w:val="00162DC1"/>
    <w:rsid w:val="00162E5C"/>
    <w:rsid w:val="00163540"/>
    <w:rsid w:val="00163569"/>
    <w:rsid w:val="001635C4"/>
    <w:rsid w:val="00163783"/>
    <w:rsid w:val="0016382F"/>
    <w:rsid w:val="001638CE"/>
    <w:rsid w:val="0016397E"/>
    <w:rsid w:val="00163BE1"/>
    <w:rsid w:val="00163E37"/>
    <w:rsid w:val="00163EFF"/>
    <w:rsid w:val="00163F66"/>
    <w:rsid w:val="0016429B"/>
    <w:rsid w:val="001642FE"/>
    <w:rsid w:val="001645A1"/>
    <w:rsid w:val="00164788"/>
    <w:rsid w:val="0016478E"/>
    <w:rsid w:val="001647B8"/>
    <w:rsid w:val="00164983"/>
    <w:rsid w:val="00164BB3"/>
    <w:rsid w:val="00164C1D"/>
    <w:rsid w:val="0016508C"/>
    <w:rsid w:val="00165115"/>
    <w:rsid w:val="00165570"/>
    <w:rsid w:val="00165689"/>
    <w:rsid w:val="00165766"/>
    <w:rsid w:val="001659B2"/>
    <w:rsid w:val="00165A62"/>
    <w:rsid w:val="00165B31"/>
    <w:rsid w:val="00165D59"/>
    <w:rsid w:val="00165E08"/>
    <w:rsid w:val="00165E13"/>
    <w:rsid w:val="00165EC4"/>
    <w:rsid w:val="00165F32"/>
    <w:rsid w:val="001661FB"/>
    <w:rsid w:val="00166445"/>
    <w:rsid w:val="001664E1"/>
    <w:rsid w:val="001666C9"/>
    <w:rsid w:val="001666D7"/>
    <w:rsid w:val="00166929"/>
    <w:rsid w:val="00166C5A"/>
    <w:rsid w:val="00166EB4"/>
    <w:rsid w:val="00166F8F"/>
    <w:rsid w:val="00167111"/>
    <w:rsid w:val="001671A0"/>
    <w:rsid w:val="001673FB"/>
    <w:rsid w:val="0016767F"/>
    <w:rsid w:val="001677C2"/>
    <w:rsid w:val="0016785C"/>
    <w:rsid w:val="00167967"/>
    <w:rsid w:val="00167AB2"/>
    <w:rsid w:val="00170512"/>
    <w:rsid w:val="001707DD"/>
    <w:rsid w:val="00170A61"/>
    <w:rsid w:val="00170AB8"/>
    <w:rsid w:val="00170AD3"/>
    <w:rsid w:val="00170AE9"/>
    <w:rsid w:val="00170B94"/>
    <w:rsid w:val="00170D09"/>
    <w:rsid w:val="001714C8"/>
    <w:rsid w:val="00171558"/>
    <w:rsid w:val="00171588"/>
    <w:rsid w:val="00171A2F"/>
    <w:rsid w:val="00171DFF"/>
    <w:rsid w:val="001722D2"/>
    <w:rsid w:val="00172333"/>
    <w:rsid w:val="00172582"/>
    <w:rsid w:val="001725AB"/>
    <w:rsid w:val="00172804"/>
    <w:rsid w:val="00172E88"/>
    <w:rsid w:val="00172F24"/>
    <w:rsid w:val="00172FC0"/>
    <w:rsid w:val="00173222"/>
    <w:rsid w:val="0017348A"/>
    <w:rsid w:val="00173565"/>
    <w:rsid w:val="0017362F"/>
    <w:rsid w:val="001736C3"/>
    <w:rsid w:val="00173B07"/>
    <w:rsid w:val="00173CC4"/>
    <w:rsid w:val="00174070"/>
    <w:rsid w:val="0017423D"/>
    <w:rsid w:val="00174250"/>
    <w:rsid w:val="001745B8"/>
    <w:rsid w:val="00174E60"/>
    <w:rsid w:val="00174F82"/>
    <w:rsid w:val="001751FA"/>
    <w:rsid w:val="001754FF"/>
    <w:rsid w:val="001756E6"/>
    <w:rsid w:val="00175C22"/>
    <w:rsid w:val="0017651B"/>
    <w:rsid w:val="00176954"/>
    <w:rsid w:val="001769FD"/>
    <w:rsid w:val="00176A1D"/>
    <w:rsid w:val="00176BFD"/>
    <w:rsid w:val="00176C9D"/>
    <w:rsid w:val="00176DCE"/>
    <w:rsid w:val="001770CE"/>
    <w:rsid w:val="001772D1"/>
    <w:rsid w:val="00177316"/>
    <w:rsid w:val="00177419"/>
    <w:rsid w:val="0017764C"/>
    <w:rsid w:val="00177710"/>
    <w:rsid w:val="00177C79"/>
    <w:rsid w:val="00180061"/>
    <w:rsid w:val="001801E4"/>
    <w:rsid w:val="00180484"/>
    <w:rsid w:val="001805B5"/>
    <w:rsid w:val="001807ED"/>
    <w:rsid w:val="0018083A"/>
    <w:rsid w:val="00180A85"/>
    <w:rsid w:val="00180E72"/>
    <w:rsid w:val="00181264"/>
    <w:rsid w:val="00181378"/>
    <w:rsid w:val="00181647"/>
    <w:rsid w:val="001816BC"/>
    <w:rsid w:val="00181839"/>
    <w:rsid w:val="00181A33"/>
    <w:rsid w:val="00181BD4"/>
    <w:rsid w:val="00181C10"/>
    <w:rsid w:val="00181D9C"/>
    <w:rsid w:val="00181FC3"/>
    <w:rsid w:val="001821D6"/>
    <w:rsid w:val="00182439"/>
    <w:rsid w:val="001825CD"/>
    <w:rsid w:val="0018262C"/>
    <w:rsid w:val="001827A0"/>
    <w:rsid w:val="00182948"/>
    <w:rsid w:val="00182ABC"/>
    <w:rsid w:val="00182B76"/>
    <w:rsid w:val="00182BCC"/>
    <w:rsid w:val="00182C13"/>
    <w:rsid w:val="001832B8"/>
    <w:rsid w:val="0018347A"/>
    <w:rsid w:val="0018354D"/>
    <w:rsid w:val="00183732"/>
    <w:rsid w:val="00183797"/>
    <w:rsid w:val="001837FF"/>
    <w:rsid w:val="00183C51"/>
    <w:rsid w:val="00184150"/>
    <w:rsid w:val="00184241"/>
    <w:rsid w:val="00184547"/>
    <w:rsid w:val="00184B0E"/>
    <w:rsid w:val="00184EB5"/>
    <w:rsid w:val="00184ECE"/>
    <w:rsid w:val="00184FCB"/>
    <w:rsid w:val="00185223"/>
    <w:rsid w:val="001852FB"/>
    <w:rsid w:val="001853C7"/>
    <w:rsid w:val="001855BC"/>
    <w:rsid w:val="0018588A"/>
    <w:rsid w:val="00185909"/>
    <w:rsid w:val="0018597F"/>
    <w:rsid w:val="00185A54"/>
    <w:rsid w:val="00185CB5"/>
    <w:rsid w:val="00186167"/>
    <w:rsid w:val="00186243"/>
    <w:rsid w:val="0018664B"/>
    <w:rsid w:val="0018694D"/>
    <w:rsid w:val="00186A60"/>
    <w:rsid w:val="00186AE0"/>
    <w:rsid w:val="001870D9"/>
    <w:rsid w:val="00187315"/>
    <w:rsid w:val="001873FC"/>
    <w:rsid w:val="00187424"/>
    <w:rsid w:val="001874A4"/>
    <w:rsid w:val="001874AA"/>
    <w:rsid w:val="001874AE"/>
    <w:rsid w:val="0018752F"/>
    <w:rsid w:val="00187E8D"/>
    <w:rsid w:val="001900C2"/>
    <w:rsid w:val="00190222"/>
    <w:rsid w:val="0019034F"/>
    <w:rsid w:val="00190373"/>
    <w:rsid w:val="00190AB4"/>
    <w:rsid w:val="00190ABA"/>
    <w:rsid w:val="00190CF4"/>
    <w:rsid w:val="00190E93"/>
    <w:rsid w:val="00191445"/>
    <w:rsid w:val="0019177D"/>
    <w:rsid w:val="001917EA"/>
    <w:rsid w:val="00191967"/>
    <w:rsid w:val="00191D62"/>
    <w:rsid w:val="001920BB"/>
    <w:rsid w:val="001922AD"/>
    <w:rsid w:val="00192724"/>
    <w:rsid w:val="00192BF9"/>
    <w:rsid w:val="00192C63"/>
    <w:rsid w:val="00192E2B"/>
    <w:rsid w:val="00192E57"/>
    <w:rsid w:val="00192E97"/>
    <w:rsid w:val="00192F05"/>
    <w:rsid w:val="00192F2A"/>
    <w:rsid w:val="00193452"/>
    <w:rsid w:val="00193571"/>
    <w:rsid w:val="001935D8"/>
    <w:rsid w:val="00193838"/>
    <w:rsid w:val="00193AC6"/>
    <w:rsid w:val="00193AF9"/>
    <w:rsid w:val="001940A0"/>
    <w:rsid w:val="001944DC"/>
    <w:rsid w:val="00194523"/>
    <w:rsid w:val="0019489D"/>
    <w:rsid w:val="001948E7"/>
    <w:rsid w:val="00194AD8"/>
    <w:rsid w:val="00194B76"/>
    <w:rsid w:val="00195222"/>
    <w:rsid w:val="00195452"/>
    <w:rsid w:val="00195520"/>
    <w:rsid w:val="0019554C"/>
    <w:rsid w:val="00195768"/>
    <w:rsid w:val="00195CC9"/>
    <w:rsid w:val="00195E83"/>
    <w:rsid w:val="0019605C"/>
    <w:rsid w:val="001962D7"/>
    <w:rsid w:val="00196677"/>
    <w:rsid w:val="00196719"/>
    <w:rsid w:val="001969D6"/>
    <w:rsid w:val="00196A3F"/>
    <w:rsid w:val="00196BD9"/>
    <w:rsid w:val="00196F91"/>
    <w:rsid w:val="001973CE"/>
    <w:rsid w:val="001975D8"/>
    <w:rsid w:val="001976A0"/>
    <w:rsid w:val="001977CA"/>
    <w:rsid w:val="00197A97"/>
    <w:rsid w:val="00197D30"/>
    <w:rsid w:val="00197D5E"/>
    <w:rsid w:val="001A00DE"/>
    <w:rsid w:val="001A0201"/>
    <w:rsid w:val="001A024E"/>
    <w:rsid w:val="001A04A5"/>
    <w:rsid w:val="001A0515"/>
    <w:rsid w:val="001A0519"/>
    <w:rsid w:val="001A063B"/>
    <w:rsid w:val="001A07A1"/>
    <w:rsid w:val="001A08A4"/>
    <w:rsid w:val="001A08A6"/>
    <w:rsid w:val="001A099C"/>
    <w:rsid w:val="001A09E5"/>
    <w:rsid w:val="001A0B54"/>
    <w:rsid w:val="001A0C28"/>
    <w:rsid w:val="001A0C52"/>
    <w:rsid w:val="001A11AC"/>
    <w:rsid w:val="001A12DE"/>
    <w:rsid w:val="001A1338"/>
    <w:rsid w:val="001A14DA"/>
    <w:rsid w:val="001A178E"/>
    <w:rsid w:val="001A1A4C"/>
    <w:rsid w:val="001A20FC"/>
    <w:rsid w:val="001A2246"/>
    <w:rsid w:val="001A23B9"/>
    <w:rsid w:val="001A23EB"/>
    <w:rsid w:val="001A260F"/>
    <w:rsid w:val="001A2836"/>
    <w:rsid w:val="001A2F2B"/>
    <w:rsid w:val="001A2F4F"/>
    <w:rsid w:val="001A2F70"/>
    <w:rsid w:val="001A2F78"/>
    <w:rsid w:val="001A2FFC"/>
    <w:rsid w:val="001A3142"/>
    <w:rsid w:val="001A33D6"/>
    <w:rsid w:val="001A3400"/>
    <w:rsid w:val="001A3727"/>
    <w:rsid w:val="001A37DB"/>
    <w:rsid w:val="001A3B86"/>
    <w:rsid w:val="001A3C9E"/>
    <w:rsid w:val="001A3DA7"/>
    <w:rsid w:val="001A43FA"/>
    <w:rsid w:val="001A47AE"/>
    <w:rsid w:val="001A47C5"/>
    <w:rsid w:val="001A4818"/>
    <w:rsid w:val="001A48ED"/>
    <w:rsid w:val="001A48F1"/>
    <w:rsid w:val="001A494C"/>
    <w:rsid w:val="001A4B32"/>
    <w:rsid w:val="001A4C25"/>
    <w:rsid w:val="001A4E90"/>
    <w:rsid w:val="001A525F"/>
    <w:rsid w:val="001A527C"/>
    <w:rsid w:val="001A5394"/>
    <w:rsid w:val="001A5472"/>
    <w:rsid w:val="001A5483"/>
    <w:rsid w:val="001A5705"/>
    <w:rsid w:val="001A5776"/>
    <w:rsid w:val="001A59D5"/>
    <w:rsid w:val="001A59FB"/>
    <w:rsid w:val="001A5BCF"/>
    <w:rsid w:val="001A5E9E"/>
    <w:rsid w:val="001A6164"/>
    <w:rsid w:val="001A61FC"/>
    <w:rsid w:val="001A6354"/>
    <w:rsid w:val="001A6366"/>
    <w:rsid w:val="001A63D4"/>
    <w:rsid w:val="001A682A"/>
    <w:rsid w:val="001A684C"/>
    <w:rsid w:val="001A6A6C"/>
    <w:rsid w:val="001A6D9F"/>
    <w:rsid w:val="001A6F3B"/>
    <w:rsid w:val="001A745B"/>
    <w:rsid w:val="001A75FD"/>
    <w:rsid w:val="001A7639"/>
    <w:rsid w:val="001A789E"/>
    <w:rsid w:val="001A7AE8"/>
    <w:rsid w:val="001A7B7B"/>
    <w:rsid w:val="001B0088"/>
    <w:rsid w:val="001B0346"/>
    <w:rsid w:val="001B05A2"/>
    <w:rsid w:val="001B0914"/>
    <w:rsid w:val="001B0BFA"/>
    <w:rsid w:val="001B0C3F"/>
    <w:rsid w:val="001B0CCF"/>
    <w:rsid w:val="001B1699"/>
    <w:rsid w:val="001B175C"/>
    <w:rsid w:val="001B17FD"/>
    <w:rsid w:val="001B186B"/>
    <w:rsid w:val="001B1A46"/>
    <w:rsid w:val="001B1C03"/>
    <w:rsid w:val="001B1DBC"/>
    <w:rsid w:val="001B204E"/>
    <w:rsid w:val="001B2372"/>
    <w:rsid w:val="001B237D"/>
    <w:rsid w:val="001B2491"/>
    <w:rsid w:val="001B24CA"/>
    <w:rsid w:val="001B24F0"/>
    <w:rsid w:val="001B252B"/>
    <w:rsid w:val="001B258C"/>
    <w:rsid w:val="001B25F9"/>
    <w:rsid w:val="001B2C54"/>
    <w:rsid w:val="001B2CFA"/>
    <w:rsid w:val="001B2F1D"/>
    <w:rsid w:val="001B3019"/>
    <w:rsid w:val="001B3443"/>
    <w:rsid w:val="001B35B8"/>
    <w:rsid w:val="001B3693"/>
    <w:rsid w:val="001B38D8"/>
    <w:rsid w:val="001B393E"/>
    <w:rsid w:val="001B3AA6"/>
    <w:rsid w:val="001B3E7D"/>
    <w:rsid w:val="001B3F6A"/>
    <w:rsid w:val="001B41C1"/>
    <w:rsid w:val="001B4637"/>
    <w:rsid w:val="001B4663"/>
    <w:rsid w:val="001B4A62"/>
    <w:rsid w:val="001B4D20"/>
    <w:rsid w:val="001B4F65"/>
    <w:rsid w:val="001B4F73"/>
    <w:rsid w:val="001B4FAE"/>
    <w:rsid w:val="001B5172"/>
    <w:rsid w:val="001B51B1"/>
    <w:rsid w:val="001B53FE"/>
    <w:rsid w:val="001B56A1"/>
    <w:rsid w:val="001B56F4"/>
    <w:rsid w:val="001B5920"/>
    <w:rsid w:val="001B5B33"/>
    <w:rsid w:val="001B5F89"/>
    <w:rsid w:val="001B626B"/>
    <w:rsid w:val="001B6288"/>
    <w:rsid w:val="001B661D"/>
    <w:rsid w:val="001B67CF"/>
    <w:rsid w:val="001B6DCB"/>
    <w:rsid w:val="001B6E36"/>
    <w:rsid w:val="001B6E7B"/>
    <w:rsid w:val="001B708D"/>
    <w:rsid w:val="001B7238"/>
    <w:rsid w:val="001B77C9"/>
    <w:rsid w:val="001B7864"/>
    <w:rsid w:val="001B7D8C"/>
    <w:rsid w:val="001B7F18"/>
    <w:rsid w:val="001B7F61"/>
    <w:rsid w:val="001B7F84"/>
    <w:rsid w:val="001C00AD"/>
    <w:rsid w:val="001C0133"/>
    <w:rsid w:val="001C0145"/>
    <w:rsid w:val="001C073D"/>
    <w:rsid w:val="001C0D08"/>
    <w:rsid w:val="001C100E"/>
    <w:rsid w:val="001C13FB"/>
    <w:rsid w:val="001C14B7"/>
    <w:rsid w:val="001C1634"/>
    <w:rsid w:val="001C17DE"/>
    <w:rsid w:val="001C17FD"/>
    <w:rsid w:val="001C186A"/>
    <w:rsid w:val="001C1B77"/>
    <w:rsid w:val="001C1E2E"/>
    <w:rsid w:val="001C2097"/>
    <w:rsid w:val="001C25DD"/>
    <w:rsid w:val="001C260E"/>
    <w:rsid w:val="001C274E"/>
    <w:rsid w:val="001C2A9B"/>
    <w:rsid w:val="001C2C6F"/>
    <w:rsid w:val="001C2FAF"/>
    <w:rsid w:val="001C3134"/>
    <w:rsid w:val="001C328B"/>
    <w:rsid w:val="001C38FD"/>
    <w:rsid w:val="001C396B"/>
    <w:rsid w:val="001C3A4B"/>
    <w:rsid w:val="001C3AB9"/>
    <w:rsid w:val="001C3DD6"/>
    <w:rsid w:val="001C4299"/>
    <w:rsid w:val="001C4638"/>
    <w:rsid w:val="001C46B1"/>
    <w:rsid w:val="001C4803"/>
    <w:rsid w:val="001C4874"/>
    <w:rsid w:val="001C4905"/>
    <w:rsid w:val="001C4CCA"/>
    <w:rsid w:val="001C4EAC"/>
    <w:rsid w:val="001C5540"/>
    <w:rsid w:val="001C5673"/>
    <w:rsid w:val="001C5777"/>
    <w:rsid w:val="001C57F6"/>
    <w:rsid w:val="001C5AA8"/>
    <w:rsid w:val="001C5D99"/>
    <w:rsid w:val="001C5DB2"/>
    <w:rsid w:val="001C5DD3"/>
    <w:rsid w:val="001C5E7A"/>
    <w:rsid w:val="001C5F80"/>
    <w:rsid w:val="001C5F94"/>
    <w:rsid w:val="001C6339"/>
    <w:rsid w:val="001C6390"/>
    <w:rsid w:val="001C6468"/>
    <w:rsid w:val="001C6811"/>
    <w:rsid w:val="001C69A6"/>
    <w:rsid w:val="001C6A99"/>
    <w:rsid w:val="001C6D75"/>
    <w:rsid w:val="001C6E66"/>
    <w:rsid w:val="001C6FFC"/>
    <w:rsid w:val="001C7171"/>
    <w:rsid w:val="001C7204"/>
    <w:rsid w:val="001C7324"/>
    <w:rsid w:val="001C7362"/>
    <w:rsid w:val="001C740A"/>
    <w:rsid w:val="001C784B"/>
    <w:rsid w:val="001C7909"/>
    <w:rsid w:val="001C795D"/>
    <w:rsid w:val="001C7C72"/>
    <w:rsid w:val="001C7EF4"/>
    <w:rsid w:val="001C7F78"/>
    <w:rsid w:val="001D00C9"/>
    <w:rsid w:val="001D0815"/>
    <w:rsid w:val="001D0BCE"/>
    <w:rsid w:val="001D0BFB"/>
    <w:rsid w:val="001D0C6A"/>
    <w:rsid w:val="001D0F3F"/>
    <w:rsid w:val="001D1100"/>
    <w:rsid w:val="001D1163"/>
    <w:rsid w:val="001D1391"/>
    <w:rsid w:val="001D179F"/>
    <w:rsid w:val="001D1813"/>
    <w:rsid w:val="001D1991"/>
    <w:rsid w:val="001D1AE7"/>
    <w:rsid w:val="001D1BD4"/>
    <w:rsid w:val="001D1D0B"/>
    <w:rsid w:val="001D1DA7"/>
    <w:rsid w:val="001D1E5E"/>
    <w:rsid w:val="001D1F17"/>
    <w:rsid w:val="001D1FAD"/>
    <w:rsid w:val="001D2109"/>
    <w:rsid w:val="001D212D"/>
    <w:rsid w:val="001D25D7"/>
    <w:rsid w:val="001D298E"/>
    <w:rsid w:val="001D2B15"/>
    <w:rsid w:val="001D2D5B"/>
    <w:rsid w:val="001D2E2A"/>
    <w:rsid w:val="001D2E8D"/>
    <w:rsid w:val="001D313D"/>
    <w:rsid w:val="001D333A"/>
    <w:rsid w:val="001D3344"/>
    <w:rsid w:val="001D345B"/>
    <w:rsid w:val="001D3518"/>
    <w:rsid w:val="001D35D9"/>
    <w:rsid w:val="001D3744"/>
    <w:rsid w:val="001D382A"/>
    <w:rsid w:val="001D38F0"/>
    <w:rsid w:val="001D3B3D"/>
    <w:rsid w:val="001D3EBA"/>
    <w:rsid w:val="001D40BD"/>
    <w:rsid w:val="001D45CE"/>
    <w:rsid w:val="001D4680"/>
    <w:rsid w:val="001D4708"/>
    <w:rsid w:val="001D48F9"/>
    <w:rsid w:val="001D4A3F"/>
    <w:rsid w:val="001D4A55"/>
    <w:rsid w:val="001D4EB8"/>
    <w:rsid w:val="001D501F"/>
    <w:rsid w:val="001D50B2"/>
    <w:rsid w:val="001D518B"/>
    <w:rsid w:val="001D5B1F"/>
    <w:rsid w:val="001D5B2A"/>
    <w:rsid w:val="001D5C55"/>
    <w:rsid w:val="001D5E1D"/>
    <w:rsid w:val="001D6435"/>
    <w:rsid w:val="001D6494"/>
    <w:rsid w:val="001D653C"/>
    <w:rsid w:val="001D685F"/>
    <w:rsid w:val="001D699F"/>
    <w:rsid w:val="001D6B05"/>
    <w:rsid w:val="001D6C15"/>
    <w:rsid w:val="001D6D1C"/>
    <w:rsid w:val="001D6D6A"/>
    <w:rsid w:val="001D6DDD"/>
    <w:rsid w:val="001D6F20"/>
    <w:rsid w:val="001D6FB9"/>
    <w:rsid w:val="001D6FD4"/>
    <w:rsid w:val="001D7068"/>
    <w:rsid w:val="001D709C"/>
    <w:rsid w:val="001D71F4"/>
    <w:rsid w:val="001D72B2"/>
    <w:rsid w:val="001D7645"/>
    <w:rsid w:val="001D785D"/>
    <w:rsid w:val="001D7A06"/>
    <w:rsid w:val="001D7A33"/>
    <w:rsid w:val="001D7A80"/>
    <w:rsid w:val="001D7AD0"/>
    <w:rsid w:val="001D7AF0"/>
    <w:rsid w:val="001D7B8F"/>
    <w:rsid w:val="001D7E46"/>
    <w:rsid w:val="001D7FEF"/>
    <w:rsid w:val="001E065A"/>
    <w:rsid w:val="001E0803"/>
    <w:rsid w:val="001E0966"/>
    <w:rsid w:val="001E0A2B"/>
    <w:rsid w:val="001E0B9A"/>
    <w:rsid w:val="001E0BEF"/>
    <w:rsid w:val="001E0EB9"/>
    <w:rsid w:val="001E0EE1"/>
    <w:rsid w:val="001E0F7E"/>
    <w:rsid w:val="001E1124"/>
    <w:rsid w:val="001E1548"/>
    <w:rsid w:val="001E158F"/>
    <w:rsid w:val="001E1597"/>
    <w:rsid w:val="001E1E6F"/>
    <w:rsid w:val="001E1E86"/>
    <w:rsid w:val="001E238E"/>
    <w:rsid w:val="001E2404"/>
    <w:rsid w:val="001E2483"/>
    <w:rsid w:val="001E29A1"/>
    <w:rsid w:val="001E2B1E"/>
    <w:rsid w:val="001E2B5D"/>
    <w:rsid w:val="001E2CA9"/>
    <w:rsid w:val="001E2CFF"/>
    <w:rsid w:val="001E2D99"/>
    <w:rsid w:val="001E2F24"/>
    <w:rsid w:val="001E2F55"/>
    <w:rsid w:val="001E2FA9"/>
    <w:rsid w:val="001E3099"/>
    <w:rsid w:val="001E30D4"/>
    <w:rsid w:val="001E34DF"/>
    <w:rsid w:val="001E3651"/>
    <w:rsid w:val="001E3884"/>
    <w:rsid w:val="001E396D"/>
    <w:rsid w:val="001E3C28"/>
    <w:rsid w:val="001E3C9B"/>
    <w:rsid w:val="001E3D6A"/>
    <w:rsid w:val="001E3DE1"/>
    <w:rsid w:val="001E4279"/>
    <w:rsid w:val="001E4305"/>
    <w:rsid w:val="001E44F8"/>
    <w:rsid w:val="001E451A"/>
    <w:rsid w:val="001E4571"/>
    <w:rsid w:val="001E47E9"/>
    <w:rsid w:val="001E4B6E"/>
    <w:rsid w:val="001E4D35"/>
    <w:rsid w:val="001E5074"/>
    <w:rsid w:val="001E5097"/>
    <w:rsid w:val="001E52EB"/>
    <w:rsid w:val="001E53C4"/>
    <w:rsid w:val="001E53D1"/>
    <w:rsid w:val="001E55EF"/>
    <w:rsid w:val="001E5E3C"/>
    <w:rsid w:val="001E61D2"/>
    <w:rsid w:val="001E663C"/>
    <w:rsid w:val="001E67FC"/>
    <w:rsid w:val="001E686E"/>
    <w:rsid w:val="001E6929"/>
    <w:rsid w:val="001E6A02"/>
    <w:rsid w:val="001E6A09"/>
    <w:rsid w:val="001E6A76"/>
    <w:rsid w:val="001E6CC9"/>
    <w:rsid w:val="001E6DB9"/>
    <w:rsid w:val="001E6F7B"/>
    <w:rsid w:val="001E704A"/>
    <w:rsid w:val="001E7249"/>
    <w:rsid w:val="001E7319"/>
    <w:rsid w:val="001E740C"/>
    <w:rsid w:val="001E764C"/>
    <w:rsid w:val="001E76BE"/>
    <w:rsid w:val="001E76E5"/>
    <w:rsid w:val="001E7A9F"/>
    <w:rsid w:val="001E7B65"/>
    <w:rsid w:val="001F01F5"/>
    <w:rsid w:val="001F0741"/>
    <w:rsid w:val="001F07AA"/>
    <w:rsid w:val="001F09F4"/>
    <w:rsid w:val="001F0C33"/>
    <w:rsid w:val="001F0F15"/>
    <w:rsid w:val="001F0F67"/>
    <w:rsid w:val="001F11D2"/>
    <w:rsid w:val="001F1235"/>
    <w:rsid w:val="001F14AC"/>
    <w:rsid w:val="001F14F5"/>
    <w:rsid w:val="001F1753"/>
    <w:rsid w:val="001F183F"/>
    <w:rsid w:val="001F1864"/>
    <w:rsid w:val="001F18A4"/>
    <w:rsid w:val="001F19F1"/>
    <w:rsid w:val="001F1CB3"/>
    <w:rsid w:val="001F1E46"/>
    <w:rsid w:val="001F1E59"/>
    <w:rsid w:val="001F1F2F"/>
    <w:rsid w:val="001F228C"/>
    <w:rsid w:val="001F2397"/>
    <w:rsid w:val="001F262F"/>
    <w:rsid w:val="001F2675"/>
    <w:rsid w:val="001F26C3"/>
    <w:rsid w:val="001F26C7"/>
    <w:rsid w:val="001F2CD3"/>
    <w:rsid w:val="001F31F5"/>
    <w:rsid w:val="001F38B5"/>
    <w:rsid w:val="001F3923"/>
    <w:rsid w:val="001F39B0"/>
    <w:rsid w:val="001F3F9F"/>
    <w:rsid w:val="001F4081"/>
    <w:rsid w:val="001F41B8"/>
    <w:rsid w:val="001F428E"/>
    <w:rsid w:val="001F430E"/>
    <w:rsid w:val="001F43EF"/>
    <w:rsid w:val="001F485E"/>
    <w:rsid w:val="001F4871"/>
    <w:rsid w:val="001F4AB4"/>
    <w:rsid w:val="001F4B64"/>
    <w:rsid w:val="001F4BBF"/>
    <w:rsid w:val="001F4EED"/>
    <w:rsid w:val="001F5198"/>
    <w:rsid w:val="001F5437"/>
    <w:rsid w:val="001F55C7"/>
    <w:rsid w:val="001F576D"/>
    <w:rsid w:val="001F577E"/>
    <w:rsid w:val="001F5C72"/>
    <w:rsid w:val="001F5E26"/>
    <w:rsid w:val="001F6028"/>
    <w:rsid w:val="001F6274"/>
    <w:rsid w:val="001F63C8"/>
    <w:rsid w:val="001F6435"/>
    <w:rsid w:val="001F64A6"/>
    <w:rsid w:val="001F652A"/>
    <w:rsid w:val="001F65D0"/>
    <w:rsid w:val="001F6C70"/>
    <w:rsid w:val="001F6C91"/>
    <w:rsid w:val="001F6E6E"/>
    <w:rsid w:val="001F70CE"/>
    <w:rsid w:val="001F7361"/>
    <w:rsid w:val="001F7489"/>
    <w:rsid w:val="001F7708"/>
    <w:rsid w:val="001F77EE"/>
    <w:rsid w:val="001F794B"/>
    <w:rsid w:val="001F79A6"/>
    <w:rsid w:val="002001D9"/>
    <w:rsid w:val="002007DC"/>
    <w:rsid w:val="002008B6"/>
    <w:rsid w:val="00200A03"/>
    <w:rsid w:val="00200C65"/>
    <w:rsid w:val="00200D32"/>
    <w:rsid w:val="00200EEE"/>
    <w:rsid w:val="00201032"/>
    <w:rsid w:val="002011B0"/>
    <w:rsid w:val="00201371"/>
    <w:rsid w:val="00201591"/>
    <w:rsid w:val="002015BE"/>
    <w:rsid w:val="0020173E"/>
    <w:rsid w:val="00201BE3"/>
    <w:rsid w:val="00201CE0"/>
    <w:rsid w:val="00201E54"/>
    <w:rsid w:val="002021FB"/>
    <w:rsid w:val="00202281"/>
    <w:rsid w:val="00202781"/>
    <w:rsid w:val="00202AEA"/>
    <w:rsid w:val="00202CEE"/>
    <w:rsid w:val="00202DC2"/>
    <w:rsid w:val="00203181"/>
    <w:rsid w:val="002034C7"/>
    <w:rsid w:val="002036F7"/>
    <w:rsid w:val="00203783"/>
    <w:rsid w:val="0020385F"/>
    <w:rsid w:val="00203B10"/>
    <w:rsid w:val="00203CF6"/>
    <w:rsid w:val="00203E8D"/>
    <w:rsid w:val="00203F17"/>
    <w:rsid w:val="00203F86"/>
    <w:rsid w:val="0020414D"/>
    <w:rsid w:val="002041FD"/>
    <w:rsid w:val="00204220"/>
    <w:rsid w:val="0020425A"/>
    <w:rsid w:val="002045BB"/>
    <w:rsid w:val="00204709"/>
    <w:rsid w:val="00204D93"/>
    <w:rsid w:val="00204EFE"/>
    <w:rsid w:val="00204FB0"/>
    <w:rsid w:val="00204FF1"/>
    <w:rsid w:val="00205272"/>
    <w:rsid w:val="002057F6"/>
    <w:rsid w:val="00205820"/>
    <w:rsid w:val="00205923"/>
    <w:rsid w:val="00205A1C"/>
    <w:rsid w:val="00205AC2"/>
    <w:rsid w:val="00205EC1"/>
    <w:rsid w:val="00206466"/>
    <w:rsid w:val="0020676F"/>
    <w:rsid w:val="002068A0"/>
    <w:rsid w:val="00206CB4"/>
    <w:rsid w:val="00207021"/>
    <w:rsid w:val="00207309"/>
    <w:rsid w:val="0020732F"/>
    <w:rsid w:val="002073F0"/>
    <w:rsid w:val="00207555"/>
    <w:rsid w:val="00207A3E"/>
    <w:rsid w:val="00207D00"/>
    <w:rsid w:val="00207EB3"/>
    <w:rsid w:val="00207ED0"/>
    <w:rsid w:val="0021037E"/>
    <w:rsid w:val="002104E9"/>
    <w:rsid w:val="0021050E"/>
    <w:rsid w:val="002105C1"/>
    <w:rsid w:val="00210727"/>
    <w:rsid w:val="0021072C"/>
    <w:rsid w:val="002107B1"/>
    <w:rsid w:val="00210860"/>
    <w:rsid w:val="00210A94"/>
    <w:rsid w:val="00211270"/>
    <w:rsid w:val="00211576"/>
    <w:rsid w:val="002116FD"/>
    <w:rsid w:val="00211E93"/>
    <w:rsid w:val="002124ED"/>
    <w:rsid w:val="00212577"/>
    <w:rsid w:val="002125C0"/>
    <w:rsid w:val="002129E4"/>
    <w:rsid w:val="00212C8E"/>
    <w:rsid w:val="00212D92"/>
    <w:rsid w:val="00212E88"/>
    <w:rsid w:val="00213213"/>
    <w:rsid w:val="002133DD"/>
    <w:rsid w:val="002134B7"/>
    <w:rsid w:val="0021352B"/>
    <w:rsid w:val="00213939"/>
    <w:rsid w:val="00213B0B"/>
    <w:rsid w:val="00213EF5"/>
    <w:rsid w:val="00213F7F"/>
    <w:rsid w:val="00214509"/>
    <w:rsid w:val="0021472C"/>
    <w:rsid w:val="002148B5"/>
    <w:rsid w:val="00214C45"/>
    <w:rsid w:val="00214D1F"/>
    <w:rsid w:val="00214E61"/>
    <w:rsid w:val="00214F5D"/>
    <w:rsid w:val="002152A6"/>
    <w:rsid w:val="002154E4"/>
    <w:rsid w:val="00215639"/>
    <w:rsid w:val="00215743"/>
    <w:rsid w:val="00215749"/>
    <w:rsid w:val="002157B7"/>
    <w:rsid w:val="002158F1"/>
    <w:rsid w:val="00215BAF"/>
    <w:rsid w:val="00215C0E"/>
    <w:rsid w:val="00215F40"/>
    <w:rsid w:val="00216112"/>
    <w:rsid w:val="0021621C"/>
    <w:rsid w:val="00216BF5"/>
    <w:rsid w:val="00216C2F"/>
    <w:rsid w:val="00216F91"/>
    <w:rsid w:val="0021704C"/>
    <w:rsid w:val="0021707E"/>
    <w:rsid w:val="00217782"/>
    <w:rsid w:val="002203F2"/>
    <w:rsid w:val="00220450"/>
    <w:rsid w:val="00220796"/>
    <w:rsid w:val="002207B7"/>
    <w:rsid w:val="002208FC"/>
    <w:rsid w:val="0022091B"/>
    <w:rsid w:val="00220DA7"/>
    <w:rsid w:val="00220FE5"/>
    <w:rsid w:val="00220FEB"/>
    <w:rsid w:val="00221554"/>
    <w:rsid w:val="002217CC"/>
    <w:rsid w:val="002217FC"/>
    <w:rsid w:val="00221862"/>
    <w:rsid w:val="00221B97"/>
    <w:rsid w:val="00221D1F"/>
    <w:rsid w:val="00221F0B"/>
    <w:rsid w:val="00222682"/>
    <w:rsid w:val="00222A2E"/>
    <w:rsid w:val="00222BE3"/>
    <w:rsid w:val="00222D24"/>
    <w:rsid w:val="002230BF"/>
    <w:rsid w:val="00223277"/>
    <w:rsid w:val="00223677"/>
    <w:rsid w:val="002236A0"/>
    <w:rsid w:val="002238CD"/>
    <w:rsid w:val="00223985"/>
    <w:rsid w:val="00223A75"/>
    <w:rsid w:val="00223B49"/>
    <w:rsid w:val="00223B54"/>
    <w:rsid w:val="00223C99"/>
    <w:rsid w:val="00223D5A"/>
    <w:rsid w:val="00223E0B"/>
    <w:rsid w:val="00223F61"/>
    <w:rsid w:val="0022441B"/>
    <w:rsid w:val="00224770"/>
    <w:rsid w:val="0022497B"/>
    <w:rsid w:val="00224A50"/>
    <w:rsid w:val="00224D91"/>
    <w:rsid w:val="00224DD4"/>
    <w:rsid w:val="00224E3F"/>
    <w:rsid w:val="00224E71"/>
    <w:rsid w:val="00225831"/>
    <w:rsid w:val="0022598F"/>
    <w:rsid w:val="00225BE8"/>
    <w:rsid w:val="00225CDA"/>
    <w:rsid w:val="00225F02"/>
    <w:rsid w:val="00225F1C"/>
    <w:rsid w:val="00225F3A"/>
    <w:rsid w:val="00225F5A"/>
    <w:rsid w:val="00226138"/>
    <w:rsid w:val="00226619"/>
    <w:rsid w:val="00226667"/>
    <w:rsid w:val="00226D4A"/>
    <w:rsid w:val="00226D95"/>
    <w:rsid w:val="002272D0"/>
    <w:rsid w:val="002273A3"/>
    <w:rsid w:val="002276F2"/>
    <w:rsid w:val="00227864"/>
    <w:rsid w:val="002278A0"/>
    <w:rsid w:val="00227BB1"/>
    <w:rsid w:val="00227DF9"/>
    <w:rsid w:val="00227F0A"/>
    <w:rsid w:val="0023021D"/>
    <w:rsid w:val="002303B7"/>
    <w:rsid w:val="00230435"/>
    <w:rsid w:val="002305CD"/>
    <w:rsid w:val="002309CC"/>
    <w:rsid w:val="00230A03"/>
    <w:rsid w:val="00230C64"/>
    <w:rsid w:val="00230F1E"/>
    <w:rsid w:val="0023146D"/>
    <w:rsid w:val="00231595"/>
    <w:rsid w:val="002317F0"/>
    <w:rsid w:val="00231916"/>
    <w:rsid w:val="0023192E"/>
    <w:rsid w:val="00231977"/>
    <w:rsid w:val="00231A05"/>
    <w:rsid w:val="00231BA9"/>
    <w:rsid w:val="00231C4B"/>
    <w:rsid w:val="0023206F"/>
    <w:rsid w:val="0023209F"/>
    <w:rsid w:val="00232153"/>
    <w:rsid w:val="002325D8"/>
    <w:rsid w:val="00232872"/>
    <w:rsid w:val="00232B89"/>
    <w:rsid w:val="00232E55"/>
    <w:rsid w:val="0023302A"/>
    <w:rsid w:val="00233097"/>
    <w:rsid w:val="0023321F"/>
    <w:rsid w:val="0023332B"/>
    <w:rsid w:val="002333F6"/>
    <w:rsid w:val="002335F6"/>
    <w:rsid w:val="002336A5"/>
    <w:rsid w:val="00233B42"/>
    <w:rsid w:val="00233C01"/>
    <w:rsid w:val="00233C28"/>
    <w:rsid w:val="00233CCB"/>
    <w:rsid w:val="00233D66"/>
    <w:rsid w:val="00233D90"/>
    <w:rsid w:val="0023413C"/>
    <w:rsid w:val="00234229"/>
    <w:rsid w:val="002342E2"/>
    <w:rsid w:val="0023430C"/>
    <w:rsid w:val="002344CC"/>
    <w:rsid w:val="002346F0"/>
    <w:rsid w:val="00234B20"/>
    <w:rsid w:val="00234B42"/>
    <w:rsid w:val="00234BB5"/>
    <w:rsid w:val="00234F35"/>
    <w:rsid w:val="00235132"/>
    <w:rsid w:val="0023514C"/>
    <w:rsid w:val="0023519C"/>
    <w:rsid w:val="002352E0"/>
    <w:rsid w:val="002356CE"/>
    <w:rsid w:val="0023599B"/>
    <w:rsid w:val="00235C54"/>
    <w:rsid w:val="00235CDD"/>
    <w:rsid w:val="00235EFA"/>
    <w:rsid w:val="00236113"/>
    <w:rsid w:val="0023629D"/>
    <w:rsid w:val="0023641A"/>
    <w:rsid w:val="0023644F"/>
    <w:rsid w:val="00236936"/>
    <w:rsid w:val="0023693B"/>
    <w:rsid w:val="002369AC"/>
    <w:rsid w:val="00236A0C"/>
    <w:rsid w:val="00236B4D"/>
    <w:rsid w:val="00236BC3"/>
    <w:rsid w:val="00236CC0"/>
    <w:rsid w:val="00236DBE"/>
    <w:rsid w:val="0023704C"/>
    <w:rsid w:val="00237255"/>
    <w:rsid w:val="0023728A"/>
    <w:rsid w:val="002372D9"/>
    <w:rsid w:val="00237A7F"/>
    <w:rsid w:val="00237A84"/>
    <w:rsid w:val="00237D06"/>
    <w:rsid w:val="00237E41"/>
    <w:rsid w:val="0024042F"/>
    <w:rsid w:val="002407A9"/>
    <w:rsid w:val="00240A7F"/>
    <w:rsid w:val="00240A8F"/>
    <w:rsid w:val="00240B07"/>
    <w:rsid w:val="00240EC8"/>
    <w:rsid w:val="00240F34"/>
    <w:rsid w:val="00241120"/>
    <w:rsid w:val="00241250"/>
    <w:rsid w:val="002414BC"/>
    <w:rsid w:val="00241A3B"/>
    <w:rsid w:val="00241A5A"/>
    <w:rsid w:val="00241B60"/>
    <w:rsid w:val="00241C04"/>
    <w:rsid w:val="002424AF"/>
    <w:rsid w:val="00242591"/>
    <w:rsid w:val="002425E9"/>
    <w:rsid w:val="00242BCD"/>
    <w:rsid w:val="00242C27"/>
    <w:rsid w:val="00242EAF"/>
    <w:rsid w:val="0024342D"/>
    <w:rsid w:val="002435CF"/>
    <w:rsid w:val="002439DC"/>
    <w:rsid w:val="00243B9F"/>
    <w:rsid w:val="00243DAB"/>
    <w:rsid w:val="00243DBA"/>
    <w:rsid w:val="00243F5E"/>
    <w:rsid w:val="00243FEF"/>
    <w:rsid w:val="00244148"/>
    <w:rsid w:val="002441D2"/>
    <w:rsid w:val="002442BE"/>
    <w:rsid w:val="00244693"/>
    <w:rsid w:val="00244796"/>
    <w:rsid w:val="00244B8C"/>
    <w:rsid w:val="00244CA8"/>
    <w:rsid w:val="00244DC8"/>
    <w:rsid w:val="00244EE5"/>
    <w:rsid w:val="00245007"/>
    <w:rsid w:val="002451E9"/>
    <w:rsid w:val="002453D3"/>
    <w:rsid w:val="002454E2"/>
    <w:rsid w:val="002455F8"/>
    <w:rsid w:val="002457AD"/>
    <w:rsid w:val="002458BA"/>
    <w:rsid w:val="00245C34"/>
    <w:rsid w:val="00245CE9"/>
    <w:rsid w:val="00245F8E"/>
    <w:rsid w:val="00245FCE"/>
    <w:rsid w:val="0024605C"/>
    <w:rsid w:val="00246097"/>
    <w:rsid w:val="0024636C"/>
    <w:rsid w:val="002466AB"/>
    <w:rsid w:val="002466DE"/>
    <w:rsid w:val="00246822"/>
    <w:rsid w:val="002469F1"/>
    <w:rsid w:val="00246BC7"/>
    <w:rsid w:val="00247033"/>
    <w:rsid w:val="00247044"/>
    <w:rsid w:val="002471B7"/>
    <w:rsid w:val="00247295"/>
    <w:rsid w:val="0024763E"/>
    <w:rsid w:val="00247757"/>
    <w:rsid w:val="00247877"/>
    <w:rsid w:val="002478AD"/>
    <w:rsid w:val="00247925"/>
    <w:rsid w:val="0024796F"/>
    <w:rsid w:val="002479E5"/>
    <w:rsid w:val="00247C1C"/>
    <w:rsid w:val="00247CF4"/>
    <w:rsid w:val="00247F6C"/>
    <w:rsid w:val="00247FD0"/>
    <w:rsid w:val="00250162"/>
    <w:rsid w:val="00250210"/>
    <w:rsid w:val="00250527"/>
    <w:rsid w:val="0025056C"/>
    <w:rsid w:val="002506B3"/>
    <w:rsid w:val="002506B7"/>
    <w:rsid w:val="00250730"/>
    <w:rsid w:val="0025080B"/>
    <w:rsid w:val="0025082C"/>
    <w:rsid w:val="0025086E"/>
    <w:rsid w:val="00250BD0"/>
    <w:rsid w:val="00250DB3"/>
    <w:rsid w:val="00250DEF"/>
    <w:rsid w:val="00250E2D"/>
    <w:rsid w:val="00251006"/>
    <w:rsid w:val="002512D0"/>
    <w:rsid w:val="00251339"/>
    <w:rsid w:val="002517BD"/>
    <w:rsid w:val="00251CB5"/>
    <w:rsid w:val="00251D6E"/>
    <w:rsid w:val="00251DD0"/>
    <w:rsid w:val="00251E43"/>
    <w:rsid w:val="0025218D"/>
    <w:rsid w:val="00252253"/>
    <w:rsid w:val="00252491"/>
    <w:rsid w:val="002524D5"/>
    <w:rsid w:val="0025254C"/>
    <w:rsid w:val="00252795"/>
    <w:rsid w:val="00252C86"/>
    <w:rsid w:val="00252DA7"/>
    <w:rsid w:val="00252FA8"/>
    <w:rsid w:val="00253255"/>
    <w:rsid w:val="00253493"/>
    <w:rsid w:val="00253B1D"/>
    <w:rsid w:val="00253B9A"/>
    <w:rsid w:val="00253BE0"/>
    <w:rsid w:val="00253D12"/>
    <w:rsid w:val="00253EE7"/>
    <w:rsid w:val="0025401C"/>
    <w:rsid w:val="0025411F"/>
    <w:rsid w:val="0025436B"/>
    <w:rsid w:val="00254726"/>
    <w:rsid w:val="00254728"/>
    <w:rsid w:val="00254733"/>
    <w:rsid w:val="002547B1"/>
    <w:rsid w:val="002548D6"/>
    <w:rsid w:val="00254C1C"/>
    <w:rsid w:val="00254DCF"/>
    <w:rsid w:val="00254EA3"/>
    <w:rsid w:val="002551C6"/>
    <w:rsid w:val="0025534B"/>
    <w:rsid w:val="002555EC"/>
    <w:rsid w:val="002555FC"/>
    <w:rsid w:val="00255617"/>
    <w:rsid w:val="00255BB7"/>
    <w:rsid w:val="00255CA6"/>
    <w:rsid w:val="00255D06"/>
    <w:rsid w:val="00256140"/>
    <w:rsid w:val="002567A7"/>
    <w:rsid w:val="00256B04"/>
    <w:rsid w:val="00256BA7"/>
    <w:rsid w:val="0025700A"/>
    <w:rsid w:val="0025718F"/>
    <w:rsid w:val="0025719F"/>
    <w:rsid w:val="002574F0"/>
    <w:rsid w:val="00257541"/>
    <w:rsid w:val="00257964"/>
    <w:rsid w:val="00257A39"/>
    <w:rsid w:val="00257AC4"/>
    <w:rsid w:val="00257BBE"/>
    <w:rsid w:val="00257DFD"/>
    <w:rsid w:val="00257EF1"/>
    <w:rsid w:val="00260241"/>
    <w:rsid w:val="002602E6"/>
    <w:rsid w:val="00260455"/>
    <w:rsid w:val="0026065F"/>
    <w:rsid w:val="00260A6F"/>
    <w:rsid w:val="00260B22"/>
    <w:rsid w:val="00260ED7"/>
    <w:rsid w:val="00261195"/>
    <w:rsid w:val="0026139A"/>
    <w:rsid w:val="002615B0"/>
    <w:rsid w:val="002616C1"/>
    <w:rsid w:val="00261C1F"/>
    <w:rsid w:val="00261CF3"/>
    <w:rsid w:val="00261DF9"/>
    <w:rsid w:val="00261EA4"/>
    <w:rsid w:val="00261EEF"/>
    <w:rsid w:val="0026220C"/>
    <w:rsid w:val="00262744"/>
    <w:rsid w:val="00262980"/>
    <w:rsid w:val="00262A1A"/>
    <w:rsid w:val="00262A87"/>
    <w:rsid w:val="00262BCF"/>
    <w:rsid w:val="00262C6E"/>
    <w:rsid w:val="00262E48"/>
    <w:rsid w:val="00262EE0"/>
    <w:rsid w:val="00263487"/>
    <w:rsid w:val="0026399D"/>
    <w:rsid w:val="002644BA"/>
    <w:rsid w:val="00264507"/>
    <w:rsid w:val="00264571"/>
    <w:rsid w:val="002646B3"/>
    <w:rsid w:val="00264C7C"/>
    <w:rsid w:val="00264D26"/>
    <w:rsid w:val="00264DB1"/>
    <w:rsid w:val="00264E58"/>
    <w:rsid w:val="002651A6"/>
    <w:rsid w:val="002656CF"/>
    <w:rsid w:val="0026592D"/>
    <w:rsid w:val="00265BF1"/>
    <w:rsid w:val="00265CCD"/>
    <w:rsid w:val="00266592"/>
    <w:rsid w:val="0026668D"/>
    <w:rsid w:val="002667AE"/>
    <w:rsid w:val="00266AB2"/>
    <w:rsid w:val="00266EF0"/>
    <w:rsid w:val="00267106"/>
    <w:rsid w:val="00267424"/>
    <w:rsid w:val="002675A8"/>
    <w:rsid w:val="00267642"/>
    <w:rsid w:val="00267725"/>
    <w:rsid w:val="002678FB"/>
    <w:rsid w:val="00267AEA"/>
    <w:rsid w:val="002700E6"/>
    <w:rsid w:val="00270326"/>
    <w:rsid w:val="00270ACE"/>
    <w:rsid w:val="002714A1"/>
    <w:rsid w:val="00271955"/>
    <w:rsid w:val="00271A0F"/>
    <w:rsid w:val="00271AB6"/>
    <w:rsid w:val="00271B28"/>
    <w:rsid w:val="00271C96"/>
    <w:rsid w:val="00272272"/>
    <w:rsid w:val="002723BA"/>
    <w:rsid w:val="00272588"/>
    <w:rsid w:val="002727A6"/>
    <w:rsid w:val="0027294B"/>
    <w:rsid w:val="00272BA7"/>
    <w:rsid w:val="00272D10"/>
    <w:rsid w:val="00272E53"/>
    <w:rsid w:val="002731CE"/>
    <w:rsid w:val="002732E9"/>
    <w:rsid w:val="00273383"/>
    <w:rsid w:val="0027341F"/>
    <w:rsid w:val="0027352E"/>
    <w:rsid w:val="002735CE"/>
    <w:rsid w:val="00273B56"/>
    <w:rsid w:val="00273CEE"/>
    <w:rsid w:val="00273E38"/>
    <w:rsid w:val="00273EB4"/>
    <w:rsid w:val="00273F1E"/>
    <w:rsid w:val="00274167"/>
    <w:rsid w:val="0027416A"/>
    <w:rsid w:val="0027431D"/>
    <w:rsid w:val="00274324"/>
    <w:rsid w:val="00274430"/>
    <w:rsid w:val="00274518"/>
    <w:rsid w:val="002745E4"/>
    <w:rsid w:val="00274649"/>
    <w:rsid w:val="00274682"/>
    <w:rsid w:val="00274D05"/>
    <w:rsid w:val="00274F8B"/>
    <w:rsid w:val="00275158"/>
    <w:rsid w:val="0027538A"/>
    <w:rsid w:val="00275426"/>
    <w:rsid w:val="0027555D"/>
    <w:rsid w:val="00275622"/>
    <w:rsid w:val="0027567F"/>
    <w:rsid w:val="00275749"/>
    <w:rsid w:val="00275750"/>
    <w:rsid w:val="002758DC"/>
    <w:rsid w:val="002759EF"/>
    <w:rsid w:val="00275A28"/>
    <w:rsid w:val="00275C5A"/>
    <w:rsid w:val="00275D43"/>
    <w:rsid w:val="00275E7A"/>
    <w:rsid w:val="0027615A"/>
    <w:rsid w:val="00276171"/>
    <w:rsid w:val="002765D4"/>
    <w:rsid w:val="00276633"/>
    <w:rsid w:val="00276916"/>
    <w:rsid w:val="002769AE"/>
    <w:rsid w:val="00277420"/>
    <w:rsid w:val="0027768B"/>
    <w:rsid w:val="002776AD"/>
    <w:rsid w:val="002779C9"/>
    <w:rsid w:val="00277A46"/>
    <w:rsid w:val="00277C08"/>
    <w:rsid w:val="0028005C"/>
    <w:rsid w:val="002800F5"/>
    <w:rsid w:val="002803AB"/>
    <w:rsid w:val="002803CE"/>
    <w:rsid w:val="00280410"/>
    <w:rsid w:val="00280577"/>
    <w:rsid w:val="00280793"/>
    <w:rsid w:val="002807EF"/>
    <w:rsid w:val="00280A1C"/>
    <w:rsid w:val="00280AA6"/>
    <w:rsid w:val="00280DB9"/>
    <w:rsid w:val="00281014"/>
    <w:rsid w:val="002812C4"/>
    <w:rsid w:val="00281FF9"/>
    <w:rsid w:val="002820F1"/>
    <w:rsid w:val="002822C9"/>
    <w:rsid w:val="002827B5"/>
    <w:rsid w:val="002829A6"/>
    <w:rsid w:val="00282B3E"/>
    <w:rsid w:val="00282D78"/>
    <w:rsid w:val="00282E02"/>
    <w:rsid w:val="00282E2C"/>
    <w:rsid w:val="0028308D"/>
    <w:rsid w:val="0028337C"/>
    <w:rsid w:val="00283400"/>
    <w:rsid w:val="00283433"/>
    <w:rsid w:val="002834D3"/>
    <w:rsid w:val="00283584"/>
    <w:rsid w:val="00283678"/>
    <w:rsid w:val="002837B6"/>
    <w:rsid w:val="00283940"/>
    <w:rsid w:val="00283968"/>
    <w:rsid w:val="002839E1"/>
    <w:rsid w:val="002839ED"/>
    <w:rsid w:val="00283A46"/>
    <w:rsid w:val="00283A61"/>
    <w:rsid w:val="00283D08"/>
    <w:rsid w:val="002841E6"/>
    <w:rsid w:val="0028453A"/>
    <w:rsid w:val="002848B8"/>
    <w:rsid w:val="00284919"/>
    <w:rsid w:val="00284B46"/>
    <w:rsid w:val="00284E65"/>
    <w:rsid w:val="00285219"/>
    <w:rsid w:val="00285700"/>
    <w:rsid w:val="00285A83"/>
    <w:rsid w:val="00285AEB"/>
    <w:rsid w:val="00285BCE"/>
    <w:rsid w:val="00285F7C"/>
    <w:rsid w:val="00286154"/>
    <w:rsid w:val="002862E7"/>
    <w:rsid w:val="0028648F"/>
    <w:rsid w:val="0028662F"/>
    <w:rsid w:val="0028665D"/>
    <w:rsid w:val="00286800"/>
    <w:rsid w:val="00286A44"/>
    <w:rsid w:val="00286EF7"/>
    <w:rsid w:val="00286F90"/>
    <w:rsid w:val="00286FCC"/>
    <w:rsid w:val="00287176"/>
    <w:rsid w:val="00287210"/>
    <w:rsid w:val="002874B4"/>
    <w:rsid w:val="002875A7"/>
    <w:rsid w:val="00287753"/>
    <w:rsid w:val="00287C88"/>
    <w:rsid w:val="00290046"/>
    <w:rsid w:val="00290067"/>
    <w:rsid w:val="002904C3"/>
    <w:rsid w:val="00290940"/>
    <w:rsid w:val="00290C00"/>
    <w:rsid w:val="00290DD1"/>
    <w:rsid w:val="00291063"/>
    <w:rsid w:val="0029119B"/>
    <w:rsid w:val="002918C4"/>
    <w:rsid w:val="00291A66"/>
    <w:rsid w:val="00291B0C"/>
    <w:rsid w:val="00291E48"/>
    <w:rsid w:val="00291E9C"/>
    <w:rsid w:val="0029236E"/>
    <w:rsid w:val="002925D7"/>
    <w:rsid w:val="002929F3"/>
    <w:rsid w:val="00292A40"/>
    <w:rsid w:val="00292B6F"/>
    <w:rsid w:val="00292E5A"/>
    <w:rsid w:val="00293188"/>
    <w:rsid w:val="002931C5"/>
    <w:rsid w:val="0029332A"/>
    <w:rsid w:val="002935DE"/>
    <w:rsid w:val="00293651"/>
    <w:rsid w:val="00293D8E"/>
    <w:rsid w:val="0029479A"/>
    <w:rsid w:val="00294A3E"/>
    <w:rsid w:val="00294A5C"/>
    <w:rsid w:val="00294BF8"/>
    <w:rsid w:val="00294DA8"/>
    <w:rsid w:val="00294EFE"/>
    <w:rsid w:val="00294FF9"/>
    <w:rsid w:val="002950E6"/>
    <w:rsid w:val="00295212"/>
    <w:rsid w:val="002954AD"/>
    <w:rsid w:val="002954F6"/>
    <w:rsid w:val="0029570C"/>
    <w:rsid w:val="00295A11"/>
    <w:rsid w:val="00295D0F"/>
    <w:rsid w:val="00295D53"/>
    <w:rsid w:val="0029601A"/>
    <w:rsid w:val="0029603F"/>
    <w:rsid w:val="0029616E"/>
    <w:rsid w:val="00296492"/>
    <w:rsid w:val="002965C1"/>
    <w:rsid w:val="00296650"/>
    <w:rsid w:val="002967F6"/>
    <w:rsid w:val="002968F8"/>
    <w:rsid w:val="00296A0B"/>
    <w:rsid w:val="00296B86"/>
    <w:rsid w:val="00296BD8"/>
    <w:rsid w:val="00296BF5"/>
    <w:rsid w:val="00296E6B"/>
    <w:rsid w:val="00297438"/>
    <w:rsid w:val="002975BD"/>
    <w:rsid w:val="002976AF"/>
    <w:rsid w:val="00297812"/>
    <w:rsid w:val="00297B68"/>
    <w:rsid w:val="00297CEA"/>
    <w:rsid w:val="00297DB0"/>
    <w:rsid w:val="00297E13"/>
    <w:rsid w:val="00297E38"/>
    <w:rsid w:val="002A02FF"/>
    <w:rsid w:val="002A0464"/>
    <w:rsid w:val="002A0490"/>
    <w:rsid w:val="002A067E"/>
    <w:rsid w:val="002A0B5A"/>
    <w:rsid w:val="002A0BCD"/>
    <w:rsid w:val="002A0E71"/>
    <w:rsid w:val="002A108A"/>
    <w:rsid w:val="002A12E0"/>
    <w:rsid w:val="002A140A"/>
    <w:rsid w:val="002A148C"/>
    <w:rsid w:val="002A14AB"/>
    <w:rsid w:val="002A14DF"/>
    <w:rsid w:val="002A19EB"/>
    <w:rsid w:val="002A1BB6"/>
    <w:rsid w:val="002A1D4C"/>
    <w:rsid w:val="002A1E51"/>
    <w:rsid w:val="002A202F"/>
    <w:rsid w:val="002A20FE"/>
    <w:rsid w:val="002A234C"/>
    <w:rsid w:val="002A2AC5"/>
    <w:rsid w:val="002A2ADE"/>
    <w:rsid w:val="002A2C56"/>
    <w:rsid w:val="002A2F50"/>
    <w:rsid w:val="002A3018"/>
    <w:rsid w:val="002A3219"/>
    <w:rsid w:val="002A32C5"/>
    <w:rsid w:val="002A3507"/>
    <w:rsid w:val="002A36C0"/>
    <w:rsid w:val="002A3A6B"/>
    <w:rsid w:val="002A3CFD"/>
    <w:rsid w:val="002A3D1D"/>
    <w:rsid w:val="002A3D91"/>
    <w:rsid w:val="002A40A6"/>
    <w:rsid w:val="002A42E4"/>
    <w:rsid w:val="002A47AB"/>
    <w:rsid w:val="002A47B6"/>
    <w:rsid w:val="002A4885"/>
    <w:rsid w:val="002A4A42"/>
    <w:rsid w:val="002A4AC8"/>
    <w:rsid w:val="002A4B9F"/>
    <w:rsid w:val="002A4F59"/>
    <w:rsid w:val="002A5074"/>
    <w:rsid w:val="002A552E"/>
    <w:rsid w:val="002A5919"/>
    <w:rsid w:val="002A598C"/>
    <w:rsid w:val="002A5FC3"/>
    <w:rsid w:val="002A6043"/>
    <w:rsid w:val="002A63DC"/>
    <w:rsid w:val="002A6618"/>
    <w:rsid w:val="002A717F"/>
    <w:rsid w:val="002A72C6"/>
    <w:rsid w:val="002A7943"/>
    <w:rsid w:val="002A7BC5"/>
    <w:rsid w:val="002A7C16"/>
    <w:rsid w:val="002A7FDD"/>
    <w:rsid w:val="002B0140"/>
    <w:rsid w:val="002B0262"/>
    <w:rsid w:val="002B0291"/>
    <w:rsid w:val="002B05A1"/>
    <w:rsid w:val="002B066D"/>
    <w:rsid w:val="002B0819"/>
    <w:rsid w:val="002B09A4"/>
    <w:rsid w:val="002B09E5"/>
    <w:rsid w:val="002B0B3E"/>
    <w:rsid w:val="002B0C72"/>
    <w:rsid w:val="002B0D66"/>
    <w:rsid w:val="002B0F14"/>
    <w:rsid w:val="002B1230"/>
    <w:rsid w:val="002B1729"/>
    <w:rsid w:val="002B17B4"/>
    <w:rsid w:val="002B191A"/>
    <w:rsid w:val="002B1939"/>
    <w:rsid w:val="002B193E"/>
    <w:rsid w:val="002B19FD"/>
    <w:rsid w:val="002B1C1F"/>
    <w:rsid w:val="002B1DF4"/>
    <w:rsid w:val="002B243E"/>
    <w:rsid w:val="002B26E2"/>
    <w:rsid w:val="002B28FD"/>
    <w:rsid w:val="002B2A49"/>
    <w:rsid w:val="002B2AFC"/>
    <w:rsid w:val="002B2BC0"/>
    <w:rsid w:val="002B2D3B"/>
    <w:rsid w:val="002B2E83"/>
    <w:rsid w:val="002B2EE4"/>
    <w:rsid w:val="002B2EF8"/>
    <w:rsid w:val="002B2FCD"/>
    <w:rsid w:val="002B2FFA"/>
    <w:rsid w:val="002B3566"/>
    <w:rsid w:val="002B3850"/>
    <w:rsid w:val="002B3A7F"/>
    <w:rsid w:val="002B3C7C"/>
    <w:rsid w:val="002B3E3A"/>
    <w:rsid w:val="002B3E61"/>
    <w:rsid w:val="002B3F11"/>
    <w:rsid w:val="002B40CB"/>
    <w:rsid w:val="002B432F"/>
    <w:rsid w:val="002B44AD"/>
    <w:rsid w:val="002B48F8"/>
    <w:rsid w:val="002B4A05"/>
    <w:rsid w:val="002B4B39"/>
    <w:rsid w:val="002B4EB6"/>
    <w:rsid w:val="002B502C"/>
    <w:rsid w:val="002B52CD"/>
    <w:rsid w:val="002B537D"/>
    <w:rsid w:val="002B557B"/>
    <w:rsid w:val="002B583A"/>
    <w:rsid w:val="002B5A31"/>
    <w:rsid w:val="002B5B14"/>
    <w:rsid w:val="002B5CA5"/>
    <w:rsid w:val="002B62B3"/>
    <w:rsid w:val="002B638B"/>
    <w:rsid w:val="002B64D5"/>
    <w:rsid w:val="002B6754"/>
    <w:rsid w:val="002B6A1E"/>
    <w:rsid w:val="002B6CCE"/>
    <w:rsid w:val="002B714E"/>
    <w:rsid w:val="002B71A8"/>
    <w:rsid w:val="002B77A7"/>
    <w:rsid w:val="002B781A"/>
    <w:rsid w:val="002B7A70"/>
    <w:rsid w:val="002B7ACE"/>
    <w:rsid w:val="002B7E90"/>
    <w:rsid w:val="002C04DF"/>
    <w:rsid w:val="002C054C"/>
    <w:rsid w:val="002C0A54"/>
    <w:rsid w:val="002C0BD8"/>
    <w:rsid w:val="002C11E4"/>
    <w:rsid w:val="002C129C"/>
    <w:rsid w:val="002C1420"/>
    <w:rsid w:val="002C14EE"/>
    <w:rsid w:val="002C1672"/>
    <w:rsid w:val="002C1932"/>
    <w:rsid w:val="002C1D0A"/>
    <w:rsid w:val="002C1E16"/>
    <w:rsid w:val="002C1E77"/>
    <w:rsid w:val="002C1EA0"/>
    <w:rsid w:val="002C1FE6"/>
    <w:rsid w:val="002C2166"/>
    <w:rsid w:val="002C23F8"/>
    <w:rsid w:val="002C2510"/>
    <w:rsid w:val="002C2775"/>
    <w:rsid w:val="002C27C1"/>
    <w:rsid w:val="002C2ADB"/>
    <w:rsid w:val="002C2D40"/>
    <w:rsid w:val="002C2DD1"/>
    <w:rsid w:val="002C2DF0"/>
    <w:rsid w:val="002C30B2"/>
    <w:rsid w:val="002C3279"/>
    <w:rsid w:val="002C32C9"/>
    <w:rsid w:val="002C3368"/>
    <w:rsid w:val="002C36E3"/>
    <w:rsid w:val="002C3901"/>
    <w:rsid w:val="002C39DF"/>
    <w:rsid w:val="002C3B54"/>
    <w:rsid w:val="002C3BD9"/>
    <w:rsid w:val="002C3E5D"/>
    <w:rsid w:val="002C43E6"/>
    <w:rsid w:val="002C45D8"/>
    <w:rsid w:val="002C45E9"/>
    <w:rsid w:val="002C4EA2"/>
    <w:rsid w:val="002C5099"/>
    <w:rsid w:val="002C52BE"/>
    <w:rsid w:val="002C5490"/>
    <w:rsid w:val="002C556D"/>
    <w:rsid w:val="002C5889"/>
    <w:rsid w:val="002C5AF9"/>
    <w:rsid w:val="002C5B52"/>
    <w:rsid w:val="002C61C4"/>
    <w:rsid w:val="002C6218"/>
    <w:rsid w:val="002C635A"/>
    <w:rsid w:val="002C63C4"/>
    <w:rsid w:val="002C63DC"/>
    <w:rsid w:val="002C6584"/>
    <w:rsid w:val="002C66E1"/>
    <w:rsid w:val="002C6A41"/>
    <w:rsid w:val="002C6F21"/>
    <w:rsid w:val="002C7119"/>
    <w:rsid w:val="002C71CE"/>
    <w:rsid w:val="002C771C"/>
    <w:rsid w:val="002C7AC4"/>
    <w:rsid w:val="002C7EB4"/>
    <w:rsid w:val="002D02E2"/>
    <w:rsid w:val="002D03CA"/>
    <w:rsid w:val="002D07FE"/>
    <w:rsid w:val="002D0812"/>
    <w:rsid w:val="002D08A6"/>
    <w:rsid w:val="002D08F8"/>
    <w:rsid w:val="002D0B03"/>
    <w:rsid w:val="002D1150"/>
    <w:rsid w:val="002D1165"/>
    <w:rsid w:val="002D11EA"/>
    <w:rsid w:val="002D13C9"/>
    <w:rsid w:val="002D13F5"/>
    <w:rsid w:val="002D15AF"/>
    <w:rsid w:val="002D1AA1"/>
    <w:rsid w:val="002D1AE5"/>
    <w:rsid w:val="002D1BDD"/>
    <w:rsid w:val="002D1DBF"/>
    <w:rsid w:val="002D1F2D"/>
    <w:rsid w:val="002D20F8"/>
    <w:rsid w:val="002D211D"/>
    <w:rsid w:val="002D2154"/>
    <w:rsid w:val="002D236F"/>
    <w:rsid w:val="002D23E6"/>
    <w:rsid w:val="002D2416"/>
    <w:rsid w:val="002D24B8"/>
    <w:rsid w:val="002D27A9"/>
    <w:rsid w:val="002D2B79"/>
    <w:rsid w:val="002D2C20"/>
    <w:rsid w:val="002D2DDA"/>
    <w:rsid w:val="002D2EED"/>
    <w:rsid w:val="002D317A"/>
    <w:rsid w:val="002D3231"/>
    <w:rsid w:val="002D3363"/>
    <w:rsid w:val="002D3778"/>
    <w:rsid w:val="002D37E9"/>
    <w:rsid w:val="002D39FB"/>
    <w:rsid w:val="002D3A02"/>
    <w:rsid w:val="002D3AE5"/>
    <w:rsid w:val="002D3B25"/>
    <w:rsid w:val="002D3F52"/>
    <w:rsid w:val="002D420F"/>
    <w:rsid w:val="002D478F"/>
    <w:rsid w:val="002D47D1"/>
    <w:rsid w:val="002D4C31"/>
    <w:rsid w:val="002D4E0E"/>
    <w:rsid w:val="002D4F29"/>
    <w:rsid w:val="002D51D5"/>
    <w:rsid w:val="002D5205"/>
    <w:rsid w:val="002D5576"/>
    <w:rsid w:val="002D577C"/>
    <w:rsid w:val="002D5A6D"/>
    <w:rsid w:val="002D653A"/>
    <w:rsid w:val="002D666A"/>
    <w:rsid w:val="002D6874"/>
    <w:rsid w:val="002D6891"/>
    <w:rsid w:val="002D6965"/>
    <w:rsid w:val="002D69FC"/>
    <w:rsid w:val="002D6C42"/>
    <w:rsid w:val="002D6C48"/>
    <w:rsid w:val="002D7310"/>
    <w:rsid w:val="002D773E"/>
    <w:rsid w:val="002D77C6"/>
    <w:rsid w:val="002D7832"/>
    <w:rsid w:val="002D795D"/>
    <w:rsid w:val="002D7A55"/>
    <w:rsid w:val="002D7A74"/>
    <w:rsid w:val="002D7E07"/>
    <w:rsid w:val="002E0639"/>
    <w:rsid w:val="002E0698"/>
    <w:rsid w:val="002E07D7"/>
    <w:rsid w:val="002E096C"/>
    <w:rsid w:val="002E09C2"/>
    <w:rsid w:val="002E0D6A"/>
    <w:rsid w:val="002E0E96"/>
    <w:rsid w:val="002E104F"/>
    <w:rsid w:val="002E1071"/>
    <w:rsid w:val="002E11EB"/>
    <w:rsid w:val="002E1316"/>
    <w:rsid w:val="002E15B9"/>
    <w:rsid w:val="002E1644"/>
    <w:rsid w:val="002E18CE"/>
    <w:rsid w:val="002E1F90"/>
    <w:rsid w:val="002E2003"/>
    <w:rsid w:val="002E2158"/>
    <w:rsid w:val="002E2C62"/>
    <w:rsid w:val="002E2D38"/>
    <w:rsid w:val="002E2D70"/>
    <w:rsid w:val="002E3058"/>
    <w:rsid w:val="002E314F"/>
    <w:rsid w:val="002E3584"/>
    <w:rsid w:val="002E3590"/>
    <w:rsid w:val="002E3D96"/>
    <w:rsid w:val="002E3DD3"/>
    <w:rsid w:val="002E4122"/>
    <w:rsid w:val="002E46CC"/>
    <w:rsid w:val="002E496D"/>
    <w:rsid w:val="002E4A36"/>
    <w:rsid w:val="002E4A88"/>
    <w:rsid w:val="002E4B40"/>
    <w:rsid w:val="002E4B8A"/>
    <w:rsid w:val="002E4BB2"/>
    <w:rsid w:val="002E4C61"/>
    <w:rsid w:val="002E4DD7"/>
    <w:rsid w:val="002E4F02"/>
    <w:rsid w:val="002E51FA"/>
    <w:rsid w:val="002E521D"/>
    <w:rsid w:val="002E5591"/>
    <w:rsid w:val="002E55E2"/>
    <w:rsid w:val="002E575C"/>
    <w:rsid w:val="002E58C3"/>
    <w:rsid w:val="002E58DE"/>
    <w:rsid w:val="002E5C14"/>
    <w:rsid w:val="002E5F30"/>
    <w:rsid w:val="002E5F4B"/>
    <w:rsid w:val="002E65E6"/>
    <w:rsid w:val="002E6795"/>
    <w:rsid w:val="002E6809"/>
    <w:rsid w:val="002E68C3"/>
    <w:rsid w:val="002E6AC0"/>
    <w:rsid w:val="002E6E70"/>
    <w:rsid w:val="002E6E82"/>
    <w:rsid w:val="002E6EB2"/>
    <w:rsid w:val="002E726B"/>
    <w:rsid w:val="002E72FC"/>
    <w:rsid w:val="002E7451"/>
    <w:rsid w:val="002E75EF"/>
    <w:rsid w:val="002E7644"/>
    <w:rsid w:val="002E7722"/>
    <w:rsid w:val="002E7AB6"/>
    <w:rsid w:val="002E7B3D"/>
    <w:rsid w:val="002E7CD8"/>
    <w:rsid w:val="002F0160"/>
    <w:rsid w:val="002F026B"/>
    <w:rsid w:val="002F054B"/>
    <w:rsid w:val="002F0623"/>
    <w:rsid w:val="002F06B0"/>
    <w:rsid w:val="002F07BA"/>
    <w:rsid w:val="002F0ADB"/>
    <w:rsid w:val="002F0DA9"/>
    <w:rsid w:val="002F0F24"/>
    <w:rsid w:val="002F1014"/>
    <w:rsid w:val="002F102A"/>
    <w:rsid w:val="002F1097"/>
    <w:rsid w:val="002F10DA"/>
    <w:rsid w:val="002F1B88"/>
    <w:rsid w:val="002F1D55"/>
    <w:rsid w:val="002F1E3B"/>
    <w:rsid w:val="002F2BA6"/>
    <w:rsid w:val="002F2D68"/>
    <w:rsid w:val="002F309A"/>
    <w:rsid w:val="002F31A3"/>
    <w:rsid w:val="002F3639"/>
    <w:rsid w:val="002F3FCB"/>
    <w:rsid w:val="002F412F"/>
    <w:rsid w:val="002F4299"/>
    <w:rsid w:val="002F431D"/>
    <w:rsid w:val="002F4742"/>
    <w:rsid w:val="002F47C6"/>
    <w:rsid w:val="002F4884"/>
    <w:rsid w:val="002F4D3F"/>
    <w:rsid w:val="002F4F90"/>
    <w:rsid w:val="002F54B1"/>
    <w:rsid w:val="002F574B"/>
    <w:rsid w:val="002F59DF"/>
    <w:rsid w:val="002F5AE2"/>
    <w:rsid w:val="002F5C23"/>
    <w:rsid w:val="002F5E64"/>
    <w:rsid w:val="002F5F72"/>
    <w:rsid w:val="002F60EA"/>
    <w:rsid w:val="002F62AA"/>
    <w:rsid w:val="002F63A8"/>
    <w:rsid w:val="002F643C"/>
    <w:rsid w:val="002F64DA"/>
    <w:rsid w:val="002F663F"/>
    <w:rsid w:val="002F6717"/>
    <w:rsid w:val="002F67B6"/>
    <w:rsid w:val="002F67BB"/>
    <w:rsid w:val="002F6863"/>
    <w:rsid w:val="002F68BC"/>
    <w:rsid w:val="002F6E97"/>
    <w:rsid w:val="002F6EA3"/>
    <w:rsid w:val="002F6F2A"/>
    <w:rsid w:val="002F707F"/>
    <w:rsid w:val="002F712D"/>
    <w:rsid w:val="002F71C0"/>
    <w:rsid w:val="002F71F0"/>
    <w:rsid w:val="002F74F1"/>
    <w:rsid w:val="002F752E"/>
    <w:rsid w:val="002F7CEA"/>
    <w:rsid w:val="002F7E06"/>
    <w:rsid w:val="003003C8"/>
    <w:rsid w:val="003004D9"/>
    <w:rsid w:val="00300532"/>
    <w:rsid w:val="00300753"/>
    <w:rsid w:val="00300788"/>
    <w:rsid w:val="00300F9E"/>
    <w:rsid w:val="00301017"/>
    <w:rsid w:val="003013A2"/>
    <w:rsid w:val="00301544"/>
    <w:rsid w:val="00301551"/>
    <w:rsid w:val="0030155F"/>
    <w:rsid w:val="00301867"/>
    <w:rsid w:val="003018AC"/>
    <w:rsid w:val="00301A2F"/>
    <w:rsid w:val="00301B12"/>
    <w:rsid w:val="00301CAA"/>
    <w:rsid w:val="00301E46"/>
    <w:rsid w:val="00302183"/>
    <w:rsid w:val="003022B2"/>
    <w:rsid w:val="0030231C"/>
    <w:rsid w:val="003023B6"/>
    <w:rsid w:val="003029AE"/>
    <w:rsid w:val="00302AE3"/>
    <w:rsid w:val="00303067"/>
    <w:rsid w:val="00303124"/>
    <w:rsid w:val="0030318F"/>
    <w:rsid w:val="0030328F"/>
    <w:rsid w:val="00303423"/>
    <w:rsid w:val="003035DF"/>
    <w:rsid w:val="003035EA"/>
    <w:rsid w:val="0030361E"/>
    <w:rsid w:val="00303688"/>
    <w:rsid w:val="003037C1"/>
    <w:rsid w:val="003038FC"/>
    <w:rsid w:val="00303FD9"/>
    <w:rsid w:val="003042B9"/>
    <w:rsid w:val="0030433B"/>
    <w:rsid w:val="00304564"/>
    <w:rsid w:val="003047D7"/>
    <w:rsid w:val="00304AF8"/>
    <w:rsid w:val="00304F8B"/>
    <w:rsid w:val="0030503D"/>
    <w:rsid w:val="00305172"/>
    <w:rsid w:val="003054B2"/>
    <w:rsid w:val="0030587B"/>
    <w:rsid w:val="00305907"/>
    <w:rsid w:val="00305B40"/>
    <w:rsid w:val="00305F94"/>
    <w:rsid w:val="00306103"/>
    <w:rsid w:val="003061E4"/>
    <w:rsid w:val="00306835"/>
    <w:rsid w:val="003068C2"/>
    <w:rsid w:val="00306942"/>
    <w:rsid w:val="00306CCE"/>
    <w:rsid w:val="00306D6D"/>
    <w:rsid w:val="00306D98"/>
    <w:rsid w:val="00306E6D"/>
    <w:rsid w:val="00307109"/>
    <w:rsid w:val="00307303"/>
    <w:rsid w:val="00307326"/>
    <w:rsid w:val="00307442"/>
    <w:rsid w:val="0030744E"/>
    <w:rsid w:val="003074CA"/>
    <w:rsid w:val="00307580"/>
    <w:rsid w:val="003075E7"/>
    <w:rsid w:val="00307610"/>
    <w:rsid w:val="00307672"/>
    <w:rsid w:val="0030786C"/>
    <w:rsid w:val="00307981"/>
    <w:rsid w:val="00307A97"/>
    <w:rsid w:val="003100B1"/>
    <w:rsid w:val="00310173"/>
    <w:rsid w:val="003102E1"/>
    <w:rsid w:val="0031031A"/>
    <w:rsid w:val="0031045B"/>
    <w:rsid w:val="00310981"/>
    <w:rsid w:val="00310B40"/>
    <w:rsid w:val="00310BB6"/>
    <w:rsid w:val="00310F4D"/>
    <w:rsid w:val="00311078"/>
    <w:rsid w:val="00311367"/>
    <w:rsid w:val="00311A1C"/>
    <w:rsid w:val="00311C5B"/>
    <w:rsid w:val="00311D9B"/>
    <w:rsid w:val="00311F16"/>
    <w:rsid w:val="00312008"/>
    <w:rsid w:val="00312374"/>
    <w:rsid w:val="003124D9"/>
    <w:rsid w:val="00312569"/>
    <w:rsid w:val="00312594"/>
    <w:rsid w:val="003127BF"/>
    <w:rsid w:val="00313216"/>
    <w:rsid w:val="0031330F"/>
    <w:rsid w:val="003134D5"/>
    <w:rsid w:val="00313A65"/>
    <w:rsid w:val="00313C2A"/>
    <w:rsid w:val="00313D2A"/>
    <w:rsid w:val="00313E09"/>
    <w:rsid w:val="00313E74"/>
    <w:rsid w:val="0031448D"/>
    <w:rsid w:val="003146DF"/>
    <w:rsid w:val="00314D67"/>
    <w:rsid w:val="003150CD"/>
    <w:rsid w:val="003151E1"/>
    <w:rsid w:val="00315498"/>
    <w:rsid w:val="00315B1D"/>
    <w:rsid w:val="00315C15"/>
    <w:rsid w:val="0031616C"/>
    <w:rsid w:val="00316337"/>
    <w:rsid w:val="00316474"/>
    <w:rsid w:val="003165B6"/>
    <w:rsid w:val="00316784"/>
    <w:rsid w:val="00316BED"/>
    <w:rsid w:val="00316C8D"/>
    <w:rsid w:val="00316CCC"/>
    <w:rsid w:val="00316D29"/>
    <w:rsid w:val="003174CE"/>
    <w:rsid w:val="003174DD"/>
    <w:rsid w:val="003175CA"/>
    <w:rsid w:val="00317920"/>
    <w:rsid w:val="00317D75"/>
    <w:rsid w:val="00317D99"/>
    <w:rsid w:val="00317DF3"/>
    <w:rsid w:val="00317E65"/>
    <w:rsid w:val="00320249"/>
    <w:rsid w:val="003202D4"/>
    <w:rsid w:val="00320744"/>
    <w:rsid w:val="003208A1"/>
    <w:rsid w:val="00320DA2"/>
    <w:rsid w:val="00320F28"/>
    <w:rsid w:val="00321372"/>
    <w:rsid w:val="003213BE"/>
    <w:rsid w:val="003213EB"/>
    <w:rsid w:val="00321479"/>
    <w:rsid w:val="00321929"/>
    <w:rsid w:val="00321E59"/>
    <w:rsid w:val="00321E8E"/>
    <w:rsid w:val="00322107"/>
    <w:rsid w:val="00322355"/>
    <w:rsid w:val="00322846"/>
    <w:rsid w:val="00322BC0"/>
    <w:rsid w:val="00322D6E"/>
    <w:rsid w:val="0032310A"/>
    <w:rsid w:val="00323205"/>
    <w:rsid w:val="003233AA"/>
    <w:rsid w:val="0032394C"/>
    <w:rsid w:val="00323AC7"/>
    <w:rsid w:val="00323B2B"/>
    <w:rsid w:val="00323DDA"/>
    <w:rsid w:val="00323F5B"/>
    <w:rsid w:val="003240EB"/>
    <w:rsid w:val="0032434E"/>
    <w:rsid w:val="00324990"/>
    <w:rsid w:val="003249F9"/>
    <w:rsid w:val="00324FC5"/>
    <w:rsid w:val="003256D7"/>
    <w:rsid w:val="00325721"/>
    <w:rsid w:val="00325740"/>
    <w:rsid w:val="0032577C"/>
    <w:rsid w:val="00325CC0"/>
    <w:rsid w:val="00325D1C"/>
    <w:rsid w:val="00325D65"/>
    <w:rsid w:val="00325E95"/>
    <w:rsid w:val="00326050"/>
    <w:rsid w:val="00326176"/>
    <w:rsid w:val="003261AA"/>
    <w:rsid w:val="003261AD"/>
    <w:rsid w:val="0032625F"/>
    <w:rsid w:val="003262A0"/>
    <w:rsid w:val="0032631F"/>
    <w:rsid w:val="003263A2"/>
    <w:rsid w:val="003263C5"/>
    <w:rsid w:val="00326431"/>
    <w:rsid w:val="00326872"/>
    <w:rsid w:val="003268B6"/>
    <w:rsid w:val="00326A6B"/>
    <w:rsid w:val="00326D19"/>
    <w:rsid w:val="00326DA7"/>
    <w:rsid w:val="00326DC4"/>
    <w:rsid w:val="003270E4"/>
    <w:rsid w:val="003274D8"/>
    <w:rsid w:val="00327A1B"/>
    <w:rsid w:val="00327C04"/>
    <w:rsid w:val="00327C95"/>
    <w:rsid w:val="00327D06"/>
    <w:rsid w:val="003304C7"/>
    <w:rsid w:val="00330526"/>
    <w:rsid w:val="00330545"/>
    <w:rsid w:val="00330CE2"/>
    <w:rsid w:val="00330DAA"/>
    <w:rsid w:val="00330F5C"/>
    <w:rsid w:val="00330FD1"/>
    <w:rsid w:val="00331004"/>
    <w:rsid w:val="0033108B"/>
    <w:rsid w:val="00331178"/>
    <w:rsid w:val="003311CA"/>
    <w:rsid w:val="00331245"/>
    <w:rsid w:val="003312B4"/>
    <w:rsid w:val="003314C1"/>
    <w:rsid w:val="003317CD"/>
    <w:rsid w:val="00331A30"/>
    <w:rsid w:val="00331CFB"/>
    <w:rsid w:val="00332070"/>
    <w:rsid w:val="00332086"/>
    <w:rsid w:val="00332435"/>
    <w:rsid w:val="00332554"/>
    <w:rsid w:val="003326CD"/>
    <w:rsid w:val="0033289B"/>
    <w:rsid w:val="00332B63"/>
    <w:rsid w:val="00332D85"/>
    <w:rsid w:val="0033328A"/>
    <w:rsid w:val="00333345"/>
    <w:rsid w:val="003333D8"/>
    <w:rsid w:val="003333FC"/>
    <w:rsid w:val="0033358B"/>
    <w:rsid w:val="003337AE"/>
    <w:rsid w:val="00333853"/>
    <w:rsid w:val="0033397A"/>
    <w:rsid w:val="00333E5D"/>
    <w:rsid w:val="0033412F"/>
    <w:rsid w:val="0033421B"/>
    <w:rsid w:val="003345CE"/>
    <w:rsid w:val="003346A7"/>
    <w:rsid w:val="003347BD"/>
    <w:rsid w:val="003348A5"/>
    <w:rsid w:val="00334DBA"/>
    <w:rsid w:val="00334DE9"/>
    <w:rsid w:val="00334F03"/>
    <w:rsid w:val="00335269"/>
    <w:rsid w:val="0033527E"/>
    <w:rsid w:val="003352BF"/>
    <w:rsid w:val="003353F7"/>
    <w:rsid w:val="00335404"/>
    <w:rsid w:val="00335781"/>
    <w:rsid w:val="00336011"/>
    <w:rsid w:val="003366C9"/>
    <w:rsid w:val="00336DCE"/>
    <w:rsid w:val="00336E51"/>
    <w:rsid w:val="00336F07"/>
    <w:rsid w:val="00337078"/>
    <w:rsid w:val="003371B0"/>
    <w:rsid w:val="00337A5C"/>
    <w:rsid w:val="00337C2E"/>
    <w:rsid w:val="0034000A"/>
    <w:rsid w:val="00340090"/>
    <w:rsid w:val="0034011E"/>
    <w:rsid w:val="00340148"/>
    <w:rsid w:val="00340248"/>
    <w:rsid w:val="003406A7"/>
    <w:rsid w:val="003408C5"/>
    <w:rsid w:val="00340DF1"/>
    <w:rsid w:val="003411A1"/>
    <w:rsid w:val="00341381"/>
    <w:rsid w:val="0034168D"/>
    <w:rsid w:val="00341A83"/>
    <w:rsid w:val="00341F3A"/>
    <w:rsid w:val="0034200D"/>
    <w:rsid w:val="00342049"/>
    <w:rsid w:val="0034204E"/>
    <w:rsid w:val="00342729"/>
    <w:rsid w:val="0034284A"/>
    <w:rsid w:val="003429BA"/>
    <w:rsid w:val="00342BC4"/>
    <w:rsid w:val="00342E3A"/>
    <w:rsid w:val="00343197"/>
    <w:rsid w:val="003433D2"/>
    <w:rsid w:val="00343420"/>
    <w:rsid w:val="00343727"/>
    <w:rsid w:val="003439B3"/>
    <w:rsid w:val="00343E41"/>
    <w:rsid w:val="00343F2C"/>
    <w:rsid w:val="0034407F"/>
    <w:rsid w:val="003445CD"/>
    <w:rsid w:val="003447F4"/>
    <w:rsid w:val="00344D5C"/>
    <w:rsid w:val="00344F8C"/>
    <w:rsid w:val="003454FA"/>
    <w:rsid w:val="00345621"/>
    <w:rsid w:val="0034564A"/>
    <w:rsid w:val="00345B16"/>
    <w:rsid w:val="00345BC8"/>
    <w:rsid w:val="00345CDA"/>
    <w:rsid w:val="00345D23"/>
    <w:rsid w:val="00345E27"/>
    <w:rsid w:val="00345EE8"/>
    <w:rsid w:val="00345FE3"/>
    <w:rsid w:val="0034619D"/>
    <w:rsid w:val="00346283"/>
    <w:rsid w:val="0034642D"/>
    <w:rsid w:val="003468C5"/>
    <w:rsid w:val="00346933"/>
    <w:rsid w:val="00346AA7"/>
    <w:rsid w:val="00346C9C"/>
    <w:rsid w:val="00346D0C"/>
    <w:rsid w:val="00346E91"/>
    <w:rsid w:val="00346FFE"/>
    <w:rsid w:val="00347033"/>
    <w:rsid w:val="003471B2"/>
    <w:rsid w:val="003472B6"/>
    <w:rsid w:val="003474E8"/>
    <w:rsid w:val="00347649"/>
    <w:rsid w:val="00347932"/>
    <w:rsid w:val="00347990"/>
    <w:rsid w:val="0035016B"/>
    <w:rsid w:val="003502CE"/>
    <w:rsid w:val="0035054D"/>
    <w:rsid w:val="003506F9"/>
    <w:rsid w:val="003508A1"/>
    <w:rsid w:val="003508C0"/>
    <w:rsid w:val="00350960"/>
    <w:rsid w:val="00350A79"/>
    <w:rsid w:val="00350ABC"/>
    <w:rsid w:val="00350AC4"/>
    <w:rsid w:val="00350D0A"/>
    <w:rsid w:val="00350E60"/>
    <w:rsid w:val="003511D2"/>
    <w:rsid w:val="00351433"/>
    <w:rsid w:val="0035146F"/>
    <w:rsid w:val="003517F9"/>
    <w:rsid w:val="0035187C"/>
    <w:rsid w:val="00351BA9"/>
    <w:rsid w:val="00351BBE"/>
    <w:rsid w:val="00351D04"/>
    <w:rsid w:val="00351F03"/>
    <w:rsid w:val="00351FBF"/>
    <w:rsid w:val="00351FFE"/>
    <w:rsid w:val="0035208C"/>
    <w:rsid w:val="003526B9"/>
    <w:rsid w:val="0035293E"/>
    <w:rsid w:val="00352F5E"/>
    <w:rsid w:val="00353054"/>
    <w:rsid w:val="003532AB"/>
    <w:rsid w:val="003536C7"/>
    <w:rsid w:val="0035383B"/>
    <w:rsid w:val="00353883"/>
    <w:rsid w:val="00353AF4"/>
    <w:rsid w:val="00353C46"/>
    <w:rsid w:val="00353E8A"/>
    <w:rsid w:val="003540EB"/>
    <w:rsid w:val="00354158"/>
    <w:rsid w:val="00354272"/>
    <w:rsid w:val="003543E9"/>
    <w:rsid w:val="00354550"/>
    <w:rsid w:val="00354AA3"/>
    <w:rsid w:val="00354DEA"/>
    <w:rsid w:val="00354E1F"/>
    <w:rsid w:val="00354F64"/>
    <w:rsid w:val="00354FF6"/>
    <w:rsid w:val="0035525A"/>
    <w:rsid w:val="003554E1"/>
    <w:rsid w:val="003556CE"/>
    <w:rsid w:val="003558B3"/>
    <w:rsid w:val="00355A1A"/>
    <w:rsid w:val="00355C90"/>
    <w:rsid w:val="00355F7D"/>
    <w:rsid w:val="00355FCA"/>
    <w:rsid w:val="00356138"/>
    <w:rsid w:val="00356196"/>
    <w:rsid w:val="0035620E"/>
    <w:rsid w:val="0035630C"/>
    <w:rsid w:val="0035663C"/>
    <w:rsid w:val="003567A9"/>
    <w:rsid w:val="00356A5C"/>
    <w:rsid w:val="00356C9F"/>
    <w:rsid w:val="00356CD3"/>
    <w:rsid w:val="00356DE8"/>
    <w:rsid w:val="00356E0D"/>
    <w:rsid w:val="0035701D"/>
    <w:rsid w:val="00357048"/>
    <w:rsid w:val="00357147"/>
    <w:rsid w:val="003574D1"/>
    <w:rsid w:val="00357559"/>
    <w:rsid w:val="003575BE"/>
    <w:rsid w:val="0035770A"/>
    <w:rsid w:val="00357A13"/>
    <w:rsid w:val="00357DC0"/>
    <w:rsid w:val="003600A2"/>
    <w:rsid w:val="003602C3"/>
    <w:rsid w:val="00360345"/>
    <w:rsid w:val="003609AB"/>
    <w:rsid w:val="00360B33"/>
    <w:rsid w:val="00360F84"/>
    <w:rsid w:val="00360FC4"/>
    <w:rsid w:val="003610D0"/>
    <w:rsid w:val="0036166D"/>
    <w:rsid w:val="0036168D"/>
    <w:rsid w:val="00361738"/>
    <w:rsid w:val="0036184A"/>
    <w:rsid w:val="00361A05"/>
    <w:rsid w:val="00361B68"/>
    <w:rsid w:val="00361BBF"/>
    <w:rsid w:val="00361CAB"/>
    <w:rsid w:val="00361F33"/>
    <w:rsid w:val="0036201C"/>
    <w:rsid w:val="00362422"/>
    <w:rsid w:val="003624C4"/>
    <w:rsid w:val="0036269C"/>
    <w:rsid w:val="0036278C"/>
    <w:rsid w:val="003627EA"/>
    <w:rsid w:val="00362B69"/>
    <w:rsid w:val="00363023"/>
    <w:rsid w:val="0036317E"/>
    <w:rsid w:val="0036321A"/>
    <w:rsid w:val="003635DD"/>
    <w:rsid w:val="003636A7"/>
    <w:rsid w:val="0036392C"/>
    <w:rsid w:val="003639E2"/>
    <w:rsid w:val="00363ABD"/>
    <w:rsid w:val="00363B00"/>
    <w:rsid w:val="00363B27"/>
    <w:rsid w:val="00363E2F"/>
    <w:rsid w:val="00363E8C"/>
    <w:rsid w:val="00364028"/>
    <w:rsid w:val="003645B6"/>
    <w:rsid w:val="00364675"/>
    <w:rsid w:val="003649E3"/>
    <w:rsid w:val="00365101"/>
    <w:rsid w:val="00365330"/>
    <w:rsid w:val="003654AC"/>
    <w:rsid w:val="00365541"/>
    <w:rsid w:val="003657FE"/>
    <w:rsid w:val="00365816"/>
    <w:rsid w:val="00365AC4"/>
    <w:rsid w:val="00365E01"/>
    <w:rsid w:val="00365E09"/>
    <w:rsid w:val="00365F16"/>
    <w:rsid w:val="00365F4F"/>
    <w:rsid w:val="00366169"/>
    <w:rsid w:val="0036623A"/>
    <w:rsid w:val="003662E9"/>
    <w:rsid w:val="00366548"/>
    <w:rsid w:val="0036654E"/>
    <w:rsid w:val="00366581"/>
    <w:rsid w:val="0036675E"/>
    <w:rsid w:val="00366EEB"/>
    <w:rsid w:val="003673B5"/>
    <w:rsid w:val="00367B63"/>
    <w:rsid w:val="00367D43"/>
    <w:rsid w:val="00367DB3"/>
    <w:rsid w:val="003700EE"/>
    <w:rsid w:val="0037013C"/>
    <w:rsid w:val="00370684"/>
    <w:rsid w:val="00370B0A"/>
    <w:rsid w:val="00370C70"/>
    <w:rsid w:val="00370F55"/>
    <w:rsid w:val="00370F8F"/>
    <w:rsid w:val="00371056"/>
    <w:rsid w:val="003710B1"/>
    <w:rsid w:val="003710BA"/>
    <w:rsid w:val="003710CF"/>
    <w:rsid w:val="00371580"/>
    <w:rsid w:val="00371978"/>
    <w:rsid w:val="00371B82"/>
    <w:rsid w:val="00372004"/>
    <w:rsid w:val="00372149"/>
    <w:rsid w:val="0037278C"/>
    <w:rsid w:val="003728D6"/>
    <w:rsid w:val="00372DD9"/>
    <w:rsid w:val="00373180"/>
    <w:rsid w:val="0037358A"/>
    <w:rsid w:val="003735B8"/>
    <w:rsid w:val="00373959"/>
    <w:rsid w:val="00373F00"/>
    <w:rsid w:val="00373F07"/>
    <w:rsid w:val="00373FB3"/>
    <w:rsid w:val="003740FF"/>
    <w:rsid w:val="00374246"/>
    <w:rsid w:val="003742C6"/>
    <w:rsid w:val="00374674"/>
    <w:rsid w:val="00374A4B"/>
    <w:rsid w:val="00374EAE"/>
    <w:rsid w:val="00374EFA"/>
    <w:rsid w:val="00375003"/>
    <w:rsid w:val="003750F6"/>
    <w:rsid w:val="003750FC"/>
    <w:rsid w:val="003758CE"/>
    <w:rsid w:val="00375A14"/>
    <w:rsid w:val="00375CD7"/>
    <w:rsid w:val="00375D59"/>
    <w:rsid w:val="00375D69"/>
    <w:rsid w:val="003760FC"/>
    <w:rsid w:val="00376670"/>
    <w:rsid w:val="0037669E"/>
    <w:rsid w:val="00376994"/>
    <w:rsid w:val="00376ABE"/>
    <w:rsid w:val="0037767D"/>
    <w:rsid w:val="00377846"/>
    <w:rsid w:val="00377CF0"/>
    <w:rsid w:val="0038005C"/>
    <w:rsid w:val="0038012F"/>
    <w:rsid w:val="00380230"/>
    <w:rsid w:val="0038023A"/>
    <w:rsid w:val="0038026D"/>
    <w:rsid w:val="003805CA"/>
    <w:rsid w:val="003807FB"/>
    <w:rsid w:val="00380900"/>
    <w:rsid w:val="00381149"/>
    <w:rsid w:val="003811F5"/>
    <w:rsid w:val="003812A3"/>
    <w:rsid w:val="003814E8"/>
    <w:rsid w:val="00381823"/>
    <w:rsid w:val="003818EE"/>
    <w:rsid w:val="00381911"/>
    <w:rsid w:val="00381CE1"/>
    <w:rsid w:val="00381D70"/>
    <w:rsid w:val="00381DF4"/>
    <w:rsid w:val="003821BA"/>
    <w:rsid w:val="00382670"/>
    <w:rsid w:val="00382781"/>
    <w:rsid w:val="0038280B"/>
    <w:rsid w:val="0038281C"/>
    <w:rsid w:val="00382CCF"/>
    <w:rsid w:val="00382F76"/>
    <w:rsid w:val="0038309A"/>
    <w:rsid w:val="0038321F"/>
    <w:rsid w:val="0038326A"/>
    <w:rsid w:val="003833A5"/>
    <w:rsid w:val="003835C0"/>
    <w:rsid w:val="00383602"/>
    <w:rsid w:val="0038365C"/>
    <w:rsid w:val="0038369B"/>
    <w:rsid w:val="003839CB"/>
    <w:rsid w:val="00383A69"/>
    <w:rsid w:val="00383B78"/>
    <w:rsid w:val="00383D9A"/>
    <w:rsid w:val="00383E85"/>
    <w:rsid w:val="00383ED4"/>
    <w:rsid w:val="00384200"/>
    <w:rsid w:val="00384308"/>
    <w:rsid w:val="0038445E"/>
    <w:rsid w:val="0038446E"/>
    <w:rsid w:val="003849FF"/>
    <w:rsid w:val="003855FF"/>
    <w:rsid w:val="00385655"/>
    <w:rsid w:val="00385678"/>
    <w:rsid w:val="00385729"/>
    <w:rsid w:val="00385A9D"/>
    <w:rsid w:val="00385B51"/>
    <w:rsid w:val="00385C2B"/>
    <w:rsid w:val="00386355"/>
    <w:rsid w:val="00386363"/>
    <w:rsid w:val="003865C5"/>
    <w:rsid w:val="00386C70"/>
    <w:rsid w:val="00386F69"/>
    <w:rsid w:val="00387080"/>
    <w:rsid w:val="003870A2"/>
    <w:rsid w:val="00387121"/>
    <w:rsid w:val="003871B4"/>
    <w:rsid w:val="0038724A"/>
    <w:rsid w:val="0038726D"/>
    <w:rsid w:val="003872A6"/>
    <w:rsid w:val="0038757C"/>
    <w:rsid w:val="00387670"/>
    <w:rsid w:val="00387856"/>
    <w:rsid w:val="00387C20"/>
    <w:rsid w:val="00387C4F"/>
    <w:rsid w:val="00387D06"/>
    <w:rsid w:val="00387FB3"/>
    <w:rsid w:val="003902B1"/>
    <w:rsid w:val="003903CE"/>
    <w:rsid w:val="00390454"/>
    <w:rsid w:val="003905DB"/>
    <w:rsid w:val="00390640"/>
    <w:rsid w:val="00390654"/>
    <w:rsid w:val="003908D0"/>
    <w:rsid w:val="00390D9A"/>
    <w:rsid w:val="00390EA2"/>
    <w:rsid w:val="00390F5C"/>
    <w:rsid w:val="003911C5"/>
    <w:rsid w:val="00391660"/>
    <w:rsid w:val="0039179C"/>
    <w:rsid w:val="003917F4"/>
    <w:rsid w:val="003918D6"/>
    <w:rsid w:val="00391962"/>
    <w:rsid w:val="00391A36"/>
    <w:rsid w:val="00392028"/>
    <w:rsid w:val="003921AA"/>
    <w:rsid w:val="003922AA"/>
    <w:rsid w:val="00392364"/>
    <w:rsid w:val="00392373"/>
    <w:rsid w:val="003923C3"/>
    <w:rsid w:val="00392528"/>
    <w:rsid w:val="00392825"/>
    <w:rsid w:val="00392A21"/>
    <w:rsid w:val="00392AB7"/>
    <w:rsid w:val="00392AC7"/>
    <w:rsid w:val="00392B88"/>
    <w:rsid w:val="00392D27"/>
    <w:rsid w:val="00392DDF"/>
    <w:rsid w:val="00392E55"/>
    <w:rsid w:val="00392EA2"/>
    <w:rsid w:val="00392EA4"/>
    <w:rsid w:val="00392EA9"/>
    <w:rsid w:val="00392EEC"/>
    <w:rsid w:val="003935B5"/>
    <w:rsid w:val="0039383F"/>
    <w:rsid w:val="00393A7A"/>
    <w:rsid w:val="00393CE0"/>
    <w:rsid w:val="0039455B"/>
    <w:rsid w:val="0039457F"/>
    <w:rsid w:val="00394845"/>
    <w:rsid w:val="00394859"/>
    <w:rsid w:val="00394C37"/>
    <w:rsid w:val="00394C9F"/>
    <w:rsid w:val="00395292"/>
    <w:rsid w:val="003956CB"/>
    <w:rsid w:val="00395A9D"/>
    <w:rsid w:val="00395C54"/>
    <w:rsid w:val="00395E72"/>
    <w:rsid w:val="00395E7F"/>
    <w:rsid w:val="003961F8"/>
    <w:rsid w:val="0039628D"/>
    <w:rsid w:val="00396406"/>
    <w:rsid w:val="00396825"/>
    <w:rsid w:val="00396896"/>
    <w:rsid w:val="003969AB"/>
    <w:rsid w:val="003969EB"/>
    <w:rsid w:val="00396B96"/>
    <w:rsid w:val="00396DAA"/>
    <w:rsid w:val="00396FD0"/>
    <w:rsid w:val="003970F2"/>
    <w:rsid w:val="00397136"/>
    <w:rsid w:val="00397280"/>
    <w:rsid w:val="003972C3"/>
    <w:rsid w:val="003973BA"/>
    <w:rsid w:val="00397836"/>
    <w:rsid w:val="0039784A"/>
    <w:rsid w:val="003978BF"/>
    <w:rsid w:val="00397946"/>
    <w:rsid w:val="00397CFC"/>
    <w:rsid w:val="00397E2B"/>
    <w:rsid w:val="00397E94"/>
    <w:rsid w:val="00397FBB"/>
    <w:rsid w:val="003A0494"/>
    <w:rsid w:val="003A1044"/>
    <w:rsid w:val="003A10C4"/>
    <w:rsid w:val="003A120B"/>
    <w:rsid w:val="003A1264"/>
    <w:rsid w:val="003A1299"/>
    <w:rsid w:val="003A1650"/>
    <w:rsid w:val="003A173D"/>
    <w:rsid w:val="003A1A7A"/>
    <w:rsid w:val="003A1B33"/>
    <w:rsid w:val="003A1CE3"/>
    <w:rsid w:val="003A1D61"/>
    <w:rsid w:val="003A1DED"/>
    <w:rsid w:val="003A1FC2"/>
    <w:rsid w:val="003A2017"/>
    <w:rsid w:val="003A2186"/>
    <w:rsid w:val="003A2258"/>
    <w:rsid w:val="003A2392"/>
    <w:rsid w:val="003A240F"/>
    <w:rsid w:val="003A25BF"/>
    <w:rsid w:val="003A25EE"/>
    <w:rsid w:val="003A2665"/>
    <w:rsid w:val="003A26AC"/>
    <w:rsid w:val="003A2831"/>
    <w:rsid w:val="003A2D79"/>
    <w:rsid w:val="003A2D81"/>
    <w:rsid w:val="003A30A9"/>
    <w:rsid w:val="003A3529"/>
    <w:rsid w:val="003A35C7"/>
    <w:rsid w:val="003A366B"/>
    <w:rsid w:val="003A375D"/>
    <w:rsid w:val="003A381D"/>
    <w:rsid w:val="003A390F"/>
    <w:rsid w:val="003A39C8"/>
    <w:rsid w:val="003A3A19"/>
    <w:rsid w:val="003A3AF3"/>
    <w:rsid w:val="003A3CB6"/>
    <w:rsid w:val="003A3D59"/>
    <w:rsid w:val="003A3E0B"/>
    <w:rsid w:val="003A3ED1"/>
    <w:rsid w:val="003A44DB"/>
    <w:rsid w:val="003A4977"/>
    <w:rsid w:val="003A4984"/>
    <w:rsid w:val="003A4B94"/>
    <w:rsid w:val="003A4C14"/>
    <w:rsid w:val="003A4F80"/>
    <w:rsid w:val="003A5243"/>
    <w:rsid w:val="003A52C4"/>
    <w:rsid w:val="003A5584"/>
    <w:rsid w:val="003A5929"/>
    <w:rsid w:val="003A5A71"/>
    <w:rsid w:val="003A601D"/>
    <w:rsid w:val="003A604C"/>
    <w:rsid w:val="003A62BB"/>
    <w:rsid w:val="003A6569"/>
    <w:rsid w:val="003A6605"/>
    <w:rsid w:val="003A66FE"/>
    <w:rsid w:val="003A67ED"/>
    <w:rsid w:val="003A692E"/>
    <w:rsid w:val="003A6B1C"/>
    <w:rsid w:val="003A6C23"/>
    <w:rsid w:val="003A6E9E"/>
    <w:rsid w:val="003A727F"/>
    <w:rsid w:val="003A7656"/>
    <w:rsid w:val="003A7746"/>
    <w:rsid w:val="003A7DA4"/>
    <w:rsid w:val="003B0424"/>
    <w:rsid w:val="003B077F"/>
    <w:rsid w:val="003B0B07"/>
    <w:rsid w:val="003B0BD4"/>
    <w:rsid w:val="003B0C6C"/>
    <w:rsid w:val="003B0FBD"/>
    <w:rsid w:val="003B0FDC"/>
    <w:rsid w:val="003B10A8"/>
    <w:rsid w:val="003B10E7"/>
    <w:rsid w:val="003B117E"/>
    <w:rsid w:val="003B11C6"/>
    <w:rsid w:val="003B1204"/>
    <w:rsid w:val="003B1232"/>
    <w:rsid w:val="003B189A"/>
    <w:rsid w:val="003B18A8"/>
    <w:rsid w:val="003B1A36"/>
    <w:rsid w:val="003B1C97"/>
    <w:rsid w:val="003B1D38"/>
    <w:rsid w:val="003B1DE1"/>
    <w:rsid w:val="003B1E4C"/>
    <w:rsid w:val="003B1F08"/>
    <w:rsid w:val="003B234C"/>
    <w:rsid w:val="003B2372"/>
    <w:rsid w:val="003B23D5"/>
    <w:rsid w:val="003B2A44"/>
    <w:rsid w:val="003B2B49"/>
    <w:rsid w:val="003B2D2A"/>
    <w:rsid w:val="003B2DA8"/>
    <w:rsid w:val="003B2ED2"/>
    <w:rsid w:val="003B3481"/>
    <w:rsid w:val="003B370C"/>
    <w:rsid w:val="003B3971"/>
    <w:rsid w:val="003B3F9D"/>
    <w:rsid w:val="003B4202"/>
    <w:rsid w:val="003B4382"/>
    <w:rsid w:val="003B4752"/>
    <w:rsid w:val="003B480F"/>
    <w:rsid w:val="003B4FC7"/>
    <w:rsid w:val="003B516B"/>
    <w:rsid w:val="003B519E"/>
    <w:rsid w:val="003B528D"/>
    <w:rsid w:val="003B53AB"/>
    <w:rsid w:val="003B55BD"/>
    <w:rsid w:val="003B55D1"/>
    <w:rsid w:val="003B56C5"/>
    <w:rsid w:val="003B583B"/>
    <w:rsid w:val="003B5AA8"/>
    <w:rsid w:val="003B5B61"/>
    <w:rsid w:val="003B5FAC"/>
    <w:rsid w:val="003B6510"/>
    <w:rsid w:val="003B6666"/>
    <w:rsid w:val="003B66A7"/>
    <w:rsid w:val="003B698E"/>
    <w:rsid w:val="003B69F3"/>
    <w:rsid w:val="003B6A67"/>
    <w:rsid w:val="003B6B36"/>
    <w:rsid w:val="003B6DDF"/>
    <w:rsid w:val="003B6FDC"/>
    <w:rsid w:val="003B749E"/>
    <w:rsid w:val="003B753A"/>
    <w:rsid w:val="003B7B78"/>
    <w:rsid w:val="003B7E25"/>
    <w:rsid w:val="003B7F72"/>
    <w:rsid w:val="003C053F"/>
    <w:rsid w:val="003C0703"/>
    <w:rsid w:val="003C079F"/>
    <w:rsid w:val="003C08B9"/>
    <w:rsid w:val="003C0C5D"/>
    <w:rsid w:val="003C0D0B"/>
    <w:rsid w:val="003C0D4C"/>
    <w:rsid w:val="003C15DB"/>
    <w:rsid w:val="003C1654"/>
    <w:rsid w:val="003C174F"/>
    <w:rsid w:val="003C17AD"/>
    <w:rsid w:val="003C191F"/>
    <w:rsid w:val="003C1925"/>
    <w:rsid w:val="003C1B1F"/>
    <w:rsid w:val="003C1FA1"/>
    <w:rsid w:val="003C229C"/>
    <w:rsid w:val="003C22B9"/>
    <w:rsid w:val="003C22BB"/>
    <w:rsid w:val="003C2CA0"/>
    <w:rsid w:val="003C2D3F"/>
    <w:rsid w:val="003C2FE2"/>
    <w:rsid w:val="003C37E7"/>
    <w:rsid w:val="003C38A8"/>
    <w:rsid w:val="003C3AB2"/>
    <w:rsid w:val="003C3CE4"/>
    <w:rsid w:val="003C3EB2"/>
    <w:rsid w:val="003C3F55"/>
    <w:rsid w:val="003C4003"/>
    <w:rsid w:val="003C440A"/>
    <w:rsid w:val="003C4611"/>
    <w:rsid w:val="003C4736"/>
    <w:rsid w:val="003C4DF6"/>
    <w:rsid w:val="003C4F64"/>
    <w:rsid w:val="003C5022"/>
    <w:rsid w:val="003C5056"/>
    <w:rsid w:val="003C51A6"/>
    <w:rsid w:val="003C51E2"/>
    <w:rsid w:val="003C51FD"/>
    <w:rsid w:val="003C5249"/>
    <w:rsid w:val="003C5542"/>
    <w:rsid w:val="003C55D3"/>
    <w:rsid w:val="003C5A21"/>
    <w:rsid w:val="003C5DDB"/>
    <w:rsid w:val="003C5F7B"/>
    <w:rsid w:val="003C60A0"/>
    <w:rsid w:val="003C612D"/>
    <w:rsid w:val="003C6293"/>
    <w:rsid w:val="003C63CC"/>
    <w:rsid w:val="003C652C"/>
    <w:rsid w:val="003C673C"/>
    <w:rsid w:val="003C6777"/>
    <w:rsid w:val="003C67A1"/>
    <w:rsid w:val="003C6940"/>
    <w:rsid w:val="003C6BED"/>
    <w:rsid w:val="003C6C30"/>
    <w:rsid w:val="003C6FDD"/>
    <w:rsid w:val="003C7597"/>
    <w:rsid w:val="003C759B"/>
    <w:rsid w:val="003C7889"/>
    <w:rsid w:val="003C78B4"/>
    <w:rsid w:val="003C7AFC"/>
    <w:rsid w:val="003C7B98"/>
    <w:rsid w:val="003C7BAB"/>
    <w:rsid w:val="003C7C15"/>
    <w:rsid w:val="003C7C48"/>
    <w:rsid w:val="003C7D19"/>
    <w:rsid w:val="003C7D2F"/>
    <w:rsid w:val="003C7F12"/>
    <w:rsid w:val="003D0655"/>
    <w:rsid w:val="003D073C"/>
    <w:rsid w:val="003D07F4"/>
    <w:rsid w:val="003D0917"/>
    <w:rsid w:val="003D09DE"/>
    <w:rsid w:val="003D0A7B"/>
    <w:rsid w:val="003D0A92"/>
    <w:rsid w:val="003D0B53"/>
    <w:rsid w:val="003D0C5A"/>
    <w:rsid w:val="003D0DAB"/>
    <w:rsid w:val="003D12CA"/>
    <w:rsid w:val="003D1491"/>
    <w:rsid w:val="003D1828"/>
    <w:rsid w:val="003D182E"/>
    <w:rsid w:val="003D1879"/>
    <w:rsid w:val="003D1A97"/>
    <w:rsid w:val="003D1B89"/>
    <w:rsid w:val="003D1D8D"/>
    <w:rsid w:val="003D1DE4"/>
    <w:rsid w:val="003D1DEC"/>
    <w:rsid w:val="003D1E73"/>
    <w:rsid w:val="003D1E9A"/>
    <w:rsid w:val="003D2216"/>
    <w:rsid w:val="003D221C"/>
    <w:rsid w:val="003D2422"/>
    <w:rsid w:val="003D25EC"/>
    <w:rsid w:val="003D2934"/>
    <w:rsid w:val="003D2AC7"/>
    <w:rsid w:val="003D2B75"/>
    <w:rsid w:val="003D2DCB"/>
    <w:rsid w:val="003D2E68"/>
    <w:rsid w:val="003D2E83"/>
    <w:rsid w:val="003D31B4"/>
    <w:rsid w:val="003D3578"/>
    <w:rsid w:val="003D368B"/>
    <w:rsid w:val="003D39A1"/>
    <w:rsid w:val="003D3A92"/>
    <w:rsid w:val="003D3E44"/>
    <w:rsid w:val="003D3FBF"/>
    <w:rsid w:val="003D40DF"/>
    <w:rsid w:val="003D40FA"/>
    <w:rsid w:val="003D4285"/>
    <w:rsid w:val="003D438D"/>
    <w:rsid w:val="003D48A4"/>
    <w:rsid w:val="003D4A30"/>
    <w:rsid w:val="003D4B35"/>
    <w:rsid w:val="003D4CD4"/>
    <w:rsid w:val="003D5112"/>
    <w:rsid w:val="003D5251"/>
    <w:rsid w:val="003D5315"/>
    <w:rsid w:val="003D57F9"/>
    <w:rsid w:val="003D5B2E"/>
    <w:rsid w:val="003D5B7D"/>
    <w:rsid w:val="003D5E46"/>
    <w:rsid w:val="003D6297"/>
    <w:rsid w:val="003D6638"/>
    <w:rsid w:val="003D6726"/>
    <w:rsid w:val="003D697C"/>
    <w:rsid w:val="003D6E18"/>
    <w:rsid w:val="003D7220"/>
    <w:rsid w:val="003D7452"/>
    <w:rsid w:val="003D75B8"/>
    <w:rsid w:val="003D79B1"/>
    <w:rsid w:val="003D79BB"/>
    <w:rsid w:val="003D7BB5"/>
    <w:rsid w:val="003D7C98"/>
    <w:rsid w:val="003D7D9D"/>
    <w:rsid w:val="003D7F47"/>
    <w:rsid w:val="003D7F53"/>
    <w:rsid w:val="003E0165"/>
    <w:rsid w:val="003E0240"/>
    <w:rsid w:val="003E0543"/>
    <w:rsid w:val="003E07B6"/>
    <w:rsid w:val="003E0820"/>
    <w:rsid w:val="003E0829"/>
    <w:rsid w:val="003E0B16"/>
    <w:rsid w:val="003E0D44"/>
    <w:rsid w:val="003E0E4E"/>
    <w:rsid w:val="003E0FFB"/>
    <w:rsid w:val="003E123E"/>
    <w:rsid w:val="003E1815"/>
    <w:rsid w:val="003E1AE1"/>
    <w:rsid w:val="003E1B76"/>
    <w:rsid w:val="003E1CD4"/>
    <w:rsid w:val="003E1ED6"/>
    <w:rsid w:val="003E2030"/>
    <w:rsid w:val="003E2415"/>
    <w:rsid w:val="003E24A7"/>
    <w:rsid w:val="003E2802"/>
    <w:rsid w:val="003E28E6"/>
    <w:rsid w:val="003E2F2D"/>
    <w:rsid w:val="003E3301"/>
    <w:rsid w:val="003E3377"/>
    <w:rsid w:val="003E349B"/>
    <w:rsid w:val="003E35D5"/>
    <w:rsid w:val="003E386F"/>
    <w:rsid w:val="003E3953"/>
    <w:rsid w:val="003E4411"/>
    <w:rsid w:val="003E4419"/>
    <w:rsid w:val="003E4555"/>
    <w:rsid w:val="003E459A"/>
    <w:rsid w:val="003E469B"/>
    <w:rsid w:val="003E46D9"/>
    <w:rsid w:val="003E4739"/>
    <w:rsid w:val="003E47C7"/>
    <w:rsid w:val="003E47F0"/>
    <w:rsid w:val="003E4BC1"/>
    <w:rsid w:val="003E4C04"/>
    <w:rsid w:val="003E4D66"/>
    <w:rsid w:val="003E513A"/>
    <w:rsid w:val="003E51B2"/>
    <w:rsid w:val="003E5216"/>
    <w:rsid w:val="003E52A7"/>
    <w:rsid w:val="003E52D0"/>
    <w:rsid w:val="003E5342"/>
    <w:rsid w:val="003E5603"/>
    <w:rsid w:val="003E575A"/>
    <w:rsid w:val="003E5794"/>
    <w:rsid w:val="003E5CA7"/>
    <w:rsid w:val="003E5CC7"/>
    <w:rsid w:val="003E5ECC"/>
    <w:rsid w:val="003E6312"/>
    <w:rsid w:val="003E648C"/>
    <w:rsid w:val="003E65EF"/>
    <w:rsid w:val="003E67E5"/>
    <w:rsid w:val="003E6ACB"/>
    <w:rsid w:val="003E6B1E"/>
    <w:rsid w:val="003E6D98"/>
    <w:rsid w:val="003E6E1A"/>
    <w:rsid w:val="003E6F5A"/>
    <w:rsid w:val="003E712D"/>
    <w:rsid w:val="003E729C"/>
    <w:rsid w:val="003E736E"/>
    <w:rsid w:val="003E7459"/>
    <w:rsid w:val="003E749E"/>
    <w:rsid w:val="003E7A30"/>
    <w:rsid w:val="003E7F16"/>
    <w:rsid w:val="003F0257"/>
    <w:rsid w:val="003F0281"/>
    <w:rsid w:val="003F05E7"/>
    <w:rsid w:val="003F069C"/>
    <w:rsid w:val="003F06C7"/>
    <w:rsid w:val="003F0C6D"/>
    <w:rsid w:val="003F0CF8"/>
    <w:rsid w:val="003F0D63"/>
    <w:rsid w:val="003F0E1E"/>
    <w:rsid w:val="003F1650"/>
    <w:rsid w:val="003F1699"/>
    <w:rsid w:val="003F1A03"/>
    <w:rsid w:val="003F1BB9"/>
    <w:rsid w:val="003F1EDB"/>
    <w:rsid w:val="003F22D9"/>
    <w:rsid w:val="003F29EC"/>
    <w:rsid w:val="003F2B89"/>
    <w:rsid w:val="003F2BD4"/>
    <w:rsid w:val="003F2C5C"/>
    <w:rsid w:val="003F2CD4"/>
    <w:rsid w:val="003F2D17"/>
    <w:rsid w:val="003F2DA0"/>
    <w:rsid w:val="003F2E03"/>
    <w:rsid w:val="003F32AF"/>
    <w:rsid w:val="003F32E4"/>
    <w:rsid w:val="003F3328"/>
    <w:rsid w:val="003F3424"/>
    <w:rsid w:val="003F35AB"/>
    <w:rsid w:val="003F35F3"/>
    <w:rsid w:val="003F3B73"/>
    <w:rsid w:val="003F40C4"/>
    <w:rsid w:val="003F4156"/>
    <w:rsid w:val="003F4269"/>
    <w:rsid w:val="003F4380"/>
    <w:rsid w:val="003F466C"/>
    <w:rsid w:val="003F470D"/>
    <w:rsid w:val="003F48BC"/>
    <w:rsid w:val="003F4C40"/>
    <w:rsid w:val="003F4E31"/>
    <w:rsid w:val="003F4EFF"/>
    <w:rsid w:val="003F4F35"/>
    <w:rsid w:val="003F5675"/>
    <w:rsid w:val="003F573D"/>
    <w:rsid w:val="003F5A2C"/>
    <w:rsid w:val="003F5ADF"/>
    <w:rsid w:val="003F5B09"/>
    <w:rsid w:val="003F5CA2"/>
    <w:rsid w:val="003F6083"/>
    <w:rsid w:val="003F6683"/>
    <w:rsid w:val="003F6B71"/>
    <w:rsid w:val="003F6C4C"/>
    <w:rsid w:val="003F6CC4"/>
    <w:rsid w:val="003F7618"/>
    <w:rsid w:val="003F787C"/>
    <w:rsid w:val="003F7B6B"/>
    <w:rsid w:val="003F7E11"/>
    <w:rsid w:val="003F7E53"/>
    <w:rsid w:val="004000E8"/>
    <w:rsid w:val="004004FA"/>
    <w:rsid w:val="004008DF"/>
    <w:rsid w:val="00400AC1"/>
    <w:rsid w:val="00400B29"/>
    <w:rsid w:val="00400C29"/>
    <w:rsid w:val="00400C74"/>
    <w:rsid w:val="00400EEA"/>
    <w:rsid w:val="00401081"/>
    <w:rsid w:val="00401128"/>
    <w:rsid w:val="00401306"/>
    <w:rsid w:val="00401693"/>
    <w:rsid w:val="00401ABE"/>
    <w:rsid w:val="00401C83"/>
    <w:rsid w:val="00401CE4"/>
    <w:rsid w:val="00401DEE"/>
    <w:rsid w:val="00401EBB"/>
    <w:rsid w:val="00401F0E"/>
    <w:rsid w:val="00402063"/>
    <w:rsid w:val="004020EB"/>
    <w:rsid w:val="00402812"/>
    <w:rsid w:val="00402C67"/>
    <w:rsid w:val="00402F6F"/>
    <w:rsid w:val="00403443"/>
    <w:rsid w:val="004034AF"/>
    <w:rsid w:val="004036C0"/>
    <w:rsid w:val="00403FCB"/>
    <w:rsid w:val="00404015"/>
    <w:rsid w:val="004041EB"/>
    <w:rsid w:val="00404355"/>
    <w:rsid w:val="004047A6"/>
    <w:rsid w:val="00404A74"/>
    <w:rsid w:val="00404A8C"/>
    <w:rsid w:val="00404C27"/>
    <w:rsid w:val="00404D51"/>
    <w:rsid w:val="00404E3A"/>
    <w:rsid w:val="0040504B"/>
    <w:rsid w:val="004051BD"/>
    <w:rsid w:val="00405695"/>
    <w:rsid w:val="004059F4"/>
    <w:rsid w:val="00405A22"/>
    <w:rsid w:val="00405B72"/>
    <w:rsid w:val="00405BE3"/>
    <w:rsid w:val="00405C63"/>
    <w:rsid w:val="00405CAC"/>
    <w:rsid w:val="00405CD6"/>
    <w:rsid w:val="00405D39"/>
    <w:rsid w:val="00406201"/>
    <w:rsid w:val="004062FB"/>
    <w:rsid w:val="004067E3"/>
    <w:rsid w:val="004069C2"/>
    <w:rsid w:val="00406B87"/>
    <w:rsid w:val="00406DF7"/>
    <w:rsid w:val="004071D9"/>
    <w:rsid w:val="004075A4"/>
    <w:rsid w:val="00407664"/>
    <w:rsid w:val="00407BC1"/>
    <w:rsid w:val="00407FE5"/>
    <w:rsid w:val="0041014E"/>
    <w:rsid w:val="00410181"/>
    <w:rsid w:val="004101B0"/>
    <w:rsid w:val="004102F6"/>
    <w:rsid w:val="00410326"/>
    <w:rsid w:val="00410523"/>
    <w:rsid w:val="004106E0"/>
    <w:rsid w:val="00410708"/>
    <w:rsid w:val="004109DD"/>
    <w:rsid w:val="00410A53"/>
    <w:rsid w:val="00410ABC"/>
    <w:rsid w:val="00410E48"/>
    <w:rsid w:val="00410EC7"/>
    <w:rsid w:val="00411380"/>
    <w:rsid w:val="00411437"/>
    <w:rsid w:val="00411A80"/>
    <w:rsid w:val="00411B39"/>
    <w:rsid w:val="004121EA"/>
    <w:rsid w:val="00412293"/>
    <w:rsid w:val="004126B4"/>
    <w:rsid w:val="004127A7"/>
    <w:rsid w:val="00412A6C"/>
    <w:rsid w:val="00412FC6"/>
    <w:rsid w:val="004133B2"/>
    <w:rsid w:val="00413510"/>
    <w:rsid w:val="0041371D"/>
    <w:rsid w:val="00413A1E"/>
    <w:rsid w:val="00413B1E"/>
    <w:rsid w:val="00413D11"/>
    <w:rsid w:val="00413EC8"/>
    <w:rsid w:val="00413F0E"/>
    <w:rsid w:val="004140CC"/>
    <w:rsid w:val="004140D2"/>
    <w:rsid w:val="00414330"/>
    <w:rsid w:val="00414353"/>
    <w:rsid w:val="00414476"/>
    <w:rsid w:val="00414832"/>
    <w:rsid w:val="004148D3"/>
    <w:rsid w:val="00414C2E"/>
    <w:rsid w:val="00414CE2"/>
    <w:rsid w:val="0041503F"/>
    <w:rsid w:val="004151A0"/>
    <w:rsid w:val="004151CF"/>
    <w:rsid w:val="00415236"/>
    <w:rsid w:val="00415432"/>
    <w:rsid w:val="0041569D"/>
    <w:rsid w:val="00415841"/>
    <w:rsid w:val="00415C29"/>
    <w:rsid w:val="00416262"/>
    <w:rsid w:val="004162BE"/>
    <w:rsid w:val="00416364"/>
    <w:rsid w:val="0041651D"/>
    <w:rsid w:val="0041669E"/>
    <w:rsid w:val="004166AB"/>
    <w:rsid w:val="00416E74"/>
    <w:rsid w:val="00417088"/>
    <w:rsid w:val="00417191"/>
    <w:rsid w:val="0041740D"/>
    <w:rsid w:val="0041744E"/>
    <w:rsid w:val="00417534"/>
    <w:rsid w:val="0041775D"/>
    <w:rsid w:val="004178F7"/>
    <w:rsid w:val="00417F21"/>
    <w:rsid w:val="0042028C"/>
    <w:rsid w:val="00420474"/>
    <w:rsid w:val="0042047F"/>
    <w:rsid w:val="004205BB"/>
    <w:rsid w:val="004206F9"/>
    <w:rsid w:val="00420774"/>
    <w:rsid w:val="00420AA6"/>
    <w:rsid w:val="00420B9F"/>
    <w:rsid w:val="00420D03"/>
    <w:rsid w:val="00420D91"/>
    <w:rsid w:val="00421066"/>
    <w:rsid w:val="00421127"/>
    <w:rsid w:val="004211AF"/>
    <w:rsid w:val="0042141B"/>
    <w:rsid w:val="0042192C"/>
    <w:rsid w:val="00421C12"/>
    <w:rsid w:val="00421CB7"/>
    <w:rsid w:val="00421CED"/>
    <w:rsid w:val="00422116"/>
    <w:rsid w:val="0042212E"/>
    <w:rsid w:val="00422260"/>
    <w:rsid w:val="00422392"/>
    <w:rsid w:val="004224F5"/>
    <w:rsid w:val="00422849"/>
    <w:rsid w:val="00422A2A"/>
    <w:rsid w:val="004230B0"/>
    <w:rsid w:val="00423187"/>
    <w:rsid w:val="00423257"/>
    <w:rsid w:val="004235B2"/>
    <w:rsid w:val="004236F2"/>
    <w:rsid w:val="004237BE"/>
    <w:rsid w:val="0042384D"/>
    <w:rsid w:val="00423940"/>
    <w:rsid w:val="00423A96"/>
    <w:rsid w:val="00423D8F"/>
    <w:rsid w:val="00423E45"/>
    <w:rsid w:val="00423FB0"/>
    <w:rsid w:val="00424014"/>
    <w:rsid w:val="004240DC"/>
    <w:rsid w:val="0042413F"/>
    <w:rsid w:val="00424360"/>
    <w:rsid w:val="004243CC"/>
    <w:rsid w:val="00424416"/>
    <w:rsid w:val="00424475"/>
    <w:rsid w:val="004246C6"/>
    <w:rsid w:val="00424795"/>
    <w:rsid w:val="00424871"/>
    <w:rsid w:val="00424C71"/>
    <w:rsid w:val="004250ED"/>
    <w:rsid w:val="00425151"/>
    <w:rsid w:val="004253A2"/>
    <w:rsid w:val="004255AF"/>
    <w:rsid w:val="004256A8"/>
    <w:rsid w:val="004256EF"/>
    <w:rsid w:val="004258AB"/>
    <w:rsid w:val="00425A57"/>
    <w:rsid w:val="00425C3C"/>
    <w:rsid w:val="00425D61"/>
    <w:rsid w:val="00425DF2"/>
    <w:rsid w:val="004261B3"/>
    <w:rsid w:val="0042650D"/>
    <w:rsid w:val="0042695E"/>
    <w:rsid w:val="00426C6A"/>
    <w:rsid w:val="0042758E"/>
    <w:rsid w:val="00427636"/>
    <w:rsid w:val="004278F5"/>
    <w:rsid w:val="00427C21"/>
    <w:rsid w:val="00427F0E"/>
    <w:rsid w:val="00427F5C"/>
    <w:rsid w:val="004305C2"/>
    <w:rsid w:val="00430988"/>
    <w:rsid w:val="0043099F"/>
    <w:rsid w:val="00430BA1"/>
    <w:rsid w:val="00430DDC"/>
    <w:rsid w:val="00430E18"/>
    <w:rsid w:val="00431258"/>
    <w:rsid w:val="00431379"/>
    <w:rsid w:val="00431415"/>
    <w:rsid w:val="004314D6"/>
    <w:rsid w:val="00431590"/>
    <w:rsid w:val="004319F8"/>
    <w:rsid w:val="00431BF0"/>
    <w:rsid w:val="00431D10"/>
    <w:rsid w:val="00431D60"/>
    <w:rsid w:val="00431E55"/>
    <w:rsid w:val="00431FC0"/>
    <w:rsid w:val="004321F6"/>
    <w:rsid w:val="004321F8"/>
    <w:rsid w:val="00432705"/>
    <w:rsid w:val="004329F4"/>
    <w:rsid w:val="00432B1C"/>
    <w:rsid w:val="00432C58"/>
    <w:rsid w:val="00432D7E"/>
    <w:rsid w:val="00432E12"/>
    <w:rsid w:val="00433044"/>
    <w:rsid w:val="004331E1"/>
    <w:rsid w:val="0043326E"/>
    <w:rsid w:val="004334AB"/>
    <w:rsid w:val="00433552"/>
    <w:rsid w:val="00433568"/>
    <w:rsid w:val="00433764"/>
    <w:rsid w:val="0043383F"/>
    <w:rsid w:val="004339A4"/>
    <w:rsid w:val="00433A84"/>
    <w:rsid w:val="00433AF7"/>
    <w:rsid w:val="00433BCB"/>
    <w:rsid w:val="00433CEE"/>
    <w:rsid w:val="00433EAA"/>
    <w:rsid w:val="00434088"/>
    <w:rsid w:val="004346D9"/>
    <w:rsid w:val="00434784"/>
    <w:rsid w:val="004347AB"/>
    <w:rsid w:val="00434828"/>
    <w:rsid w:val="004348BB"/>
    <w:rsid w:val="00434B73"/>
    <w:rsid w:val="00435359"/>
    <w:rsid w:val="00435411"/>
    <w:rsid w:val="0043547B"/>
    <w:rsid w:val="0043549B"/>
    <w:rsid w:val="00435666"/>
    <w:rsid w:val="004356ED"/>
    <w:rsid w:val="00435E11"/>
    <w:rsid w:val="00435E1F"/>
    <w:rsid w:val="00435E89"/>
    <w:rsid w:val="004361B9"/>
    <w:rsid w:val="0043629C"/>
    <w:rsid w:val="0043638A"/>
    <w:rsid w:val="0043677F"/>
    <w:rsid w:val="004367F0"/>
    <w:rsid w:val="00436918"/>
    <w:rsid w:val="004375B9"/>
    <w:rsid w:val="00437656"/>
    <w:rsid w:val="00437680"/>
    <w:rsid w:val="0043785E"/>
    <w:rsid w:val="00437E01"/>
    <w:rsid w:val="00437FAE"/>
    <w:rsid w:val="00440018"/>
    <w:rsid w:val="00440048"/>
    <w:rsid w:val="0044015F"/>
    <w:rsid w:val="004402EA"/>
    <w:rsid w:val="004403E7"/>
    <w:rsid w:val="0044047F"/>
    <w:rsid w:val="0044063E"/>
    <w:rsid w:val="004411EF"/>
    <w:rsid w:val="004414B7"/>
    <w:rsid w:val="004415ED"/>
    <w:rsid w:val="0044162B"/>
    <w:rsid w:val="004416B7"/>
    <w:rsid w:val="00441990"/>
    <w:rsid w:val="004419A5"/>
    <w:rsid w:val="00441C20"/>
    <w:rsid w:val="00441DB5"/>
    <w:rsid w:val="00441E74"/>
    <w:rsid w:val="0044203E"/>
    <w:rsid w:val="00442143"/>
    <w:rsid w:val="00442465"/>
    <w:rsid w:val="00442752"/>
    <w:rsid w:val="00442777"/>
    <w:rsid w:val="004428D0"/>
    <w:rsid w:val="004429F1"/>
    <w:rsid w:val="00442B9F"/>
    <w:rsid w:val="00442C9B"/>
    <w:rsid w:val="00442E9B"/>
    <w:rsid w:val="00443047"/>
    <w:rsid w:val="004435A0"/>
    <w:rsid w:val="0044389C"/>
    <w:rsid w:val="0044398A"/>
    <w:rsid w:val="004439FD"/>
    <w:rsid w:val="00443A15"/>
    <w:rsid w:val="00443AFA"/>
    <w:rsid w:val="00443C53"/>
    <w:rsid w:val="00443D70"/>
    <w:rsid w:val="00444185"/>
    <w:rsid w:val="004443A7"/>
    <w:rsid w:val="0044442C"/>
    <w:rsid w:val="00444A9E"/>
    <w:rsid w:val="00444BAA"/>
    <w:rsid w:val="00444C3B"/>
    <w:rsid w:val="00445154"/>
    <w:rsid w:val="004453D8"/>
    <w:rsid w:val="0044543D"/>
    <w:rsid w:val="00445755"/>
    <w:rsid w:val="00445764"/>
    <w:rsid w:val="004457CC"/>
    <w:rsid w:val="00445941"/>
    <w:rsid w:val="00445C49"/>
    <w:rsid w:val="00445CE0"/>
    <w:rsid w:val="00445E63"/>
    <w:rsid w:val="00445F65"/>
    <w:rsid w:val="00446111"/>
    <w:rsid w:val="004464EB"/>
    <w:rsid w:val="0044662E"/>
    <w:rsid w:val="00446665"/>
    <w:rsid w:val="004468F2"/>
    <w:rsid w:val="00446906"/>
    <w:rsid w:val="0044697A"/>
    <w:rsid w:val="00446EB4"/>
    <w:rsid w:val="00446EC6"/>
    <w:rsid w:val="00446EF2"/>
    <w:rsid w:val="00447337"/>
    <w:rsid w:val="004474D8"/>
    <w:rsid w:val="00447A74"/>
    <w:rsid w:val="00447B9D"/>
    <w:rsid w:val="00447D26"/>
    <w:rsid w:val="00447DFC"/>
    <w:rsid w:val="00447E76"/>
    <w:rsid w:val="004501E2"/>
    <w:rsid w:val="00450238"/>
    <w:rsid w:val="0045023F"/>
    <w:rsid w:val="004502AB"/>
    <w:rsid w:val="004506C7"/>
    <w:rsid w:val="00450879"/>
    <w:rsid w:val="004509FA"/>
    <w:rsid w:val="00450A19"/>
    <w:rsid w:val="00450DC3"/>
    <w:rsid w:val="00450EDA"/>
    <w:rsid w:val="00450FE6"/>
    <w:rsid w:val="00451589"/>
    <w:rsid w:val="004515C1"/>
    <w:rsid w:val="004517F7"/>
    <w:rsid w:val="0045186D"/>
    <w:rsid w:val="00451939"/>
    <w:rsid w:val="00451FE6"/>
    <w:rsid w:val="004522B5"/>
    <w:rsid w:val="0045231F"/>
    <w:rsid w:val="004524BD"/>
    <w:rsid w:val="00452501"/>
    <w:rsid w:val="00452769"/>
    <w:rsid w:val="0045289E"/>
    <w:rsid w:val="00452A66"/>
    <w:rsid w:val="00452BCD"/>
    <w:rsid w:val="00452D47"/>
    <w:rsid w:val="00452F2C"/>
    <w:rsid w:val="004533E0"/>
    <w:rsid w:val="004533E4"/>
    <w:rsid w:val="00453470"/>
    <w:rsid w:val="00453BB4"/>
    <w:rsid w:val="00453CAD"/>
    <w:rsid w:val="004542A0"/>
    <w:rsid w:val="0045437E"/>
    <w:rsid w:val="0045455A"/>
    <w:rsid w:val="004545E8"/>
    <w:rsid w:val="0045494C"/>
    <w:rsid w:val="00454C3C"/>
    <w:rsid w:val="00454ECB"/>
    <w:rsid w:val="00454F9C"/>
    <w:rsid w:val="00454FDF"/>
    <w:rsid w:val="00455473"/>
    <w:rsid w:val="00455625"/>
    <w:rsid w:val="004559C2"/>
    <w:rsid w:val="00455D45"/>
    <w:rsid w:val="00456437"/>
    <w:rsid w:val="004566DD"/>
    <w:rsid w:val="00456A28"/>
    <w:rsid w:val="00456ACE"/>
    <w:rsid w:val="00456F69"/>
    <w:rsid w:val="0045706F"/>
    <w:rsid w:val="0045763E"/>
    <w:rsid w:val="004578D5"/>
    <w:rsid w:val="004579F9"/>
    <w:rsid w:val="00457A5F"/>
    <w:rsid w:val="00457AD9"/>
    <w:rsid w:val="00457AFD"/>
    <w:rsid w:val="00457DCE"/>
    <w:rsid w:val="00457E5B"/>
    <w:rsid w:val="00460300"/>
    <w:rsid w:val="00460459"/>
    <w:rsid w:val="00460701"/>
    <w:rsid w:val="0046083E"/>
    <w:rsid w:val="00460868"/>
    <w:rsid w:val="00460952"/>
    <w:rsid w:val="004609BE"/>
    <w:rsid w:val="00460B1C"/>
    <w:rsid w:val="00460D2E"/>
    <w:rsid w:val="00460DFC"/>
    <w:rsid w:val="004610BC"/>
    <w:rsid w:val="00461173"/>
    <w:rsid w:val="00461426"/>
    <w:rsid w:val="004615E3"/>
    <w:rsid w:val="00461730"/>
    <w:rsid w:val="00461EEC"/>
    <w:rsid w:val="004621E3"/>
    <w:rsid w:val="0046230A"/>
    <w:rsid w:val="00462389"/>
    <w:rsid w:val="0046290A"/>
    <w:rsid w:val="004629F7"/>
    <w:rsid w:val="00462AB6"/>
    <w:rsid w:val="00463373"/>
    <w:rsid w:val="00463497"/>
    <w:rsid w:val="004635CB"/>
    <w:rsid w:val="0046374E"/>
    <w:rsid w:val="00463836"/>
    <w:rsid w:val="004639E5"/>
    <w:rsid w:val="0046414C"/>
    <w:rsid w:val="00464285"/>
    <w:rsid w:val="00464595"/>
    <w:rsid w:val="004645B1"/>
    <w:rsid w:val="00464BAC"/>
    <w:rsid w:val="00464CEC"/>
    <w:rsid w:val="00464E6E"/>
    <w:rsid w:val="00464F75"/>
    <w:rsid w:val="004651EF"/>
    <w:rsid w:val="00465580"/>
    <w:rsid w:val="0046574D"/>
    <w:rsid w:val="00465814"/>
    <w:rsid w:val="004658B5"/>
    <w:rsid w:val="00465C6C"/>
    <w:rsid w:val="00465CF1"/>
    <w:rsid w:val="00466202"/>
    <w:rsid w:val="00466298"/>
    <w:rsid w:val="00466515"/>
    <w:rsid w:val="00466593"/>
    <w:rsid w:val="00466751"/>
    <w:rsid w:val="0046697F"/>
    <w:rsid w:val="00466A52"/>
    <w:rsid w:val="00466D18"/>
    <w:rsid w:val="00466F56"/>
    <w:rsid w:val="004676EA"/>
    <w:rsid w:val="0047009C"/>
    <w:rsid w:val="004706B9"/>
    <w:rsid w:val="00470877"/>
    <w:rsid w:val="004708E0"/>
    <w:rsid w:val="00470DFD"/>
    <w:rsid w:val="004715C9"/>
    <w:rsid w:val="0047168C"/>
    <w:rsid w:val="0047171C"/>
    <w:rsid w:val="00471B32"/>
    <w:rsid w:val="00471E03"/>
    <w:rsid w:val="00471EA5"/>
    <w:rsid w:val="0047208D"/>
    <w:rsid w:val="0047211F"/>
    <w:rsid w:val="0047215B"/>
    <w:rsid w:val="0047218A"/>
    <w:rsid w:val="0047223F"/>
    <w:rsid w:val="00472555"/>
    <w:rsid w:val="00472682"/>
    <w:rsid w:val="00472823"/>
    <w:rsid w:val="00472903"/>
    <w:rsid w:val="00472967"/>
    <w:rsid w:val="00472A79"/>
    <w:rsid w:val="00472B3E"/>
    <w:rsid w:val="00472C7D"/>
    <w:rsid w:val="00472EED"/>
    <w:rsid w:val="004730B5"/>
    <w:rsid w:val="00473126"/>
    <w:rsid w:val="0047318F"/>
    <w:rsid w:val="004731BD"/>
    <w:rsid w:val="004734C1"/>
    <w:rsid w:val="00473E42"/>
    <w:rsid w:val="00473F19"/>
    <w:rsid w:val="004740E2"/>
    <w:rsid w:val="00474199"/>
    <w:rsid w:val="0047430A"/>
    <w:rsid w:val="004743AA"/>
    <w:rsid w:val="0047449F"/>
    <w:rsid w:val="004747B0"/>
    <w:rsid w:val="00474855"/>
    <w:rsid w:val="00474ACD"/>
    <w:rsid w:val="00474B82"/>
    <w:rsid w:val="00474CCA"/>
    <w:rsid w:val="00474DC0"/>
    <w:rsid w:val="00474DE9"/>
    <w:rsid w:val="00474E00"/>
    <w:rsid w:val="00474E2A"/>
    <w:rsid w:val="00475000"/>
    <w:rsid w:val="00475157"/>
    <w:rsid w:val="00475175"/>
    <w:rsid w:val="004759EA"/>
    <w:rsid w:val="00475A88"/>
    <w:rsid w:val="00475AA7"/>
    <w:rsid w:val="00475B40"/>
    <w:rsid w:val="00475BE0"/>
    <w:rsid w:val="00475CE9"/>
    <w:rsid w:val="00475E1F"/>
    <w:rsid w:val="00475E22"/>
    <w:rsid w:val="004764A3"/>
    <w:rsid w:val="004764BF"/>
    <w:rsid w:val="00476707"/>
    <w:rsid w:val="004767C1"/>
    <w:rsid w:val="00476850"/>
    <w:rsid w:val="00476C04"/>
    <w:rsid w:val="004776D4"/>
    <w:rsid w:val="004777A1"/>
    <w:rsid w:val="004777FF"/>
    <w:rsid w:val="004779AC"/>
    <w:rsid w:val="00477A29"/>
    <w:rsid w:val="00477A37"/>
    <w:rsid w:val="004800DC"/>
    <w:rsid w:val="004803A1"/>
    <w:rsid w:val="004804B1"/>
    <w:rsid w:val="004805B0"/>
    <w:rsid w:val="0048088E"/>
    <w:rsid w:val="00480ADB"/>
    <w:rsid w:val="00480C33"/>
    <w:rsid w:val="00480CAA"/>
    <w:rsid w:val="00480EB8"/>
    <w:rsid w:val="00480F2B"/>
    <w:rsid w:val="0048135E"/>
    <w:rsid w:val="00481460"/>
    <w:rsid w:val="004816B4"/>
    <w:rsid w:val="00481755"/>
    <w:rsid w:val="004818DD"/>
    <w:rsid w:val="004819AC"/>
    <w:rsid w:val="00481A1B"/>
    <w:rsid w:val="00481F9B"/>
    <w:rsid w:val="00481FFF"/>
    <w:rsid w:val="00482041"/>
    <w:rsid w:val="00482255"/>
    <w:rsid w:val="004822D0"/>
    <w:rsid w:val="0048267B"/>
    <w:rsid w:val="004826DA"/>
    <w:rsid w:val="00482720"/>
    <w:rsid w:val="0048293C"/>
    <w:rsid w:val="00482AFA"/>
    <w:rsid w:val="00483087"/>
    <w:rsid w:val="004831DC"/>
    <w:rsid w:val="004835E7"/>
    <w:rsid w:val="004836A0"/>
    <w:rsid w:val="0048384B"/>
    <w:rsid w:val="004839E1"/>
    <w:rsid w:val="00483B2B"/>
    <w:rsid w:val="00484158"/>
    <w:rsid w:val="004842EC"/>
    <w:rsid w:val="004843CD"/>
    <w:rsid w:val="004843E0"/>
    <w:rsid w:val="00484873"/>
    <w:rsid w:val="00484B55"/>
    <w:rsid w:val="00484D27"/>
    <w:rsid w:val="00484FB1"/>
    <w:rsid w:val="004851C6"/>
    <w:rsid w:val="0048525D"/>
    <w:rsid w:val="004853D7"/>
    <w:rsid w:val="00485533"/>
    <w:rsid w:val="0048555F"/>
    <w:rsid w:val="00485789"/>
    <w:rsid w:val="004858FB"/>
    <w:rsid w:val="004859E1"/>
    <w:rsid w:val="00485DB7"/>
    <w:rsid w:val="00485FAA"/>
    <w:rsid w:val="00486203"/>
    <w:rsid w:val="004862F4"/>
    <w:rsid w:val="00486350"/>
    <w:rsid w:val="004863FA"/>
    <w:rsid w:val="00486471"/>
    <w:rsid w:val="004866DA"/>
    <w:rsid w:val="0048671A"/>
    <w:rsid w:val="0048679C"/>
    <w:rsid w:val="004867E2"/>
    <w:rsid w:val="00486D97"/>
    <w:rsid w:val="00486FF1"/>
    <w:rsid w:val="0048711C"/>
    <w:rsid w:val="004874EB"/>
    <w:rsid w:val="00487583"/>
    <w:rsid w:val="00487849"/>
    <w:rsid w:val="00487918"/>
    <w:rsid w:val="00487AFF"/>
    <w:rsid w:val="00487CC9"/>
    <w:rsid w:val="00487DEF"/>
    <w:rsid w:val="00487E7A"/>
    <w:rsid w:val="00487EB7"/>
    <w:rsid w:val="004901E4"/>
    <w:rsid w:val="00490757"/>
    <w:rsid w:val="004909B3"/>
    <w:rsid w:val="00490B17"/>
    <w:rsid w:val="00490B22"/>
    <w:rsid w:val="00490CC7"/>
    <w:rsid w:val="00490DB8"/>
    <w:rsid w:val="00491050"/>
    <w:rsid w:val="00491170"/>
    <w:rsid w:val="0049133D"/>
    <w:rsid w:val="00491600"/>
    <w:rsid w:val="00491604"/>
    <w:rsid w:val="00491944"/>
    <w:rsid w:val="00491A52"/>
    <w:rsid w:val="00491A5E"/>
    <w:rsid w:val="00491B3A"/>
    <w:rsid w:val="00491DE7"/>
    <w:rsid w:val="00491F7E"/>
    <w:rsid w:val="004924C4"/>
    <w:rsid w:val="004928DE"/>
    <w:rsid w:val="00492CFD"/>
    <w:rsid w:val="00492D38"/>
    <w:rsid w:val="00492E45"/>
    <w:rsid w:val="00492EBC"/>
    <w:rsid w:val="00492EC5"/>
    <w:rsid w:val="00493269"/>
    <w:rsid w:val="004934C4"/>
    <w:rsid w:val="0049350C"/>
    <w:rsid w:val="004938A0"/>
    <w:rsid w:val="00493B58"/>
    <w:rsid w:val="00493F8B"/>
    <w:rsid w:val="0049414F"/>
    <w:rsid w:val="0049418B"/>
    <w:rsid w:val="00494207"/>
    <w:rsid w:val="00494223"/>
    <w:rsid w:val="00494473"/>
    <w:rsid w:val="00494579"/>
    <w:rsid w:val="00494614"/>
    <w:rsid w:val="0049489C"/>
    <w:rsid w:val="00494AE2"/>
    <w:rsid w:val="00494B23"/>
    <w:rsid w:val="00494DAB"/>
    <w:rsid w:val="00494DD5"/>
    <w:rsid w:val="004952C4"/>
    <w:rsid w:val="004955CF"/>
    <w:rsid w:val="004959E1"/>
    <w:rsid w:val="00495B6F"/>
    <w:rsid w:val="00495D7C"/>
    <w:rsid w:val="00495DC3"/>
    <w:rsid w:val="00495E93"/>
    <w:rsid w:val="00495FBB"/>
    <w:rsid w:val="004961F4"/>
    <w:rsid w:val="004962D2"/>
    <w:rsid w:val="00496882"/>
    <w:rsid w:val="00496EC2"/>
    <w:rsid w:val="00497018"/>
    <w:rsid w:val="004973D9"/>
    <w:rsid w:val="00497821"/>
    <w:rsid w:val="004978BD"/>
    <w:rsid w:val="004979B9"/>
    <w:rsid w:val="00497A79"/>
    <w:rsid w:val="00497ABA"/>
    <w:rsid w:val="00497C39"/>
    <w:rsid w:val="004A0251"/>
    <w:rsid w:val="004A03E9"/>
    <w:rsid w:val="004A07C2"/>
    <w:rsid w:val="004A0A51"/>
    <w:rsid w:val="004A0C05"/>
    <w:rsid w:val="004A0CDF"/>
    <w:rsid w:val="004A0D5D"/>
    <w:rsid w:val="004A0DA1"/>
    <w:rsid w:val="004A1199"/>
    <w:rsid w:val="004A11C5"/>
    <w:rsid w:val="004A11C7"/>
    <w:rsid w:val="004A13D6"/>
    <w:rsid w:val="004A13E1"/>
    <w:rsid w:val="004A13EC"/>
    <w:rsid w:val="004A171C"/>
    <w:rsid w:val="004A1C3E"/>
    <w:rsid w:val="004A1EF8"/>
    <w:rsid w:val="004A23B3"/>
    <w:rsid w:val="004A2A0E"/>
    <w:rsid w:val="004A3071"/>
    <w:rsid w:val="004A3205"/>
    <w:rsid w:val="004A32E7"/>
    <w:rsid w:val="004A357E"/>
    <w:rsid w:val="004A35FA"/>
    <w:rsid w:val="004A3871"/>
    <w:rsid w:val="004A3971"/>
    <w:rsid w:val="004A3A24"/>
    <w:rsid w:val="004A3A9F"/>
    <w:rsid w:val="004A3B30"/>
    <w:rsid w:val="004A3F4C"/>
    <w:rsid w:val="004A3FEE"/>
    <w:rsid w:val="004A417A"/>
    <w:rsid w:val="004A418C"/>
    <w:rsid w:val="004A43F4"/>
    <w:rsid w:val="004A484E"/>
    <w:rsid w:val="004A48AC"/>
    <w:rsid w:val="004A4C59"/>
    <w:rsid w:val="004A5155"/>
    <w:rsid w:val="004A52E9"/>
    <w:rsid w:val="004A5547"/>
    <w:rsid w:val="004A55A1"/>
    <w:rsid w:val="004A5605"/>
    <w:rsid w:val="004A6040"/>
    <w:rsid w:val="004A604F"/>
    <w:rsid w:val="004A62DF"/>
    <w:rsid w:val="004A6412"/>
    <w:rsid w:val="004A6597"/>
    <w:rsid w:val="004A687D"/>
    <w:rsid w:val="004A6B84"/>
    <w:rsid w:val="004A6CEA"/>
    <w:rsid w:val="004A6D1C"/>
    <w:rsid w:val="004A6E79"/>
    <w:rsid w:val="004A6F88"/>
    <w:rsid w:val="004A70CE"/>
    <w:rsid w:val="004A756B"/>
    <w:rsid w:val="004A76D9"/>
    <w:rsid w:val="004A7724"/>
    <w:rsid w:val="004A7848"/>
    <w:rsid w:val="004A793B"/>
    <w:rsid w:val="004A7B93"/>
    <w:rsid w:val="004A7F31"/>
    <w:rsid w:val="004A7F7C"/>
    <w:rsid w:val="004B0176"/>
    <w:rsid w:val="004B01D2"/>
    <w:rsid w:val="004B050E"/>
    <w:rsid w:val="004B086B"/>
    <w:rsid w:val="004B0DCA"/>
    <w:rsid w:val="004B10AC"/>
    <w:rsid w:val="004B1C1A"/>
    <w:rsid w:val="004B1CB4"/>
    <w:rsid w:val="004B1CF7"/>
    <w:rsid w:val="004B1DDF"/>
    <w:rsid w:val="004B1E98"/>
    <w:rsid w:val="004B21BF"/>
    <w:rsid w:val="004B2299"/>
    <w:rsid w:val="004B2338"/>
    <w:rsid w:val="004B25ED"/>
    <w:rsid w:val="004B282F"/>
    <w:rsid w:val="004B2C0E"/>
    <w:rsid w:val="004B2E2D"/>
    <w:rsid w:val="004B2F18"/>
    <w:rsid w:val="004B3BD5"/>
    <w:rsid w:val="004B3C27"/>
    <w:rsid w:val="004B3DDB"/>
    <w:rsid w:val="004B3EAF"/>
    <w:rsid w:val="004B3F3B"/>
    <w:rsid w:val="004B4109"/>
    <w:rsid w:val="004B41B9"/>
    <w:rsid w:val="004B4243"/>
    <w:rsid w:val="004B44FD"/>
    <w:rsid w:val="004B45EF"/>
    <w:rsid w:val="004B480F"/>
    <w:rsid w:val="004B4995"/>
    <w:rsid w:val="004B511A"/>
    <w:rsid w:val="004B5389"/>
    <w:rsid w:val="004B568A"/>
    <w:rsid w:val="004B5754"/>
    <w:rsid w:val="004B5A24"/>
    <w:rsid w:val="004B5BAB"/>
    <w:rsid w:val="004B5CFC"/>
    <w:rsid w:val="004B5E23"/>
    <w:rsid w:val="004B5E9B"/>
    <w:rsid w:val="004B5F1C"/>
    <w:rsid w:val="004B5F55"/>
    <w:rsid w:val="004B606B"/>
    <w:rsid w:val="004B60E8"/>
    <w:rsid w:val="004B6105"/>
    <w:rsid w:val="004B6732"/>
    <w:rsid w:val="004B6B51"/>
    <w:rsid w:val="004B6F79"/>
    <w:rsid w:val="004B713F"/>
    <w:rsid w:val="004B7303"/>
    <w:rsid w:val="004B73FF"/>
    <w:rsid w:val="004B7734"/>
    <w:rsid w:val="004B774D"/>
    <w:rsid w:val="004B7CA9"/>
    <w:rsid w:val="004B7D45"/>
    <w:rsid w:val="004B7F1A"/>
    <w:rsid w:val="004C0031"/>
    <w:rsid w:val="004C0315"/>
    <w:rsid w:val="004C04A6"/>
    <w:rsid w:val="004C05D7"/>
    <w:rsid w:val="004C0C29"/>
    <w:rsid w:val="004C11EE"/>
    <w:rsid w:val="004C1232"/>
    <w:rsid w:val="004C13EE"/>
    <w:rsid w:val="004C15DC"/>
    <w:rsid w:val="004C1624"/>
    <w:rsid w:val="004C1719"/>
    <w:rsid w:val="004C19AF"/>
    <w:rsid w:val="004C1AC6"/>
    <w:rsid w:val="004C1B40"/>
    <w:rsid w:val="004C1C6F"/>
    <w:rsid w:val="004C1C79"/>
    <w:rsid w:val="004C1D52"/>
    <w:rsid w:val="004C1D5A"/>
    <w:rsid w:val="004C2205"/>
    <w:rsid w:val="004C23AA"/>
    <w:rsid w:val="004C292C"/>
    <w:rsid w:val="004C2A36"/>
    <w:rsid w:val="004C2AC2"/>
    <w:rsid w:val="004C2C98"/>
    <w:rsid w:val="004C2EBE"/>
    <w:rsid w:val="004C30D4"/>
    <w:rsid w:val="004C3457"/>
    <w:rsid w:val="004C35B6"/>
    <w:rsid w:val="004C3671"/>
    <w:rsid w:val="004C3705"/>
    <w:rsid w:val="004C3B02"/>
    <w:rsid w:val="004C3EA0"/>
    <w:rsid w:val="004C413A"/>
    <w:rsid w:val="004C468E"/>
    <w:rsid w:val="004C4860"/>
    <w:rsid w:val="004C4AED"/>
    <w:rsid w:val="004C4D9A"/>
    <w:rsid w:val="004C4F63"/>
    <w:rsid w:val="004C5226"/>
    <w:rsid w:val="004C529D"/>
    <w:rsid w:val="004C545A"/>
    <w:rsid w:val="004C5761"/>
    <w:rsid w:val="004C5A3E"/>
    <w:rsid w:val="004C5CD1"/>
    <w:rsid w:val="004C5EDB"/>
    <w:rsid w:val="004C624F"/>
    <w:rsid w:val="004C66B9"/>
    <w:rsid w:val="004C679D"/>
    <w:rsid w:val="004C6A5C"/>
    <w:rsid w:val="004C6AAA"/>
    <w:rsid w:val="004C6B1C"/>
    <w:rsid w:val="004C6B7E"/>
    <w:rsid w:val="004C6C49"/>
    <w:rsid w:val="004C6EFD"/>
    <w:rsid w:val="004C70A3"/>
    <w:rsid w:val="004C71C1"/>
    <w:rsid w:val="004C747A"/>
    <w:rsid w:val="004C75D7"/>
    <w:rsid w:val="004C76AF"/>
    <w:rsid w:val="004C77BA"/>
    <w:rsid w:val="004C7AF9"/>
    <w:rsid w:val="004C7CC2"/>
    <w:rsid w:val="004C7E41"/>
    <w:rsid w:val="004D002B"/>
    <w:rsid w:val="004D01A5"/>
    <w:rsid w:val="004D0717"/>
    <w:rsid w:val="004D0766"/>
    <w:rsid w:val="004D0E43"/>
    <w:rsid w:val="004D1132"/>
    <w:rsid w:val="004D151D"/>
    <w:rsid w:val="004D15AD"/>
    <w:rsid w:val="004D18F8"/>
    <w:rsid w:val="004D1BA1"/>
    <w:rsid w:val="004D1EBF"/>
    <w:rsid w:val="004D1F03"/>
    <w:rsid w:val="004D1FB7"/>
    <w:rsid w:val="004D2004"/>
    <w:rsid w:val="004D2524"/>
    <w:rsid w:val="004D28DD"/>
    <w:rsid w:val="004D2AA7"/>
    <w:rsid w:val="004D2C2D"/>
    <w:rsid w:val="004D2D84"/>
    <w:rsid w:val="004D31B3"/>
    <w:rsid w:val="004D3349"/>
    <w:rsid w:val="004D33E0"/>
    <w:rsid w:val="004D38CD"/>
    <w:rsid w:val="004D39D6"/>
    <w:rsid w:val="004D3BF7"/>
    <w:rsid w:val="004D3DE4"/>
    <w:rsid w:val="004D4437"/>
    <w:rsid w:val="004D46C2"/>
    <w:rsid w:val="004D4835"/>
    <w:rsid w:val="004D48B7"/>
    <w:rsid w:val="004D4965"/>
    <w:rsid w:val="004D4967"/>
    <w:rsid w:val="004D4D06"/>
    <w:rsid w:val="004D562E"/>
    <w:rsid w:val="004D57DE"/>
    <w:rsid w:val="004D57F0"/>
    <w:rsid w:val="004D5B8A"/>
    <w:rsid w:val="004D5D13"/>
    <w:rsid w:val="004D5DAC"/>
    <w:rsid w:val="004D6132"/>
    <w:rsid w:val="004D6520"/>
    <w:rsid w:val="004D666C"/>
    <w:rsid w:val="004D6754"/>
    <w:rsid w:val="004D69B5"/>
    <w:rsid w:val="004D6BB9"/>
    <w:rsid w:val="004D6CBB"/>
    <w:rsid w:val="004D70E9"/>
    <w:rsid w:val="004D7227"/>
    <w:rsid w:val="004D73F1"/>
    <w:rsid w:val="004D74C2"/>
    <w:rsid w:val="004D74E0"/>
    <w:rsid w:val="004D76A0"/>
    <w:rsid w:val="004D78CE"/>
    <w:rsid w:val="004D7A50"/>
    <w:rsid w:val="004D7B5E"/>
    <w:rsid w:val="004D7C07"/>
    <w:rsid w:val="004D7E4E"/>
    <w:rsid w:val="004E0050"/>
    <w:rsid w:val="004E013D"/>
    <w:rsid w:val="004E019D"/>
    <w:rsid w:val="004E024E"/>
    <w:rsid w:val="004E0424"/>
    <w:rsid w:val="004E0542"/>
    <w:rsid w:val="004E05CF"/>
    <w:rsid w:val="004E0A10"/>
    <w:rsid w:val="004E0AFD"/>
    <w:rsid w:val="004E0E7F"/>
    <w:rsid w:val="004E0EB8"/>
    <w:rsid w:val="004E108B"/>
    <w:rsid w:val="004E1280"/>
    <w:rsid w:val="004E1404"/>
    <w:rsid w:val="004E185D"/>
    <w:rsid w:val="004E18E9"/>
    <w:rsid w:val="004E190A"/>
    <w:rsid w:val="004E1A30"/>
    <w:rsid w:val="004E1B66"/>
    <w:rsid w:val="004E1CBE"/>
    <w:rsid w:val="004E1EBE"/>
    <w:rsid w:val="004E203B"/>
    <w:rsid w:val="004E22B9"/>
    <w:rsid w:val="004E24B8"/>
    <w:rsid w:val="004E2541"/>
    <w:rsid w:val="004E2ADC"/>
    <w:rsid w:val="004E346F"/>
    <w:rsid w:val="004E3508"/>
    <w:rsid w:val="004E38BE"/>
    <w:rsid w:val="004E3CB2"/>
    <w:rsid w:val="004E41C4"/>
    <w:rsid w:val="004E4214"/>
    <w:rsid w:val="004E428F"/>
    <w:rsid w:val="004E43B2"/>
    <w:rsid w:val="004E446F"/>
    <w:rsid w:val="004E45F4"/>
    <w:rsid w:val="004E466D"/>
    <w:rsid w:val="004E49BC"/>
    <w:rsid w:val="004E4AB5"/>
    <w:rsid w:val="004E4C5A"/>
    <w:rsid w:val="004E4C9D"/>
    <w:rsid w:val="004E4D3B"/>
    <w:rsid w:val="004E4FBF"/>
    <w:rsid w:val="004E5069"/>
    <w:rsid w:val="004E56A6"/>
    <w:rsid w:val="004E56AF"/>
    <w:rsid w:val="004E5861"/>
    <w:rsid w:val="004E5AC7"/>
    <w:rsid w:val="004E5ACB"/>
    <w:rsid w:val="004E5B52"/>
    <w:rsid w:val="004E634F"/>
    <w:rsid w:val="004E636E"/>
    <w:rsid w:val="004E6A51"/>
    <w:rsid w:val="004E6BD5"/>
    <w:rsid w:val="004E71FD"/>
    <w:rsid w:val="004E72E5"/>
    <w:rsid w:val="004E76AB"/>
    <w:rsid w:val="004E773D"/>
    <w:rsid w:val="004E786F"/>
    <w:rsid w:val="004E7A19"/>
    <w:rsid w:val="004E7EDA"/>
    <w:rsid w:val="004E7F42"/>
    <w:rsid w:val="004F00EF"/>
    <w:rsid w:val="004F00F8"/>
    <w:rsid w:val="004F026A"/>
    <w:rsid w:val="004F0275"/>
    <w:rsid w:val="004F0375"/>
    <w:rsid w:val="004F03AC"/>
    <w:rsid w:val="004F051C"/>
    <w:rsid w:val="004F060D"/>
    <w:rsid w:val="004F074C"/>
    <w:rsid w:val="004F0AAC"/>
    <w:rsid w:val="004F1021"/>
    <w:rsid w:val="004F1297"/>
    <w:rsid w:val="004F1438"/>
    <w:rsid w:val="004F1C01"/>
    <w:rsid w:val="004F1D02"/>
    <w:rsid w:val="004F200C"/>
    <w:rsid w:val="004F2109"/>
    <w:rsid w:val="004F2245"/>
    <w:rsid w:val="004F23D8"/>
    <w:rsid w:val="004F25A1"/>
    <w:rsid w:val="004F2679"/>
    <w:rsid w:val="004F27D9"/>
    <w:rsid w:val="004F29B0"/>
    <w:rsid w:val="004F2EC6"/>
    <w:rsid w:val="004F2F21"/>
    <w:rsid w:val="004F2FA5"/>
    <w:rsid w:val="004F30C8"/>
    <w:rsid w:val="004F30CB"/>
    <w:rsid w:val="004F317B"/>
    <w:rsid w:val="004F32BE"/>
    <w:rsid w:val="004F32EB"/>
    <w:rsid w:val="004F3377"/>
    <w:rsid w:val="004F3474"/>
    <w:rsid w:val="004F3598"/>
    <w:rsid w:val="004F3689"/>
    <w:rsid w:val="004F382A"/>
    <w:rsid w:val="004F38AE"/>
    <w:rsid w:val="004F3DE5"/>
    <w:rsid w:val="004F3E60"/>
    <w:rsid w:val="004F4149"/>
    <w:rsid w:val="004F4558"/>
    <w:rsid w:val="004F4613"/>
    <w:rsid w:val="004F4BCA"/>
    <w:rsid w:val="004F4BD4"/>
    <w:rsid w:val="004F4DD3"/>
    <w:rsid w:val="004F4EB0"/>
    <w:rsid w:val="004F50B7"/>
    <w:rsid w:val="004F555F"/>
    <w:rsid w:val="004F568E"/>
    <w:rsid w:val="004F59C7"/>
    <w:rsid w:val="004F5A4A"/>
    <w:rsid w:val="004F5AD7"/>
    <w:rsid w:val="004F5B68"/>
    <w:rsid w:val="004F5BAC"/>
    <w:rsid w:val="004F5CEB"/>
    <w:rsid w:val="004F66E3"/>
    <w:rsid w:val="004F6913"/>
    <w:rsid w:val="004F6AD9"/>
    <w:rsid w:val="004F6B0E"/>
    <w:rsid w:val="004F6FF4"/>
    <w:rsid w:val="004F708C"/>
    <w:rsid w:val="004F744A"/>
    <w:rsid w:val="004F749E"/>
    <w:rsid w:val="004F7558"/>
    <w:rsid w:val="004F762D"/>
    <w:rsid w:val="004F77AC"/>
    <w:rsid w:val="004F7864"/>
    <w:rsid w:val="004F7865"/>
    <w:rsid w:val="004F79EA"/>
    <w:rsid w:val="004F7B15"/>
    <w:rsid w:val="005000C3"/>
    <w:rsid w:val="005005F0"/>
    <w:rsid w:val="00500606"/>
    <w:rsid w:val="0050062B"/>
    <w:rsid w:val="005007DA"/>
    <w:rsid w:val="005009AD"/>
    <w:rsid w:val="005009D6"/>
    <w:rsid w:val="00500BE2"/>
    <w:rsid w:val="005015B9"/>
    <w:rsid w:val="00501668"/>
    <w:rsid w:val="005016B3"/>
    <w:rsid w:val="0050174E"/>
    <w:rsid w:val="005017D1"/>
    <w:rsid w:val="00501854"/>
    <w:rsid w:val="00501923"/>
    <w:rsid w:val="00501BA5"/>
    <w:rsid w:val="00501DD3"/>
    <w:rsid w:val="00501E36"/>
    <w:rsid w:val="0050207F"/>
    <w:rsid w:val="0050219B"/>
    <w:rsid w:val="0050234D"/>
    <w:rsid w:val="00502510"/>
    <w:rsid w:val="005026FA"/>
    <w:rsid w:val="00502AAD"/>
    <w:rsid w:val="00502BBA"/>
    <w:rsid w:val="00502DB1"/>
    <w:rsid w:val="00502E5A"/>
    <w:rsid w:val="0050301C"/>
    <w:rsid w:val="005030FC"/>
    <w:rsid w:val="005031A4"/>
    <w:rsid w:val="005031DA"/>
    <w:rsid w:val="0050342C"/>
    <w:rsid w:val="00503972"/>
    <w:rsid w:val="00503A9A"/>
    <w:rsid w:val="00503BE1"/>
    <w:rsid w:val="00503C17"/>
    <w:rsid w:val="00503DBA"/>
    <w:rsid w:val="00503DF0"/>
    <w:rsid w:val="00503E2E"/>
    <w:rsid w:val="00503F17"/>
    <w:rsid w:val="00503F3A"/>
    <w:rsid w:val="00503F8B"/>
    <w:rsid w:val="00504060"/>
    <w:rsid w:val="00504284"/>
    <w:rsid w:val="00504670"/>
    <w:rsid w:val="00504A25"/>
    <w:rsid w:val="00504D65"/>
    <w:rsid w:val="0050513A"/>
    <w:rsid w:val="00505165"/>
    <w:rsid w:val="00505613"/>
    <w:rsid w:val="00505687"/>
    <w:rsid w:val="005056AD"/>
    <w:rsid w:val="005056CE"/>
    <w:rsid w:val="0050571E"/>
    <w:rsid w:val="0050580C"/>
    <w:rsid w:val="0050589F"/>
    <w:rsid w:val="005058B6"/>
    <w:rsid w:val="0050593C"/>
    <w:rsid w:val="00505A50"/>
    <w:rsid w:val="00505E70"/>
    <w:rsid w:val="00506192"/>
    <w:rsid w:val="00506399"/>
    <w:rsid w:val="005065E8"/>
    <w:rsid w:val="00506928"/>
    <w:rsid w:val="0050699C"/>
    <w:rsid w:val="00506A6F"/>
    <w:rsid w:val="00506B90"/>
    <w:rsid w:val="00506BD2"/>
    <w:rsid w:val="00506D66"/>
    <w:rsid w:val="00506D80"/>
    <w:rsid w:val="00506FBF"/>
    <w:rsid w:val="00507494"/>
    <w:rsid w:val="005077EF"/>
    <w:rsid w:val="005078D2"/>
    <w:rsid w:val="00507B26"/>
    <w:rsid w:val="00507F79"/>
    <w:rsid w:val="00510141"/>
    <w:rsid w:val="005101CE"/>
    <w:rsid w:val="005103FA"/>
    <w:rsid w:val="00510569"/>
    <w:rsid w:val="0051057B"/>
    <w:rsid w:val="005105EF"/>
    <w:rsid w:val="00510698"/>
    <w:rsid w:val="00510BD7"/>
    <w:rsid w:val="00510D11"/>
    <w:rsid w:val="00510DC7"/>
    <w:rsid w:val="00510DF5"/>
    <w:rsid w:val="005110C0"/>
    <w:rsid w:val="0051114C"/>
    <w:rsid w:val="00511192"/>
    <w:rsid w:val="00511200"/>
    <w:rsid w:val="0051165D"/>
    <w:rsid w:val="00511AD5"/>
    <w:rsid w:val="00511B90"/>
    <w:rsid w:val="00511DC7"/>
    <w:rsid w:val="00512025"/>
    <w:rsid w:val="005121CE"/>
    <w:rsid w:val="00512459"/>
    <w:rsid w:val="005124A6"/>
    <w:rsid w:val="005126F7"/>
    <w:rsid w:val="0051283A"/>
    <w:rsid w:val="00512935"/>
    <w:rsid w:val="005129A7"/>
    <w:rsid w:val="00512DF4"/>
    <w:rsid w:val="00512F4D"/>
    <w:rsid w:val="0051325A"/>
    <w:rsid w:val="00513451"/>
    <w:rsid w:val="0051354E"/>
    <w:rsid w:val="00513844"/>
    <w:rsid w:val="005138C1"/>
    <w:rsid w:val="00513A54"/>
    <w:rsid w:val="00513A5C"/>
    <w:rsid w:val="00513BEF"/>
    <w:rsid w:val="00513C7B"/>
    <w:rsid w:val="00513CD6"/>
    <w:rsid w:val="00513CFB"/>
    <w:rsid w:val="00513E5D"/>
    <w:rsid w:val="00514040"/>
    <w:rsid w:val="005142C5"/>
    <w:rsid w:val="005143AB"/>
    <w:rsid w:val="0051445A"/>
    <w:rsid w:val="005146E0"/>
    <w:rsid w:val="0051478D"/>
    <w:rsid w:val="00514BB1"/>
    <w:rsid w:val="00514BE2"/>
    <w:rsid w:val="0051501B"/>
    <w:rsid w:val="0051512C"/>
    <w:rsid w:val="005151AA"/>
    <w:rsid w:val="005152B5"/>
    <w:rsid w:val="0051530C"/>
    <w:rsid w:val="005153BB"/>
    <w:rsid w:val="0051557F"/>
    <w:rsid w:val="005155CB"/>
    <w:rsid w:val="00515886"/>
    <w:rsid w:val="005160EA"/>
    <w:rsid w:val="005162D8"/>
    <w:rsid w:val="0051653C"/>
    <w:rsid w:val="005166A2"/>
    <w:rsid w:val="00516944"/>
    <w:rsid w:val="005169A3"/>
    <w:rsid w:val="00516CE3"/>
    <w:rsid w:val="00516DE0"/>
    <w:rsid w:val="00516E12"/>
    <w:rsid w:val="0051717B"/>
    <w:rsid w:val="00517478"/>
    <w:rsid w:val="005176B3"/>
    <w:rsid w:val="00517778"/>
    <w:rsid w:val="00517DCF"/>
    <w:rsid w:val="005201A1"/>
    <w:rsid w:val="00520479"/>
    <w:rsid w:val="005204AC"/>
    <w:rsid w:val="0052099E"/>
    <w:rsid w:val="00520C09"/>
    <w:rsid w:val="00520D6C"/>
    <w:rsid w:val="00521063"/>
    <w:rsid w:val="0052123C"/>
    <w:rsid w:val="00521319"/>
    <w:rsid w:val="005213AE"/>
    <w:rsid w:val="005213CB"/>
    <w:rsid w:val="0052143E"/>
    <w:rsid w:val="00521618"/>
    <w:rsid w:val="00521710"/>
    <w:rsid w:val="00521847"/>
    <w:rsid w:val="00521A39"/>
    <w:rsid w:val="00521B1D"/>
    <w:rsid w:val="00521C45"/>
    <w:rsid w:val="00521CCA"/>
    <w:rsid w:val="00521DE5"/>
    <w:rsid w:val="00521DF0"/>
    <w:rsid w:val="00521E11"/>
    <w:rsid w:val="005222F9"/>
    <w:rsid w:val="00522407"/>
    <w:rsid w:val="005228C8"/>
    <w:rsid w:val="00522909"/>
    <w:rsid w:val="00522971"/>
    <w:rsid w:val="0052297A"/>
    <w:rsid w:val="00522A47"/>
    <w:rsid w:val="00522AA1"/>
    <w:rsid w:val="00522AAC"/>
    <w:rsid w:val="00522BC8"/>
    <w:rsid w:val="00522BFD"/>
    <w:rsid w:val="00522DB3"/>
    <w:rsid w:val="00522E62"/>
    <w:rsid w:val="00522F31"/>
    <w:rsid w:val="00523859"/>
    <w:rsid w:val="00523C28"/>
    <w:rsid w:val="00523DC5"/>
    <w:rsid w:val="00523DC8"/>
    <w:rsid w:val="0052409B"/>
    <w:rsid w:val="00524DC7"/>
    <w:rsid w:val="005252AC"/>
    <w:rsid w:val="00525402"/>
    <w:rsid w:val="005255BD"/>
    <w:rsid w:val="00525910"/>
    <w:rsid w:val="00525A00"/>
    <w:rsid w:val="00525C3C"/>
    <w:rsid w:val="00525DEA"/>
    <w:rsid w:val="0052645E"/>
    <w:rsid w:val="0052647D"/>
    <w:rsid w:val="0052659C"/>
    <w:rsid w:val="005266B6"/>
    <w:rsid w:val="005269E8"/>
    <w:rsid w:val="00526A09"/>
    <w:rsid w:val="00526DA0"/>
    <w:rsid w:val="005274DD"/>
    <w:rsid w:val="005275AB"/>
    <w:rsid w:val="00527AD1"/>
    <w:rsid w:val="00527CB4"/>
    <w:rsid w:val="00527DB8"/>
    <w:rsid w:val="00530312"/>
    <w:rsid w:val="00530339"/>
    <w:rsid w:val="0053054B"/>
    <w:rsid w:val="005305C0"/>
    <w:rsid w:val="0053083A"/>
    <w:rsid w:val="00530A05"/>
    <w:rsid w:val="00530A99"/>
    <w:rsid w:val="00530E7D"/>
    <w:rsid w:val="00530EF2"/>
    <w:rsid w:val="005315B1"/>
    <w:rsid w:val="0053172A"/>
    <w:rsid w:val="0053176B"/>
    <w:rsid w:val="0053181A"/>
    <w:rsid w:val="00531AD9"/>
    <w:rsid w:val="00531B57"/>
    <w:rsid w:val="00531D0A"/>
    <w:rsid w:val="00531FA9"/>
    <w:rsid w:val="0053201D"/>
    <w:rsid w:val="005320C1"/>
    <w:rsid w:val="0053212D"/>
    <w:rsid w:val="005326CC"/>
    <w:rsid w:val="005327A9"/>
    <w:rsid w:val="005327F7"/>
    <w:rsid w:val="00532897"/>
    <w:rsid w:val="00532900"/>
    <w:rsid w:val="005329C8"/>
    <w:rsid w:val="00532F08"/>
    <w:rsid w:val="005332BA"/>
    <w:rsid w:val="005332CC"/>
    <w:rsid w:val="005333CD"/>
    <w:rsid w:val="005336DD"/>
    <w:rsid w:val="0053374D"/>
    <w:rsid w:val="005338D1"/>
    <w:rsid w:val="00533A0C"/>
    <w:rsid w:val="00533ABB"/>
    <w:rsid w:val="00533B31"/>
    <w:rsid w:val="00533F3A"/>
    <w:rsid w:val="00533FF4"/>
    <w:rsid w:val="005341B3"/>
    <w:rsid w:val="005341CB"/>
    <w:rsid w:val="00534561"/>
    <w:rsid w:val="005347E9"/>
    <w:rsid w:val="0053483F"/>
    <w:rsid w:val="00534AE1"/>
    <w:rsid w:val="00534B17"/>
    <w:rsid w:val="00535054"/>
    <w:rsid w:val="00535574"/>
    <w:rsid w:val="005355F5"/>
    <w:rsid w:val="0053565D"/>
    <w:rsid w:val="00535687"/>
    <w:rsid w:val="005357CA"/>
    <w:rsid w:val="00535CBB"/>
    <w:rsid w:val="00536116"/>
    <w:rsid w:val="0053616E"/>
    <w:rsid w:val="00536348"/>
    <w:rsid w:val="00536BCF"/>
    <w:rsid w:val="00536D6C"/>
    <w:rsid w:val="00536F42"/>
    <w:rsid w:val="00537182"/>
    <w:rsid w:val="005371E4"/>
    <w:rsid w:val="00537331"/>
    <w:rsid w:val="005378FE"/>
    <w:rsid w:val="00537D65"/>
    <w:rsid w:val="00537EAF"/>
    <w:rsid w:val="00537FEA"/>
    <w:rsid w:val="00540007"/>
    <w:rsid w:val="0054010D"/>
    <w:rsid w:val="005401C6"/>
    <w:rsid w:val="0054034A"/>
    <w:rsid w:val="00540394"/>
    <w:rsid w:val="005404E0"/>
    <w:rsid w:val="00540692"/>
    <w:rsid w:val="0054071A"/>
    <w:rsid w:val="005408EA"/>
    <w:rsid w:val="0054093E"/>
    <w:rsid w:val="005409C4"/>
    <w:rsid w:val="00540A0C"/>
    <w:rsid w:val="00540C38"/>
    <w:rsid w:val="00541057"/>
    <w:rsid w:val="00541142"/>
    <w:rsid w:val="005411AB"/>
    <w:rsid w:val="00541271"/>
    <w:rsid w:val="005412A4"/>
    <w:rsid w:val="00541391"/>
    <w:rsid w:val="0054139A"/>
    <w:rsid w:val="0054153E"/>
    <w:rsid w:val="005415A1"/>
    <w:rsid w:val="0054181A"/>
    <w:rsid w:val="0054196C"/>
    <w:rsid w:val="00541ADE"/>
    <w:rsid w:val="00541C7E"/>
    <w:rsid w:val="00541EDD"/>
    <w:rsid w:val="00541F22"/>
    <w:rsid w:val="00541FAB"/>
    <w:rsid w:val="0054230A"/>
    <w:rsid w:val="00542743"/>
    <w:rsid w:val="005427E5"/>
    <w:rsid w:val="00542920"/>
    <w:rsid w:val="0054296D"/>
    <w:rsid w:val="00542979"/>
    <w:rsid w:val="00542B04"/>
    <w:rsid w:val="00542C2D"/>
    <w:rsid w:val="00542DD4"/>
    <w:rsid w:val="00543130"/>
    <w:rsid w:val="00543153"/>
    <w:rsid w:val="00543584"/>
    <w:rsid w:val="00543669"/>
    <w:rsid w:val="00543A70"/>
    <w:rsid w:val="00543C8B"/>
    <w:rsid w:val="00543EB4"/>
    <w:rsid w:val="005444FF"/>
    <w:rsid w:val="0054451C"/>
    <w:rsid w:val="005445EC"/>
    <w:rsid w:val="005447C6"/>
    <w:rsid w:val="00544800"/>
    <w:rsid w:val="005448B5"/>
    <w:rsid w:val="00544CAC"/>
    <w:rsid w:val="00544CDE"/>
    <w:rsid w:val="00544D34"/>
    <w:rsid w:val="00544FBC"/>
    <w:rsid w:val="00545B41"/>
    <w:rsid w:val="00545DE4"/>
    <w:rsid w:val="00545E8E"/>
    <w:rsid w:val="005463C5"/>
    <w:rsid w:val="0054662A"/>
    <w:rsid w:val="00546C7D"/>
    <w:rsid w:val="00546E64"/>
    <w:rsid w:val="00546FF1"/>
    <w:rsid w:val="00547288"/>
    <w:rsid w:val="0054749B"/>
    <w:rsid w:val="005476EE"/>
    <w:rsid w:val="005478BD"/>
    <w:rsid w:val="005478F5"/>
    <w:rsid w:val="005479E3"/>
    <w:rsid w:val="00547A18"/>
    <w:rsid w:val="00550250"/>
    <w:rsid w:val="00550701"/>
    <w:rsid w:val="005509B6"/>
    <w:rsid w:val="00550B2B"/>
    <w:rsid w:val="00550D1B"/>
    <w:rsid w:val="00550ECD"/>
    <w:rsid w:val="00550FCD"/>
    <w:rsid w:val="005512DE"/>
    <w:rsid w:val="00551684"/>
    <w:rsid w:val="00551730"/>
    <w:rsid w:val="00551985"/>
    <w:rsid w:val="00551C9C"/>
    <w:rsid w:val="00552028"/>
    <w:rsid w:val="005524F8"/>
    <w:rsid w:val="00552566"/>
    <w:rsid w:val="00552A45"/>
    <w:rsid w:val="00552BD3"/>
    <w:rsid w:val="00553000"/>
    <w:rsid w:val="005530E4"/>
    <w:rsid w:val="005531F9"/>
    <w:rsid w:val="005532A0"/>
    <w:rsid w:val="00553641"/>
    <w:rsid w:val="0055367C"/>
    <w:rsid w:val="00553686"/>
    <w:rsid w:val="005537B3"/>
    <w:rsid w:val="00553DA6"/>
    <w:rsid w:val="00553E5F"/>
    <w:rsid w:val="00553FAE"/>
    <w:rsid w:val="00554145"/>
    <w:rsid w:val="0055464F"/>
    <w:rsid w:val="005547BC"/>
    <w:rsid w:val="00554ADE"/>
    <w:rsid w:val="00554AF3"/>
    <w:rsid w:val="00554F7D"/>
    <w:rsid w:val="00555109"/>
    <w:rsid w:val="0055518E"/>
    <w:rsid w:val="005553D4"/>
    <w:rsid w:val="00555516"/>
    <w:rsid w:val="0055559F"/>
    <w:rsid w:val="005556AA"/>
    <w:rsid w:val="00555710"/>
    <w:rsid w:val="00555861"/>
    <w:rsid w:val="00555961"/>
    <w:rsid w:val="00555A82"/>
    <w:rsid w:val="00555C27"/>
    <w:rsid w:val="00555FBE"/>
    <w:rsid w:val="005562D3"/>
    <w:rsid w:val="005563AD"/>
    <w:rsid w:val="0055653C"/>
    <w:rsid w:val="00556681"/>
    <w:rsid w:val="0055682C"/>
    <w:rsid w:val="00556B35"/>
    <w:rsid w:val="00556BCF"/>
    <w:rsid w:val="00556C4E"/>
    <w:rsid w:val="00556DA7"/>
    <w:rsid w:val="00556F1B"/>
    <w:rsid w:val="00557240"/>
    <w:rsid w:val="00557309"/>
    <w:rsid w:val="0055741A"/>
    <w:rsid w:val="00557BDF"/>
    <w:rsid w:val="00557D3C"/>
    <w:rsid w:val="0056015F"/>
    <w:rsid w:val="00560250"/>
    <w:rsid w:val="00560994"/>
    <w:rsid w:val="00560B97"/>
    <w:rsid w:val="00560C94"/>
    <w:rsid w:val="00560D27"/>
    <w:rsid w:val="005611B7"/>
    <w:rsid w:val="005611EB"/>
    <w:rsid w:val="00561283"/>
    <w:rsid w:val="005612B3"/>
    <w:rsid w:val="005615D2"/>
    <w:rsid w:val="00561744"/>
    <w:rsid w:val="00561820"/>
    <w:rsid w:val="005618D4"/>
    <w:rsid w:val="00561CD6"/>
    <w:rsid w:val="00561D6B"/>
    <w:rsid w:val="00561E10"/>
    <w:rsid w:val="00561ECC"/>
    <w:rsid w:val="00561FED"/>
    <w:rsid w:val="005620CC"/>
    <w:rsid w:val="00562343"/>
    <w:rsid w:val="0056264B"/>
    <w:rsid w:val="0056266E"/>
    <w:rsid w:val="00562960"/>
    <w:rsid w:val="0056297E"/>
    <w:rsid w:val="00562C37"/>
    <w:rsid w:val="00562D49"/>
    <w:rsid w:val="00562DEE"/>
    <w:rsid w:val="0056308C"/>
    <w:rsid w:val="0056354F"/>
    <w:rsid w:val="0056380D"/>
    <w:rsid w:val="005638BD"/>
    <w:rsid w:val="005639BA"/>
    <w:rsid w:val="00563D95"/>
    <w:rsid w:val="00563E77"/>
    <w:rsid w:val="005640B8"/>
    <w:rsid w:val="0056444A"/>
    <w:rsid w:val="0056466F"/>
    <w:rsid w:val="00564867"/>
    <w:rsid w:val="00564BB5"/>
    <w:rsid w:val="00564F66"/>
    <w:rsid w:val="00565051"/>
    <w:rsid w:val="005650AF"/>
    <w:rsid w:val="00565301"/>
    <w:rsid w:val="00565483"/>
    <w:rsid w:val="0056553C"/>
    <w:rsid w:val="005659FC"/>
    <w:rsid w:val="00565B1D"/>
    <w:rsid w:val="00565BF5"/>
    <w:rsid w:val="00565C79"/>
    <w:rsid w:val="00565DF0"/>
    <w:rsid w:val="00566253"/>
    <w:rsid w:val="00566860"/>
    <w:rsid w:val="0056696F"/>
    <w:rsid w:val="00566A7F"/>
    <w:rsid w:val="00566ACA"/>
    <w:rsid w:val="00566CA4"/>
    <w:rsid w:val="00566F11"/>
    <w:rsid w:val="005670A0"/>
    <w:rsid w:val="0056737B"/>
    <w:rsid w:val="005674CC"/>
    <w:rsid w:val="00567B3C"/>
    <w:rsid w:val="00567D3B"/>
    <w:rsid w:val="00567D57"/>
    <w:rsid w:val="00567D78"/>
    <w:rsid w:val="00567F7A"/>
    <w:rsid w:val="0057024A"/>
    <w:rsid w:val="00570429"/>
    <w:rsid w:val="00570590"/>
    <w:rsid w:val="00570757"/>
    <w:rsid w:val="00570AF7"/>
    <w:rsid w:val="00570B52"/>
    <w:rsid w:val="00571210"/>
    <w:rsid w:val="00571236"/>
    <w:rsid w:val="005712C6"/>
    <w:rsid w:val="00571F89"/>
    <w:rsid w:val="00572269"/>
    <w:rsid w:val="00572281"/>
    <w:rsid w:val="00572402"/>
    <w:rsid w:val="0057244A"/>
    <w:rsid w:val="00572560"/>
    <w:rsid w:val="005728DF"/>
    <w:rsid w:val="00572AE6"/>
    <w:rsid w:val="00572C20"/>
    <w:rsid w:val="00572C7A"/>
    <w:rsid w:val="00572CE0"/>
    <w:rsid w:val="00572F26"/>
    <w:rsid w:val="0057324A"/>
    <w:rsid w:val="005732EC"/>
    <w:rsid w:val="0057355C"/>
    <w:rsid w:val="00573823"/>
    <w:rsid w:val="00573C9F"/>
    <w:rsid w:val="00574572"/>
    <w:rsid w:val="0057464A"/>
    <w:rsid w:val="0057464D"/>
    <w:rsid w:val="0057464F"/>
    <w:rsid w:val="00574745"/>
    <w:rsid w:val="00574A45"/>
    <w:rsid w:val="00574A7D"/>
    <w:rsid w:val="00574AD9"/>
    <w:rsid w:val="00574B16"/>
    <w:rsid w:val="00574C9E"/>
    <w:rsid w:val="005750C5"/>
    <w:rsid w:val="0057512C"/>
    <w:rsid w:val="005752C0"/>
    <w:rsid w:val="005752DE"/>
    <w:rsid w:val="00575834"/>
    <w:rsid w:val="00575D60"/>
    <w:rsid w:val="00575D8D"/>
    <w:rsid w:val="00575F96"/>
    <w:rsid w:val="0057615C"/>
    <w:rsid w:val="005762A8"/>
    <w:rsid w:val="005763A8"/>
    <w:rsid w:val="00576972"/>
    <w:rsid w:val="00576AA7"/>
    <w:rsid w:val="00576B13"/>
    <w:rsid w:val="00576BB7"/>
    <w:rsid w:val="00576F3D"/>
    <w:rsid w:val="005771AF"/>
    <w:rsid w:val="00577244"/>
    <w:rsid w:val="00577248"/>
    <w:rsid w:val="00577801"/>
    <w:rsid w:val="00577B42"/>
    <w:rsid w:val="00577C12"/>
    <w:rsid w:val="00577F8C"/>
    <w:rsid w:val="00580274"/>
    <w:rsid w:val="00580293"/>
    <w:rsid w:val="005802C5"/>
    <w:rsid w:val="00580541"/>
    <w:rsid w:val="0058063A"/>
    <w:rsid w:val="00580A9B"/>
    <w:rsid w:val="00580C41"/>
    <w:rsid w:val="00580C4C"/>
    <w:rsid w:val="00580C66"/>
    <w:rsid w:val="00580D44"/>
    <w:rsid w:val="00580DDD"/>
    <w:rsid w:val="00580DEE"/>
    <w:rsid w:val="00581330"/>
    <w:rsid w:val="0058137A"/>
    <w:rsid w:val="005815F8"/>
    <w:rsid w:val="005817CB"/>
    <w:rsid w:val="005819D9"/>
    <w:rsid w:val="00581AA8"/>
    <w:rsid w:val="00581C8A"/>
    <w:rsid w:val="00582119"/>
    <w:rsid w:val="005823C8"/>
    <w:rsid w:val="00582498"/>
    <w:rsid w:val="005829EC"/>
    <w:rsid w:val="00582D4F"/>
    <w:rsid w:val="00582EF8"/>
    <w:rsid w:val="005832BE"/>
    <w:rsid w:val="0058353F"/>
    <w:rsid w:val="005835CE"/>
    <w:rsid w:val="0058361C"/>
    <w:rsid w:val="00583634"/>
    <w:rsid w:val="00583699"/>
    <w:rsid w:val="005838A8"/>
    <w:rsid w:val="00583D6B"/>
    <w:rsid w:val="00584168"/>
    <w:rsid w:val="00584247"/>
    <w:rsid w:val="00584266"/>
    <w:rsid w:val="00584283"/>
    <w:rsid w:val="0058428D"/>
    <w:rsid w:val="005846D8"/>
    <w:rsid w:val="005847B3"/>
    <w:rsid w:val="00584908"/>
    <w:rsid w:val="0058498D"/>
    <w:rsid w:val="00584AF4"/>
    <w:rsid w:val="00584BB8"/>
    <w:rsid w:val="00584E11"/>
    <w:rsid w:val="00584EAB"/>
    <w:rsid w:val="005851E0"/>
    <w:rsid w:val="0058526F"/>
    <w:rsid w:val="00585305"/>
    <w:rsid w:val="00585330"/>
    <w:rsid w:val="005853BE"/>
    <w:rsid w:val="00585487"/>
    <w:rsid w:val="0058550E"/>
    <w:rsid w:val="00585551"/>
    <w:rsid w:val="00585785"/>
    <w:rsid w:val="00585814"/>
    <w:rsid w:val="0058589F"/>
    <w:rsid w:val="005858C3"/>
    <w:rsid w:val="0058594A"/>
    <w:rsid w:val="00585B40"/>
    <w:rsid w:val="00585CDD"/>
    <w:rsid w:val="005860FC"/>
    <w:rsid w:val="00586301"/>
    <w:rsid w:val="00586755"/>
    <w:rsid w:val="00587058"/>
    <w:rsid w:val="00587545"/>
    <w:rsid w:val="005876CF"/>
    <w:rsid w:val="00587742"/>
    <w:rsid w:val="00587CD2"/>
    <w:rsid w:val="00587F41"/>
    <w:rsid w:val="005900FA"/>
    <w:rsid w:val="005904BF"/>
    <w:rsid w:val="005907B7"/>
    <w:rsid w:val="0059085D"/>
    <w:rsid w:val="00590EEA"/>
    <w:rsid w:val="00590FE5"/>
    <w:rsid w:val="00591318"/>
    <w:rsid w:val="00591332"/>
    <w:rsid w:val="0059136D"/>
    <w:rsid w:val="005915E5"/>
    <w:rsid w:val="00591750"/>
    <w:rsid w:val="0059191C"/>
    <w:rsid w:val="00591957"/>
    <w:rsid w:val="00591A06"/>
    <w:rsid w:val="00591A53"/>
    <w:rsid w:val="00591B0D"/>
    <w:rsid w:val="00591F4D"/>
    <w:rsid w:val="0059204D"/>
    <w:rsid w:val="00592373"/>
    <w:rsid w:val="005926FE"/>
    <w:rsid w:val="0059275D"/>
    <w:rsid w:val="005929DE"/>
    <w:rsid w:val="00592AFE"/>
    <w:rsid w:val="00592F72"/>
    <w:rsid w:val="00593052"/>
    <w:rsid w:val="00593164"/>
    <w:rsid w:val="00593404"/>
    <w:rsid w:val="00593550"/>
    <w:rsid w:val="00593851"/>
    <w:rsid w:val="00593A9F"/>
    <w:rsid w:val="00593BFA"/>
    <w:rsid w:val="00593E51"/>
    <w:rsid w:val="005940B5"/>
    <w:rsid w:val="00594265"/>
    <w:rsid w:val="005946F6"/>
    <w:rsid w:val="00594B46"/>
    <w:rsid w:val="00594C8F"/>
    <w:rsid w:val="00594DFC"/>
    <w:rsid w:val="005951CF"/>
    <w:rsid w:val="005952DB"/>
    <w:rsid w:val="00595349"/>
    <w:rsid w:val="0059534C"/>
    <w:rsid w:val="00595454"/>
    <w:rsid w:val="005955C8"/>
    <w:rsid w:val="005955DD"/>
    <w:rsid w:val="00595719"/>
    <w:rsid w:val="0059582E"/>
    <w:rsid w:val="00595C5D"/>
    <w:rsid w:val="00595C6B"/>
    <w:rsid w:val="00596071"/>
    <w:rsid w:val="00596232"/>
    <w:rsid w:val="005962CD"/>
    <w:rsid w:val="00596878"/>
    <w:rsid w:val="0059692C"/>
    <w:rsid w:val="00596B2F"/>
    <w:rsid w:val="00596E1B"/>
    <w:rsid w:val="00597022"/>
    <w:rsid w:val="005972B0"/>
    <w:rsid w:val="00597396"/>
    <w:rsid w:val="0059780B"/>
    <w:rsid w:val="0059787F"/>
    <w:rsid w:val="00597A2C"/>
    <w:rsid w:val="00597BAB"/>
    <w:rsid w:val="00597BF9"/>
    <w:rsid w:val="00597DAF"/>
    <w:rsid w:val="005A01B7"/>
    <w:rsid w:val="005A0291"/>
    <w:rsid w:val="005A05D6"/>
    <w:rsid w:val="005A0C11"/>
    <w:rsid w:val="005A0F61"/>
    <w:rsid w:val="005A14C0"/>
    <w:rsid w:val="005A171D"/>
    <w:rsid w:val="005A1754"/>
    <w:rsid w:val="005A1B4F"/>
    <w:rsid w:val="005A1C54"/>
    <w:rsid w:val="005A1E59"/>
    <w:rsid w:val="005A230A"/>
    <w:rsid w:val="005A251F"/>
    <w:rsid w:val="005A2547"/>
    <w:rsid w:val="005A255A"/>
    <w:rsid w:val="005A25D5"/>
    <w:rsid w:val="005A2DB4"/>
    <w:rsid w:val="005A2EF0"/>
    <w:rsid w:val="005A2F47"/>
    <w:rsid w:val="005A2F80"/>
    <w:rsid w:val="005A309A"/>
    <w:rsid w:val="005A32AB"/>
    <w:rsid w:val="005A331D"/>
    <w:rsid w:val="005A372A"/>
    <w:rsid w:val="005A373D"/>
    <w:rsid w:val="005A37C7"/>
    <w:rsid w:val="005A3B7B"/>
    <w:rsid w:val="005A441E"/>
    <w:rsid w:val="005A4B9E"/>
    <w:rsid w:val="005A4C6F"/>
    <w:rsid w:val="005A526E"/>
    <w:rsid w:val="005A5325"/>
    <w:rsid w:val="005A5353"/>
    <w:rsid w:val="005A5392"/>
    <w:rsid w:val="005A547F"/>
    <w:rsid w:val="005A54B0"/>
    <w:rsid w:val="005A5C1B"/>
    <w:rsid w:val="005A5FCD"/>
    <w:rsid w:val="005A65F9"/>
    <w:rsid w:val="005A675F"/>
    <w:rsid w:val="005A6827"/>
    <w:rsid w:val="005A6BAE"/>
    <w:rsid w:val="005A6FAF"/>
    <w:rsid w:val="005A747F"/>
    <w:rsid w:val="005A7655"/>
    <w:rsid w:val="005A790A"/>
    <w:rsid w:val="005A7B85"/>
    <w:rsid w:val="005A7E44"/>
    <w:rsid w:val="005A7F72"/>
    <w:rsid w:val="005A7F76"/>
    <w:rsid w:val="005B0044"/>
    <w:rsid w:val="005B0221"/>
    <w:rsid w:val="005B0295"/>
    <w:rsid w:val="005B04CE"/>
    <w:rsid w:val="005B0668"/>
    <w:rsid w:val="005B0679"/>
    <w:rsid w:val="005B06B7"/>
    <w:rsid w:val="005B07EB"/>
    <w:rsid w:val="005B0950"/>
    <w:rsid w:val="005B0A13"/>
    <w:rsid w:val="005B0B58"/>
    <w:rsid w:val="005B0BB0"/>
    <w:rsid w:val="005B0DAB"/>
    <w:rsid w:val="005B0E66"/>
    <w:rsid w:val="005B0EB4"/>
    <w:rsid w:val="005B0F35"/>
    <w:rsid w:val="005B133B"/>
    <w:rsid w:val="005B1BD8"/>
    <w:rsid w:val="005B1C4A"/>
    <w:rsid w:val="005B1D18"/>
    <w:rsid w:val="005B1FFD"/>
    <w:rsid w:val="005B213E"/>
    <w:rsid w:val="005B21EE"/>
    <w:rsid w:val="005B22F4"/>
    <w:rsid w:val="005B236C"/>
    <w:rsid w:val="005B24CD"/>
    <w:rsid w:val="005B26CB"/>
    <w:rsid w:val="005B296A"/>
    <w:rsid w:val="005B2A0B"/>
    <w:rsid w:val="005B2AAC"/>
    <w:rsid w:val="005B2AF9"/>
    <w:rsid w:val="005B2E94"/>
    <w:rsid w:val="005B2EA7"/>
    <w:rsid w:val="005B2F8A"/>
    <w:rsid w:val="005B313C"/>
    <w:rsid w:val="005B3623"/>
    <w:rsid w:val="005B37DB"/>
    <w:rsid w:val="005B3953"/>
    <w:rsid w:val="005B39B9"/>
    <w:rsid w:val="005B3BAC"/>
    <w:rsid w:val="005B3F89"/>
    <w:rsid w:val="005B40BE"/>
    <w:rsid w:val="005B419D"/>
    <w:rsid w:val="005B4361"/>
    <w:rsid w:val="005B4D33"/>
    <w:rsid w:val="005B4E53"/>
    <w:rsid w:val="005B4F0E"/>
    <w:rsid w:val="005B4FAD"/>
    <w:rsid w:val="005B50CD"/>
    <w:rsid w:val="005B5583"/>
    <w:rsid w:val="005B5857"/>
    <w:rsid w:val="005B5937"/>
    <w:rsid w:val="005B5F77"/>
    <w:rsid w:val="005B6333"/>
    <w:rsid w:val="005B63BF"/>
    <w:rsid w:val="005B6418"/>
    <w:rsid w:val="005B6442"/>
    <w:rsid w:val="005B64A6"/>
    <w:rsid w:val="005B663C"/>
    <w:rsid w:val="005B668C"/>
    <w:rsid w:val="005B6767"/>
    <w:rsid w:val="005B6798"/>
    <w:rsid w:val="005B6FCD"/>
    <w:rsid w:val="005B712B"/>
    <w:rsid w:val="005B7242"/>
    <w:rsid w:val="005B741D"/>
    <w:rsid w:val="005B7492"/>
    <w:rsid w:val="005B74E5"/>
    <w:rsid w:val="005B77C9"/>
    <w:rsid w:val="005B7BD7"/>
    <w:rsid w:val="005B7E82"/>
    <w:rsid w:val="005B7E97"/>
    <w:rsid w:val="005C0604"/>
    <w:rsid w:val="005C0B64"/>
    <w:rsid w:val="005C0BBB"/>
    <w:rsid w:val="005C0C25"/>
    <w:rsid w:val="005C0C62"/>
    <w:rsid w:val="005C0D4D"/>
    <w:rsid w:val="005C0D8A"/>
    <w:rsid w:val="005C0EAD"/>
    <w:rsid w:val="005C10A0"/>
    <w:rsid w:val="005C1101"/>
    <w:rsid w:val="005C1215"/>
    <w:rsid w:val="005C1301"/>
    <w:rsid w:val="005C13FA"/>
    <w:rsid w:val="005C16BA"/>
    <w:rsid w:val="005C1858"/>
    <w:rsid w:val="005C19C4"/>
    <w:rsid w:val="005C1AC0"/>
    <w:rsid w:val="005C1ADF"/>
    <w:rsid w:val="005C1B83"/>
    <w:rsid w:val="005C231B"/>
    <w:rsid w:val="005C23D9"/>
    <w:rsid w:val="005C24B2"/>
    <w:rsid w:val="005C2539"/>
    <w:rsid w:val="005C25FF"/>
    <w:rsid w:val="005C2713"/>
    <w:rsid w:val="005C2CB0"/>
    <w:rsid w:val="005C2D55"/>
    <w:rsid w:val="005C2DD0"/>
    <w:rsid w:val="005C2FEB"/>
    <w:rsid w:val="005C30BF"/>
    <w:rsid w:val="005C3109"/>
    <w:rsid w:val="005C3395"/>
    <w:rsid w:val="005C346B"/>
    <w:rsid w:val="005C35F8"/>
    <w:rsid w:val="005C365A"/>
    <w:rsid w:val="005C39EA"/>
    <w:rsid w:val="005C3A1C"/>
    <w:rsid w:val="005C3B64"/>
    <w:rsid w:val="005C3BC3"/>
    <w:rsid w:val="005C3D12"/>
    <w:rsid w:val="005C4062"/>
    <w:rsid w:val="005C4298"/>
    <w:rsid w:val="005C453B"/>
    <w:rsid w:val="005C4EB1"/>
    <w:rsid w:val="005C5031"/>
    <w:rsid w:val="005C5096"/>
    <w:rsid w:val="005C5599"/>
    <w:rsid w:val="005C55BB"/>
    <w:rsid w:val="005C57CE"/>
    <w:rsid w:val="005C583B"/>
    <w:rsid w:val="005C5ABC"/>
    <w:rsid w:val="005C5C94"/>
    <w:rsid w:val="005C60B0"/>
    <w:rsid w:val="005C60BD"/>
    <w:rsid w:val="005C629C"/>
    <w:rsid w:val="005C63C7"/>
    <w:rsid w:val="005C65F8"/>
    <w:rsid w:val="005C6CE3"/>
    <w:rsid w:val="005C6D53"/>
    <w:rsid w:val="005C6D8A"/>
    <w:rsid w:val="005C6F59"/>
    <w:rsid w:val="005C716A"/>
    <w:rsid w:val="005C720C"/>
    <w:rsid w:val="005C727D"/>
    <w:rsid w:val="005C7518"/>
    <w:rsid w:val="005C77E3"/>
    <w:rsid w:val="005C7928"/>
    <w:rsid w:val="005C7BB9"/>
    <w:rsid w:val="005C7C33"/>
    <w:rsid w:val="005C7CA8"/>
    <w:rsid w:val="005D004C"/>
    <w:rsid w:val="005D044D"/>
    <w:rsid w:val="005D0640"/>
    <w:rsid w:val="005D07E2"/>
    <w:rsid w:val="005D0888"/>
    <w:rsid w:val="005D0A64"/>
    <w:rsid w:val="005D0ABD"/>
    <w:rsid w:val="005D0D0A"/>
    <w:rsid w:val="005D0D69"/>
    <w:rsid w:val="005D0F10"/>
    <w:rsid w:val="005D0FBB"/>
    <w:rsid w:val="005D1199"/>
    <w:rsid w:val="005D1225"/>
    <w:rsid w:val="005D14CD"/>
    <w:rsid w:val="005D1514"/>
    <w:rsid w:val="005D152F"/>
    <w:rsid w:val="005D16EC"/>
    <w:rsid w:val="005D18AD"/>
    <w:rsid w:val="005D198A"/>
    <w:rsid w:val="005D1D39"/>
    <w:rsid w:val="005D21E9"/>
    <w:rsid w:val="005D246E"/>
    <w:rsid w:val="005D26B4"/>
    <w:rsid w:val="005D2745"/>
    <w:rsid w:val="005D2770"/>
    <w:rsid w:val="005D2A50"/>
    <w:rsid w:val="005D2A5E"/>
    <w:rsid w:val="005D2BEE"/>
    <w:rsid w:val="005D2FA0"/>
    <w:rsid w:val="005D32A4"/>
    <w:rsid w:val="005D330C"/>
    <w:rsid w:val="005D3328"/>
    <w:rsid w:val="005D333C"/>
    <w:rsid w:val="005D3356"/>
    <w:rsid w:val="005D33C3"/>
    <w:rsid w:val="005D3ACA"/>
    <w:rsid w:val="005D4097"/>
    <w:rsid w:val="005D4157"/>
    <w:rsid w:val="005D43D4"/>
    <w:rsid w:val="005D4436"/>
    <w:rsid w:val="005D45A8"/>
    <w:rsid w:val="005D4629"/>
    <w:rsid w:val="005D483B"/>
    <w:rsid w:val="005D49F1"/>
    <w:rsid w:val="005D513F"/>
    <w:rsid w:val="005D52DF"/>
    <w:rsid w:val="005D542C"/>
    <w:rsid w:val="005D5778"/>
    <w:rsid w:val="005D5B1C"/>
    <w:rsid w:val="005D62AE"/>
    <w:rsid w:val="005D6341"/>
    <w:rsid w:val="005D671B"/>
    <w:rsid w:val="005D6A09"/>
    <w:rsid w:val="005D6A47"/>
    <w:rsid w:val="005D713C"/>
    <w:rsid w:val="005D7557"/>
    <w:rsid w:val="005D779C"/>
    <w:rsid w:val="005D7CFC"/>
    <w:rsid w:val="005D7D73"/>
    <w:rsid w:val="005D7E33"/>
    <w:rsid w:val="005D7E9C"/>
    <w:rsid w:val="005E0024"/>
    <w:rsid w:val="005E00C2"/>
    <w:rsid w:val="005E01A1"/>
    <w:rsid w:val="005E0313"/>
    <w:rsid w:val="005E061F"/>
    <w:rsid w:val="005E065E"/>
    <w:rsid w:val="005E0706"/>
    <w:rsid w:val="005E0776"/>
    <w:rsid w:val="005E0EF4"/>
    <w:rsid w:val="005E11DA"/>
    <w:rsid w:val="005E16A6"/>
    <w:rsid w:val="005E16B9"/>
    <w:rsid w:val="005E1738"/>
    <w:rsid w:val="005E1995"/>
    <w:rsid w:val="005E1B08"/>
    <w:rsid w:val="005E1B11"/>
    <w:rsid w:val="005E2049"/>
    <w:rsid w:val="005E2436"/>
    <w:rsid w:val="005E26CD"/>
    <w:rsid w:val="005E2AE8"/>
    <w:rsid w:val="005E2BBC"/>
    <w:rsid w:val="005E2CAB"/>
    <w:rsid w:val="005E2D45"/>
    <w:rsid w:val="005E2E5D"/>
    <w:rsid w:val="005E3209"/>
    <w:rsid w:val="005E326B"/>
    <w:rsid w:val="005E34C0"/>
    <w:rsid w:val="005E37D4"/>
    <w:rsid w:val="005E39CD"/>
    <w:rsid w:val="005E3A64"/>
    <w:rsid w:val="005E3BF0"/>
    <w:rsid w:val="005E3CDE"/>
    <w:rsid w:val="005E3D23"/>
    <w:rsid w:val="005E3DC7"/>
    <w:rsid w:val="005E3E81"/>
    <w:rsid w:val="005E3EE1"/>
    <w:rsid w:val="005E4159"/>
    <w:rsid w:val="005E442F"/>
    <w:rsid w:val="005E4469"/>
    <w:rsid w:val="005E449D"/>
    <w:rsid w:val="005E4605"/>
    <w:rsid w:val="005E47B5"/>
    <w:rsid w:val="005E47DD"/>
    <w:rsid w:val="005E4856"/>
    <w:rsid w:val="005E49AE"/>
    <w:rsid w:val="005E4B87"/>
    <w:rsid w:val="005E4D58"/>
    <w:rsid w:val="005E4F6F"/>
    <w:rsid w:val="005E5900"/>
    <w:rsid w:val="005E5BFF"/>
    <w:rsid w:val="005E5CE2"/>
    <w:rsid w:val="005E5EE3"/>
    <w:rsid w:val="005E5EE5"/>
    <w:rsid w:val="005E5F49"/>
    <w:rsid w:val="005E6506"/>
    <w:rsid w:val="005E67C4"/>
    <w:rsid w:val="005E6C11"/>
    <w:rsid w:val="005E6CBC"/>
    <w:rsid w:val="005E6EA4"/>
    <w:rsid w:val="005E72C1"/>
    <w:rsid w:val="005E72FF"/>
    <w:rsid w:val="005E73C0"/>
    <w:rsid w:val="005E750B"/>
    <w:rsid w:val="005E75DB"/>
    <w:rsid w:val="005E76EA"/>
    <w:rsid w:val="005E79A7"/>
    <w:rsid w:val="005E7CCC"/>
    <w:rsid w:val="005E7CF6"/>
    <w:rsid w:val="005E7E94"/>
    <w:rsid w:val="005F028B"/>
    <w:rsid w:val="005F065A"/>
    <w:rsid w:val="005F0731"/>
    <w:rsid w:val="005F07ED"/>
    <w:rsid w:val="005F082A"/>
    <w:rsid w:val="005F0A89"/>
    <w:rsid w:val="005F0E74"/>
    <w:rsid w:val="005F0E96"/>
    <w:rsid w:val="005F10F4"/>
    <w:rsid w:val="005F1145"/>
    <w:rsid w:val="005F137C"/>
    <w:rsid w:val="005F150D"/>
    <w:rsid w:val="005F15BC"/>
    <w:rsid w:val="005F1806"/>
    <w:rsid w:val="005F19DD"/>
    <w:rsid w:val="005F2706"/>
    <w:rsid w:val="005F2F92"/>
    <w:rsid w:val="005F3144"/>
    <w:rsid w:val="005F36A8"/>
    <w:rsid w:val="005F3C78"/>
    <w:rsid w:val="005F3D03"/>
    <w:rsid w:val="005F3D72"/>
    <w:rsid w:val="005F3F26"/>
    <w:rsid w:val="005F40A2"/>
    <w:rsid w:val="005F4198"/>
    <w:rsid w:val="005F4302"/>
    <w:rsid w:val="005F47DE"/>
    <w:rsid w:val="005F4A55"/>
    <w:rsid w:val="005F4DDF"/>
    <w:rsid w:val="005F5015"/>
    <w:rsid w:val="005F511C"/>
    <w:rsid w:val="005F5147"/>
    <w:rsid w:val="005F5220"/>
    <w:rsid w:val="005F52B6"/>
    <w:rsid w:val="005F5312"/>
    <w:rsid w:val="005F54C3"/>
    <w:rsid w:val="005F54C4"/>
    <w:rsid w:val="005F5562"/>
    <w:rsid w:val="005F5611"/>
    <w:rsid w:val="005F57CF"/>
    <w:rsid w:val="005F596C"/>
    <w:rsid w:val="005F5A17"/>
    <w:rsid w:val="005F5E0E"/>
    <w:rsid w:val="005F5EFC"/>
    <w:rsid w:val="005F617B"/>
    <w:rsid w:val="005F6339"/>
    <w:rsid w:val="005F6415"/>
    <w:rsid w:val="005F6845"/>
    <w:rsid w:val="005F6A8F"/>
    <w:rsid w:val="005F6AAD"/>
    <w:rsid w:val="005F6BB7"/>
    <w:rsid w:val="005F6C1A"/>
    <w:rsid w:val="005F6C8E"/>
    <w:rsid w:val="005F7028"/>
    <w:rsid w:val="005F70F4"/>
    <w:rsid w:val="005F713E"/>
    <w:rsid w:val="005F7199"/>
    <w:rsid w:val="005F7588"/>
    <w:rsid w:val="005F765E"/>
    <w:rsid w:val="005F7695"/>
    <w:rsid w:val="005F7E94"/>
    <w:rsid w:val="005F7F76"/>
    <w:rsid w:val="00600612"/>
    <w:rsid w:val="00600672"/>
    <w:rsid w:val="00600753"/>
    <w:rsid w:val="0060077A"/>
    <w:rsid w:val="006009B1"/>
    <w:rsid w:val="006009BA"/>
    <w:rsid w:val="00600A5B"/>
    <w:rsid w:val="00600DC1"/>
    <w:rsid w:val="00600DD6"/>
    <w:rsid w:val="00600E2F"/>
    <w:rsid w:val="00601116"/>
    <w:rsid w:val="00601189"/>
    <w:rsid w:val="006011A9"/>
    <w:rsid w:val="00601269"/>
    <w:rsid w:val="0060129C"/>
    <w:rsid w:val="00601303"/>
    <w:rsid w:val="0060153D"/>
    <w:rsid w:val="0060181E"/>
    <w:rsid w:val="00601979"/>
    <w:rsid w:val="00601DB1"/>
    <w:rsid w:val="00601E82"/>
    <w:rsid w:val="00602179"/>
    <w:rsid w:val="00602451"/>
    <w:rsid w:val="006028D3"/>
    <w:rsid w:val="006028F7"/>
    <w:rsid w:val="006028FE"/>
    <w:rsid w:val="006029C2"/>
    <w:rsid w:val="00602A25"/>
    <w:rsid w:val="00603052"/>
    <w:rsid w:val="00603510"/>
    <w:rsid w:val="00603559"/>
    <w:rsid w:val="006036C8"/>
    <w:rsid w:val="00603811"/>
    <w:rsid w:val="0060381E"/>
    <w:rsid w:val="00603DB9"/>
    <w:rsid w:val="0060422E"/>
    <w:rsid w:val="006044F0"/>
    <w:rsid w:val="00604C16"/>
    <w:rsid w:val="00604D60"/>
    <w:rsid w:val="00604D86"/>
    <w:rsid w:val="0060500C"/>
    <w:rsid w:val="00605304"/>
    <w:rsid w:val="006053B1"/>
    <w:rsid w:val="0060541B"/>
    <w:rsid w:val="00605842"/>
    <w:rsid w:val="00605A84"/>
    <w:rsid w:val="00605C4C"/>
    <w:rsid w:val="00605E97"/>
    <w:rsid w:val="00605FC4"/>
    <w:rsid w:val="0060649F"/>
    <w:rsid w:val="00606B98"/>
    <w:rsid w:val="00606FBA"/>
    <w:rsid w:val="00607117"/>
    <w:rsid w:val="006071D3"/>
    <w:rsid w:val="00607669"/>
    <w:rsid w:val="006076C0"/>
    <w:rsid w:val="006076F4"/>
    <w:rsid w:val="0060781C"/>
    <w:rsid w:val="00607849"/>
    <w:rsid w:val="00607AFD"/>
    <w:rsid w:val="00607D84"/>
    <w:rsid w:val="00610036"/>
    <w:rsid w:val="006101E2"/>
    <w:rsid w:val="006102D7"/>
    <w:rsid w:val="006103DB"/>
    <w:rsid w:val="006103E3"/>
    <w:rsid w:val="00610548"/>
    <w:rsid w:val="00610851"/>
    <w:rsid w:val="00610978"/>
    <w:rsid w:val="00610C88"/>
    <w:rsid w:val="00610FB0"/>
    <w:rsid w:val="006110E8"/>
    <w:rsid w:val="00611119"/>
    <w:rsid w:val="00611211"/>
    <w:rsid w:val="00611231"/>
    <w:rsid w:val="0061124B"/>
    <w:rsid w:val="00611541"/>
    <w:rsid w:val="0061156D"/>
    <w:rsid w:val="006115A4"/>
    <w:rsid w:val="00611702"/>
    <w:rsid w:val="0061195E"/>
    <w:rsid w:val="00611B12"/>
    <w:rsid w:val="00612195"/>
    <w:rsid w:val="0061235D"/>
    <w:rsid w:val="006125A1"/>
    <w:rsid w:val="00612714"/>
    <w:rsid w:val="00612802"/>
    <w:rsid w:val="006128F8"/>
    <w:rsid w:val="00612F97"/>
    <w:rsid w:val="006131D8"/>
    <w:rsid w:val="0061345D"/>
    <w:rsid w:val="00613465"/>
    <w:rsid w:val="0061393C"/>
    <w:rsid w:val="00613971"/>
    <w:rsid w:val="006139EA"/>
    <w:rsid w:val="00613BB5"/>
    <w:rsid w:val="00613CF3"/>
    <w:rsid w:val="00613FFC"/>
    <w:rsid w:val="006140E8"/>
    <w:rsid w:val="00614207"/>
    <w:rsid w:val="0061422B"/>
    <w:rsid w:val="006149C8"/>
    <w:rsid w:val="00614A30"/>
    <w:rsid w:val="00614A42"/>
    <w:rsid w:val="00614CCC"/>
    <w:rsid w:val="00614CDB"/>
    <w:rsid w:val="00614EF0"/>
    <w:rsid w:val="00614FBA"/>
    <w:rsid w:val="006151F9"/>
    <w:rsid w:val="0061548A"/>
    <w:rsid w:val="0061549B"/>
    <w:rsid w:val="00615534"/>
    <w:rsid w:val="0061556D"/>
    <w:rsid w:val="00615667"/>
    <w:rsid w:val="006156C6"/>
    <w:rsid w:val="00615712"/>
    <w:rsid w:val="00615815"/>
    <w:rsid w:val="00615908"/>
    <w:rsid w:val="00615A74"/>
    <w:rsid w:val="00615C3F"/>
    <w:rsid w:val="00615E80"/>
    <w:rsid w:val="00615F70"/>
    <w:rsid w:val="00616069"/>
    <w:rsid w:val="0061622F"/>
    <w:rsid w:val="006162A6"/>
    <w:rsid w:val="00616802"/>
    <w:rsid w:val="006174F2"/>
    <w:rsid w:val="0061762E"/>
    <w:rsid w:val="006179CD"/>
    <w:rsid w:val="00617E12"/>
    <w:rsid w:val="00617F5F"/>
    <w:rsid w:val="00620446"/>
    <w:rsid w:val="0062053D"/>
    <w:rsid w:val="006205EA"/>
    <w:rsid w:val="00620C25"/>
    <w:rsid w:val="00620D1F"/>
    <w:rsid w:val="00620F42"/>
    <w:rsid w:val="00621477"/>
    <w:rsid w:val="00621498"/>
    <w:rsid w:val="006217BB"/>
    <w:rsid w:val="006217F0"/>
    <w:rsid w:val="00621A3C"/>
    <w:rsid w:val="00621ABA"/>
    <w:rsid w:val="00621ADA"/>
    <w:rsid w:val="00621BDD"/>
    <w:rsid w:val="00621DEF"/>
    <w:rsid w:val="006222EF"/>
    <w:rsid w:val="0062239C"/>
    <w:rsid w:val="006227FD"/>
    <w:rsid w:val="00622812"/>
    <w:rsid w:val="00622DAD"/>
    <w:rsid w:val="0062307A"/>
    <w:rsid w:val="006234D9"/>
    <w:rsid w:val="006234FA"/>
    <w:rsid w:val="00623A73"/>
    <w:rsid w:val="00623B53"/>
    <w:rsid w:val="00623B7E"/>
    <w:rsid w:val="00623C87"/>
    <w:rsid w:val="00623D81"/>
    <w:rsid w:val="00623EDA"/>
    <w:rsid w:val="00623F7B"/>
    <w:rsid w:val="00623F86"/>
    <w:rsid w:val="006241B6"/>
    <w:rsid w:val="006241CD"/>
    <w:rsid w:val="00624471"/>
    <w:rsid w:val="00624503"/>
    <w:rsid w:val="00624813"/>
    <w:rsid w:val="00624A85"/>
    <w:rsid w:val="00624BD4"/>
    <w:rsid w:val="00624DC8"/>
    <w:rsid w:val="00625113"/>
    <w:rsid w:val="00625210"/>
    <w:rsid w:val="0062524B"/>
    <w:rsid w:val="006252B5"/>
    <w:rsid w:val="00625324"/>
    <w:rsid w:val="00625343"/>
    <w:rsid w:val="00625914"/>
    <w:rsid w:val="00625A16"/>
    <w:rsid w:val="0062607E"/>
    <w:rsid w:val="00626240"/>
    <w:rsid w:val="0062629E"/>
    <w:rsid w:val="006262E9"/>
    <w:rsid w:val="006265EC"/>
    <w:rsid w:val="00626634"/>
    <w:rsid w:val="006266C2"/>
    <w:rsid w:val="006266F4"/>
    <w:rsid w:val="00626A17"/>
    <w:rsid w:val="00626AF9"/>
    <w:rsid w:val="00626F2C"/>
    <w:rsid w:val="00627064"/>
    <w:rsid w:val="006275EC"/>
    <w:rsid w:val="00627813"/>
    <w:rsid w:val="0062790E"/>
    <w:rsid w:val="006279AE"/>
    <w:rsid w:val="006279EF"/>
    <w:rsid w:val="00627AA0"/>
    <w:rsid w:val="00627B89"/>
    <w:rsid w:val="00630064"/>
    <w:rsid w:val="006302F0"/>
    <w:rsid w:val="0063036D"/>
    <w:rsid w:val="00630520"/>
    <w:rsid w:val="00630653"/>
    <w:rsid w:val="0063071A"/>
    <w:rsid w:val="006308A5"/>
    <w:rsid w:val="00630924"/>
    <w:rsid w:val="006309D8"/>
    <w:rsid w:val="006309F9"/>
    <w:rsid w:val="00630DDC"/>
    <w:rsid w:val="0063158F"/>
    <w:rsid w:val="00631652"/>
    <w:rsid w:val="006316B6"/>
    <w:rsid w:val="00631A35"/>
    <w:rsid w:val="00631D6B"/>
    <w:rsid w:val="00632182"/>
    <w:rsid w:val="00632183"/>
    <w:rsid w:val="00632476"/>
    <w:rsid w:val="00632497"/>
    <w:rsid w:val="006325BD"/>
    <w:rsid w:val="00632914"/>
    <w:rsid w:val="006329EF"/>
    <w:rsid w:val="00632BF7"/>
    <w:rsid w:val="00632D3A"/>
    <w:rsid w:val="00632D67"/>
    <w:rsid w:val="00632FDC"/>
    <w:rsid w:val="00632FEC"/>
    <w:rsid w:val="00633095"/>
    <w:rsid w:val="006330A1"/>
    <w:rsid w:val="006330AD"/>
    <w:rsid w:val="006331C2"/>
    <w:rsid w:val="00633525"/>
    <w:rsid w:val="006337C2"/>
    <w:rsid w:val="00633B7A"/>
    <w:rsid w:val="00633E9B"/>
    <w:rsid w:val="006340BB"/>
    <w:rsid w:val="0063426C"/>
    <w:rsid w:val="006342CD"/>
    <w:rsid w:val="00634307"/>
    <w:rsid w:val="00634324"/>
    <w:rsid w:val="0063445F"/>
    <w:rsid w:val="0063479F"/>
    <w:rsid w:val="00634802"/>
    <w:rsid w:val="0063522D"/>
    <w:rsid w:val="006353D4"/>
    <w:rsid w:val="006353F0"/>
    <w:rsid w:val="006355D6"/>
    <w:rsid w:val="0063560E"/>
    <w:rsid w:val="006357B5"/>
    <w:rsid w:val="00635CCD"/>
    <w:rsid w:val="00635D40"/>
    <w:rsid w:val="00635E88"/>
    <w:rsid w:val="00636221"/>
    <w:rsid w:val="00636235"/>
    <w:rsid w:val="00636375"/>
    <w:rsid w:val="006364A1"/>
    <w:rsid w:val="006364EB"/>
    <w:rsid w:val="00636568"/>
    <w:rsid w:val="00636771"/>
    <w:rsid w:val="0063678E"/>
    <w:rsid w:val="006367F3"/>
    <w:rsid w:val="00636B46"/>
    <w:rsid w:val="00636C90"/>
    <w:rsid w:val="006370DD"/>
    <w:rsid w:val="00637128"/>
    <w:rsid w:val="00637215"/>
    <w:rsid w:val="0063732E"/>
    <w:rsid w:val="0063737F"/>
    <w:rsid w:val="00637538"/>
    <w:rsid w:val="00637BFD"/>
    <w:rsid w:val="00637C5C"/>
    <w:rsid w:val="00637CD7"/>
    <w:rsid w:val="00637F1A"/>
    <w:rsid w:val="0064008D"/>
    <w:rsid w:val="00640206"/>
    <w:rsid w:val="0064027D"/>
    <w:rsid w:val="00640696"/>
    <w:rsid w:val="00640E0D"/>
    <w:rsid w:val="00641147"/>
    <w:rsid w:val="0064130E"/>
    <w:rsid w:val="006416E5"/>
    <w:rsid w:val="0064178A"/>
    <w:rsid w:val="0064194F"/>
    <w:rsid w:val="00641BBC"/>
    <w:rsid w:val="00641C4E"/>
    <w:rsid w:val="00641FB3"/>
    <w:rsid w:val="00642142"/>
    <w:rsid w:val="006425FF"/>
    <w:rsid w:val="006427FA"/>
    <w:rsid w:val="0064281B"/>
    <w:rsid w:val="00642826"/>
    <w:rsid w:val="00642B40"/>
    <w:rsid w:val="00643220"/>
    <w:rsid w:val="0064329B"/>
    <w:rsid w:val="00643408"/>
    <w:rsid w:val="006435C8"/>
    <w:rsid w:val="006437FC"/>
    <w:rsid w:val="00643944"/>
    <w:rsid w:val="00643AA0"/>
    <w:rsid w:val="00643EEA"/>
    <w:rsid w:val="0064434C"/>
    <w:rsid w:val="006444D4"/>
    <w:rsid w:val="006445E0"/>
    <w:rsid w:val="00644759"/>
    <w:rsid w:val="00644806"/>
    <w:rsid w:val="00644838"/>
    <w:rsid w:val="00644883"/>
    <w:rsid w:val="0064492D"/>
    <w:rsid w:val="00644984"/>
    <w:rsid w:val="006449DD"/>
    <w:rsid w:val="00644A15"/>
    <w:rsid w:val="00644A3C"/>
    <w:rsid w:val="00644B13"/>
    <w:rsid w:val="00644EC1"/>
    <w:rsid w:val="00644F73"/>
    <w:rsid w:val="0064514E"/>
    <w:rsid w:val="00645579"/>
    <w:rsid w:val="00645C51"/>
    <w:rsid w:val="00646045"/>
    <w:rsid w:val="006463D1"/>
    <w:rsid w:val="006465F6"/>
    <w:rsid w:val="0064665B"/>
    <w:rsid w:val="006469E0"/>
    <w:rsid w:val="00646A2F"/>
    <w:rsid w:val="00646A69"/>
    <w:rsid w:val="00646CA5"/>
    <w:rsid w:val="006470BC"/>
    <w:rsid w:val="006470E6"/>
    <w:rsid w:val="006471CC"/>
    <w:rsid w:val="00647210"/>
    <w:rsid w:val="006472FE"/>
    <w:rsid w:val="0064746C"/>
    <w:rsid w:val="006474A6"/>
    <w:rsid w:val="0064788C"/>
    <w:rsid w:val="006478CE"/>
    <w:rsid w:val="006479C0"/>
    <w:rsid w:val="00647A29"/>
    <w:rsid w:val="00647A52"/>
    <w:rsid w:val="00647B1F"/>
    <w:rsid w:val="00647D50"/>
    <w:rsid w:val="00650142"/>
    <w:rsid w:val="00650176"/>
    <w:rsid w:val="00650396"/>
    <w:rsid w:val="0065079F"/>
    <w:rsid w:val="00650970"/>
    <w:rsid w:val="00650979"/>
    <w:rsid w:val="00650AE9"/>
    <w:rsid w:val="00650B4E"/>
    <w:rsid w:val="00650DF0"/>
    <w:rsid w:val="00650E2E"/>
    <w:rsid w:val="0065102C"/>
    <w:rsid w:val="006512E9"/>
    <w:rsid w:val="0065134D"/>
    <w:rsid w:val="0065136E"/>
    <w:rsid w:val="00651911"/>
    <w:rsid w:val="0065199B"/>
    <w:rsid w:val="00651A6E"/>
    <w:rsid w:val="00651B46"/>
    <w:rsid w:val="00652543"/>
    <w:rsid w:val="00652A28"/>
    <w:rsid w:val="00652A8E"/>
    <w:rsid w:val="00652B06"/>
    <w:rsid w:val="00652BDD"/>
    <w:rsid w:val="00652C45"/>
    <w:rsid w:val="00652CF9"/>
    <w:rsid w:val="00652D2B"/>
    <w:rsid w:val="00652E7B"/>
    <w:rsid w:val="00652E7E"/>
    <w:rsid w:val="00653310"/>
    <w:rsid w:val="006533AB"/>
    <w:rsid w:val="0065358C"/>
    <w:rsid w:val="00653670"/>
    <w:rsid w:val="006536D5"/>
    <w:rsid w:val="00653750"/>
    <w:rsid w:val="0065379F"/>
    <w:rsid w:val="00653803"/>
    <w:rsid w:val="00653B78"/>
    <w:rsid w:val="00653D97"/>
    <w:rsid w:val="00654110"/>
    <w:rsid w:val="0065422E"/>
    <w:rsid w:val="006544B5"/>
    <w:rsid w:val="006546C5"/>
    <w:rsid w:val="00654857"/>
    <w:rsid w:val="00654967"/>
    <w:rsid w:val="00654BEF"/>
    <w:rsid w:val="00654D54"/>
    <w:rsid w:val="00654D83"/>
    <w:rsid w:val="00654ED6"/>
    <w:rsid w:val="00654FD4"/>
    <w:rsid w:val="006553B4"/>
    <w:rsid w:val="00655457"/>
    <w:rsid w:val="00655C6E"/>
    <w:rsid w:val="00655D2F"/>
    <w:rsid w:val="006560CF"/>
    <w:rsid w:val="00656188"/>
    <w:rsid w:val="006562C1"/>
    <w:rsid w:val="006562E7"/>
    <w:rsid w:val="00656460"/>
    <w:rsid w:val="006564F3"/>
    <w:rsid w:val="00656C8A"/>
    <w:rsid w:val="00656E38"/>
    <w:rsid w:val="00656FD2"/>
    <w:rsid w:val="006570AC"/>
    <w:rsid w:val="0065715A"/>
    <w:rsid w:val="0065732F"/>
    <w:rsid w:val="00657379"/>
    <w:rsid w:val="0065742F"/>
    <w:rsid w:val="00657580"/>
    <w:rsid w:val="006578C0"/>
    <w:rsid w:val="00657B78"/>
    <w:rsid w:val="00657F31"/>
    <w:rsid w:val="00657F7C"/>
    <w:rsid w:val="00660363"/>
    <w:rsid w:val="006605D7"/>
    <w:rsid w:val="006605E3"/>
    <w:rsid w:val="006609DB"/>
    <w:rsid w:val="00660A3C"/>
    <w:rsid w:val="00660C34"/>
    <w:rsid w:val="00660D5B"/>
    <w:rsid w:val="00660F2B"/>
    <w:rsid w:val="00661060"/>
    <w:rsid w:val="006610A6"/>
    <w:rsid w:val="006610F1"/>
    <w:rsid w:val="0066142A"/>
    <w:rsid w:val="00661543"/>
    <w:rsid w:val="0066181F"/>
    <w:rsid w:val="006619AE"/>
    <w:rsid w:val="00661C6B"/>
    <w:rsid w:val="00661F2C"/>
    <w:rsid w:val="00662028"/>
    <w:rsid w:val="006620B9"/>
    <w:rsid w:val="006620DC"/>
    <w:rsid w:val="006623C0"/>
    <w:rsid w:val="00662550"/>
    <w:rsid w:val="00662913"/>
    <w:rsid w:val="00662944"/>
    <w:rsid w:val="0066296F"/>
    <w:rsid w:val="00662AD0"/>
    <w:rsid w:val="00662D3E"/>
    <w:rsid w:val="00663026"/>
    <w:rsid w:val="00663444"/>
    <w:rsid w:val="00663985"/>
    <w:rsid w:val="006639E9"/>
    <w:rsid w:val="00663A34"/>
    <w:rsid w:val="00663D9E"/>
    <w:rsid w:val="006640A5"/>
    <w:rsid w:val="0066421E"/>
    <w:rsid w:val="00664292"/>
    <w:rsid w:val="006642B3"/>
    <w:rsid w:val="00664721"/>
    <w:rsid w:val="006649D8"/>
    <w:rsid w:val="006649ED"/>
    <w:rsid w:val="00665416"/>
    <w:rsid w:val="006654DB"/>
    <w:rsid w:val="006655F6"/>
    <w:rsid w:val="006656ED"/>
    <w:rsid w:val="006656FB"/>
    <w:rsid w:val="00665875"/>
    <w:rsid w:val="006658AB"/>
    <w:rsid w:val="00665A61"/>
    <w:rsid w:val="00665DE4"/>
    <w:rsid w:val="006661F6"/>
    <w:rsid w:val="0066624E"/>
    <w:rsid w:val="00666311"/>
    <w:rsid w:val="00666603"/>
    <w:rsid w:val="00666734"/>
    <w:rsid w:val="0066688E"/>
    <w:rsid w:val="00666A8C"/>
    <w:rsid w:val="00666E35"/>
    <w:rsid w:val="00666F22"/>
    <w:rsid w:val="00667343"/>
    <w:rsid w:val="0066744D"/>
    <w:rsid w:val="00667893"/>
    <w:rsid w:val="00667896"/>
    <w:rsid w:val="00667A21"/>
    <w:rsid w:val="00667A25"/>
    <w:rsid w:val="00667BE3"/>
    <w:rsid w:val="00667FF7"/>
    <w:rsid w:val="00670329"/>
    <w:rsid w:val="0067069E"/>
    <w:rsid w:val="006706A9"/>
    <w:rsid w:val="00670808"/>
    <w:rsid w:val="0067085E"/>
    <w:rsid w:val="00670ADE"/>
    <w:rsid w:val="00670BA8"/>
    <w:rsid w:val="00670DFB"/>
    <w:rsid w:val="00670F2F"/>
    <w:rsid w:val="00670F5E"/>
    <w:rsid w:val="00670FC6"/>
    <w:rsid w:val="00671004"/>
    <w:rsid w:val="00671235"/>
    <w:rsid w:val="0067127F"/>
    <w:rsid w:val="006713E2"/>
    <w:rsid w:val="00671421"/>
    <w:rsid w:val="00671672"/>
    <w:rsid w:val="006717EF"/>
    <w:rsid w:val="00671FE1"/>
    <w:rsid w:val="00672170"/>
    <w:rsid w:val="00672646"/>
    <w:rsid w:val="006727CA"/>
    <w:rsid w:val="00672A6E"/>
    <w:rsid w:val="00672F8D"/>
    <w:rsid w:val="00673234"/>
    <w:rsid w:val="0067343D"/>
    <w:rsid w:val="00673BE4"/>
    <w:rsid w:val="00673C29"/>
    <w:rsid w:val="00673D31"/>
    <w:rsid w:val="006740E3"/>
    <w:rsid w:val="0067419F"/>
    <w:rsid w:val="00674312"/>
    <w:rsid w:val="0067438F"/>
    <w:rsid w:val="00674699"/>
    <w:rsid w:val="006746E9"/>
    <w:rsid w:val="006747CE"/>
    <w:rsid w:val="00674B7D"/>
    <w:rsid w:val="00674CCB"/>
    <w:rsid w:val="00674E07"/>
    <w:rsid w:val="00674E42"/>
    <w:rsid w:val="00675073"/>
    <w:rsid w:val="00675227"/>
    <w:rsid w:val="006752BF"/>
    <w:rsid w:val="006756D5"/>
    <w:rsid w:val="006756FC"/>
    <w:rsid w:val="006759B2"/>
    <w:rsid w:val="00675D89"/>
    <w:rsid w:val="00676187"/>
    <w:rsid w:val="00676355"/>
    <w:rsid w:val="00676563"/>
    <w:rsid w:val="006765F7"/>
    <w:rsid w:val="006767EF"/>
    <w:rsid w:val="00676AB5"/>
    <w:rsid w:val="00676C5C"/>
    <w:rsid w:val="00676C92"/>
    <w:rsid w:val="00676CB2"/>
    <w:rsid w:val="00676DD7"/>
    <w:rsid w:val="00676E0D"/>
    <w:rsid w:val="006771CB"/>
    <w:rsid w:val="006772C9"/>
    <w:rsid w:val="00677322"/>
    <w:rsid w:val="00677386"/>
    <w:rsid w:val="00677412"/>
    <w:rsid w:val="0067768E"/>
    <w:rsid w:val="006777C6"/>
    <w:rsid w:val="006778B7"/>
    <w:rsid w:val="00677B28"/>
    <w:rsid w:val="00677C1C"/>
    <w:rsid w:val="00677D2F"/>
    <w:rsid w:val="00677ECA"/>
    <w:rsid w:val="0068002D"/>
    <w:rsid w:val="006803E2"/>
    <w:rsid w:val="00680563"/>
    <w:rsid w:val="006805DD"/>
    <w:rsid w:val="006808BA"/>
    <w:rsid w:val="00680B1D"/>
    <w:rsid w:val="00680E05"/>
    <w:rsid w:val="00680FD2"/>
    <w:rsid w:val="006810CC"/>
    <w:rsid w:val="00681396"/>
    <w:rsid w:val="006813F8"/>
    <w:rsid w:val="00681579"/>
    <w:rsid w:val="00681656"/>
    <w:rsid w:val="0068187B"/>
    <w:rsid w:val="00681E67"/>
    <w:rsid w:val="00682097"/>
    <w:rsid w:val="006820B6"/>
    <w:rsid w:val="00682112"/>
    <w:rsid w:val="00682693"/>
    <w:rsid w:val="0068278B"/>
    <w:rsid w:val="0068287C"/>
    <w:rsid w:val="006829E4"/>
    <w:rsid w:val="00682BA6"/>
    <w:rsid w:val="0068307D"/>
    <w:rsid w:val="0068324D"/>
    <w:rsid w:val="006834AE"/>
    <w:rsid w:val="006835D3"/>
    <w:rsid w:val="00683846"/>
    <w:rsid w:val="0068389F"/>
    <w:rsid w:val="00683D92"/>
    <w:rsid w:val="00683E22"/>
    <w:rsid w:val="00683F9A"/>
    <w:rsid w:val="00683FD2"/>
    <w:rsid w:val="00684247"/>
    <w:rsid w:val="0068424C"/>
    <w:rsid w:val="006843D8"/>
    <w:rsid w:val="00684679"/>
    <w:rsid w:val="006846C5"/>
    <w:rsid w:val="00684CA1"/>
    <w:rsid w:val="00684F4D"/>
    <w:rsid w:val="006850EF"/>
    <w:rsid w:val="00685411"/>
    <w:rsid w:val="006854E6"/>
    <w:rsid w:val="00685660"/>
    <w:rsid w:val="00685950"/>
    <w:rsid w:val="00685B74"/>
    <w:rsid w:val="00686384"/>
    <w:rsid w:val="00686957"/>
    <w:rsid w:val="0068696A"/>
    <w:rsid w:val="00686AFB"/>
    <w:rsid w:val="00686FF7"/>
    <w:rsid w:val="00687036"/>
    <w:rsid w:val="006872BA"/>
    <w:rsid w:val="00687F2E"/>
    <w:rsid w:val="00690795"/>
    <w:rsid w:val="00690B8D"/>
    <w:rsid w:val="00690D0A"/>
    <w:rsid w:val="00690E8F"/>
    <w:rsid w:val="00690F4F"/>
    <w:rsid w:val="006910BB"/>
    <w:rsid w:val="00691412"/>
    <w:rsid w:val="006915AF"/>
    <w:rsid w:val="00691648"/>
    <w:rsid w:val="006917D7"/>
    <w:rsid w:val="00691BA0"/>
    <w:rsid w:val="00691F34"/>
    <w:rsid w:val="0069210A"/>
    <w:rsid w:val="0069222F"/>
    <w:rsid w:val="006922AB"/>
    <w:rsid w:val="0069240A"/>
    <w:rsid w:val="00692445"/>
    <w:rsid w:val="006924A6"/>
    <w:rsid w:val="0069263E"/>
    <w:rsid w:val="0069281F"/>
    <w:rsid w:val="00692833"/>
    <w:rsid w:val="0069284B"/>
    <w:rsid w:val="00692A68"/>
    <w:rsid w:val="00692AA8"/>
    <w:rsid w:val="00692B1B"/>
    <w:rsid w:val="00692E31"/>
    <w:rsid w:val="00692FE7"/>
    <w:rsid w:val="0069325E"/>
    <w:rsid w:val="00693615"/>
    <w:rsid w:val="0069386C"/>
    <w:rsid w:val="00693928"/>
    <w:rsid w:val="006939E7"/>
    <w:rsid w:val="00693B01"/>
    <w:rsid w:val="00693BE7"/>
    <w:rsid w:val="00693DA4"/>
    <w:rsid w:val="006940AF"/>
    <w:rsid w:val="00694195"/>
    <w:rsid w:val="0069434C"/>
    <w:rsid w:val="006944C6"/>
    <w:rsid w:val="006944DF"/>
    <w:rsid w:val="006945C5"/>
    <w:rsid w:val="006947C7"/>
    <w:rsid w:val="00694A9C"/>
    <w:rsid w:val="00694C79"/>
    <w:rsid w:val="00694D3E"/>
    <w:rsid w:val="00694F44"/>
    <w:rsid w:val="00695246"/>
    <w:rsid w:val="00695323"/>
    <w:rsid w:val="00695433"/>
    <w:rsid w:val="00695A43"/>
    <w:rsid w:val="00695AA0"/>
    <w:rsid w:val="00695B2C"/>
    <w:rsid w:val="00695F2B"/>
    <w:rsid w:val="00695F91"/>
    <w:rsid w:val="00696359"/>
    <w:rsid w:val="00696678"/>
    <w:rsid w:val="006967A7"/>
    <w:rsid w:val="0069689C"/>
    <w:rsid w:val="006968B5"/>
    <w:rsid w:val="006969BE"/>
    <w:rsid w:val="00696B7F"/>
    <w:rsid w:val="00696C26"/>
    <w:rsid w:val="00696E63"/>
    <w:rsid w:val="00696EF9"/>
    <w:rsid w:val="00696F51"/>
    <w:rsid w:val="0069722A"/>
    <w:rsid w:val="00697564"/>
    <w:rsid w:val="0069760C"/>
    <w:rsid w:val="00697656"/>
    <w:rsid w:val="00697717"/>
    <w:rsid w:val="006978F2"/>
    <w:rsid w:val="00697978"/>
    <w:rsid w:val="006979A5"/>
    <w:rsid w:val="006979D9"/>
    <w:rsid w:val="00697E1A"/>
    <w:rsid w:val="00697E2C"/>
    <w:rsid w:val="006A0071"/>
    <w:rsid w:val="006A016F"/>
    <w:rsid w:val="006A024F"/>
    <w:rsid w:val="006A0456"/>
    <w:rsid w:val="006A089F"/>
    <w:rsid w:val="006A0982"/>
    <w:rsid w:val="006A0D13"/>
    <w:rsid w:val="006A0DEB"/>
    <w:rsid w:val="006A0DF7"/>
    <w:rsid w:val="006A0E21"/>
    <w:rsid w:val="006A0EEE"/>
    <w:rsid w:val="006A164D"/>
    <w:rsid w:val="006A1650"/>
    <w:rsid w:val="006A16D2"/>
    <w:rsid w:val="006A1A3A"/>
    <w:rsid w:val="006A1D6E"/>
    <w:rsid w:val="006A20CE"/>
    <w:rsid w:val="006A22B7"/>
    <w:rsid w:val="006A2383"/>
    <w:rsid w:val="006A28CC"/>
    <w:rsid w:val="006A291E"/>
    <w:rsid w:val="006A2BC6"/>
    <w:rsid w:val="006A2C34"/>
    <w:rsid w:val="006A2C47"/>
    <w:rsid w:val="006A2F04"/>
    <w:rsid w:val="006A30C3"/>
    <w:rsid w:val="006A3178"/>
    <w:rsid w:val="006A3284"/>
    <w:rsid w:val="006A330F"/>
    <w:rsid w:val="006A34D7"/>
    <w:rsid w:val="006A34E7"/>
    <w:rsid w:val="006A3996"/>
    <w:rsid w:val="006A3C3B"/>
    <w:rsid w:val="006A3D37"/>
    <w:rsid w:val="006A3E02"/>
    <w:rsid w:val="006A4294"/>
    <w:rsid w:val="006A4321"/>
    <w:rsid w:val="006A43D9"/>
    <w:rsid w:val="006A44A5"/>
    <w:rsid w:val="006A4ABF"/>
    <w:rsid w:val="006A4CD2"/>
    <w:rsid w:val="006A4E49"/>
    <w:rsid w:val="006A4EDD"/>
    <w:rsid w:val="006A5162"/>
    <w:rsid w:val="006A51BB"/>
    <w:rsid w:val="006A5267"/>
    <w:rsid w:val="006A5478"/>
    <w:rsid w:val="006A5725"/>
    <w:rsid w:val="006A5737"/>
    <w:rsid w:val="006A5A0E"/>
    <w:rsid w:val="006A5A39"/>
    <w:rsid w:val="006A5B10"/>
    <w:rsid w:val="006A5B84"/>
    <w:rsid w:val="006A5F40"/>
    <w:rsid w:val="006A5FD7"/>
    <w:rsid w:val="006A5FFC"/>
    <w:rsid w:val="006A6067"/>
    <w:rsid w:val="006A6145"/>
    <w:rsid w:val="006A63CD"/>
    <w:rsid w:val="006A652D"/>
    <w:rsid w:val="006A65DB"/>
    <w:rsid w:val="006A6ADE"/>
    <w:rsid w:val="006A6B99"/>
    <w:rsid w:val="006A6C92"/>
    <w:rsid w:val="006A6D31"/>
    <w:rsid w:val="006A6EB1"/>
    <w:rsid w:val="006A70E1"/>
    <w:rsid w:val="006A7253"/>
    <w:rsid w:val="006A77FC"/>
    <w:rsid w:val="006A78B8"/>
    <w:rsid w:val="006A79AC"/>
    <w:rsid w:val="006A7B21"/>
    <w:rsid w:val="006A7E5F"/>
    <w:rsid w:val="006A7F21"/>
    <w:rsid w:val="006B00FD"/>
    <w:rsid w:val="006B0162"/>
    <w:rsid w:val="006B01B2"/>
    <w:rsid w:val="006B02AA"/>
    <w:rsid w:val="006B0408"/>
    <w:rsid w:val="006B04E0"/>
    <w:rsid w:val="006B04E6"/>
    <w:rsid w:val="006B04F5"/>
    <w:rsid w:val="006B078A"/>
    <w:rsid w:val="006B08E1"/>
    <w:rsid w:val="006B0CF5"/>
    <w:rsid w:val="006B108B"/>
    <w:rsid w:val="006B11B8"/>
    <w:rsid w:val="006B16A5"/>
    <w:rsid w:val="006B16C9"/>
    <w:rsid w:val="006B16CE"/>
    <w:rsid w:val="006B1A1B"/>
    <w:rsid w:val="006B1ADC"/>
    <w:rsid w:val="006B1BDA"/>
    <w:rsid w:val="006B1C0C"/>
    <w:rsid w:val="006B1DE1"/>
    <w:rsid w:val="006B205E"/>
    <w:rsid w:val="006B206C"/>
    <w:rsid w:val="006B21B6"/>
    <w:rsid w:val="006B21E0"/>
    <w:rsid w:val="006B22AC"/>
    <w:rsid w:val="006B2481"/>
    <w:rsid w:val="006B261B"/>
    <w:rsid w:val="006B2935"/>
    <w:rsid w:val="006B2C0D"/>
    <w:rsid w:val="006B2C90"/>
    <w:rsid w:val="006B2F35"/>
    <w:rsid w:val="006B33BF"/>
    <w:rsid w:val="006B35E6"/>
    <w:rsid w:val="006B3687"/>
    <w:rsid w:val="006B3C65"/>
    <w:rsid w:val="006B3C9D"/>
    <w:rsid w:val="006B3D6F"/>
    <w:rsid w:val="006B3D89"/>
    <w:rsid w:val="006B3D9A"/>
    <w:rsid w:val="006B4233"/>
    <w:rsid w:val="006B431D"/>
    <w:rsid w:val="006B43A5"/>
    <w:rsid w:val="006B465A"/>
    <w:rsid w:val="006B469C"/>
    <w:rsid w:val="006B46AD"/>
    <w:rsid w:val="006B49C3"/>
    <w:rsid w:val="006B4B5F"/>
    <w:rsid w:val="006B4CEF"/>
    <w:rsid w:val="006B505F"/>
    <w:rsid w:val="006B507F"/>
    <w:rsid w:val="006B532F"/>
    <w:rsid w:val="006B542C"/>
    <w:rsid w:val="006B549F"/>
    <w:rsid w:val="006B5728"/>
    <w:rsid w:val="006B5B99"/>
    <w:rsid w:val="006B5D63"/>
    <w:rsid w:val="006B66DE"/>
    <w:rsid w:val="006B6903"/>
    <w:rsid w:val="006B6B43"/>
    <w:rsid w:val="006B6D27"/>
    <w:rsid w:val="006B6D2A"/>
    <w:rsid w:val="006B6DD0"/>
    <w:rsid w:val="006B6F20"/>
    <w:rsid w:val="006B723F"/>
    <w:rsid w:val="006B7263"/>
    <w:rsid w:val="006B746F"/>
    <w:rsid w:val="006B75AD"/>
    <w:rsid w:val="006B7680"/>
    <w:rsid w:val="006B77CA"/>
    <w:rsid w:val="006B7803"/>
    <w:rsid w:val="006B78DB"/>
    <w:rsid w:val="006B7E0D"/>
    <w:rsid w:val="006B7FC3"/>
    <w:rsid w:val="006C013C"/>
    <w:rsid w:val="006C0151"/>
    <w:rsid w:val="006C0399"/>
    <w:rsid w:val="006C06BB"/>
    <w:rsid w:val="006C09FD"/>
    <w:rsid w:val="006C0A31"/>
    <w:rsid w:val="006C0C62"/>
    <w:rsid w:val="006C0DBF"/>
    <w:rsid w:val="006C0EC8"/>
    <w:rsid w:val="006C0F96"/>
    <w:rsid w:val="006C10C1"/>
    <w:rsid w:val="006C124E"/>
    <w:rsid w:val="006C12BD"/>
    <w:rsid w:val="006C12CC"/>
    <w:rsid w:val="006C1408"/>
    <w:rsid w:val="006C148C"/>
    <w:rsid w:val="006C15C2"/>
    <w:rsid w:val="006C167B"/>
    <w:rsid w:val="006C1801"/>
    <w:rsid w:val="006C19F8"/>
    <w:rsid w:val="006C1A56"/>
    <w:rsid w:val="006C1FE4"/>
    <w:rsid w:val="006C22F3"/>
    <w:rsid w:val="006C264F"/>
    <w:rsid w:val="006C2718"/>
    <w:rsid w:val="006C296B"/>
    <w:rsid w:val="006C2A0B"/>
    <w:rsid w:val="006C2A12"/>
    <w:rsid w:val="006C2A8E"/>
    <w:rsid w:val="006C2B17"/>
    <w:rsid w:val="006C2C5C"/>
    <w:rsid w:val="006C2F8F"/>
    <w:rsid w:val="006C2FAA"/>
    <w:rsid w:val="006C31AD"/>
    <w:rsid w:val="006C3255"/>
    <w:rsid w:val="006C326E"/>
    <w:rsid w:val="006C35E5"/>
    <w:rsid w:val="006C37FD"/>
    <w:rsid w:val="006C3A22"/>
    <w:rsid w:val="006C3B25"/>
    <w:rsid w:val="006C3F26"/>
    <w:rsid w:val="006C4327"/>
    <w:rsid w:val="006C4529"/>
    <w:rsid w:val="006C464B"/>
    <w:rsid w:val="006C49C7"/>
    <w:rsid w:val="006C4EDF"/>
    <w:rsid w:val="006C505B"/>
    <w:rsid w:val="006C5146"/>
    <w:rsid w:val="006C53A4"/>
    <w:rsid w:val="006C54BF"/>
    <w:rsid w:val="006C55C1"/>
    <w:rsid w:val="006C5790"/>
    <w:rsid w:val="006C5CEA"/>
    <w:rsid w:val="006C5F8A"/>
    <w:rsid w:val="006C608C"/>
    <w:rsid w:val="006C61C5"/>
    <w:rsid w:val="006C6B2C"/>
    <w:rsid w:val="006C6BC6"/>
    <w:rsid w:val="006C6FB8"/>
    <w:rsid w:val="006C7041"/>
    <w:rsid w:val="006C714B"/>
    <w:rsid w:val="006C7155"/>
    <w:rsid w:val="006C7885"/>
    <w:rsid w:val="006C796F"/>
    <w:rsid w:val="006C7DA1"/>
    <w:rsid w:val="006C7E6A"/>
    <w:rsid w:val="006D0366"/>
    <w:rsid w:val="006D03AA"/>
    <w:rsid w:val="006D04E7"/>
    <w:rsid w:val="006D05CF"/>
    <w:rsid w:val="006D0612"/>
    <w:rsid w:val="006D080C"/>
    <w:rsid w:val="006D0900"/>
    <w:rsid w:val="006D0C21"/>
    <w:rsid w:val="006D0D17"/>
    <w:rsid w:val="006D0E38"/>
    <w:rsid w:val="006D136A"/>
    <w:rsid w:val="006D13F5"/>
    <w:rsid w:val="006D1429"/>
    <w:rsid w:val="006D150E"/>
    <w:rsid w:val="006D195C"/>
    <w:rsid w:val="006D1BB2"/>
    <w:rsid w:val="006D1CDA"/>
    <w:rsid w:val="006D1DFB"/>
    <w:rsid w:val="006D2288"/>
    <w:rsid w:val="006D2479"/>
    <w:rsid w:val="006D2530"/>
    <w:rsid w:val="006D2628"/>
    <w:rsid w:val="006D27BA"/>
    <w:rsid w:val="006D28A7"/>
    <w:rsid w:val="006D2D66"/>
    <w:rsid w:val="006D3091"/>
    <w:rsid w:val="006D3B7B"/>
    <w:rsid w:val="006D3C66"/>
    <w:rsid w:val="006D3C7D"/>
    <w:rsid w:val="006D3FBA"/>
    <w:rsid w:val="006D422C"/>
    <w:rsid w:val="006D4659"/>
    <w:rsid w:val="006D4784"/>
    <w:rsid w:val="006D48F2"/>
    <w:rsid w:val="006D4965"/>
    <w:rsid w:val="006D49E1"/>
    <w:rsid w:val="006D4C86"/>
    <w:rsid w:val="006D4EF9"/>
    <w:rsid w:val="006D5160"/>
    <w:rsid w:val="006D5170"/>
    <w:rsid w:val="006D54DA"/>
    <w:rsid w:val="006D5581"/>
    <w:rsid w:val="006D5654"/>
    <w:rsid w:val="006D5986"/>
    <w:rsid w:val="006D5D5F"/>
    <w:rsid w:val="006D6232"/>
    <w:rsid w:val="006D6337"/>
    <w:rsid w:val="006D68F5"/>
    <w:rsid w:val="006D68FB"/>
    <w:rsid w:val="006D68FD"/>
    <w:rsid w:val="006D6E15"/>
    <w:rsid w:val="006D6F73"/>
    <w:rsid w:val="006D716E"/>
    <w:rsid w:val="006D730C"/>
    <w:rsid w:val="006D7661"/>
    <w:rsid w:val="006D780D"/>
    <w:rsid w:val="006D7D24"/>
    <w:rsid w:val="006D7D52"/>
    <w:rsid w:val="006E0001"/>
    <w:rsid w:val="006E0002"/>
    <w:rsid w:val="006E0035"/>
    <w:rsid w:val="006E03F1"/>
    <w:rsid w:val="006E0488"/>
    <w:rsid w:val="006E0623"/>
    <w:rsid w:val="006E0817"/>
    <w:rsid w:val="006E0947"/>
    <w:rsid w:val="006E0B42"/>
    <w:rsid w:val="006E0B57"/>
    <w:rsid w:val="006E0C0D"/>
    <w:rsid w:val="006E0EA1"/>
    <w:rsid w:val="006E0EDF"/>
    <w:rsid w:val="006E0F03"/>
    <w:rsid w:val="006E1092"/>
    <w:rsid w:val="006E1561"/>
    <w:rsid w:val="006E1580"/>
    <w:rsid w:val="006E1613"/>
    <w:rsid w:val="006E1861"/>
    <w:rsid w:val="006E186A"/>
    <w:rsid w:val="006E18AC"/>
    <w:rsid w:val="006E1F3B"/>
    <w:rsid w:val="006E2273"/>
    <w:rsid w:val="006E258F"/>
    <w:rsid w:val="006E2868"/>
    <w:rsid w:val="006E29EB"/>
    <w:rsid w:val="006E2A72"/>
    <w:rsid w:val="006E2DF8"/>
    <w:rsid w:val="006E2E58"/>
    <w:rsid w:val="006E32AA"/>
    <w:rsid w:val="006E3316"/>
    <w:rsid w:val="006E345F"/>
    <w:rsid w:val="006E348A"/>
    <w:rsid w:val="006E3802"/>
    <w:rsid w:val="006E38AD"/>
    <w:rsid w:val="006E38C9"/>
    <w:rsid w:val="006E3DD1"/>
    <w:rsid w:val="006E3F9E"/>
    <w:rsid w:val="006E3FD6"/>
    <w:rsid w:val="006E4006"/>
    <w:rsid w:val="006E4028"/>
    <w:rsid w:val="006E411A"/>
    <w:rsid w:val="006E437E"/>
    <w:rsid w:val="006E43AA"/>
    <w:rsid w:val="006E45E5"/>
    <w:rsid w:val="006E4651"/>
    <w:rsid w:val="006E4790"/>
    <w:rsid w:val="006E493E"/>
    <w:rsid w:val="006E49A5"/>
    <w:rsid w:val="006E4BBF"/>
    <w:rsid w:val="006E5768"/>
    <w:rsid w:val="006E59AF"/>
    <w:rsid w:val="006E59C8"/>
    <w:rsid w:val="006E59CF"/>
    <w:rsid w:val="006E5A9E"/>
    <w:rsid w:val="006E5CA0"/>
    <w:rsid w:val="006E5D7A"/>
    <w:rsid w:val="006E5E90"/>
    <w:rsid w:val="006E6038"/>
    <w:rsid w:val="006E638A"/>
    <w:rsid w:val="006E63DA"/>
    <w:rsid w:val="006E6C66"/>
    <w:rsid w:val="006E6E30"/>
    <w:rsid w:val="006E758F"/>
    <w:rsid w:val="006E7936"/>
    <w:rsid w:val="006E7B30"/>
    <w:rsid w:val="006E7B5F"/>
    <w:rsid w:val="006E7C0F"/>
    <w:rsid w:val="006E7C2B"/>
    <w:rsid w:val="006E7CEA"/>
    <w:rsid w:val="006F0160"/>
    <w:rsid w:val="006F09A2"/>
    <w:rsid w:val="006F0D0F"/>
    <w:rsid w:val="006F0D8E"/>
    <w:rsid w:val="006F0FC5"/>
    <w:rsid w:val="006F11F0"/>
    <w:rsid w:val="006F150B"/>
    <w:rsid w:val="006F158C"/>
    <w:rsid w:val="006F1DAE"/>
    <w:rsid w:val="006F1E8A"/>
    <w:rsid w:val="006F2105"/>
    <w:rsid w:val="006F21D4"/>
    <w:rsid w:val="006F220C"/>
    <w:rsid w:val="006F2429"/>
    <w:rsid w:val="006F24D2"/>
    <w:rsid w:val="006F2565"/>
    <w:rsid w:val="006F2AB9"/>
    <w:rsid w:val="006F2B1C"/>
    <w:rsid w:val="006F2C35"/>
    <w:rsid w:val="006F305F"/>
    <w:rsid w:val="006F306C"/>
    <w:rsid w:val="006F3251"/>
    <w:rsid w:val="006F3289"/>
    <w:rsid w:val="006F38D5"/>
    <w:rsid w:val="006F3DE3"/>
    <w:rsid w:val="006F3F59"/>
    <w:rsid w:val="006F4272"/>
    <w:rsid w:val="006F4BF7"/>
    <w:rsid w:val="006F4C2F"/>
    <w:rsid w:val="006F50A4"/>
    <w:rsid w:val="006F50C4"/>
    <w:rsid w:val="006F5130"/>
    <w:rsid w:val="006F5170"/>
    <w:rsid w:val="006F526F"/>
    <w:rsid w:val="006F53E5"/>
    <w:rsid w:val="006F54FF"/>
    <w:rsid w:val="006F5684"/>
    <w:rsid w:val="006F571C"/>
    <w:rsid w:val="006F57B5"/>
    <w:rsid w:val="006F57E3"/>
    <w:rsid w:val="006F5CCA"/>
    <w:rsid w:val="006F5D34"/>
    <w:rsid w:val="006F5EB1"/>
    <w:rsid w:val="006F5FC5"/>
    <w:rsid w:val="006F6008"/>
    <w:rsid w:val="006F6164"/>
    <w:rsid w:val="006F635F"/>
    <w:rsid w:val="006F63A5"/>
    <w:rsid w:val="006F6710"/>
    <w:rsid w:val="006F67BA"/>
    <w:rsid w:val="006F69D5"/>
    <w:rsid w:val="006F6BE7"/>
    <w:rsid w:val="006F6C39"/>
    <w:rsid w:val="006F6EFB"/>
    <w:rsid w:val="006F6FF3"/>
    <w:rsid w:val="006F73B0"/>
    <w:rsid w:val="006F764D"/>
    <w:rsid w:val="006F7665"/>
    <w:rsid w:val="006F7A1B"/>
    <w:rsid w:val="006F7A35"/>
    <w:rsid w:val="006F7B17"/>
    <w:rsid w:val="006F7C67"/>
    <w:rsid w:val="006F7CBF"/>
    <w:rsid w:val="006F7CFF"/>
    <w:rsid w:val="006F7F05"/>
    <w:rsid w:val="00700492"/>
    <w:rsid w:val="00700670"/>
    <w:rsid w:val="007007A1"/>
    <w:rsid w:val="00700915"/>
    <w:rsid w:val="00700CC8"/>
    <w:rsid w:val="0070129E"/>
    <w:rsid w:val="0070142B"/>
    <w:rsid w:val="00701641"/>
    <w:rsid w:val="00701F2E"/>
    <w:rsid w:val="00701FD9"/>
    <w:rsid w:val="00701FE2"/>
    <w:rsid w:val="00702127"/>
    <w:rsid w:val="007021B8"/>
    <w:rsid w:val="0070234A"/>
    <w:rsid w:val="00702616"/>
    <w:rsid w:val="0070276E"/>
    <w:rsid w:val="007027B0"/>
    <w:rsid w:val="007028A3"/>
    <w:rsid w:val="0070290C"/>
    <w:rsid w:val="00702F8F"/>
    <w:rsid w:val="007039DF"/>
    <w:rsid w:val="00703E08"/>
    <w:rsid w:val="00703E5A"/>
    <w:rsid w:val="00704013"/>
    <w:rsid w:val="00704466"/>
    <w:rsid w:val="007045A9"/>
    <w:rsid w:val="00704945"/>
    <w:rsid w:val="00704D8D"/>
    <w:rsid w:val="00704DCC"/>
    <w:rsid w:val="00704F1D"/>
    <w:rsid w:val="00704FAB"/>
    <w:rsid w:val="0070505E"/>
    <w:rsid w:val="0070513C"/>
    <w:rsid w:val="007051C3"/>
    <w:rsid w:val="0070594E"/>
    <w:rsid w:val="007059D9"/>
    <w:rsid w:val="00706202"/>
    <w:rsid w:val="007069C1"/>
    <w:rsid w:val="00706C34"/>
    <w:rsid w:val="00706D6A"/>
    <w:rsid w:val="007071F7"/>
    <w:rsid w:val="0070754E"/>
    <w:rsid w:val="007077D2"/>
    <w:rsid w:val="00707878"/>
    <w:rsid w:val="007079FC"/>
    <w:rsid w:val="00707A33"/>
    <w:rsid w:val="00707FE7"/>
    <w:rsid w:val="0071018B"/>
    <w:rsid w:val="00710360"/>
    <w:rsid w:val="0071043B"/>
    <w:rsid w:val="00710580"/>
    <w:rsid w:val="00711076"/>
    <w:rsid w:val="0071147D"/>
    <w:rsid w:val="0071164D"/>
    <w:rsid w:val="0071174C"/>
    <w:rsid w:val="00711A36"/>
    <w:rsid w:val="00711EFA"/>
    <w:rsid w:val="00711FEA"/>
    <w:rsid w:val="00711FEF"/>
    <w:rsid w:val="0071214C"/>
    <w:rsid w:val="0071220B"/>
    <w:rsid w:val="00712274"/>
    <w:rsid w:val="0071244E"/>
    <w:rsid w:val="007124DD"/>
    <w:rsid w:val="00712503"/>
    <w:rsid w:val="007125D3"/>
    <w:rsid w:val="00712927"/>
    <w:rsid w:val="00712DBF"/>
    <w:rsid w:val="00713082"/>
    <w:rsid w:val="0071335E"/>
    <w:rsid w:val="0071356E"/>
    <w:rsid w:val="00713A54"/>
    <w:rsid w:val="00713A6D"/>
    <w:rsid w:val="00713A88"/>
    <w:rsid w:val="00714655"/>
    <w:rsid w:val="007146E8"/>
    <w:rsid w:val="00714706"/>
    <w:rsid w:val="00714758"/>
    <w:rsid w:val="007147F0"/>
    <w:rsid w:val="00714A30"/>
    <w:rsid w:val="00714B5C"/>
    <w:rsid w:val="00714BAC"/>
    <w:rsid w:val="00714BEB"/>
    <w:rsid w:val="00714C26"/>
    <w:rsid w:val="00714E05"/>
    <w:rsid w:val="0071502F"/>
    <w:rsid w:val="007150C7"/>
    <w:rsid w:val="0071529C"/>
    <w:rsid w:val="0071529F"/>
    <w:rsid w:val="00715C41"/>
    <w:rsid w:val="00715D19"/>
    <w:rsid w:val="00715D26"/>
    <w:rsid w:val="00715D96"/>
    <w:rsid w:val="00715DA1"/>
    <w:rsid w:val="00715FB1"/>
    <w:rsid w:val="0071608E"/>
    <w:rsid w:val="007162E2"/>
    <w:rsid w:val="00716477"/>
    <w:rsid w:val="00716555"/>
    <w:rsid w:val="00716840"/>
    <w:rsid w:val="00716BD1"/>
    <w:rsid w:val="007170DA"/>
    <w:rsid w:val="0071711A"/>
    <w:rsid w:val="007172AD"/>
    <w:rsid w:val="007172E8"/>
    <w:rsid w:val="007173E4"/>
    <w:rsid w:val="00717546"/>
    <w:rsid w:val="00717642"/>
    <w:rsid w:val="007204A3"/>
    <w:rsid w:val="007204DC"/>
    <w:rsid w:val="00720801"/>
    <w:rsid w:val="00720905"/>
    <w:rsid w:val="00720B92"/>
    <w:rsid w:val="00720DB4"/>
    <w:rsid w:val="00720FD1"/>
    <w:rsid w:val="00720FEE"/>
    <w:rsid w:val="007210DF"/>
    <w:rsid w:val="00721143"/>
    <w:rsid w:val="00721230"/>
    <w:rsid w:val="0072131B"/>
    <w:rsid w:val="007213FA"/>
    <w:rsid w:val="00721613"/>
    <w:rsid w:val="0072172D"/>
    <w:rsid w:val="00721B12"/>
    <w:rsid w:val="007222EA"/>
    <w:rsid w:val="0072296A"/>
    <w:rsid w:val="00722B1B"/>
    <w:rsid w:val="00722B9F"/>
    <w:rsid w:val="00722C64"/>
    <w:rsid w:val="00722EA5"/>
    <w:rsid w:val="007230D3"/>
    <w:rsid w:val="007232D7"/>
    <w:rsid w:val="00723386"/>
    <w:rsid w:val="0072391B"/>
    <w:rsid w:val="007239BF"/>
    <w:rsid w:val="00723A4A"/>
    <w:rsid w:val="00723E19"/>
    <w:rsid w:val="00723F43"/>
    <w:rsid w:val="00723FA8"/>
    <w:rsid w:val="00724068"/>
    <w:rsid w:val="0072416F"/>
    <w:rsid w:val="00724277"/>
    <w:rsid w:val="007242E0"/>
    <w:rsid w:val="0072434A"/>
    <w:rsid w:val="0072490D"/>
    <w:rsid w:val="00724A11"/>
    <w:rsid w:val="00724AF7"/>
    <w:rsid w:val="00724BFE"/>
    <w:rsid w:val="00724C75"/>
    <w:rsid w:val="00724EFC"/>
    <w:rsid w:val="00725019"/>
    <w:rsid w:val="0072513A"/>
    <w:rsid w:val="00725743"/>
    <w:rsid w:val="00725857"/>
    <w:rsid w:val="00725E0A"/>
    <w:rsid w:val="00726307"/>
    <w:rsid w:val="007263E8"/>
    <w:rsid w:val="007266DB"/>
    <w:rsid w:val="007269E0"/>
    <w:rsid w:val="00726AE3"/>
    <w:rsid w:val="007272B5"/>
    <w:rsid w:val="00727352"/>
    <w:rsid w:val="00727762"/>
    <w:rsid w:val="007279F0"/>
    <w:rsid w:val="00727C94"/>
    <w:rsid w:val="00730068"/>
    <w:rsid w:val="0073034A"/>
    <w:rsid w:val="007307F9"/>
    <w:rsid w:val="00730830"/>
    <w:rsid w:val="00730CD1"/>
    <w:rsid w:val="00730CF6"/>
    <w:rsid w:val="00730FCD"/>
    <w:rsid w:val="00731A3B"/>
    <w:rsid w:val="00731B0A"/>
    <w:rsid w:val="00731C8E"/>
    <w:rsid w:val="00731CDA"/>
    <w:rsid w:val="00731DDE"/>
    <w:rsid w:val="00731DFC"/>
    <w:rsid w:val="00731E6D"/>
    <w:rsid w:val="00731EAE"/>
    <w:rsid w:val="00731EF4"/>
    <w:rsid w:val="00731EF6"/>
    <w:rsid w:val="00732351"/>
    <w:rsid w:val="007323D3"/>
    <w:rsid w:val="00732469"/>
    <w:rsid w:val="007324FB"/>
    <w:rsid w:val="007328EE"/>
    <w:rsid w:val="00732C3D"/>
    <w:rsid w:val="00732DA3"/>
    <w:rsid w:val="00732E6F"/>
    <w:rsid w:val="00732F7D"/>
    <w:rsid w:val="00733057"/>
    <w:rsid w:val="00733073"/>
    <w:rsid w:val="0073356E"/>
    <w:rsid w:val="00733996"/>
    <w:rsid w:val="00733A85"/>
    <w:rsid w:val="00733B9E"/>
    <w:rsid w:val="00733C4D"/>
    <w:rsid w:val="00733FAA"/>
    <w:rsid w:val="00734000"/>
    <w:rsid w:val="00734373"/>
    <w:rsid w:val="00734491"/>
    <w:rsid w:val="00734610"/>
    <w:rsid w:val="00734CCC"/>
    <w:rsid w:val="00734CDF"/>
    <w:rsid w:val="00735033"/>
    <w:rsid w:val="00735328"/>
    <w:rsid w:val="007354C3"/>
    <w:rsid w:val="00735AFE"/>
    <w:rsid w:val="00735CC0"/>
    <w:rsid w:val="00735ED4"/>
    <w:rsid w:val="00735F85"/>
    <w:rsid w:val="00735FBA"/>
    <w:rsid w:val="00736084"/>
    <w:rsid w:val="00736203"/>
    <w:rsid w:val="00736356"/>
    <w:rsid w:val="00736417"/>
    <w:rsid w:val="0073657B"/>
    <w:rsid w:val="00736644"/>
    <w:rsid w:val="0073685B"/>
    <w:rsid w:val="00736E60"/>
    <w:rsid w:val="00737171"/>
    <w:rsid w:val="007371CA"/>
    <w:rsid w:val="0073748D"/>
    <w:rsid w:val="00737501"/>
    <w:rsid w:val="007378DD"/>
    <w:rsid w:val="00737A72"/>
    <w:rsid w:val="00737F1A"/>
    <w:rsid w:val="0074007F"/>
    <w:rsid w:val="0074018E"/>
    <w:rsid w:val="007401C5"/>
    <w:rsid w:val="00740206"/>
    <w:rsid w:val="007404A2"/>
    <w:rsid w:val="0074052A"/>
    <w:rsid w:val="0074071E"/>
    <w:rsid w:val="00740842"/>
    <w:rsid w:val="00740A39"/>
    <w:rsid w:val="00740B6C"/>
    <w:rsid w:val="00740BFD"/>
    <w:rsid w:val="0074141A"/>
    <w:rsid w:val="00741649"/>
    <w:rsid w:val="0074180C"/>
    <w:rsid w:val="00741B43"/>
    <w:rsid w:val="00741BBB"/>
    <w:rsid w:val="00741D16"/>
    <w:rsid w:val="00741EB9"/>
    <w:rsid w:val="007421DD"/>
    <w:rsid w:val="007422E3"/>
    <w:rsid w:val="0074234D"/>
    <w:rsid w:val="00742469"/>
    <w:rsid w:val="007424ED"/>
    <w:rsid w:val="007430C7"/>
    <w:rsid w:val="0074315E"/>
    <w:rsid w:val="0074333B"/>
    <w:rsid w:val="00743655"/>
    <w:rsid w:val="007436BF"/>
    <w:rsid w:val="00743831"/>
    <w:rsid w:val="007438B7"/>
    <w:rsid w:val="007438E9"/>
    <w:rsid w:val="00743B86"/>
    <w:rsid w:val="00743CC0"/>
    <w:rsid w:val="00743D5D"/>
    <w:rsid w:val="00743EFF"/>
    <w:rsid w:val="00744159"/>
    <w:rsid w:val="00744253"/>
    <w:rsid w:val="007442D7"/>
    <w:rsid w:val="007443E4"/>
    <w:rsid w:val="0074476D"/>
    <w:rsid w:val="007448C5"/>
    <w:rsid w:val="007449BF"/>
    <w:rsid w:val="00744E6E"/>
    <w:rsid w:val="00744EC2"/>
    <w:rsid w:val="0074513C"/>
    <w:rsid w:val="00745386"/>
    <w:rsid w:val="0074575E"/>
    <w:rsid w:val="00745898"/>
    <w:rsid w:val="007459B7"/>
    <w:rsid w:val="00745B30"/>
    <w:rsid w:val="00745BB7"/>
    <w:rsid w:val="00745E45"/>
    <w:rsid w:val="00745EAF"/>
    <w:rsid w:val="00746062"/>
    <w:rsid w:val="007463FE"/>
    <w:rsid w:val="00746608"/>
    <w:rsid w:val="0074663E"/>
    <w:rsid w:val="0074678E"/>
    <w:rsid w:val="007469D1"/>
    <w:rsid w:val="00746AB1"/>
    <w:rsid w:val="00746BC0"/>
    <w:rsid w:val="007472F1"/>
    <w:rsid w:val="00747430"/>
    <w:rsid w:val="0074753A"/>
    <w:rsid w:val="00747599"/>
    <w:rsid w:val="0074779F"/>
    <w:rsid w:val="007477E4"/>
    <w:rsid w:val="007478D3"/>
    <w:rsid w:val="00747E57"/>
    <w:rsid w:val="00747EF0"/>
    <w:rsid w:val="00750065"/>
    <w:rsid w:val="007501B3"/>
    <w:rsid w:val="007502BE"/>
    <w:rsid w:val="007505D6"/>
    <w:rsid w:val="00750AC5"/>
    <w:rsid w:val="00750CD4"/>
    <w:rsid w:val="00750CD9"/>
    <w:rsid w:val="00750D4B"/>
    <w:rsid w:val="00751013"/>
    <w:rsid w:val="007510B4"/>
    <w:rsid w:val="007512D8"/>
    <w:rsid w:val="00751313"/>
    <w:rsid w:val="00751AF4"/>
    <w:rsid w:val="00751C6D"/>
    <w:rsid w:val="00751EA8"/>
    <w:rsid w:val="00752065"/>
    <w:rsid w:val="00752142"/>
    <w:rsid w:val="00752394"/>
    <w:rsid w:val="007523EB"/>
    <w:rsid w:val="007523F9"/>
    <w:rsid w:val="007525A1"/>
    <w:rsid w:val="00752858"/>
    <w:rsid w:val="00752A16"/>
    <w:rsid w:val="00752E52"/>
    <w:rsid w:val="00753020"/>
    <w:rsid w:val="007533A9"/>
    <w:rsid w:val="00753497"/>
    <w:rsid w:val="0075357E"/>
    <w:rsid w:val="0075358E"/>
    <w:rsid w:val="007535B9"/>
    <w:rsid w:val="0075368D"/>
    <w:rsid w:val="007537DD"/>
    <w:rsid w:val="007538A0"/>
    <w:rsid w:val="007539D1"/>
    <w:rsid w:val="00753B29"/>
    <w:rsid w:val="00753B92"/>
    <w:rsid w:val="00753C78"/>
    <w:rsid w:val="00753E40"/>
    <w:rsid w:val="00753F86"/>
    <w:rsid w:val="00754246"/>
    <w:rsid w:val="00754754"/>
    <w:rsid w:val="0075487C"/>
    <w:rsid w:val="007548FA"/>
    <w:rsid w:val="00754B7D"/>
    <w:rsid w:val="00754E1C"/>
    <w:rsid w:val="007551D1"/>
    <w:rsid w:val="0075535C"/>
    <w:rsid w:val="00755759"/>
    <w:rsid w:val="00755869"/>
    <w:rsid w:val="007565E2"/>
    <w:rsid w:val="00756752"/>
    <w:rsid w:val="00756960"/>
    <w:rsid w:val="0075698E"/>
    <w:rsid w:val="0075705C"/>
    <w:rsid w:val="00757323"/>
    <w:rsid w:val="007573E8"/>
    <w:rsid w:val="0075770F"/>
    <w:rsid w:val="0075773E"/>
    <w:rsid w:val="007578DA"/>
    <w:rsid w:val="007579C2"/>
    <w:rsid w:val="00757DE3"/>
    <w:rsid w:val="00757EED"/>
    <w:rsid w:val="00760478"/>
    <w:rsid w:val="007605E9"/>
    <w:rsid w:val="007608BA"/>
    <w:rsid w:val="00760906"/>
    <w:rsid w:val="0076090F"/>
    <w:rsid w:val="00760BB2"/>
    <w:rsid w:val="00760C4E"/>
    <w:rsid w:val="00760C5F"/>
    <w:rsid w:val="00760D71"/>
    <w:rsid w:val="00760DF6"/>
    <w:rsid w:val="00760F16"/>
    <w:rsid w:val="00760F9E"/>
    <w:rsid w:val="007610F7"/>
    <w:rsid w:val="00761205"/>
    <w:rsid w:val="00761207"/>
    <w:rsid w:val="0076135F"/>
    <w:rsid w:val="007615D3"/>
    <w:rsid w:val="007616D6"/>
    <w:rsid w:val="007616E6"/>
    <w:rsid w:val="00761A96"/>
    <w:rsid w:val="00761E22"/>
    <w:rsid w:val="00761EFC"/>
    <w:rsid w:val="0076218B"/>
    <w:rsid w:val="0076218E"/>
    <w:rsid w:val="007622B8"/>
    <w:rsid w:val="00762422"/>
    <w:rsid w:val="007627BE"/>
    <w:rsid w:val="00762CA5"/>
    <w:rsid w:val="00762EAD"/>
    <w:rsid w:val="00763032"/>
    <w:rsid w:val="007634FA"/>
    <w:rsid w:val="007636F0"/>
    <w:rsid w:val="00763A33"/>
    <w:rsid w:val="00763A4D"/>
    <w:rsid w:val="00763E24"/>
    <w:rsid w:val="00763F5E"/>
    <w:rsid w:val="007643EF"/>
    <w:rsid w:val="00764454"/>
    <w:rsid w:val="0076448E"/>
    <w:rsid w:val="00764616"/>
    <w:rsid w:val="00764776"/>
    <w:rsid w:val="0076478D"/>
    <w:rsid w:val="00764860"/>
    <w:rsid w:val="00764885"/>
    <w:rsid w:val="0076498A"/>
    <w:rsid w:val="00764A28"/>
    <w:rsid w:val="00764A35"/>
    <w:rsid w:val="00764D5D"/>
    <w:rsid w:val="00764E6B"/>
    <w:rsid w:val="00764EF1"/>
    <w:rsid w:val="00764F03"/>
    <w:rsid w:val="0076510A"/>
    <w:rsid w:val="007653C2"/>
    <w:rsid w:val="0076572D"/>
    <w:rsid w:val="00765785"/>
    <w:rsid w:val="00765B1A"/>
    <w:rsid w:val="00765D1C"/>
    <w:rsid w:val="00765D2D"/>
    <w:rsid w:val="00765DA9"/>
    <w:rsid w:val="00765DC1"/>
    <w:rsid w:val="00765E96"/>
    <w:rsid w:val="00765FD6"/>
    <w:rsid w:val="007663B3"/>
    <w:rsid w:val="007663C7"/>
    <w:rsid w:val="00766A7E"/>
    <w:rsid w:val="00766B72"/>
    <w:rsid w:val="00766CB9"/>
    <w:rsid w:val="0076718B"/>
    <w:rsid w:val="00767213"/>
    <w:rsid w:val="0076727D"/>
    <w:rsid w:val="00767465"/>
    <w:rsid w:val="00767609"/>
    <w:rsid w:val="00767645"/>
    <w:rsid w:val="007676BE"/>
    <w:rsid w:val="00767873"/>
    <w:rsid w:val="00767979"/>
    <w:rsid w:val="00767A85"/>
    <w:rsid w:val="00767AD6"/>
    <w:rsid w:val="00767E35"/>
    <w:rsid w:val="007706F2"/>
    <w:rsid w:val="00770A32"/>
    <w:rsid w:val="00770B02"/>
    <w:rsid w:val="00770BAE"/>
    <w:rsid w:val="00770EA2"/>
    <w:rsid w:val="00770F31"/>
    <w:rsid w:val="00771153"/>
    <w:rsid w:val="007711C5"/>
    <w:rsid w:val="0077132F"/>
    <w:rsid w:val="007715D5"/>
    <w:rsid w:val="007718EF"/>
    <w:rsid w:val="00771986"/>
    <w:rsid w:val="00771B55"/>
    <w:rsid w:val="00771E91"/>
    <w:rsid w:val="00771F62"/>
    <w:rsid w:val="0077223A"/>
    <w:rsid w:val="0077224F"/>
    <w:rsid w:val="00772275"/>
    <w:rsid w:val="007725A5"/>
    <w:rsid w:val="00772707"/>
    <w:rsid w:val="00772968"/>
    <w:rsid w:val="007729A6"/>
    <w:rsid w:val="00772A18"/>
    <w:rsid w:val="00772A30"/>
    <w:rsid w:val="00772A5E"/>
    <w:rsid w:val="00773157"/>
    <w:rsid w:val="0077326B"/>
    <w:rsid w:val="00773353"/>
    <w:rsid w:val="00773410"/>
    <w:rsid w:val="007736C1"/>
    <w:rsid w:val="00773AE7"/>
    <w:rsid w:val="00773CB2"/>
    <w:rsid w:val="007741EF"/>
    <w:rsid w:val="00774698"/>
    <w:rsid w:val="00774871"/>
    <w:rsid w:val="007749E3"/>
    <w:rsid w:val="007749FB"/>
    <w:rsid w:val="00774AAB"/>
    <w:rsid w:val="00775109"/>
    <w:rsid w:val="007753BE"/>
    <w:rsid w:val="00775448"/>
    <w:rsid w:val="00775E56"/>
    <w:rsid w:val="00775EAA"/>
    <w:rsid w:val="00775EDB"/>
    <w:rsid w:val="00775F32"/>
    <w:rsid w:val="00776170"/>
    <w:rsid w:val="00776573"/>
    <w:rsid w:val="0077671F"/>
    <w:rsid w:val="00776A29"/>
    <w:rsid w:val="00776C4B"/>
    <w:rsid w:val="007772C7"/>
    <w:rsid w:val="00777335"/>
    <w:rsid w:val="00777697"/>
    <w:rsid w:val="0077783A"/>
    <w:rsid w:val="007778A3"/>
    <w:rsid w:val="007779BB"/>
    <w:rsid w:val="00777AF1"/>
    <w:rsid w:val="00780153"/>
    <w:rsid w:val="00780384"/>
    <w:rsid w:val="00780468"/>
    <w:rsid w:val="007804DD"/>
    <w:rsid w:val="007805F6"/>
    <w:rsid w:val="0078067C"/>
    <w:rsid w:val="007806A9"/>
    <w:rsid w:val="007808E8"/>
    <w:rsid w:val="0078091B"/>
    <w:rsid w:val="00780B9A"/>
    <w:rsid w:val="00780C5B"/>
    <w:rsid w:val="00780E8A"/>
    <w:rsid w:val="0078106A"/>
    <w:rsid w:val="00781C3A"/>
    <w:rsid w:val="00781DEB"/>
    <w:rsid w:val="00781FF7"/>
    <w:rsid w:val="00782006"/>
    <w:rsid w:val="00782058"/>
    <w:rsid w:val="007820B9"/>
    <w:rsid w:val="007821EB"/>
    <w:rsid w:val="007821F0"/>
    <w:rsid w:val="007822D9"/>
    <w:rsid w:val="007824EA"/>
    <w:rsid w:val="00782786"/>
    <w:rsid w:val="00782854"/>
    <w:rsid w:val="007828AA"/>
    <w:rsid w:val="00782AEA"/>
    <w:rsid w:val="00782CD4"/>
    <w:rsid w:val="00782ED9"/>
    <w:rsid w:val="00783165"/>
    <w:rsid w:val="007832DF"/>
    <w:rsid w:val="007838AA"/>
    <w:rsid w:val="00783D3B"/>
    <w:rsid w:val="00783FA4"/>
    <w:rsid w:val="00784004"/>
    <w:rsid w:val="0078435E"/>
    <w:rsid w:val="007843F2"/>
    <w:rsid w:val="007845E1"/>
    <w:rsid w:val="007846FA"/>
    <w:rsid w:val="00784B2E"/>
    <w:rsid w:val="00784B96"/>
    <w:rsid w:val="00784DDC"/>
    <w:rsid w:val="00785A39"/>
    <w:rsid w:val="00785A9F"/>
    <w:rsid w:val="00785B73"/>
    <w:rsid w:val="00785E79"/>
    <w:rsid w:val="00785F95"/>
    <w:rsid w:val="00786132"/>
    <w:rsid w:val="0078641D"/>
    <w:rsid w:val="00786682"/>
    <w:rsid w:val="0078668B"/>
    <w:rsid w:val="00786759"/>
    <w:rsid w:val="00786967"/>
    <w:rsid w:val="00786A09"/>
    <w:rsid w:val="00786C98"/>
    <w:rsid w:val="007870BF"/>
    <w:rsid w:val="007873D2"/>
    <w:rsid w:val="007874AA"/>
    <w:rsid w:val="007875B1"/>
    <w:rsid w:val="00787731"/>
    <w:rsid w:val="0078791F"/>
    <w:rsid w:val="00787B3E"/>
    <w:rsid w:val="00787F8A"/>
    <w:rsid w:val="007900E3"/>
    <w:rsid w:val="00790145"/>
    <w:rsid w:val="007901F1"/>
    <w:rsid w:val="00790307"/>
    <w:rsid w:val="0079032F"/>
    <w:rsid w:val="00790500"/>
    <w:rsid w:val="0079059F"/>
    <w:rsid w:val="00790A78"/>
    <w:rsid w:val="00790B1F"/>
    <w:rsid w:val="00790ED9"/>
    <w:rsid w:val="00790F09"/>
    <w:rsid w:val="00791093"/>
    <w:rsid w:val="0079113B"/>
    <w:rsid w:val="007915B9"/>
    <w:rsid w:val="0079184B"/>
    <w:rsid w:val="0079187D"/>
    <w:rsid w:val="0079191E"/>
    <w:rsid w:val="00791A13"/>
    <w:rsid w:val="00791D58"/>
    <w:rsid w:val="00791D73"/>
    <w:rsid w:val="0079212C"/>
    <w:rsid w:val="0079219D"/>
    <w:rsid w:val="00792225"/>
    <w:rsid w:val="007922AA"/>
    <w:rsid w:val="00792408"/>
    <w:rsid w:val="007925DF"/>
    <w:rsid w:val="00792994"/>
    <w:rsid w:val="007929A7"/>
    <w:rsid w:val="00792B6C"/>
    <w:rsid w:val="00792D2D"/>
    <w:rsid w:val="00792DAE"/>
    <w:rsid w:val="00792E77"/>
    <w:rsid w:val="00793218"/>
    <w:rsid w:val="00793396"/>
    <w:rsid w:val="00793443"/>
    <w:rsid w:val="00793478"/>
    <w:rsid w:val="007934B8"/>
    <w:rsid w:val="007937CE"/>
    <w:rsid w:val="00793814"/>
    <w:rsid w:val="007939A5"/>
    <w:rsid w:val="00793DC0"/>
    <w:rsid w:val="00793EBB"/>
    <w:rsid w:val="00793EC2"/>
    <w:rsid w:val="007941A8"/>
    <w:rsid w:val="0079441B"/>
    <w:rsid w:val="007944BB"/>
    <w:rsid w:val="0079490E"/>
    <w:rsid w:val="00794A11"/>
    <w:rsid w:val="00794DA7"/>
    <w:rsid w:val="00794F78"/>
    <w:rsid w:val="0079533B"/>
    <w:rsid w:val="00795495"/>
    <w:rsid w:val="00795583"/>
    <w:rsid w:val="00795610"/>
    <w:rsid w:val="0079568F"/>
    <w:rsid w:val="0079579A"/>
    <w:rsid w:val="00795A11"/>
    <w:rsid w:val="0079606D"/>
    <w:rsid w:val="00796497"/>
    <w:rsid w:val="00796B22"/>
    <w:rsid w:val="00796D1A"/>
    <w:rsid w:val="00796F15"/>
    <w:rsid w:val="00797161"/>
    <w:rsid w:val="00797474"/>
    <w:rsid w:val="007974D0"/>
    <w:rsid w:val="0079752B"/>
    <w:rsid w:val="007979E5"/>
    <w:rsid w:val="00797B41"/>
    <w:rsid w:val="00797DA7"/>
    <w:rsid w:val="007A000A"/>
    <w:rsid w:val="007A00FA"/>
    <w:rsid w:val="007A03C8"/>
    <w:rsid w:val="007A0532"/>
    <w:rsid w:val="007A08AA"/>
    <w:rsid w:val="007A0A12"/>
    <w:rsid w:val="007A0FAA"/>
    <w:rsid w:val="007A0FCE"/>
    <w:rsid w:val="007A11CC"/>
    <w:rsid w:val="007A132D"/>
    <w:rsid w:val="007A1345"/>
    <w:rsid w:val="007A18B4"/>
    <w:rsid w:val="007A1CD9"/>
    <w:rsid w:val="007A1F73"/>
    <w:rsid w:val="007A210C"/>
    <w:rsid w:val="007A24E4"/>
    <w:rsid w:val="007A252D"/>
    <w:rsid w:val="007A2722"/>
    <w:rsid w:val="007A276E"/>
    <w:rsid w:val="007A286C"/>
    <w:rsid w:val="007A2DDB"/>
    <w:rsid w:val="007A3207"/>
    <w:rsid w:val="007A333A"/>
    <w:rsid w:val="007A3375"/>
    <w:rsid w:val="007A35E5"/>
    <w:rsid w:val="007A3600"/>
    <w:rsid w:val="007A3749"/>
    <w:rsid w:val="007A3A7A"/>
    <w:rsid w:val="007A3B88"/>
    <w:rsid w:val="007A3BB4"/>
    <w:rsid w:val="007A3D77"/>
    <w:rsid w:val="007A3E23"/>
    <w:rsid w:val="007A3EA0"/>
    <w:rsid w:val="007A3F71"/>
    <w:rsid w:val="007A4181"/>
    <w:rsid w:val="007A41C0"/>
    <w:rsid w:val="007A45B9"/>
    <w:rsid w:val="007A461E"/>
    <w:rsid w:val="007A49EF"/>
    <w:rsid w:val="007A4CB1"/>
    <w:rsid w:val="007A4FEC"/>
    <w:rsid w:val="007A50AA"/>
    <w:rsid w:val="007A5143"/>
    <w:rsid w:val="007A525B"/>
    <w:rsid w:val="007A53AB"/>
    <w:rsid w:val="007A53E8"/>
    <w:rsid w:val="007A54D1"/>
    <w:rsid w:val="007A55C9"/>
    <w:rsid w:val="007A571D"/>
    <w:rsid w:val="007A5740"/>
    <w:rsid w:val="007A6178"/>
    <w:rsid w:val="007A65AC"/>
    <w:rsid w:val="007A66E0"/>
    <w:rsid w:val="007A68DC"/>
    <w:rsid w:val="007A6E7B"/>
    <w:rsid w:val="007A6F78"/>
    <w:rsid w:val="007A70BA"/>
    <w:rsid w:val="007A757C"/>
    <w:rsid w:val="007A75A6"/>
    <w:rsid w:val="007A7814"/>
    <w:rsid w:val="007A7DE7"/>
    <w:rsid w:val="007A7E30"/>
    <w:rsid w:val="007B0011"/>
    <w:rsid w:val="007B01F7"/>
    <w:rsid w:val="007B081E"/>
    <w:rsid w:val="007B088D"/>
    <w:rsid w:val="007B095C"/>
    <w:rsid w:val="007B0A46"/>
    <w:rsid w:val="007B0D68"/>
    <w:rsid w:val="007B0D90"/>
    <w:rsid w:val="007B1A2F"/>
    <w:rsid w:val="007B1B9B"/>
    <w:rsid w:val="007B1BC9"/>
    <w:rsid w:val="007B1DA4"/>
    <w:rsid w:val="007B202D"/>
    <w:rsid w:val="007B229B"/>
    <w:rsid w:val="007B2416"/>
    <w:rsid w:val="007B242F"/>
    <w:rsid w:val="007B251D"/>
    <w:rsid w:val="007B2A4E"/>
    <w:rsid w:val="007B2E26"/>
    <w:rsid w:val="007B2FBD"/>
    <w:rsid w:val="007B312C"/>
    <w:rsid w:val="007B3328"/>
    <w:rsid w:val="007B3533"/>
    <w:rsid w:val="007B3D8B"/>
    <w:rsid w:val="007B3DA4"/>
    <w:rsid w:val="007B3EC4"/>
    <w:rsid w:val="007B445A"/>
    <w:rsid w:val="007B45F7"/>
    <w:rsid w:val="007B4AF3"/>
    <w:rsid w:val="007B4C93"/>
    <w:rsid w:val="007B4DFC"/>
    <w:rsid w:val="007B4F02"/>
    <w:rsid w:val="007B4F2B"/>
    <w:rsid w:val="007B4F58"/>
    <w:rsid w:val="007B4FED"/>
    <w:rsid w:val="007B519E"/>
    <w:rsid w:val="007B528D"/>
    <w:rsid w:val="007B54D6"/>
    <w:rsid w:val="007B5940"/>
    <w:rsid w:val="007B59CF"/>
    <w:rsid w:val="007B5A1E"/>
    <w:rsid w:val="007B5C51"/>
    <w:rsid w:val="007B5E54"/>
    <w:rsid w:val="007B5EDA"/>
    <w:rsid w:val="007B5F1D"/>
    <w:rsid w:val="007B6292"/>
    <w:rsid w:val="007B62BC"/>
    <w:rsid w:val="007B63CA"/>
    <w:rsid w:val="007B647B"/>
    <w:rsid w:val="007B6556"/>
    <w:rsid w:val="007B6750"/>
    <w:rsid w:val="007B6BC2"/>
    <w:rsid w:val="007B6C67"/>
    <w:rsid w:val="007B6D11"/>
    <w:rsid w:val="007B7124"/>
    <w:rsid w:val="007B7145"/>
    <w:rsid w:val="007B730E"/>
    <w:rsid w:val="007B7414"/>
    <w:rsid w:val="007B7765"/>
    <w:rsid w:val="007B77D1"/>
    <w:rsid w:val="007B77E2"/>
    <w:rsid w:val="007B7877"/>
    <w:rsid w:val="007B7F9B"/>
    <w:rsid w:val="007C027B"/>
    <w:rsid w:val="007C0589"/>
    <w:rsid w:val="007C0621"/>
    <w:rsid w:val="007C07C7"/>
    <w:rsid w:val="007C0C4F"/>
    <w:rsid w:val="007C0D2B"/>
    <w:rsid w:val="007C0F4D"/>
    <w:rsid w:val="007C0FA1"/>
    <w:rsid w:val="007C1072"/>
    <w:rsid w:val="007C155A"/>
    <w:rsid w:val="007C15DF"/>
    <w:rsid w:val="007C16F3"/>
    <w:rsid w:val="007C17DB"/>
    <w:rsid w:val="007C192C"/>
    <w:rsid w:val="007C1A67"/>
    <w:rsid w:val="007C1AF4"/>
    <w:rsid w:val="007C1B86"/>
    <w:rsid w:val="007C1CD9"/>
    <w:rsid w:val="007C1D8A"/>
    <w:rsid w:val="007C1E79"/>
    <w:rsid w:val="007C1F01"/>
    <w:rsid w:val="007C258B"/>
    <w:rsid w:val="007C28FC"/>
    <w:rsid w:val="007C29C6"/>
    <w:rsid w:val="007C29F9"/>
    <w:rsid w:val="007C31BE"/>
    <w:rsid w:val="007C32C7"/>
    <w:rsid w:val="007C32EF"/>
    <w:rsid w:val="007C361D"/>
    <w:rsid w:val="007C36D7"/>
    <w:rsid w:val="007C37A4"/>
    <w:rsid w:val="007C38C9"/>
    <w:rsid w:val="007C3936"/>
    <w:rsid w:val="007C3C45"/>
    <w:rsid w:val="007C3E2F"/>
    <w:rsid w:val="007C3FD2"/>
    <w:rsid w:val="007C4360"/>
    <w:rsid w:val="007C4369"/>
    <w:rsid w:val="007C44AE"/>
    <w:rsid w:val="007C44C7"/>
    <w:rsid w:val="007C44D1"/>
    <w:rsid w:val="007C451B"/>
    <w:rsid w:val="007C4AD3"/>
    <w:rsid w:val="007C4B84"/>
    <w:rsid w:val="007C4F61"/>
    <w:rsid w:val="007C50DD"/>
    <w:rsid w:val="007C568E"/>
    <w:rsid w:val="007C5842"/>
    <w:rsid w:val="007C584C"/>
    <w:rsid w:val="007C5FBB"/>
    <w:rsid w:val="007C614D"/>
    <w:rsid w:val="007C66E0"/>
    <w:rsid w:val="007C67F8"/>
    <w:rsid w:val="007C6CAB"/>
    <w:rsid w:val="007C6D55"/>
    <w:rsid w:val="007C6DC6"/>
    <w:rsid w:val="007C70FF"/>
    <w:rsid w:val="007C720A"/>
    <w:rsid w:val="007C7720"/>
    <w:rsid w:val="007C794B"/>
    <w:rsid w:val="007C7A2D"/>
    <w:rsid w:val="007C7BD5"/>
    <w:rsid w:val="007C7BED"/>
    <w:rsid w:val="007C7C25"/>
    <w:rsid w:val="007C7C40"/>
    <w:rsid w:val="007C7DD3"/>
    <w:rsid w:val="007C7E46"/>
    <w:rsid w:val="007C7FC3"/>
    <w:rsid w:val="007D004F"/>
    <w:rsid w:val="007D0260"/>
    <w:rsid w:val="007D035F"/>
    <w:rsid w:val="007D06B2"/>
    <w:rsid w:val="007D09D5"/>
    <w:rsid w:val="007D0A34"/>
    <w:rsid w:val="007D0A79"/>
    <w:rsid w:val="007D0B38"/>
    <w:rsid w:val="007D0E1C"/>
    <w:rsid w:val="007D0E74"/>
    <w:rsid w:val="007D10ED"/>
    <w:rsid w:val="007D114D"/>
    <w:rsid w:val="007D13F1"/>
    <w:rsid w:val="007D15B2"/>
    <w:rsid w:val="007D19F9"/>
    <w:rsid w:val="007D1AF3"/>
    <w:rsid w:val="007D23E6"/>
    <w:rsid w:val="007D2940"/>
    <w:rsid w:val="007D2A99"/>
    <w:rsid w:val="007D2D1E"/>
    <w:rsid w:val="007D2EC3"/>
    <w:rsid w:val="007D2EC4"/>
    <w:rsid w:val="007D302A"/>
    <w:rsid w:val="007D30F8"/>
    <w:rsid w:val="007D32E3"/>
    <w:rsid w:val="007D330F"/>
    <w:rsid w:val="007D3353"/>
    <w:rsid w:val="007D35B2"/>
    <w:rsid w:val="007D37A6"/>
    <w:rsid w:val="007D3AE5"/>
    <w:rsid w:val="007D3CB1"/>
    <w:rsid w:val="007D4321"/>
    <w:rsid w:val="007D440E"/>
    <w:rsid w:val="007D4ABF"/>
    <w:rsid w:val="007D4BB8"/>
    <w:rsid w:val="007D4C3D"/>
    <w:rsid w:val="007D4FEC"/>
    <w:rsid w:val="007D5426"/>
    <w:rsid w:val="007D5440"/>
    <w:rsid w:val="007D55A4"/>
    <w:rsid w:val="007D55F9"/>
    <w:rsid w:val="007D56CF"/>
    <w:rsid w:val="007D57C0"/>
    <w:rsid w:val="007D57FD"/>
    <w:rsid w:val="007D5A2D"/>
    <w:rsid w:val="007D5B8B"/>
    <w:rsid w:val="007D5C5C"/>
    <w:rsid w:val="007D5CA0"/>
    <w:rsid w:val="007D5CF3"/>
    <w:rsid w:val="007D649B"/>
    <w:rsid w:val="007D6998"/>
    <w:rsid w:val="007D69EB"/>
    <w:rsid w:val="007D6C78"/>
    <w:rsid w:val="007D6CB4"/>
    <w:rsid w:val="007D6D4F"/>
    <w:rsid w:val="007D6E74"/>
    <w:rsid w:val="007D6E7C"/>
    <w:rsid w:val="007D6FA6"/>
    <w:rsid w:val="007D717E"/>
    <w:rsid w:val="007D72EB"/>
    <w:rsid w:val="007D747E"/>
    <w:rsid w:val="007D74F8"/>
    <w:rsid w:val="007D788E"/>
    <w:rsid w:val="007D79A6"/>
    <w:rsid w:val="007D7A75"/>
    <w:rsid w:val="007D7B48"/>
    <w:rsid w:val="007D7E69"/>
    <w:rsid w:val="007E0467"/>
    <w:rsid w:val="007E04F3"/>
    <w:rsid w:val="007E0585"/>
    <w:rsid w:val="007E05A1"/>
    <w:rsid w:val="007E0612"/>
    <w:rsid w:val="007E07D5"/>
    <w:rsid w:val="007E0D33"/>
    <w:rsid w:val="007E0DCD"/>
    <w:rsid w:val="007E0E47"/>
    <w:rsid w:val="007E0F1F"/>
    <w:rsid w:val="007E128F"/>
    <w:rsid w:val="007E1351"/>
    <w:rsid w:val="007E1360"/>
    <w:rsid w:val="007E141C"/>
    <w:rsid w:val="007E1759"/>
    <w:rsid w:val="007E18EB"/>
    <w:rsid w:val="007E1937"/>
    <w:rsid w:val="007E1B0E"/>
    <w:rsid w:val="007E1B2A"/>
    <w:rsid w:val="007E1D7B"/>
    <w:rsid w:val="007E1FEE"/>
    <w:rsid w:val="007E212F"/>
    <w:rsid w:val="007E25B8"/>
    <w:rsid w:val="007E25BE"/>
    <w:rsid w:val="007E3182"/>
    <w:rsid w:val="007E34B1"/>
    <w:rsid w:val="007E3584"/>
    <w:rsid w:val="007E3738"/>
    <w:rsid w:val="007E3916"/>
    <w:rsid w:val="007E3D6B"/>
    <w:rsid w:val="007E43CC"/>
    <w:rsid w:val="007E445C"/>
    <w:rsid w:val="007E457E"/>
    <w:rsid w:val="007E4718"/>
    <w:rsid w:val="007E4804"/>
    <w:rsid w:val="007E496B"/>
    <w:rsid w:val="007E49DB"/>
    <w:rsid w:val="007E4A5F"/>
    <w:rsid w:val="007E4C19"/>
    <w:rsid w:val="007E5092"/>
    <w:rsid w:val="007E5457"/>
    <w:rsid w:val="007E56B2"/>
    <w:rsid w:val="007E5855"/>
    <w:rsid w:val="007E5A27"/>
    <w:rsid w:val="007E5A87"/>
    <w:rsid w:val="007E5F29"/>
    <w:rsid w:val="007E5F32"/>
    <w:rsid w:val="007E5F67"/>
    <w:rsid w:val="007E6336"/>
    <w:rsid w:val="007E6EEE"/>
    <w:rsid w:val="007E70FE"/>
    <w:rsid w:val="007E71E1"/>
    <w:rsid w:val="007E7473"/>
    <w:rsid w:val="007E74B8"/>
    <w:rsid w:val="007E7628"/>
    <w:rsid w:val="007E77C5"/>
    <w:rsid w:val="007E78E5"/>
    <w:rsid w:val="007E78F5"/>
    <w:rsid w:val="007E7A2B"/>
    <w:rsid w:val="007F031C"/>
    <w:rsid w:val="007F04E9"/>
    <w:rsid w:val="007F0A4A"/>
    <w:rsid w:val="007F0D05"/>
    <w:rsid w:val="007F0E39"/>
    <w:rsid w:val="007F0E73"/>
    <w:rsid w:val="007F0F1E"/>
    <w:rsid w:val="007F0F83"/>
    <w:rsid w:val="007F0FBB"/>
    <w:rsid w:val="007F1017"/>
    <w:rsid w:val="007F12AC"/>
    <w:rsid w:val="007F1478"/>
    <w:rsid w:val="007F1552"/>
    <w:rsid w:val="007F160D"/>
    <w:rsid w:val="007F1B91"/>
    <w:rsid w:val="007F1C6C"/>
    <w:rsid w:val="007F1E25"/>
    <w:rsid w:val="007F22F9"/>
    <w:rsid w:val="007F2412"/>
    <w:rsid w:val="007F252D"/>
    <w:rsid w:val="007F25A6"/>
    <w:rsid w:val="007F2BBB"/>
    <w:rsid w:val="007F2C58"/>
    <w:rsid w:val="007F2DF0"/>
    <w:rsid w:val="007F33C2"/>
    <w:rsid w:val="007F33CC"/>
    <w:rsid w:val="007F3DE8"/>
    <w:rsid w:val="007F418E"/>
    <w:rsid w:val="007F4235"/>
    <w:rsid w:val="007F4266"/>
    <w:rsid w:val="007F4378"/>
    <w:rsid w:val="007F469A"/>
    <w:rsid w:val="007F476D"/>
    <w:rsid w:val="007F4A3F"/>
    <w:rsid w:val="007F4A61"/>
    <w:rsid w:val="007F4A9B"/>
    <w:rsid w:val="007F4B40"/>
    <w:rsid w:val="007F4BE5"/>
    <w:rsid w:val="007F4C27"/>
    <w:rsid w:val="007F4D30"/>
    <w:rsid w:val="007F4D44"/>
    <w:rsid w:val="007F50F4"/>
    <w:rsid w:val="007F5164"/>
    <w:rsid w:val="007F5255"/>
    <w:rsid w:val="007F5410"/>
    <w:rsid w:val="007F5415"/>
    <w:rsid w:val="007F56CC"/>
    <w:rsid w:val="007F5D56"/>
    <w:rsid w:val="007F5DC5"/>
    <w:rsid w:val="007F5F33"/>
    <w:rsid w:val="007F5F82"/>
    <w:rsid w:val="007F6023"/>
    <w:rsid w:val="007F61C2"/>
    <w:rsid w:val="007F6575"/>
    <w:rsid w:val="007F67BE"/>
    <w:rsid w:val="007F6ADB"/>
    <w:rsid w:val="007F6B51"/>
    <w:rsid w:val="007F6FBA"/>
    <w:rsid w:val="007F7066"/>
    <w:rsid w:val="007F7086"/>
    <w:rsid w:val="007F7423"/>
    <w:rsid w:val="007F76AF"/>
    <w:rsid w:val="007F7762"/>
    <w:rsid w:val="007F7845"/>
    <w:rsid w:val="007F7B02"/>
    <w:rsid w:val="007F7B11"/>
    <w:rsid w:val="007F7D45"/>
    <w:rsid w:val="0080028A"/>
    <w:rsid w:val="00800553"/>
    <w:rsid w:val="00800563"/>
    <w:rsid w:val="00800A61"/>
    <w:rsid w:val="00800B9A"/>
    <w:rsid w:val="00800CDE"/>
    <w:rsid w:val="00800D33"/>
    <w:rsid w:val="00800DC0"/>
    <w:rsid w:val="008014CF"/>
    <w:rsid w:val="00801728"/>
    <w:rsid w:val="0080187A"/>
    <w:rsid w:val="00801A6B"/>
    <w:rsid w:val="00801B4B"/>
    <w:rsid w:val="00801CF6"/>
    <w:rsid w:val="008022C7"/>
    <w:rsid w:val="008025AD"/>
    <w:rsid w:val="00802798"/>
    <w:rsid w:val="00802812"/>
    <w:rsid w:val="0080291F"/>
    <w:rsid w:val="00802A38"/>
    <w:rsid w:val="0080355A"/>
    <w:rsid w:val="008035B5"/>
    <w:rsid w:val="00803624"/>
    <w:rsid w:val="00803A2B"/>
    <w:rsid w:val="00803DF5"/>
    <w:rsid w:val="00803EB2"/>
    <w:rsid w:val="00803EC8"/>
    <w:rsid w:val="00803FE7"/>
    <w:rsid w:val="0080411B"/>
    <w:rsid w:val="00804183"/>
    <w:rsid w:val="008046BF"/>
    <w:rsid w:val="008047A7"/>
    <w:rsid w:val="00804C82"/>
    <w:rsid w:val="00805142"/>
    <w:rsid w:val="00805221"/>
    <w:rsid w:val="008052B2"/>
    <w:rsid w:val="00805311"/>
    <w:rsid w:val="008055A2"/>
    <w:rsid w:val="0080566B"/>
    <w:rsid w:val="00805BBD"/>
    <w:rsid w:val="00805D6F"/>
    <w:rsid w:val="00805DF4"/>
    <w:rsid w:val="00805F5B"/>
    <w:rsid w:val="00805F9B"/>
    <w:rsid w:val="00805FCE"/>
    <w:rsid w:val="008060D1"/>
    <w:rsid w:val="008061ED"/>
    <w:rsid w:val="00806374"/>
    <w:rsid w:val="00806480"/>
    <w:rsid w:val="00806AC3"/>
    <w:rsid w:val="00806F9A"/>
    <w:rsid w:val="008072F0"/>
    <w:rsid w:val="008072F3"/>
    <w:rsid w:val="00807374"/>
    <w:rsid w:val="00807381"/>
    <w:rsid w:val="008073EC"/>
    <w:rsid w:val="008073FC"/>
    <w:rsid w:val="00807557"/>
    <w:rsid w:val="0080755E"/>
    <w:rsid w:val="00807575"/>
    <w:rsid w:val="00807A8B"/>
    <w:rsid w:val="00807A8C"/>
    <w:rsid w:val="00807F80"/>
    <w:rsid w:val="008102C5"/>
    <w:rsid w:val="00810869"/>
    <w:rsid w:val="0081094D"/>
    <w:rsid w:val="00810B5C"/>
    <w:rsid w:val="00810CE6"/>
    <w:rsid w:val="00810E96"/>
    <w:rsid w:val="00811247"/>
    <w:rsid w:val="00811383"/>
    <w:rsid w:val="0081188C"/>
    <w:rsid w:val="008118D1"/>
    <w:rsid w:val="0081196A"/>
    <w:rsid w:val="00811DAD"/>
    <w:rsid w:val="00811EF6"/>
    <w:rsid w:val="00811F4D"/>
    <w:rsid w:val="00811F6A"/>
    <w:rsid w:val="00812149"/>
    <w:rsid w:val="0081230E"/>
    <w:rsid w:val="008129E9"/>
    <w:rsid w:val="00812B9D"/>
    <w:rsid w:val="00812C0E"/>
    <w:rsid w:val="00812CAC"/>
    <w:rsid w:val="00812D83"/>
    <w:rsid w:val="00812DC2"/>
    <w:rsid w:val="008135BF"/>
    <w:rsid w:val="00814067"/>
    <w:rsid w:val="008140A4"/>
    <w:rsid w:val="00814340"/>
    <w:rsid w:val="008145D7"/>
    <w:rsid w:val="00814BD4"/>
    <w:rsid w:val="00815024"/>
    <w:rsid w:val="00815103"/>
    <w:rsid w:val="00815366"/>
    <w:rsid w:val="00815400"/>
    <w:rsid w:val="00815521"/>
    <w:rsid w:val="008155AC"/>
    <w:rsid w:val="00815624"/>
    <w:rsid w:val="00815AC0"/>
    <w:rsid w:val="00815BBE"/>
    <w:rsid w:val="00816361"/>
    <w:rsid w:val="00816514"/>
    <w:rsid w:val="008166EF"/>
    <w:rsid w:val="008168FC"/>
    <w:rsid w:val="00816A93"/>
    <w:rsid w:val="00816F30"/>
    <w:rsid w:val="00816FEF"/>
    <w:rsid w:val="008170B8"/>
    <w:rsid w:val="008172CA"/>
    <w:rsid w:val="008172CD"/>
    <w:rsid w:val="00817356"/>
    <w:rsid w:val="0081761A"/>
    <w:rsid w:val="008176F3"/>
    <w:rsid w:val="00817938"/>
    <w:rsid w:val="00817EBB"/>
    <w:rsid w:val="00817F2F"/>
    <w:rsid w:val="008201DF"/>
    <w:rsid w:val="008202F6"/>
    <w:rsid w:val="0082058C"/>
    <w:rsid w:val="00820A05"/>
    <w:rsid w:val="00820A8C"/>
    <w:rsid w:val="00820BA8"/>
    <w:rsid w:val="00820F0D"/>
    <w:rsid w:val="00821014"/>
    <w:rsid w:val="0082123C"/>
    <w:rsid w:val="008215FB"/>
    <w:rsid w:val="0082160E"/>
    <w:rsid w:val="00821953"/>
    <w:rsid w:val="00821CDF"/>
    <w:rsid w:val="00821E4C"/>
    <w:rsid w:val="00821FB9"/>
    <w:rsid w:val="008220CC"/>
    <w:rsid w:val="0082228C"/>
    <w:rsid w:val="00822424"/>
    <w:rsid w:val="00822637"/>
    <w:rsid w:val="0082270E"/>
    <w:rsid w:val="00822B50"/>
    <w:rsid w:val="00822DAD"/>
    <w:rsid w:val="00822EBE"/>
    <w:rsid w:val="0082315B"/>
    <w:rsid w:val="00823174"/>
    <w:rsid w:val="008232EB"/>
    <w:rsid w:val="00823A34"/>
    <w:rsid w:val="00823A4B"/>
    <w:rsid w:val="00823B7E"/>
    <w:rsid w:val="00823D4A"/>
    <w:rsid w:val="00823D63"/>
    <w:rsid w:val="00823E2E"/>
    <w:rsid w:val="00823E45"/>
    <w:rsid w:val="00823EBA"/>
    <w:rsid w:val="00823F38"/>
    <w:rsid w:val="008240B1"/>
    <w:rsid w:val="00824487"/>
    <w:rsid w:val="008246BA"/>
    <w:rsid w:val="0082491C"/>
    <w:rsid w:val="0082494C"/>
    <w:rsid w:val="00824C64"/>
    <w:rsid w:val="00825405"/>
    <w:rsid w:val="00825751"/>
    <w:rsid w:val="00825BA3"/>
    <w:rsid w:val="00825DE0"/>
    <w:rsid w:val="00825F6C"/>
    <w:rsid w:val="0082613C"/>
    <w:rsid w:val="008264EB"/>
    <w:rsid w:val="0082654E"/>
    <w:rsid w:val="00826588"/>
    <w:rsid w:val="008268CE"/>
    <w:rsid w:val="00826EC3"/>
    <w:rsid w:val="00826EE0"/>
    <w:rsid w:val="00826EED"/>
    <w:rsid w:val="0082744E"/>
    <w:rsid w:val="00827497"/>
    <w:rsid w:val="00827525"/>
    <w:rsid w:val="00827854"/>
    <w:rsid w:val="00827914"/>
    <w:rsid w:val="008279B0"/>
    <w:rsid w:val="00827A59"/>
    <w:rsid w:val="00827AB9"/>
    <w:rsid w:val="00827B49"/>
    <w:rsid w:val="00827C23"/>
    <w:rsid w:val="00827D81"/>
    <w:rsid w:val="00827DFE"/>
    <w:rsid w:val="00830192"/>
    <w:rsid w:val="008305EA"/>
    <w:rsid w:val="008308CA"/>
    <w:rsid w:val="00830AC9"/>
    <w:rsid w:val="00830ACE"/>
    <w:rsid w:val="00830CDA"/>
    <w:rsid w:val="00830D23"/>
    <w:rsid w:val="0083127B"/>
    <w:rsid w:val="008313A7"/>
    <w:rsid w:val="00831456"/>
    <w:rsid w:val="0083159F"/>
    <w:rsid w:val="00831613"/>
    <w:rsid w:val="00831764"/>
    <w:rsid w:val="00831F15"/>
    <w:rsid w:val="00831FB0"/>
    <w:rsid w:val="008323A0"/>
    <w:rsid w:val="008323B7"/>
    <w:rsid w:val="008324FD"/>
    <w:rsid w:val="00832839"/>
    <w:rsid w:val="008328F0"/>
    <w:rsid w:val="0083290E"/>
    <w:rsid w:val="00832BA7"/>
    <w:rsid w:val="00832BE9"/>
    <w:rsid w:val="00832C31"/>
    <w:rsid w:val="00832CB6"/>
    <w:rsid w:val="00832EBF"/>
    <w:rsid w:val="008332FD"/>
    <w:rsid w:val="008334B3"/>
    <w:rsid w:val="008337B9"/>
    <w:rsid w:val="00833886"/>
    <w:rsid w:val="008338A7"/>
    <w:rsid w:val="00833AF5"/>
    <w:rsid w:val="00833B05"/>
    <w:rsid w:val="00833B4F"/>
    <w:rsid w:val="00833DAB"/>
    <w:rsid w:val="00833DE8"/>
    <w:rsid w:val="00833E9D"/>
    <w:rsid w:val="008340E4"/>
    <w:rsid w:val="00834208"/>
    <w:rsid w:val="00834353"/>
    <w:rsid w:val="008349E0"/>
    <w:rsid w:val="00834A4D"/>
    <w:rsid w:val="00834B94"/>
    <w:rsid w:val="00835244"/>
    <w:rsid w:val="00835412"/>
    <w:rsid w:val="008355DC"/>
    <w:rsid w:val="00835646"/>
    <w:rsid w:val="008358B1"/>
    <w:rsid w:val="00835A05"/>
    <w:rsid w:val="00835DBE"/>
    <w:rsid w:val="00835F14"/>
    <w:rsid w:val="008360B0"/>
    <w:rsid w:val="008362B4"/>
    <w:rsid w:val="008363E2"/>
    <w:rsid w:val="00836487"/>
    <w:rsid w:val="0083661A"/>
    <w:rsid w:val="00836628"/>
    <w:rsid w:val="00836B3F"/>
    <w:rsid w:val="00836C24"/>
    <w:rsid w:val="00836D41"/>
    <w:rsid w:val="0083706A"/>
    <w:rsid w:val="00837441"/>
    <w:rsid w:val="00837628"/>
    <w:rsid w:val="00837B03"/>
    <w:rsid w:val="00837CA0"/>
    <w:rsid w:val="00837F16"/>
    <w:rsid w:val="00837F2C"/>
    <w:rsid w:val="00837FE8"/>
    <w:rsid w:val="00840007"/>
    <w:rsid w:val="008400AF"/>
    <w:rsid w:val="00840AEC"/>
    <w:rsid w:val="00840CA2"/>
    <w:rsid w:val="00840DC7"/>
    <w:rsid w:val="00840EDD"/>
    <w:rsid w:val="00840F21"/>
    <w:rsid w:val="00840FC6"/>
    <w:rsid w:val="00841275"/>
    <w:rsid w:val="008413FB"/>
    <w:rsid w:val="00841964"/>
    <w:rsid w:val="00841B98"/>
    <w:rsid w:val="00841CBF"/>
    <w:rsid w:val="00842435"/>
    <w:rsid w:val="00842A47"/>
    <w:rsid w:val="00842C79"/>
    <w:rsid w:val="008430F7"/>
    <w:rsid w:val="00843370"/>
    <w:rsid w:val="008436BB"/>
    <w:rsid w:val="0084374F"/>
    <w:rsid w:val="00843946"/>
    <w:rsid w:val="00843C34"/>
    <w:rsid w:val="00843CE9"/>
    <w:rsid w:val="00843D52"/>
    <w:rsid w:val="00843E27"/>
    <w:rsid w:val="00843E78"/>
    <w:rsid w:val="0084441D"/>
    <w:rsid w:val="00844946"/>
    <w:rsid w:val="00844A22"/>
    <w:rsid w:val="00844B57"/>
    <w:rsid w:val="00844C87"/>
    <w:rsid w:val="00844D20"/>
    <w:rsid w:val="00845036"/>
    <w:rsid w:val="0084541D"/>
    <w:rsid w:val="008456E7"/>
    <w:rsid w:val="00845A24"/>
    <w:rsid w:val="00845A40"/>
    <w:rsid w:val="00845BAB"/>
    <w:rsid w:val="00846087"/>
    <w:rsid w:val="008461D7"/>
    <w:rsid w:val="00846323"/>
    <w:rsid w:val="00846538"/>
    <w:rsid w:val="00846D14"/>
    <w:rsid w:val="00846DBC"/>
    <w:rsid w:val="00847100"/>
    <w:rsid w:val="0084739B"/>
    <w:rsid w:val="00847461"/>
    <w:rsid w:val="008476AE"/>
    <w:rsid w:val="00847703"/>
    <w:rsid w:val="0084796A"/>
    <w:rsid w:val="00847A08"/>
    <w:rsid w:val="00847DF5"/>
    <w:rsid w:val="00847EDF"/>
    <w:rsid w:val="0085004F"/>
    <w:rsid w:val="008502B6"/>
    <w:rsid w:val="008503FE"/>
    <w:rsid w:val="008504ED"/>
    <w:rsid w:val="008505B0"/>
    <w:rsid w:val="0085062F"/>
    <w:rsid w:val="0085066B"/>
    <w:rsid w:val="008507C3"/>
    <w:rsid w:val="00850C25"/>
    <w:rsid w:val="00850CD3"/>
    <w:rsid w:val="00850D57"/>
    <w:rsid w:val="008510C4"/>
    <w:rsid w:val="0085117B"/>
    <w:rsid w:val="00851328"/>
    <w:rsid w:val="00851485"/>
    <w:rsid w:val="0085184F"/>
    <w:rsid w:val="00851A00"/>
    <w:rsid w:val="00851BAB"/>
    <w:rsid w:val="00851C9E"/>
    <w:rsid w:val="00851CE5"/>
    <w:rsid w:val="0085218A"/>
    <w:rsid w:val="008524E4"/>
    <w:rsid w:val="0085294A"/>
    <w:rsid w:val="00852A25"/>
    <w:rsid w:val="00852A9E"/>
    <w:rsid w:val="00852AED"/>
    <w:rsid w:val="00852AFA"/>
    <w:rsid w:val="00852BC3"/>
    <w:rsid w:val="00852C0C"/>
    <w:rsid w:val="00852E1B"/>
    <w:rsid w:val="00853096"/>
    <w:rsid w:val="0085309D"/>
    <w:rsid w:val="00853129"/>
    <w:rsid w:val="00853165"/>
    <w:rsid w:val="008533A1"/>
    <w:rsid w:val="008535E9"/>
    <w:rsid w:val="008537FC"/>
    <w:rsid w:val="008538F8"/>
    <w:rsid w:val="00853ADF"/>
    <w:rsid w:val="00853E0B"/>
    <w:rsid w:val="00853F7E"/>
    <w:rsid w:val="0085401E"/>
    <w:rsid w:val="00854187"/>
    <w:rsid w:val="00854188"/>
    <w:rsid w:val="008541E5"/>
    <w:rsid w:val="008546DB"/>
    <w:rsid w:val="00854FB7"/>
    <w:rsid w:val="00855144"/>
    <w:rsid w:val="00855409"/>
    <w:rsid w:val="00855665"/>
    <w:rsid w:val="0085590B"/>
    <w:rsid w:val="00855A23"/>
    <w:rsid w:val="00855C72"/>
    <w:rsid w:val="00855DBB"/>
    <w:rsid w:val="00856070"/>
    <w:rsid w:val="00856144"/>
    <w:rsid w:val="00856788"/>
    <w:rsid w:val="008567E8"/>
    <w:rsid w:val="00856897"/>
    <w:rsid w:val="008568ED"/>
    <w:rsid w:val="00856BC7"/>
    <w:rsid w:val="00856BD4"/>
    <w:rsid w:val="00856C2D"/>
    <w:rsid w:val="00856E9A"/>
    <w:rsid w:val="00857930"/>
    <w:rsid w:val="00857948"/>
    <w:rsid w:val="008579A6"/>
    <w:rsid w:val="00857A37"/>
    <w:rsid w:val="00857D04"/>
    <w:rsid w:val="00857E8D"/>
    <w:rsid w:val="00860234"/>
    <w:rsid w:val="00860383"/>
    <w:rsid w:val="0086073A"/>
    <w:rsid w:val="0086075D"/>
    <w:rsid w:val="00860BE9"/>
    <w:rsid w:val="00860C40"/>
    <w:rsid w:val="00860D6D"/>
    <w:rsid w:val="00860EBF"/>
    <w:rsid w:val="00861419"/>
    <w:rsid w:val="0086159E"/>
    <w:rsid w:val="0086197F"/>
    <w:rsid w:val="00861B54"/>
    <w:rsid w:val="00861C98"/>
    <w:rsid w:val="00861FD3"/>
    <w:rsid w:val="0086203F"/>
    <w:rsid w:val="008620CC"/>
    <w:rsid w:val="00862181"/>
    <w:rsid w:val="0086223F"/>
    <w:rsid w:val="00862502"/>
    <w:rsid w:val="0086254D"/>
    <w:rsid w:val="00862576"/>
    <w:rsid w:val="008628AC"/>
    <w:rsid w:val="00862952"/>
    <w:rsid w:val="00862AC3"/>
    <w:rsid w:val="00862AE8"/>
    <w:rsid w:val="00862C5D"/>
    <w:rsid w:val="00862C89"/>
    <w:rsid w:val="00862CC1"/>
    <w:rsid w:val="00862E60"/>
    <w:rsid w:val="00862FF3"/>
    <w:rsid w:val="0086303E"/>
    <w:rsid w:val="0086308C"/>
    <w:rsid w:val="0086325A"/>
    <w:rsid w:val="008634FC"/>
    <w:rsid w:val="008635A6"/>
    <w:rsid w:val="0086360C"/>
    <w:rsid w:val="008636F0"/>
    <w:rsid w:val="0086383D"/>
    <w:rsid w:val="00863C4B"/>
    <w:rsid w:val="00863D65"/>
    <w:rsid w:val="008642A7"/>
    <w:rsid w:val="00864520"/>
    <w:rsid w:val="0086464E"/>
    <w:rsid w:val="00864914"/>
    <w:rsid w:val="00864BDD"/>
    <w:rsid w:val="0086532C"/>
    <w:rsid w:val="00865332"/>
    <w:rsid w:val="00865337"/>
    <w:rsid w:val="00865958"/>
    <w:rsid w:val="00865F38"/>
    <w:rsid w:val="00865F7A"/>
    <w:rsid w:val="00866019"/>
    <w:rsid w:val="00866032"/>
    <w:rsid w:val="008660D4"/>
    <w:rsid w:val="008663BE"/>
    <w:rsid w:val="008663D9"/>
    <w:rsid w:val="0086649C"/>
    <w:rsid w:val="008664B5"/>
    <w:rsid w:val="008669E0"/>
    <w:rsid w:val="00866B2C"/>
    <w:rsid w:val="00866D4D"/>
    <w:rsid w:val="00866F06"/>
    <w:rsid w:val="00866F28"/>
    <w:rsid w:val="00867348"/>
    <w:rsid w:val="008674BA"/>
    <w:rsid w:val="008674E1"/>
    <w:rsid w:val="008675AB"/>
    <w:rsid w:val="008677CC"/>
    <w:rsid w:val="00867846"/>
    <w:rsid w:val="00867B04"/>
    <w:rsid w:val="00867CE0"/>
    <w:rsid w:val="00867DF1"/>
    <w:rsid w:val="00870205"/>
    <w:rsid w:val="00870488"/>
    <w:rsid w:val="0087059B"/>
    <w:rsid w:val="008707E9"/>
    <w:rsid w:val="00870978"/>
    <w:rsid w:val="008709FA"/>
    <w:rsid w:val="00870BAA"/>
    <w:rsid w:val="00871A60"/>
    <w:rsid w:val="00871E8D"/>
    <w:rsid w:val="00871F43"/>
    <w:rsid w:val="00871FA9"/>
    <w:rsid w:val="008728E9"/>
    <w:rsid w:val="00872901"/>
    <w:rsid w:val="00872B5B"/>
    <w:rsid w:val="00872FDD"/>
    <w:rsid w:val="008731A7"/>
    <w:rsid w:val="008732EB"/>
    <w:rsid w:val="008733D4"/>
    <w:rsid w:val="008734F9"/>
    <w:rsid w:val="0087379F"/>
    <w:rsid w:val="00873F0B"/>
    <w:rsid w:val="00873F6B"/>
    <w:rsid w:val="00874092"/>
    <w:rsid w:val="0087438E"/>
    <w:rsid w:val="008743A9"/>
    <w:rsid w:val="008749FB"/>
    <w:rsid w:val="00874F63"/>
    <w:rsid w:val="008750D7"/>
    <w:rsid w:val="0087512D"/>
    <w:rsid w:val="00875143"/>
    <w:rsid w:val="00875477"/>
    <w:rsid w:val="0087565E"/>
    <w:rsid w:val="00875822"/>
    <w:rsid w:val="00875A30"/>
    <w:rsid w:val="00875A68"/>
    <w:rsid w:val="00875E2A"/>
    <w:rsid w:val="00875EA3"/>
    <w:rsid w:val="00876513"/>
    <w:rsid w:val="0087676C"/>
    <w:rsid w:val="0087680D"/>
    <w:rsid w:val="00876815"/>
    <w:rsid w:val="00876C1A"/>
    <w:rsid w:val="00876CA5"/>
    <w:rsid w:val="00876E44"/>
    <w:rsid w:val="00876FA9"/>
    <w:rsid w:val="00877454"/>
    <w:rsid w:val="008774A6"/>
    <w:rsid w:val="00877724"/>
    <w:rsid w:val="00877AF2"/>
    <w:rsid w:val="00877B5D"/>
    <w:rsid w:val="00877D1F"/>
    <w:rsid w:val="00877D69"/>
    <w:rsid w:val="00880061"/>
    <w:rsid w:val="00880219"/>
    <w:rsid w:val="008805DB"/>
    <w:rsid w:val="00880754"/>
    <w:rsid w:val="0088082C"/>
    <w:rsid w:val="00880A9F"/>
    <w:rsid w:val="00880CE1"/>
    <w:rsid w:val="00881395"/>
    <w:rsid w:val="008814C0"/>
    <w:rsid w:val="00881551"/>
    <w:rsid w:val="00881A2C"/>
    <w:rsid w:val="00881A59"/>
    <w:rsid w:val="00881BDC"/>
    <w:rsid w:val="00881D57"/>
    <w:rsid w:val="00881D91"/>
    <w:rsid w:val="00881FF1"/>
    <w:rsid w:val="0088214E"/>
    <w:rsid w:val="00882821"/>
    <w:rsid w:val="00882874"/>
    <w:rsid w:val="00882B43"/>
    <w:rsid w:val="00882B97"/>
    <w:rsid w:val="00882D2F"/>
    <w:rsid w:val="00882D50"/>
    <w:rsid w:val="00882E3C"/>
    <w:rsid w:val="00882E74"/>
    <w:rsid w:val="00882ECA"/>
    <w:rsid w:val="0088308A"/>
    <w:rsid w:val="008830DE"/>
    <w:rsid w:val="00883111"/>
    <w:rsid w:val="00883604"/>
    <w:rsid w:val="00883671"/>
    <w:rsid w:val="00883787"/>
    <w:rsid w:val="00883A0F"/>
    <w:rsid w:val="00883B48"/>
    <w:rsid w:val="008841DE"/>
    <w:rsid w:val="008845E1"/>
    <w:rsid w:val="008846CB"/>
    <w:rsid w:val="00884805"/>
    <w:rsid w:val="0088481B"/>
    <w:rsid w:val="00884860"/>
    <w:rsid w:val="008848F1"/>
    <w:rsid w:val="00884A7C"/>
    <w:rsid w:val="00884AE5"/>
    <w:rsid w:val="00884CA3"/>
    <w:rsid w:val="00884F86"/>
    <w:rsid w:val="008852C9"/>
    <w:rsid w:val="00885367"/>
    <w:rsid w:val="008853B3"/>
    <w:rsid w:val="008854AA"/>
    <w:rsid w:val="008854F7"/>
    <w:rsid w:val="00885587"/>
    <w:rsid w:val="008855E4"/>
    <w:rsid w:val="00885A30"/>
    <w:rsid w:val="00885BE1"/>
    <w:rsid w:val="00886476"/>
    <w:rsid w:val="008866CE"/>
    <w:rsid w:val="008867A9"/>
    <w:rsid w:val="00886832"/>
    <w:rsid w:val="00886B19"/>
    <w:rsid w:val="00886C2B"/>
    <w:rsid w:val="00886CD2"/>
    <w:rsid w:val="00886F56"/>
    <w:rsid w:val="008871FD"/>
    <w:rsid w:val="008872D5"/>
    <w:rsid w:val="00887342"/>
    <w:rsid w:val="00887381"/>
    <w:rsid w:val="00887431"/>
    <w:rsid w:val="008874B3"/>
    <w:rsid w:val="00887616"/>
    <w:rsid w:val="00887853"/>
    <w:rsid w:val="00887857"/>
    <w:rsid w:val="00890093"/>
    <w:rsid w:val="0089014D"/>
    <w:rsid w:val="00890197"/>
    <w:rsid w:val="008902DE"/>
    <w:rsid w:val="00890660"/>
    <w:rsid w:val="008906F1"/>
    <w:rsid w:val="00890986"/>
    <w:rsid w:val="00890ACB"/>
    <w:rsid w:val="00890B5B"/>
    <w:rsid w:val="00890DB4"/>
    <w:rsid w:val="00890E76"/>
    <w:rsid w:val="0089144C"/>
    <w:rsid w:val="00891529"/>
    <w:rsid w:val="008916DD"/>
    <w:rsid w:val="00891782"/>
    <w:rsid w:val="00891846"/>
    <w:rsid w:val="00891B7E"/>
    <w:rsid w:val="00891CB8"/>
    <w:rsid w:val="00891DE1"/>
    <w:rsid w:val="00891E6F"/>
    <w:rsid w:val="00891FA8"/>
    <w:rsid w:val="00892216"/>
    <w:rsid w:val="00892271"/>
    <w:rsid w:val="0089246E"/>
    <w:rsid w:val="0089275D"/>
    <w:rsid w:val="00892803"/>
    <w:rsid w:val="0089282D"/>
    <w:rsid w:val="00892A36"/>
    <w:rsid w:val="00892C61"/>
    <w:rsid w:val="00892DB2"/>
    <w:rsid w:val="00892DED"/>
    <w:rsid w:val="00892DFB"/>
    <w:rsid w:val="00892F26"/>
    <w:rsid w:val="00893239"/>
    <w:rsid w:val="00893F50"/>
    <w:rsid w:val="00894075"/>
    <w:rsid w:val="00894107"/>
    <w:rsid w:val="00894207"/>
    <w:rsid w:val="0089420E"/>
    <w:rsid w:val="008943D4"/>
    <w:rsid w:val="00894489"/>
    <w:rsid w:val="00894506"/>
    <w:rsid w:val="00894702"/>
    <w:rsid w:val="00894CD6"/>
    <w:rsid w:val="00894E57"/>
    <w:rsid w:val="00895118"/>
    <w:rsid w:val="008958A2"/>
    <w:rsid w:val="00895C9B"/>
    <w:rsid w:val="00895F52"/>
    <w:rsid w:val="008960F4"/>
    <w:rsid w:val="008961E4"/>
    <w:rsid w:val="008961EC"/>
    <w:rsid w:val="00896294"/>
    <w:rsid w:val="008963A5"/>
    <w:rsid w:val="00896601"/>
    <w:rsid w:val="00896928"/>
    <w:rsid w:val="00896D5D"/>
    <w:rsid w:val="00896EC0"/>
    <w:rsid w:val="00896F00"/>
    <w:rsid w:val="00896F7D"/>
    <w:rsid w:val="0089705C"/>
    <w:rsid w:val="008970FA"/>
    <w:rsid w:val="008972B4"/>
    <w:rsid w:val="008974C0"/>
    <w:rsid w:val="00897AA7"/>
    <w:rsid w:val="00897B71"/>
    <w:rsid w:val="00897C03"/>
    <w:rsid w:val="00897E07"/>
    <w:rsid w:val="00897F29"/>
    <w:rsid w:val="008A047D"/>
    <w:rsid w:val="008A09C2"/>
    <w:rsid w:val="008A0F0D"/>
    <w:rsid w:val="008A1381"/>
    <w:rsid w:val="008A1645"/>
    <w:rsid w:val="008A1740"/>
    <w:rsid w:val="008A1848"/>
    <w:rsid w:val="008A1AD7"/>
    <w:rsid w:val="008A1BBE"/>
    <w:rsid w:val="008A235E"/>
    <w:rsid w:val="008A251E"/>
    <w:rsid w:val="008A2542"/>
    <w:rsid w:val="008A26CA"/>
    <w:rsid w:val="008A2B62"/>
    <w:rsid w:val="008A2F65"/>
    <w:rsid w:val="008A308A"/>
    <w:rsid w:val="008A3158"/>
    <w:rsid w:val="008A31BD"/>
    <w:rsid w:val="008A3273"/>
    <w:rsid w:val="008A32A4"/>
    <w:rsid w:val="008A3363"/>
    <w:rsid w:val="008A3371"/>
    <w:rsid w:val="008A35DC"/>
    <w:rsid w:val="008A36F0"/>
    <w:rsid w:val="008A3880"/>
    <w:rsid w:val="008A3C3E"/>
    <w:rsid w:val="008A43A9"/>
    <w:rsid w:val="008A4411"/>
    <w:rsid w:val="008A46AC"/>
    <w:rsid w:val="008A49F2"/>
    <w:rsid w:val="008A4B4F"/>
    <w:rsid w:val="008A4BB9"/>
    <w:rsid w:val="008A4C44"/>
    <w:rsid w:val="008A4C58"/>
    <w:rsid w:val="008A4CFA"/>
    <w:rsid w:val="008A5139"/>
    <w:rsid w:val="008A5565"/>
    <w:rsid w:val="008A56AC"/>
    <w:rsid w:val="008A56EC"/>
    <w:rsid w:val="008A5BA0"/>
    <w:rsid w:val="008A5CF6"/>
    <w:rsid w:val="008A5D63"/>
    <w:rsid w:val="008A5E44"/>
    <w:rsid w:val="008A5E94"/>
    <w:rsid w:val="008A5E9A"/>
    <w:rsid w:val="008A6001"/>
    <w:rsid w:val="008A60E6"/>
    <w:rsid w:val="008A6353"/>
    <w:rsid w:val="008A6E80"/>
    <w:rsid w:val="008A6F2C"/>
    <w:rsid w:val="008A7014"/>
    <w:rsid w:val="008A76B5"/>
    <w:rsid w:val="008A777C"/>
    <w:rsid w:val="008A79DE"/>
    <w:rsid w:val="008A7AF1"/>
    <w:rsid w:val="008A7C6B"/>
    <w:rsid w:val="008A7CBA"/>
    <w:rsid w:val="008A7DBE"/>
    <w:rsid w:val="008A7F24"/>
    <w:rsid w:val="008B0360"/>
    <w:rsid w:val="008B04A0"/>
    <w:rsid w:val="008B057D"/>
    <w:rsid w:val="008B0A6A"/>
    <w:rsid w:val="008B0F47"/>
    <w:rsid w:val="008B13FB"/>
    <w:rsid w:val="008B15A1"/>
    <w:rsid w:val="008B1606"/>
    <w:rsid w:val="008B164B"/>
    <w:rsid w:val="008B16DD"/>
    <w:rsid w:val="008B1757"/>
    <w:rsid w:val="008B1C33"/>
    <w:rsid w:val="008B1CA1"/>
    <w:rsid w:val="008B1DE6"/>
    <w:rsid w:val="008B1E80"/>
    <w:rsid w:val="008B206C"/>
    <w:rsid w:val="008B22AC"/>
    <w:rsid w:val="008B234A"/>
    <w:rsid w:val="008B2418"/>
    <w:rsid w:val="008B241C"/>
    <w:rsid w:val="008B2493"/>
    <w:rsid w:val="008B2498"/>
    <w:rsid w:val="008B24AE"/>
    <w:rsid w:val="008B24D9"/>
    <w:rsid w:val="008B2559"/>
    <w:rsid w:val="008B265F"/>
    <w:rsid w:val="008B2CD2"/>
    <w:rsid w:val="008B312C"/>
    <w:rsid w:val="008B31F0"/>
    <w:rsid w:val="008B3449"/>
    <w:rsid w:val="008B3804"/>
    <w:rsid w:val="008B38B1"/>
    <w:rsid w:val="008B39DD"/>
    <w:rsid w:val="008B3CCD"/>
    <w:rsid w:val="008B4069"/>
    <w:rsid w:val="008B4111"/>
    <w:rsid w:val="008B441C"/>
    <w:rsid w:val="008B446B"/>
    <w:rsid w:val="008B4681"/>
    <w:rsid w:val="008B46F6"/>
    <w:rsid w:val="008B47B8"/>
    <w:rsid w:val="008B4915"/>
    <w:rsid w:val="008B4AEA"/>
    <w:rsid w:val="008B4B6F"/>
    <w:rsid w:val="008B4BFA"/>
    <w:rsid w:val="008B4D33"/>
    <w:rsid w:val="008B4E86"/>
    <w:rsid w:val="008B4EB6"/>
    <w:rsid w:val="008B4F3A"/>
    <w:rsid w:val="008B5173"/>
    <w:rsid w:val="008B5563"/>
    <w:rsid w:val="008B5582"/>
    <w:rsid w:val="008B5B9E"/>
    <w:rsid w:val="008B5BB7"/>
    <w:rsid w:val="008B5C94"/>
    <w:rsid w:val="008B5E27"/>
    <w:rsid w:val="008B5F8B"/>
    <w:rsid w:val="008B6164"/>
    <w:rsid w:val="008B6187"/>
    <w:rsid w:val="008B6396"/>
    <w:rsid w:val="008B63E6"/>
    <w:rsid w:val="008B6400"/>
    <w:rsid w:val="008B6560"/>
    <w:rsid w:val="008B6C86"/>
    <w:rsid w:val="008B6F0C"/>
    <w:rsid w:val="008B710C"/>
    <w:rsid w:val="008B72B5"/>
    <w:rsid w:val="008B74A1"/>
    <w:rsid w:val="008B761F"/>
    <w:rsid w:val="008B7857"/>
    <w:rsid w:val="008B7992"/>
    <w:rsid w:val="008B7D7E"/>
    <w:rsid w:val="008B7DD5"/>
    <w:rsid w:val="008B7F61"/>
    <w:rsid w:val="008B7FC3"/>
    <w:rsid w:val="008C01D9"/>
    <w:rsid w:val="008C0287"/>
    <w:rsid w:val="008C03D1"/>
    <w:rsid w:val="008C059E"/>
    <w:rsid w:val="008C0686"/>
    <w:rsid w:val="008C070C"/>
    <w:rsid w:val="008C0878"/>
    <w:rsid w:val="008C0BEA"/>
    <w:rsid w:val="008C0D87"/>
    <w:rsid w:val="008C0FB9"/>
    <w:rsid w:val="008C1060"/>
    <w:rsid w:val="008C1163"/>
    <w:rsid w:val="008C11A0"/>
    <w:rsid w:val="008C1304"/>
    <w:rsid w:val="008C1890"/>
    <w:rsid w:val="008C1A1C"/>
    <w:rsid w:val="008C1B66"/>
    <w:rsid w:val="008C1CE0"/>
    <w:rsid w:val="008C1E5C"/>
    <w:rsid w:val="008C1F61"/>
    <w:rsid w:val="008C2210"/>
    <w:rsid w:val="008C2548"/>
    <w:rsid w:val="008C2C58"/>
    <w:rsid w:val="008C2C9B"/>
    <w:rsid w:val="008C2D7E"/>
    <w:rsid w:val="008C2E3A"/>
    <w:rsid w:val="008C2F1D"/>
    <w:rsid w:val="008C2F4C"/>
    <w:rsid w:val="008C3461"/>
    <w:rsid w:val="008C35D0"/>
    <w:rsid w:val="008C39C9"/>
    <w:rsid w:val="008C3D97"/>
    <w:rsid w:val="008C47B8"/>
    <w:rsid w:val="008C4867"/>
    <w:rsid w:val="008C4B68"/>
    <w:rsid w:val="008C4C33"/>
    <w:rsid w:val="008C4FB1"/>
    <w:rsid w:val="008C50B5"/>
    <w:rsid w:val="008C50E9"/>
    <w:rsid w:val="008C5515"/>
    <w:rsid w:val="008C5610"/>
    <w:rsid w:val="008C5739"/>
    <w:rsid w:val="008C5BAA"/>
    <w:rsid w:val="008C5CE4"/>
    <w:rsid w:val="008C5EB3"/>
    <w:rsid w:val="008C5FD7"/>
    <w:rsid w:val="008C6212"/>
    <w:rsid w:val="008C648C"/>
    <w:rsid w:val="008C6A32"/>
    <w:rsid w:val="008C6BC9"/>
    <w:rsid w:val="008C7282"/>
    <w:rsid w:val="008C72A3"/>
    <w:rsid w:val="008C7354"/>
    <w:rsid w:val="008C7436"/>
    <w:rsid w:val="008C75FD"/>
    <w:rsid w:val="008C77C4"/>
    <w:rsid w:val="008C7964"/>
    <w:rsid w:val="008C79E1"/>
    <w:rsid w:val="008C7B92"/>
    <w:rsid w:val="008C7E44"/>
    <w:rsid w:val="008C7E63"/>
    <w:rsid w:val="008C7ECB"/>
    <w:rsid w:val="008D00B6"/>
    <w:rsid w:val="008D016C"/>
    <w:rsid w:val="008D0173"/>
    <w:rsid w:val="008D01DB"/>
    <w:rsid w:val="008D08B2"/>
    <w:rsid w:val="008D0943"/>
    <w:rsid w:val="008D0995"/>
    <w:rsid w:val="008D0A4E"/>
    <w:rsid w:val="008D0E06"/>
    <w:rsid w:val="008D0E8C"/>
    <w:rsid w:val="008D1258"/>
    <w:rsid w:val="008D1446"/>
    <w:rsid w:val="008D1735"/>
    <w:rsid w:val="008D192E"/>
    <w:rsid w:val="008D1F83"/>
    <w:rsid w:val="008D20EF"/>
    <w:rsid w:val="008D212C"/>
    <w:rsid w:val="008D253B"/>
    <w:rsid w:val="008D261D"/>
    <w:rsid w:val="008D2825"/>
    <w:rsid w:val="008D2D24"/>
    <w:rsid w:val="008D3419"/>
    <w:rsid w:val="008D3635"/>
    <w:rsid w:val="008D375D"/>
    <w:rsid w:val="008D3A15"/>
    <w:rsid w:val="008D3A20"/>
    <w:rsid w:val="008D3B86"/>
    <w:rsid w:val="008D3CFC"/>
    <w:rsid w:val="008D407A"/>
    <w:rsid w:val="008D43FD"/>
    <w:rsid w:val="008D4429"/>
    <w:rsid w:val="008D44C1"/>
    <w:rsid w:val="008D4755"/>
    <w:rsid w:val="008D48C1"/>
    <w:rsid w:val="008D4C3C"/>
    <w:rsid w:val="008D4C3D"/>
    <w:rsid w:val="008D4D06"/>
    <w:rsid w:val="008D4DC8"/>
    <w:rsid w:val="008D4FC5"/>
    <w:rsid w:val="008D51CB"/>
    <w:rsid w:val="008D5A35"/>
    <w:rsid w:val="008D5CD2"/>
    <w:rsid w:val="008D6258"/>
    <w:rsid w:val="008D636B"/>
    <w:rsid w:val="008D660D"/>
    <w:rsid w:val="008D660F"/>
    <w:rsid w:val="008D695F"/>
    <w:rsid w:val="008D72C5"/>
    <w:rsid w:val="008D72D5"/>
    <w:rsid w:val="008D743C"/>
    <w:rsid w:val="008D7606"/>
    <w:rsid w:val="008D7AC8"/>
    <w:rsid w:val="008D7E20"/>
    <w:rsid w:val="008D7FE3"/>
    <w:rsid w:val="008E0431"/>
    <w:rsid w:val="008E0705"/>
    <w:rsid w:val="008E0790"/>
    <w:rsid w:val="008E0CE7"/>
    <w:rsid w:val="008E0D3C"/>
    <w:rsid w:val="008E0D3E"/>
    <w:rsid w:val="008E0F3A"/>
    <w:rsid w:val="008E10A2"/>
    <w:rsid w:val="008E10D3"/>
    <w:rsid w:val="008E11D6"/>
    <w:rsid w:val="008E132D"/>
    <w:rsid w:val="008E1352"/>
    <w:rsid w:val="008E1524"/>
    <w:rsid w:val="008E15B0"/>
    <w:rsid w:val="008E17DE"/>
    <w:rsid w:val="008E1A2D"/>
    <w:rsid w:val="008E1B9E"/>
    <w:rsid w:val="008E1DA6"/>
    <w:rsid w:val="008E1DFA"/>
    <w:rsid w:val="008E1EC8"/>
    <w:rsid w:val="008E2473"/>
    <w:rsid w:val="008E27F4"/>
    <w:rsid w:val="008E2940"/>
    <w:rsid w:val="008E2A40"/>
    <w:rsid w:val="008E2B25"/>
    <w:rsid w:val="008E2E24"/>
    <w:rsid w:val="008E2F22"/>
    <w:rsid w:val="008E319B"/>
    <w:rsid w:val="008E3627"/>
    <w:rsid w:val="008E3959"/>
    <w:rsid w:val="008E3C5B"/>
    <w:rsid w:val="008E3D29"/>
    <w:rsid w:val="008E3DDD"/>
    <w:rsid w:val="008E3F9C"/>
    <w:rsid w:val="008E43FB"/>
    <w:rsid w:val="008E456C"/>
    <w:rsid w:val="008E4DC6"/>
    <w:rsid w:val="008E4EBB"/>
    <w:rsid w:val="008E4F8C"/>
    <w:rsid w:val="008E5152"/>
    <w:rsid w:val="008E5532"/>
    <w:rsid w:val="008E55AB"/>
    <w:rsid w:val="008E564A"/>
    <w:rsid w:val="008E5766"/>
    <w:rsid w:val="008E5A7F"/>
    <w:rsid w:val="008E5FE9"/>
    <w:rsid w:val="008E6166"/>
    <w:rsid w:val="008E644F"/>
    <w:rsid w:val="008E6745"/>
    <w:rsid w:val="008E6B23"/>
    <w:rsid w:val="008E6CCA"/>
    <w:rsid w:val="008E6CFE"/>
    <w:rsid w:val="008E6D1F"/>
    <w:rsid w:val="008E7046"/>
    <w:rsid w:val="008E75F1"/>
    <w:rsid w:val="008E79E0"/>
    <w:rsid w:val="008F02C2"/>
    <w:rsid w:val="008F0319"/>
    <w:rsid w:val="008F03F0"/>
    <w:rsid w:val="008F055A"/>
    <w:rsid w:val="008F075C"/>
    <w:rsid w:val="008F0A47"/>
    <w:rsid w:val="008F0FE2"/>
    <w:rsid w:val="008F120A"/>
    <w:rsid w:val="008F1865"/>
    <w:rsid w:val="008F19C5"/>
    <w:rsid w:val="008F1A95"/>
    <w:rsid w:val="008F1C30"/>
    <w:rsid w:val="008F2122"/>
    <w:rsid w:val="008F217D"/>
    <w:rsid w:val="008F2288"/>
    <w:rsid w:val="008F2647"/>
    <w:rsid w:val="008F27E0"/>
    <w:rsid w:val="008F28FD"/>
    <w:rsid w:val="008F2C7E"/>
    <w:rsid w:val="008F2D27"/>
    <w:rsid w:val="008F31BA"/>
    <w:rsid w:val="008F31FB"/>
    <w:rsid w:val="008F32FB"/>
    <w:rsid w:val="008F34B0"/>
    <w:rsid w:val="008F35F4"/>
    <w:rsid w:val="008F366B"/>
    <w:rsid w:val="008F3871"/>
    <w:rsid w:val="008F3E1A"/>
    <w:rsid w:val="008F3E88"/>
    <w:rsid w:val="008F42DB"/>
    <w:rsid w:val="008F4300"/>
    <w:rsid w:val="008F454B"/>
    <w:rsid w:val="008F4613"/>
    <w:rsid w:val="008F4735"/>
    <w:rsid w:val="008F48EB"/>
    <w:rsid w:val="008F4F0B"/>
    <w:rsid w:val="008F5280"/>
    <w:rsid w:val="008F553E"/>
    <w:rsid w:val="008F5659"/>
    <w:rsid w:val="008F5D83"/>
    <w:rsid w:val="008F5F13"/>
    <w:rsid w:val="008F5FFB"/>
    <w:rsid w:val="008F625E"/>
    <w:rsid w:val="008F636E"/>
    <w:rsid w:val="008F644A"/>
    <w:rsid w:val="008F6500"/>
    <w:rsid w:val="008F6548"/>
    <w:rsid w:val="008F66E1"/>
    <w:rsid w:val="008F66F6"/>
    <w:rsid w:val="008F69FB"/>
    <w:rsid w:val="008F6ABB"/>
    <w:rsid w:val="008F6B46"/>
    <w:rsid w:val="008F6BFC"/>
    <w:rsid w:val="008F6EEA"/>
    <w:rsid w:val="008F6EED"/>
    <w:rsid w:val="008F70CF"/>
    <w:rsid w:val="008F71EF"/>
    <w:rsid w:val="008F7241"/>
    <w:rsid w:val="008F73E7"/>
    <w:rsid w:val="008F7930"/>
    <w:rsid w:val="008F7951"/>
    <w:rsid w:val="008F7F72"/>
    <w:rsid w:val="0090020C"/>
    <w:rsid w:val="00900874"/>
    <w:rsid w:val="009008DF"/>
    <w:rsid w:val="00900A31"/>
    <w:rsid w:val="00900CD0"/>
    <w:rsid w:val="00900DCA"/>
    <w:rsid w:val="009013E0"/>
    <w:rsid w:val="0090140A"/>
    <w:rsid w:val="00901500"/>
    <w:rsid w:val="00901529"/>
    <w:rsid w:val="00901595"/>
    <w:rsid w:val="00901A12"/>
    <w:rsid w:val="00901BDF"/>
    <w:rsid w:val="00901CB7"/>
    <w:rsid w:val="00901CD6"/>
    <w:rsid w:val="00901E07"/>
    <w:rsid w:val="00901E41"/>
    <w:rsid w:val="00902021"/>
    <w:rsid w:val="0090263E"/>
    <w:rsid w:val="0090267C"/>
    <w:rsid w:val="00902AAF"/>
    <w:rsid w:val="00902B11"/>
    <w:rsid w:val="00903019"/>
    <w:rsid w:val="0090355B"/>
    <w:rsid w:val="00903746"/>
    <w:rsid w:val="00903ABB"/>
    <w:rsid w:val="00903D6A"/>
    <w:rsid w:val="009040A4"/>
    <w:rsid w:val="009041DB"/>
    <w:rsid w:val="009041EE"/>
    <w:rsid w:val="009042FD"/>
    <w:rsid w:val="009045DA"/>
    <w:rsid w:val="00904677"/>
    <w:rsid w:val="009046C4"/>
    <w:rsid w:val="009047B1"/>
    <w:rsid w:val="00904CEA"/>
    <w:rsid w:val="00904D1E"/>
    <w:rsid w:val="00904FBC"/>
    <w:rsid w:val="00905193"/>
    <w:rsid w:val="0090519D"/>
    <w:rsid w:val="009051C3"/>
    <w:rsid w:val="0090537B"/>
    <w:rsid w:val="0090591D"/>
    <w:rsid w:val="00906070"/>
    <w:rsid w:val="0090629D"/>
    <w:rsid w:val="009062A5"/>
    <w:rsid w:val="00906AC3"/>
    <w:rsid w:val="00906B17"/>
    <w:rsid w:val="00906C91"/>
    <w:rsid w:val="00906E10"/>
    <w:rsid w:val="00907106"/>
    <w:rsid w:val="00907285"/>
    <w:rsid w:val="009072B7"/>
    <w:rsid w:val="00907487"/>
    <w:rsid w:val="00907699"/>
    <w:rsid w:val="00907847"/>
    <w:rsid w:val="00907ACB"/>
    <w:rsid w:val="00907DD9"/>
    <w:rsid w:val="00907E82"/>
    <w:rsid w:val="0091012C"/>
    <w:rsid w:val="009105CB"/>
    <w:rsid w:val="00910864"/>
    <w:rsid w:val="00910BD3"/>
    <w:rsid w:val="00910C56"/>
    <w:rsid w:val="00910FA7"/>
    <w:rsid w:val="009110D8"/>
    <w:rsid w:val="009111CE"/>
    <w:rsid w:val="00911272"/>
    <w:rsid w:val="00911339"/>
    <w:rsid w:val="00911363"/>
    <w:rsid w:val="009116AD"/>
    <w:rsid w:val="009116B1"/>
    <w:rsid w:val="009116B6"/>
    <w:rsid w:val="00911B08"/>
    <w:rsid w:val="00911C4A"/>
    <w:rsid w:val="00911CCD"/>
    <w:rsid w:val="00911D6E"/>
    <w:rsid w:val="009121C3"/>
    <w:rsid w:val="009121CC"/>
    <w:rsid w:val="00912DB7"/>
    <w:rsid w:val="00912ECF"/>
    <w:rsid w:val="0091302E"/>
    <w:rsid w:val="009130A5"/>
    <w:rsid w:val="009130C4"/>
    <w:rsid w:val="00913524"/>
    <w:rsid w:val="00913536"/>
    <w:rsid w:val="0091359B"/>
    <w:rsid w:val="009135D6"/>
    <w:rsid w:val="009136A0"/>
    <w:rsid w:val="009139C9"/>
    <w:rsid w:val="00913A2D"/>
    <w:rsid w:val="00913BEA"/>
    <w:rsid w:val="00913D37"/>
    <w:rsid w:val="00913D5C"/>
    <w:rsid w:val="00913DD0"/>
    <w:rsid w:val="00913FB6"/>
    <w:rsid w:val="0091413F"/>
    <w:rsid w:val="009143D3"/>
    <w:rsid w:val="0091440C"/>
    <w:rsid w:val="009145C8"/>
    <w:rsid w:val="0091462A"/>
    <w:rsid w:val="00914635"/>
    <w:rsid w:val="009146B3"/>
    <w:rsid w:val="0091481F"/>
    <w:rsid w:val="00914A02"/>
    <w:rsid w:val="00914C77"/>
    <w:rsid w:val="00914CF9"/>
    <w:rsid w:val="00914DEC"/>
    <w:rsid w:val="00914FCA"/>
    <w:rsid w:val="0091503D"/>
    <w:rsid w:val="009150B5"/>
    <w:rsid w:val="00915583"/>
    <w:rsid w:val="009156CF"/>
    <w:rsid w:val="00915838"/>
    <w:rsid w:val="0091590C"/>
    <w:rsid w:val="00915997"/>
    <w:rsid w:val="00915E74"/>
    <w:rsid w:val="0091610C"/>
    <w:rsid w:val="00916249"/>
    <w:rsid w:val="0091676E"/>
    <w:rsid w:val="0091695F"/>
    <w:rsid w:val="009169D9"/>
    <w:rsid w:val="00916E75"/>
    <w:rsid w:val="00916EBD"/>
    <w:rsid w:val="0091704C"/>
    <w:rsid w:val="009171BF"/>
    <w:rsid w:val="0091780A"/>
    <w:rsid w:val="00917879"/>
    <w:rsid w:val="00917996"/>
    <w:rsid w:val="00917B55"/>
    <w:rsid w:val="00917BE4"/>
    <w:rsid w:val="00917EF7"/>
    <w:rsid w:val="00917F5A"/>
    <w:rsid w:val="00917FFB"/>
    <w:rsid w:val="00920022"/>
    <w:rsid w:val="0092033A"/>
    <w:rsid w:val="0092052D"/>
    <w:rsid w:val="009206DC"/>
    <w:rsid w:val="009207EE"/>
    <w:rsid w:val="00920970"/>
    <w:rsid w:val="00920A03"/>
    <w:rsid w:val="00920AB3"/>
    <w:rsid w:val="00920D4F"/>
    <w:rsid w:val="00920DDF"/>
    <w:rsid w:val="00920E89"/>
    <w:rsid w:val="00921178"/>
    <w:rsid w:val="009211C5"/>
    <w:rsid w:val="009213E8"/>
    <w:rsid w:val="0092169E"/>
    <w:rsid w:val="00921780"/>
    <w:rsid w:val="00921ACB"/>
    <w:rsid w:val="0092206F"/>
    <w:rsid w:val="00922138"/>
    <w:rsid w:val="009226AA"/>
    <w:rsid w:val="009227A5"/>
    <w:rsid w:val="00922985"/>
    <w:rsid w:val="0092299F"/>
    <w:rsid w:val="00922F72"/>
    <w:rsid w:val="0092300C"/>
    <w:rsid w:val="00923159"/>
    <w:rsid w:val="009232BE"/>
    <w:rsid w:val="00923320"/>
    <w:rsid w:val="00923358"/>
    <w:rsid w:val="00923410"/>
    <w:rsid w:val="0092369B"/>
    <w:rsid w:val="00923823"/>
    <w:rsid w:val="00923951"/>
    <w:rsid w:val="009239F9"/>
    <w:rsid w:val="00923DC2"/>
    <w:rsid w:val="0092440F"/>
    <w:rsid w:val="009247CF"/>
    <w:rsid w:val="00924EC3"/>
    <w:rsid w:val="0092503B"/>
    <w:rsid w:val="0092507E"/>
    <w:rsid w:val="009253D1"/>
    <w:rsid w:val="0092544D"/>
    <w:rsid w:val="0092561D"/>
    <w:rsid w:val="0092569C"/>
    <w:rsid w:val="00925F02"/>
    <w:rsid w:val="00925F73"/>
    <w:rsid w:val="00926001"/>
    <w:rsid w:val="00926238"/>
    <w:rsid w:val="009262F7"/>
    <w:rsid w:val="0092630B"/>
    <w:rsid w:val="00926310"/>
    <w:rsid w:val="0092638B"/>
    <w:rsid w:val="0092645D"/>
    <w:rsid w:val="00926479"/>
    <w:rsid w:val="0092697D"/>
    <w:rsid w:val="00926AB7"/>
    <w:rsid w:val="00926B05"/>
    <w:rsid w:val="00926D44"/>
    <w:rsid w:val="009270D2"/>
    <w:rsid w:val="009273F7"/>
    <w:rsid w:val="00927418"/>
    <w:rsid w:val="00927803"/>
    <w:rsid w:val="00927950"/>
    <w:rsid w:val="009279CF"/>
    <w:rsid w:val="00927FDE"/>
    <w:rsid w:val="00930130"/>
    <w:rsid w:val="009301BB"/>
    <w:rsid w:val="009303AA"/>
    <w:rsid w:val="00930473"/>
    <w:rsid w:val="009306E7"/>
    <w:rsid w:val="00930724"/>
    <w:rsid w:val="009309EC"/>
    <w:rsid w:val="00930F29"/>
    <w:rsid w:val="00930F5E"/>
    <w:rsid w:val="0093105F"/>
    <w:rsid w:val="00931208"/>
    <w:rsid w:val="0093155F"/>
    <w:rsid w:val="009315B1"/>
    <w:rsid w:val="00931830"/>
    <w:rsid w:val="00931C3C"/>
    <w:rsid w:val="00931C6A"/>
    <w:rsid w:val="00931E8C"/>
    <w:rsid w:val="00931EFC"/>
    <w:rsid w:val="009321EE"/>
    <w:rsid w:val="0093272A"/>
    <w:rsid w:val="00932A04"/>
    <w:rsid w:val="009333FD"/>
    <w:rsid w:val="00933452"/>
    <w:rsid w:val="0093361B"/>
    <w:rsid w:val="00933868"/>
    <w:rsid w:val="00933A63"/>
    <w:rsid w:val="00933B60"/>
    <w:rsid w:val="00933B7E"/>
    <w:rsid w:val="00933C74"/>
    <w:rsid w:val="00933D1C"/>
    <w:rsid w:val="00933D3E"/>
    <w:rsid w:val="00933E3C"/>
    <w:rsid w:val="00933E5A"/>
    <w:rsid w:val="00933EAD"/>
    <w:rsid w:val="00934671"/>
    <w:rsid w:val="009346D3"/>
    <w:rsid w:val="00934988"/>
    <w:rsid w:val="00934AAF"/>
    <w:rsid w:val="00934CFC"/>
    <w:rsid w:val="00934DD8"/>
    <w:rsid w:val="00934F0B"/>
    <w:rsid w:val="00934F80"/>
    <w:rsid w:val="00934FB6"/>
    <w:rsid w:val="009352FB"/>
    <w:rsid w:val="00935309"/>
    <w:rsid w:val="009354FF"/>
    <w:rsid w:val="009357A6"/>
    <w:rsid w:val="0093597E"/>
    <w:rsid w:val="00935F37"/>
    <w:rsid w:val="00936115"/>
    <w:rsid w:val="0093664E"/>
    <w:rsid w:val="00936932"/>
    <w:rsid w:val="00936B25"/>
    <w:rsid w:val="00936BDA"/>
    <w:rsid w:val="00936D99"/>
    <w:rsid w:val="00936E36"/>
    <w:rsid w:val="00937089"/>
    <w:rsid w:val="009370A2"/>
    <w:rsid w:val="0093716D"/>
    <w:rsid w:val="00937197"/>
    <w:rsid w:val="00937239"/>
    <w:rsid w:val="00937C12"/>
    <w:rsid w:val="00937C9E"/>
    <w:rsid w:val="00937DE5"/>
    <w:rsid w:val="00937E74"/>
    <w:rsid w:val="00937EA3"/>
    <w:rsid w:val="009400F8"/>
    <w:rsid w:val="0094014B"/>
    <w:rsid w:val="0094041D"/>
    <w:rsid w:val="00940461"/>
    <w:rsid w:val="0094054E"/>
    <w:rsid w:val="009405B6"/>
    <w:rsid w:val="00940652"/>
    <w:rsid w:val="009407EF"/>
    <w:rsid w:val="009410E4"/>
    <w:rsid w:val="0094127E"/>
    <w:rsid w:val="009415B1"/>
    <w:rsid w:val="009419E8"/>
    <w:rsid w:val="00941FAD"/>
    <w:rsid w:val="00942412"/>
    <w:rsid w:val="00942556"/>
    <w:rsid w:val="00942632"/>
    <w:rsid w:val="00942A01"/>
    <w:rsid w:val="00942AB3"/>
    <w:rsid w:val="00942C7E"/>
    <w:rsid w:val="00942CF9"/>
    <w:rsid w:val="009430E3"/>
    <w:rsid w:val="009433AE"/>
    <w:rsid w:val="0094350C"/>
    <w:rsid w:val="00943849"/>
    <w:rsid w:val="00943A11"/>
    <w:rsid w:val="00943D33"/>
    <w:rsid w:val="00943FB9"/>
    <w:rsid w:val="00944177"/>
    <w:rsid w:val="00944270"/>
    <w:rsid w:val="0094434A"/>
    <w:rsid w:val="00944835"/>
    <w:rsid w:val="00944B2F"/>
    <w:rsid w:val="00944D14"/>
    <w:rsid w:val="00944E45"/>
    <w:rsid w:val="00944F89"/>
    <w:rsid w:val="00944F8A"/>
    <w:rsid w:val="00944FD9"/>
    <w:rsid w:val="00945034"/>
    <w:rsid w:val="0094513C"/>
    <w:rsid w:val="00945934"/>
    <w:rsid w:val="00945A07"/>
    <w:rsid w:val="00945C12"/>
    <w:rsid w:val="00945C42"/>
    <w:rsid w:val="009466EC"/>
    <w:rsid w:val="00946926"/>
    <w:rsid w:val="009469A7"/>
    <w:rsid w:val="009469D2"/>
    <w:rsid w:val="00946F29"/>
    <w:rsid w:val="00947174"/>
    <w:rsid w:val="0094754F"/>
    <w:rsid w:val="00947BB6"/>
    <w:rsid w:val="00947DC2"/>
    <w:rsid w:val="00947EE7"/>
    <w:rsid w:val="00950D63"/>
    <w:rsid w:val="00950E22"/>
    <w:rsid w:val="00950F10"/>
    <w:rsid w:val="00950FA7"/>
    <w:rsid w:val="009510A2"/>
    <w:rsid w:val="009513FB"/>
    <w:rsid w:val="0095174B"/>
    <w:rsid w:val="00951CE2"/>
    <w:rsid w:val="00951F45"/>
    <w:rsid w:val="00952071"/>
    <w:rsid w:val="009525B2"/>
    <w:rsid w:val="00952B62"/>
    <w:rsid w:val="00952CDE"/>
    <w:rsid w:val="0095312E"/>
    <w:rsid w:val="0095324C"/>
    <w:rsid w:val="00953257"/>
    <w:rsid w:val="009537A0"/>
    <w:rsid w:val="009537EB"/>
    <w:rsid w:val="009539CE"/>
    <w:rsid w:val="00953B15"/>
    <w:rsid w:val="00953F42"/>
    <w:rsid w:val="00954237"/>
    <w:rsid w:val="009543DB"/>
    <w:rsid w:val="009545DD"/>
    <w:rsid w:val="0095474C"/>
    <w:rsid w:val="009547B4"/>
    <w:rsid w:val="009548A9"/>
    <w:rsid w:val="00954927"/>
    <w:rsid w:val="00954A99"/>
    <w:rsid w:val="00954B63"/>
    <w:rsid w:val="00954F7A"/>
    <w:rsid w:val="00955064"/>
    <w:rsid w:val="00955187"/>
    <w:rsid w:val="00955294"/>
    <w:rsid w:val="009553A4"/>
    <w:rsid w:val="00955594"/>
    <w:rsid w:val="0095578F"/>
    <w:rsid w:val="00955B04"/>
    <w:rsid w:val="00955B3D"/>
    <w:rsid w:val="00955B59"/>
    <w:rsid w:val="00956025"/>
    <w:rsid w:val="0095626E"/>
    <w:rsid w:val="0095629D"/>
    <w:rsid w:val="00956606"/>
    <w:rsid w:val="00956680"/>
    <w:rsid w:val="009567A7"/>
    <w:rsid w:val="009568C3"/>
    <w:rsid w:val="0095694D"/>
    <w:rsid w:val="00956A89"/>
    <w:rsid w:val="00956BDA"/>
    <w:rsid w:val="00956F39"/>
    <w:rsid w:val="00957097"/>
    <w:rsid w:val="0095720C"/>
    <w:rsid w:val="0095733D"/>
    <w:rsid w:val="009576EE"/>
    <w:rsid w:val="00957A03"/>
    <w:rsid w:val="00957CE5"/>
    <w:rsid w:val="00957D92"/>
    <w:rsid w:val="00957E29"/>
    <w:rsid w:val="00960121"/>
    <w:rsid w:val="009601B0"/>
    <w:rsid w:val="009601F3"/>
    <w:rsid w:val="009604E4"/>
    <w:rsid w:val="00960728"/>
    <w:rsid w:val="009607A6"/>
    <w:rsid w:val="00960875"/>
    <w:rsid w:val="00960ABE"/>
    <w:rsid w:val="00960BC0"/>
    <w:rsid w:val="00960BD6"/>
    <w:rsid w:val="00960CFF"/>
    <w:rsid w:val="00961013"/>
    <w:rsid w:val="009610B2"/>
    <w:rsid w:val="00961213"/>
    <w:rsid w:val="009612A1"/>
    <w:rsid w:val="00961361"/>
    <w:rsid w:val="009614AE"/>
    <w:rsid w:val="00961D73"/>
    <w:rsid w:val="00961D9F"/>
    <w:rsid w:val="00961DB6"/>
    <w:rsid w:val="009627D3"/>
    <w:rsid w:val="00962923"/>
    <w:rsid w:val="00962C01"/>
    <w:rsid w:val="00962C81"/>
    <w:rsid w:val="00962CB9"/>
    <w:rsid w:val="00962D2F"/>
    <w:rsid w:val="00962DA4"/>
    <w:rsid w:val="0096323C"/>
    <w:rsid w:val="0096331F"/>
    <w:rsid w:val="0096337A"/>
    <w:rsid w:val="00963654"/>
    <w:rsid w:val="009636E7"/>
    <w:rsid w:val="00963763"/>
    <w:rsid w:val="00963882"/>
    <w:rsid w:val="00964023"/>
    <w:rsid w:val="00964312"/>
    <w:rsid w:val="00964407"/>
    <w:rsid w:val="00964534"/>
    <w:rsid w:val="00964549"/>
    <w:rsid w:val="00964784"/>
    <w:rsid w:val="00964A97"/>
    <w:rsid w:val="00964B3E"/>
    <w:rsid w:val="00964BD3"/>
    <w:rsid w:val="00964E91"/>
    <w:rsid w:val="00964EC2"/>
    <w:rsid w:val="00964ECC"/>
    <w:rsid w:val="00964F29"/>
    <w:rsid w:val="00965310"/>
    <w:rsid w:val="00965452"/>
    <w:rsid w:val="009658BE"/>
    <w:rsid w:val="00965B8A"/>
    <w:rsid w:val="00965D11"/>
    <w:rsid w:val="00965F6F"/>
    <w:rsid w:val="0096623D"/>
    <w:rsid w:val="009665C0"/>
    <w:rsid w:val="009669D1"/>
    <w:rsid w:val="00966C93"/>
    <w:rsid w:val="00966D10"/>
    <w:rsid w:val="00966DC0"/>
    <w:rsid w:val="0096777E"/>
    <w:rsid w:val="0096780E"/>
    <w:rsid w:val="00967C9E"/>
    <w:rsid w:val="00967E51"/>
    <w:rsid w:val="009702C3"/>
    <w:rsid w:val="00970618"/>
    <w:rsid w:val="0097071F"/>
    <w:rsid w:val="00970777"/>
    <w:rsid w:val="00970CD2"/>
    <w:rsid w:val="00970E2A"/>
    <w:rsid w:val="00971028"/>
    <w:rsid w:val="00971380"/>
    <w:rsid w:val="009717AC"/>
    <w:rsid w:val="00971A0E"/>
    <w:rsid w:val="00971B57"/>
    <w:rsid w:val="00971B86"/>
    <w:rsid w:val="009720D3"/>
    <w:rsid w:val="00972302"/>
    <w:rsid w:val="00972715"/>
    <w:rsid w:val="00972D8A"/>
    <w:rsid w:val="009734A4"/>
    <w:rsid w:val="009734DC"/>
    <w:rsid w:val="00973541"/>
    <w:rsid w:val="00973675"/>
    <w:rsid w:val="00973676"/>
    <w:rsid w:val="00973C4A"/>
    <w:rsid w:val="00973E6B"/>
    <w:rsid w:val="00973F05"/>
    <w:rsid w:val="00974275"/>
    <w:rsid w:val="0097431F"/>
    <w:rsid w:val="009745DC"/>
    <w:rsid w:val="009745E0"/>
    <w:rsid w:val="0097461B"/>
    <w:rsid w:val="00974671"/>
    <w:rsid w:val="00974A08"/>
    <w:rsid w:val="00974A42"/>
    <w:rsid w:val="00974FE7"/>
    <w:rsid w:val="00975184"/>
    <w:rsid w:val="009751C1"/>
    <w:rsid w:val="009755C3"/>
    <w:rsid w:val="00975627"/>
    <w:rsid w:val="00975865"/>
    <w:rsid w:val="00975888"/>
    <w:rsid w:val="00975969"/>
    <w:rsid w:val="00975D8B"/>
    <w:rsid w:val="009762E5"/>
    <w:rsid w:val="009763DE"/>
    <w:rsid w:val="009764DF"/>
    <w:rsid w:val="00976AD8"/>
    <w:rsid w:val="00976DD0"/>
    <w:rsid w:val="00976F10"/>
    <w:rsid w:val="00976F95"/>
    <w:rsid w:val="0097703E"/>
    <w:rsid w:val="00977432"/>
    <w:rsid w:val="009779A5"/>
    <w:rsid w:val="009779EC"/>
    <w:rsid w:val="00977BC4"/>
    <w:rsid w:val="00977C77"/>
    <w:rsid w:val="00977EE0"/>
    <w:rsid w:val="00977FA5"/>
    <w:rsid w:val="009800DD"/>
    <w:rsid w:val="009808D2"/>
    <w:rsid w:val="009808DD"/>
    <w:rsid w:val="00980AC8"/>
    <w:rsid w:val="00980C03"/>
    <w:rsid w:val="0098103C"/>
    <w:rsid w:val="0098106F"/>
    <w:rsid w:val="009811F1"/>
    <w:rsid w:val="009814DD"/>
    <w:rsid w:val="0098191F"/>
    <w:rsid w:val="00981C15"/>
    <w:rsid w:val="00981EA0"/>
    <w:rsid w:val="00981ED7"/>
    <w:rsid w:val="00981FD7"/>
    <w:rsid w:val="0098256C"/>
    <w:rsid w:val="0098262F"/>
    <w:rsid w:val="0098296F"/>
    <w:rsid w:val="00982982"/>
    <w:rsid w:val="00982AF6"/>
    <w:rsid w:val="00982E9C"/>
    <w:rsid w:val="0098307C"/>
    <w:rsid w:val="009831DB"/>
    <w:rsid w:val="00983283"/>
    <w:rsid w:val="00983298"/>
    <w:rsid w:val="00983539"/>
    <w:rsid w:val="00983584"/>
    <w:rsid w:val="00983C0F"/>
    <w:rsid w:val="00983D11"/>
    <w:rsid w:val="00983E57"/>
    <w:rsid w:val="00983F02"/>
    <w:rsid w:val="0098405C"/>
    <w:rsid w:val="00984121"/>
    <w:rsid w:val="00984799"/>
    <w:rsid w:val="009848E7"/>
    <w:rsid w:val="00984D21"/>
    <w:rsid w:val="00984D5A"/>
    <w:rsid w:val="009851A0"/>
    <w:rsid w:val="009853C3"/>
    <w:rsid w:val="00985656"/>
    <w:rsid w:val="009856C1"/>
    <w:rsid w:val="00985701"/>
    <w:rsid w:val="00985D7B"/>
    <w:rsid w:val="00985DE2"/>
    <w:rsid w:val="00985F3D"/>
    <w:rsid w:val="00985F5A"/>
    <w:rsid w:val="00985FE9"/>
    <w:rsid w:val="009860A2"/>
    <w:rsid w:val="009860AD"/>
    <w:rsid w:val="009864AA"/>
    <w:rsid w:val="009865D0"/>
    <w:rsid w:val="0098675D"/>
    <w:rsid w:val="009869AA"/>
    <w:rsid w:val="00986CE7"/>
    <w:rsid w:val="00986D85"/>
    <w:rsid w:val="009874BF"/>
    <w:rsid w:val="00987558"/>
    <w:rsid w:val="009875F9"/>
    <w:rsid w:val="00987643"/>
    <w:rsid w:val="009876DA"/>
    <w:rsid w:val="009878B4"/>
    <w:rsid w:val="00987B07"/>
    <w:rsid w:val="00987BA4"/>
    <w:rsid w:val="00987DD3"/>
    <w:rsid w:val="00987EA3"/>
    <w:rsid w:val="00987F5A"/>
    <w:rsid w:val="009905D2"/>
    <w:rsid w:val="009906CE"/>
    <w:rsid w:val="00990BD0"/>
    <w:rsid w:val="00990C42"/>
    <w:rsid w:val="00991093"/>
    <w:rsid w:val="009910E4"/>
    <w:rsid w:val="00991553"/>
    <w:rsid w:val="00991648"/>
    <w:rsid w:val="009916C9"/>
    <w:rsid w:val="0099175A"/>
    <w:rsid w:val="00991833"/>
    <w:rsid w:val="00991B35"/>
    <w:rsid w:val="00991C1B"/>
    <w:rsid w:val="00992219"/>
    <w:rsid w:val="009922B7"/>
    <w:rsid w:val="00992339"/>
    <w:rsid w:val="009926C2"/>
    <w:rsid w:val="009926E0"/>
    <w:rsid w:val="009927AB"/>
    <w:rsid w:val="00992A13"/>
    <w:rsid w:val="00992A49"/>
    <w:rsid w:val="00992BAB"/>
    <w:rsid w:val="00992BBD"/>
    <w:rsid w:val="009930B4"/>
    <w:rsid w:val="00993158"/>
    <w:rsid w:val="009932B4"/>
    <w:rsid w:val="0099339E"/>
    <w:rsid w:val="0099351E"/>
    <w:rsid w:val="00993527"/>
    <w:rsid w:val="00993576"/>
    <w:rsid w:val="0099369F"/>
    <w:rsid w:val="009936B4"/>
    <w:rsid w:val="00993A01"/>
    <w:rsid w:val="00993E67"/>
    <w:rsid w:val="00993F8F"/>
    <w:rsid w:val="009941F0"/>
    <w:rsid w:val="0099431C"/>
    <w:rsid w:val="009943BF"/>
    <w:rsid w:val="0099451E"/>
    <w:rsid w:val="00994960"/>
    <w:rsid w:val="00994C73"/>
    <w:rsid w:val="00994CC0"/>
    <w:rsid w:val="00994E17"/>
    <w:rsid w:val="00995031"/>
    <w:rsid w:val="0099516B"/>
    <w:rsid w:val="00995547"/>
    <w:rsid w:val="00995605"/>
    <w:rsid w:val="0099594B"/>
    <w:rsid w:val="00995AED"/>
    <w:rsid w:val="00995F4C"/>
    <w:rsid w:val="00996146"/>
    <w:rsid w:val="0099648D"/>
    <w:rsid w:val="009964CF"/>
    <w:rsid w:val="0099679F"/>
    <w:rsid w:val="00996844"/>
    <w:rsid w:val="00996B1A"/>
    <w:rsid w:val="00996F3D"/>
    <w:rsid w:val="00997070"/>
    <w:rsid w:val="009972BC"/>
    <w:rsid w:val="009975E2"/>
    <w:rsid w:val="0099769D"/>
    <w:rsid w:val="00997740"/>
    <w:rsid w:val="00997A60"/>
    <w:rsid w:val="00997D17"/>
    <w:rsid w:val="00997D72"/>
    <w:rsid w:val="00997E11"/>
    <w:rsid w:val="009A00C0"/>
    <w:rsid w:val="009A00FA"/>
    <w:rsid w:val="009A0263"/>
    <w:rsid w:val="009A037F"/>
    <w:rsid w:val="009A06F5"/>
    <w:rsid w:val="009A0B07"/>
    <w:rsid w:val="009A0C88"/>
    <w:rsid w:val="009A0D94"/>
    <w:rsid w:val="009A0EBD"/>
    <w:rsid w:val="009A0ED9"/>
    <w:rsid w:val="009A10BD"/>
    <w:rsid w:val="009A1867"/>
    <w:rsid w:val="009A18D6"/>
    <w:rsid w:val="009A18F6"/>
    <w:rsid w:val="009A1972"/>
    <w:rsid w:val="009A1B31"/>
    <w:rsid w:val="009A2121"/>
    <w:rsid w:val="009A2124"/>
    <w:rsid w:val="009A2137"/>
    <w:rsid w:val="009A2280"/>
    <w:rsid w:val="009A2287"/>
    <w:rsid w:val="009A2A89"/>
    <w:rsid w:val="009A2BCD"/>
    <w:rsid w:val="009A2C41"/>
    <w:rsid w:val="009A2DCC"/>
    <w:rsid w:val="009A2F25"/>
    <w:rsid w:val="009A32C8"/>
    <w:rsid w:val="009A362F"/>
    <w:rsid w:val="009A394F"/>
    <w:rsid w:val="009A3A7E"/>
    <w:rsid w:val="009A3B0A"/>
    <w:rsid w:val="009A3B21"/>
    <w:rsid w:val="009A3BE5"/>
    <w:rsid w:val="009A3D36"/>
    <w:rsid w:val="009A3DD5"/>
    <w:rsid w:val="009A3E3E"/>
    <w:rsid w:val="009A3EF7"/>
    <w:rsid w:val="009A41E3"/>
    <w:rsid w:val="009A42C2"/>
    <w:rsid w:val="009A4B04"/>
    <w:rsid w:val="009A4C24"/>
    <w:rsid w:val="009A4CD3"/>
    <w:rsid w:val="009A4E4A"/>
    <w:rsid w:val="009A5316"/>
    <w:rsid w:val="009A55BD"/>
    <w:rsid w:val="009A5ABC"/>
    <w:rsid w:val="009A5C84"/>
    <w:rsid w:val="009A5DFC"/>
    <w:rsid w:val="009A5E1F"/>
    <w:rsid w:val="009A6000"/>
    <w:rsid w:val="009A6060"/>
    <w:rsid w:val="009A65BB"/>
    <w:rsid w:val="009A65CC"/>
    <w:rsid w:val="009A6716"/>
    <w:rsid w:val="009A68F6"/>
    <w:rsid w:val="009A695D"/>
    <w:rsid w:val="009A69BD"/>
    <w:rsid w:val="009A6D57"/>
    <w:rsid w:val="009A6EBE"/>
    <w:rsid w:val="009A6ED1"/>
    <w:rsid w:val="009A6F47"/>
    <w:rsid w:val="009A70CC"/>
    <w:rsid w:val="009A7283"/>
    <w:rsid w:val="009A768C"/>
    <w:rsid w:val="009A7A1B"/>
    <w:rsid w:val="009A7F10"/>
    <w:rsid w:val="009B05EE"/>
    <w:rsid w:val="009B06AD"/>
    <w:rsid w:val="009B0823"/>
    <w:rsid w:val="009B0A2C"/>
    <w:rsid w:val="009B0A7B"/>
    <w:rsid w:val="009B0C90"/>
    <w:rsid w:val="009B0C9C"/>
    <w:rsid w:val="009B0CC3"/>
    <w:rsid w:val="009B0E0A"/>
    <w:rsid w:val="009B1436"/>
    <w:rsid w:val="009B1471"/>
    <w:rsid w:val="009B15E0"/>
    <w:rsid w:val="009B1696"/>
    <w:rsid w:val="009B1AA9"/>
    <w:rsid w:val="009B25C3"/>
    <w:rsid w:val="009B262C"/>
    <w:rsid w:val="009B26A9"/>
    <w:rsid w:val="009B29DC"/>
    <w:rsid w:val="009B2B41"/>
    <w:rsid w:val="009B2E98"/>
    <w:rsid w:val="009B2EE6"/>
    <w:rsid w:val="009B2EF7"/>
    <w:rsid w:val="009B340F"/>
    <w:rsid w:val="009B345F"/>
    <w:rsid w:val="009B371F"/>
    <w:rsid w:val="009B37F9"/>
    <w:rsid w:val="009B3886"/>
    <w:rsid w:val="009B3A8E"/>
    <w:rsid w:val="009B3B03"/>
    <w:rsid w:val="009B3C2E"/>
    <w:rsid w:val="009B3C90"/>
    <w:rsid w:val="009B3E26"/>
    <w:rsid w:val="009B3E9B"/>
    <w:rsid w:val="009B3F0A"/>
    <w:rsid w:val="009B4222"/>
    <w:rsid w:val="009B4356"/>
    <w:rsid w:val="009B46C6"/>
    <w:rsid w:val="009B49C1"/>
    <w:rsid w:val="009B4A78"/>
    <w:rsid w:val="009B4C47"/>
    <w:rsid w:val="009B4C84"/>
    <w:rsid w:val="009B4DAA"/>
    <w:rsid w:val="009B53EE"/>
    <w:rsid w:val="009B545F"/>
    <w:rsid w:val="009B573D"/>
    <w:rsid w:val="009B5B60"/>
    <w:rsid w:val="009B5C33"/>
    <w:rsid w:val="009B6225"/>
    <w:rsid w:val="009B671E"/>
    <w:rsid w:val="009B683B"/>
    <w:rsid w:val="009B6984"/>
    <w:rsid w:val="009B6A59"/>
    <w:rsid w:val="009B6B6F"/>
    <w:rsid w:val="009B7107"/>
    <w:rsid w:val="009B722C"/>
    <w:rsid w:val="009B749E"/>
    <w:rsid w:val="009B7751"/>
    <w:rsid w:val="009B778D"/>
    <w:rsid w:val="009B77B1"/>
    <w:rsid w:val="009B797E"/>
    <w:rsid w:val="009B7B6A"/>
    <w:rsid w:val="009B7BB4"/>
    <w:rsid w:val="009B7ECC"/>
    <w:rsid w:val="009C04CF"/>
    <w:rsid w:val="009C065B"/>
    <w:rsid w:val="009C08A4"/>
    <w:rsid w:val="009C0BA5"/>
    <w:rsid w:val="009C0DAC"/>
    <w:rsid w:val="009C0F8A"/>
    <w:rsid w:val="009C1258"/>
    <w:rsid w:val="009C1271"/>
    <w:rsid w:val="009C12FB"/>
    <w:rsid w:val="009C1407"/>
    <w:rsid w:val="009C1513"/>
    <w:rsid w:val="009C1BF5"/>
    <w:rsid w:val="009C1DB7"/>
    <w:rsid w:val="009C211E"/>
    <w:rsid w:val="009C25EA"/>
    <w:rsid w:val="009C28B7"/>
    <w:rsid w:val="009C3092"/>
    <w:rsid w:val="009C31DC"/>
    <w:rsid w:val="009C3230"/>
    <w:rsid w:val="009C3388"/>
    <w:rsid w:val="009C3478"/>
    <w:rsid w:val="009C3706"/>
    <w:rsid w:val="009C3893"/>
    <w:rsid w:val="009C38A1"/>
    <w:rsid w:val="009C3A3A"/>
    <w:rsid w:val="009C3A49"/>
    <w:rsid w:val="009C3ACA"/>
    <w:rsid w:val="009C3ADC"/>
    <w:rsid w:val="009C3E29"/>
    <w:rsid w:val="009C3E70"/>
    <w:rsid w:val="009C426B"/>
    <w:rsid w:val="009C43F4"/>
    <w:rsid w:val="009C4782"/>
    <w:rsid w:val="009C48AE"/>
    <w:rsid w:val="009C4C2F"/>
    <w:rsid w:val="009C5535"/>
    <w:rsid w:val="009C5540"/>
    <w:rsid w:val="009C57D1"/>
    <w:rsid w:val="009C5DE2"/>
    <w:rsid w:val="009C6025"/>
    <w:rsid w:val="009C63E1"/>
    <w:rsid w:val="009C644D"/>
    <w:rsid w:val="009C64C3"/>
    <w:rsid w:val="009C66D1"/>
    <w:rsid w:val="009C6BE8"/>
    <w:rsid w:val="009C6BFB"/>
    <w:rsid w:val="009C6CEA"/>
    <w:rsid w:val="009C6E8F"/>
    <w:rsid w:val="009C6F3C"/>
    <w:rsid w:val="009C74BB"/>
    <w:rsid w:val="009C755A"/>
    <w:rsid w:val="009C75CB"/>
    <w:rsid w:val="009C75EA"/>
    <w:rsid w:val="009C7689"/>
    <w:rsid w:val="009C768A"/>
    <w:rsid w:val="009C7894"/>
    <w:rsid w:val="009C7961"/>
    <w:rsid w:val="009C7A31"/>
    <w:rsid w:val="009C7B85"/>
    <w:rsid w:val="009D01E1"/>
    <w:rsid w:val="009D0254"/>
    <w:rsid w:val="009D079A"/>
    <w:rsid w:val="009D07C1"/>
    <w:rsid w:val="009D0842"/>
    <w:rsid w:val="009D1519"/>
    <w:rsid w:val="009D16BB"/>
    <w:rsid w:val="009D1752"/>
    <w:rsid w:val="009D18E4"/>
    <w:rsid w:val="009D1A64"/>
    <w:rsid w:val="009D1C2C"/>
    <w:rsid w:val="009D1C4C"/>
    <w:rsid w:val="009D1CAE"/>
    <w:rsid w:val="009D1D40"/>
    <w:rsid w:val="009D200F"/>
    <w:rsid w:val="009D2155"/>
    <w:rsid w:val="009D21BF"/>
    <w:rsid w:val="009D235A"/>
    <w:rsid w:val="009D263F"/>
    <w:rsid w:val="009D2B12"/>
    <w:rsid w:val="009D3413"/>
    <w:rsid w:val="009D3535"/>
    <w:rsid w:val="009D356B"/>
    <w:rsid w:val="009D36AD"/>
    <w:rsid w:val="009D372C"/>
    <w:rsid w:val="009D3B32"/>
    <w:rsid w:val="009D412A"/>
    <w:rsid w:val="009D44B6"/>
    <w:rsid w:val="009D4796"/>
    <w:rsid w:val="009D4AC6"/>
    <w:rsid w:val="009D50A8"/>
    <w:rsid w:val="009D52B5"/>
    <w:rsid w:val="009D532B"/>
    <w:rsid w:val="009D5B91"/>
    <w:rsid w:val="009D5BF9"/>
    <w:rsid w:val="009D5F43"/>
    <w:rsid w:val="009D640F"/>
    <w:rsid w:val="009D66BD"/>
    <w:rsid w:val="009D76C0"/>
    <w:rsid w:val="009D792E"/>
    <w:rsid w:val="009D7E12"/>
    <w:rsid w:val="009E00D6"/>
    <w:rsid w:val="009E05B1"/>
    <w:rsid w:val="009E068A"/>
    <w:rsid w:val="009E0697"/>
    <w:rsid w:val="009E07C3"/>
    <w:rsid w:val="009E09DF"/>
    <w:rsid w:val="009E0DFE"/>
    <w:rsid w:val="009E0F16"/>
    <w:rsid w:val="009E0F2D"/>
    <w:rsid w:val="009E1140"/>
    <w:rsid w:val="009E11B8"/>
    <w:rsid w:val="009E1300"/>
    <w:rsid w:val="009E175F"/>
    <w:rsid w:val="009E1AB8"/>
    <w:rsid w:val="009E1B09"/>
    <w:rsid w:val="009E1E93"/>
    <w:rsid w:val="009E1ECB"/>
    <w:rsid w:val="009E2027"/>
    <w:rsid w:val="009E22D4"/>
    <w:rsid w:val="009E242F"/>
    <w:rsid w:val="009E259D"/>
    <w:rsid w:val="009E2698"/>
    <w:rsid w:val="009E26A4"/>
    <w:rsid w:val="009E2A58"/>
    <w:rsid w:val="009E2C94"/>
    <w:rsid w:val="009E2F60"/>
    <w:rsid w:val="009E303B"/>
    <w:rsid w:val="009E313F"/>
    <w:rsid w:val="009E3154"/>
    <w:rsid w:val="009E31F6"/>
    <w:rsid w:val="009E38B5"/>
    <w:rsid w:val="009E3B04"/>
    <w:rsid w:val="009E3C4F"/>
    <w:rsid w:val="009E408F"/>
    <w:rsid w:val="009E417D"/>
    <w:rsid w:val="009E48C6"/>
    <w:rsid w:val="009E4B64"/>
    <w:rsid w:val="009E4C07"/>
    <w:rsid w:val="009E4CE8"/>
    <w:rsid w:val="009E5066"/>
    <w:rsid w:val="009E508D"/>
    <w:rsid w:val="009E5176"/>
    <w:rsid w:val="009E5206"/>
    <w:rsid w:val="009E521D"/>
    <w:rsid w:val="009E5841"/>
    <w:rsid w:val="009E587D"/>
    <w:rsid w:val="009E63C4"/>
    <w:rsid w:val="009E6599"/>
    <w:rsid w:val="009E65A5"/>
    <w:rsid w:val="009E6903"/>
    <w:rsid w:val="009E6A5B"/>
    <w:rsid w:val="009E6ABF"/>
    <w:rsid w:val="009E6AD4"/>
    <w:rsid w:val="009E6B12"/>
    <w:rsid w:val="009E6E62"/>
    <w:rsid w:val="009E6EAB"/>
    <w:rsid w:val="009E73EE"/>
    <w:rsid w:val="009E7778"/>
    <w:rsid w:val="009E777F"/>
    <w:rsid w:val="009E7783"/>
    <w:rsid w:val="009E781C"/>
    <w:rsid w:val="009E7912"/>
    <w:rsid w:val="009E7C6F"/>
    <w:rsid w:val="009E7C9E"/>
    <w:rsid w:val="009E7E70"/>
    <w:rsid w:val="009F0155"/>
    <w:rsid w:val="009F0255"/>
    <w:rsid w:val="009F0541"/>
    <w:rsid w:val="009F0AAB"/>
    <w:rsid w:val="009F0EC9"/>
    <w:rsid w:val="009F1250"/>
    <w:rsid w:val="009F13E6"/>
    <w:rsid w:val="009F1462"/>
    <w:rsid w:val="009F150D"/>
    <w:rsid w:val="009F158C"/>
    <w:rsid w:val="009F1A6C"/>
    <w:rsid w:val="009F1BA7"/>
    <w:rsid w:val="009F1CA5"/>
    <w:rsid w:val="009F1D4B"/>
    <w:rsid w:val="009F1E40"/>
    <w:rsid w:val="009F2563"/>
    <w:rsid w:val="009F2C62"/>
    <w:rsid w:val="009F2C78"/>
    <w:rsid w:val="009F2CFF"/>
    <w:rsid w:val="009F2E37"/>
    <w:rsid w:val="009F31FB"/>
    <w:rsid w:val="009F322C"/>
    <w:rsid w:val="009F369A"/>
    <w:rsid w:val="009F36E5"/>
    <w:rsid w:val="009F379B"/>
    <w:rsid w:val="009F37A7"/>
    <w:rsid w:val="009F3A54"/>
    <w:rsid w:val="009F3F00"/>
    <w:rsid w:val="009F406D"/>
    <w:rsid w:val="009F458A"/>
    <w:rsid w:val="009F47C7"/>
    <w:rsid w:val="009F49AC"/>
    <w:rsid w:val="009F4A25"/>
    <w:rsid w:val="009F4C03"/>
    <w:rsid w:val="009F4C99"/>
    <w:rsid w:val="009F52D3"/>
    <w:rsid w:val="009F54B7"/>
    <w:rsid w:val="009F5585"/>
    <w:rsid w:val="009F5635"/>
    <w:rsid w:val="009F59E8"/>
    <w:rsid w:val="009F5BC9"/>
    <w:rsid w:val="009F5C89"/>
    <w:rsid w:val="009F5E88"/>
    <w:rsid w:val="009F5F80"/>
    <w:rsid w:val="009F6120"/>
    <w:rsid w:val="009F628D"/>
    <w:rsid w:val="009F62D2"/>
    <w:rsid w:val="009F637E"/>
    <w:rsid w:val="009F639C"/>
    <w:rsid w:val="009F66AE"/>
    <w:rsid w:val="009F66B6"/>
    <w:rsid w:val="009F67D9"/>
    <w:rsid w:val="009F697B"/>
    <w:rsid w:val="009F6E0E"/>
    <w:rsid w:val="009F6F43"/>
    <w:rsid w:val="009F700B"/>
    <w:rsid w:val="009F70E3"/>
    <w:rsid w:val="009F7179"/>
    <w:rsid w:val="009F724B"/>
    <w:rsid w:val="009F750F"/>
    <w:rsid w:val="009F7599"/>
    <w:rsid w:val="009F7749"/>
    <w:rsid w:val="009F7C58"/>
    <w:rsid w:val="00A006C7"/>
    <w:rsid w:val="00A0097C"/>
    <w:rsid w:val="00A009C8"/>
    <w:rsid w:val="00A009ED"/>
    <w:rsid w:val="00A00B17"/>
    <w:rsid w:val="00A00D76"/>
    <w:rsid w:val="00A00EC3"/>
    <w:rsid w:val="00A010D3"/>
    <w:rsid w:val="00A01184"/>
    <w:rsid w:val="00A01449"/>
    <w:rsid w:val="00A017FC"/>
    <w:rsid w:val="00A018BF"/>
    <w:rsid w:val="00A01A13"/>
    <w:rsid w:val="00A01AFB"/>
    <w:rsid w:val="00A01F0A"/>
    <w:rsid w:val="00A02040"/>
    <w:rsid w:val="00A021BE"/>
    <w:rsid w:val="00A0249A"/>
    <w:rsid w:val="00A026D5"/>
    <w:rsid w:val="00A02809"/>
    <w:rsid w:val="00A02D7C"/>
    <w:rsid w:val="00A031EA"/>
    <w:rsid w:val="00A033DD"/>
    <w:rsid w:val="00A03625"/>
    <w:rsid w:val="00A036EC"/>
    <w:rsid w:val="00A037C2"/>
    <w:rsid w:val="00A03A87"/>
    <w:rsid w:val="00A03D43"/>
    <w:rsid w:val="00A03E65"/>
    <w:rsid w:val="00A03EAE"/>
    <w:rsid w:val="00A04084"/>
    <w:rsid w:val="00A04380"/>
    <w:rsid w:val="00A04439"/>
    <w:rsid w:val="00A0444A"/>
    <w:rsid w:val="00A04646"/>
    <w:rsid w:val="00A04786"/>
    <w:rsid w:val="00A04A44"/>
    <w:rsid w:val="00A04F16"/>
    <w:rsid w:val="00A05095"/>
    <w:rsid w:val="00A05472"/>
    <w:rsid w:val="00A056F8"/>
    <w:rsid w:val="00A05795"/>
    <w:rsid w:val="00A05963"/>
    <w:rsid w:val="00A05BF0"/>
    <w:rsid w:val="00A05C32"/>
    <w:rsid w:val="00A05DA3"/>
    <w:rsid w:val="00A05DD1"/>
    <w:rsid w:val="00A05E10"/>
    <w:rsid w:val="00A05E25"/>
    <w:rsid w:val="00A05FC9"/>
    <w:rsid w:val="00A06092"/>
    <w:rsid w:val="00A062AB"/>
    <w:rsid w:val="00A062AD"/>
    <w:rsid w:val="00A0641A"/>
    <w:rsid w:val="00A064D1"/>
    <w:rsid w:val="00A0653F"/>
    <w:rsid w:val="00A06A08"/>
    <w:rsid w:val="00A06E52"/>
    <w:rsid w:val="00A07182"/>
    <w:rsid w:val="00A07212"/>
    <w:rsid w:val="00A0734B"/>
    <w:rsid w:val="00A075C6"/>
    <w:rsid w:val="00A0769C"/>
    <w:rsid w:val="00A076DF"/>
    <w:rsid w:val="00A07E5C"/>
    <w:rsid w:val="00A07F0E"/>
    <w:rsid w:val="00A1039D"/>
    <w:rsid w:val="00A106EC"/>
    <w:rsid w:val="00A107B6"/>
    <w:rsid w:val="00A10A2A"/>
    <w:rsid w:val="00A10B41"/>
    <w:rsid w:val="00A10C90"/>
    <w:rsid w:val="00A10CAC"/>
    <w:rsid w:val="00A10CC8"/>
    <w:rsid w:val="00A10CFE"/>
    <w:rsid w:val="00A10FC8"/>
    <w:rsid w:val="00A1148A"/>
    <w:rsid w:val="00A11C95"/>
    <w:rsid w:val="00A11CD0"/>
    <w:rsid w:val="00A11DBB"/>
    <w:rsid w:val="00A11EFB"/>
    <w:rsid w:val="00A121B4"/>
    <w:rsid w:val="00A12236"/>
    <w:rsid w:val="00A12346"/>
    <w:rsid w:val="00A127B9"/>
    <w:rsid w:val="00A127C2"/>
    <w:rsid w:val="00A128C0"/>
    <w:rsid w:val="00A12989"/>
    <w:rsid w:val="00A129F3"/>
    <w:rsid w:val="00A13065"/>
    <w:rsid w:val="00A13200"/>
    <w:rsid w:val="00A132C9"/>
    <w:rsid w:val="00A1342F"/>
    <w:rsid w:val="00A13758"/>
    <w:rsid w:val="00A1391B"/>
    <w:rsid w:val="00A13948"/>
    <w:rsid w:val="00A13E9E"/>
    <w:rsid w:val="00A14146"/>
    <w:rsid w:val="00A145A2"/>
    <w:rsid w:val="00A14A6D"/>
    <w:rsid w:val="00A14A84"/>
    <w:rsid w:val="00A14B0A"/>
    <w:rsid w:val="00A15078"/>
    <w:rsid w:val="00A153C7"/>
    <w:rsid w:val="00A1555B"/>
    <w:rsid w:val="00A155C5"/>
    <w:rsid w:val="00A15799"/>
    <w:rsid w:val="00A15ABD"/>
    <w:rsid w:val="00A15B81"/>
    <w:rsid w:val="00A1622B"/>
    <w:rsid w:val="00A16266"/>
    <w:rsid w:val="00A162FF"/>
    <w:rsid w:val="00A164E8"/>
    <w:rsid w:val="00A164F3"/>
    <w:rsid w:val="00A164F4"/>
    <w:rsid w:val="00A1651A"/>
    <w:rsid w:val="00A1690C"/>
    <w:rsid w:val="00A16A41"/>
    <w:rsid w:val="00A16AC6"/>
    <w:rsid w:val="00A16AD8"/>
    <w:rsid w:val="00A16EA0"/>
    <w:rsid w:val="00A16EAA"/>
    <w:rsid w:val="00A16FAF"/>
    <w:rsid w:val="00A17156"/>
    <w:rsid w:val="00A1758C"/>
    <w:rsid w:val="00A17A2B"/>
    <w:rsid w:val="00A17ADB"/>
    <w:rsid w:val="00A17CEB"/>
    <w:rsid w:val="00A17D09"/>
    <w:rsid w:val="00A17EF7"/>
    <w:rsid w:val="00A17F22"/>
    <w:rsid w:val="00A2021E"/>
    <w:rsid w:val="00A2036D"/>
    <w:rsid w:val="00A20771"/>
    <w:rsid w:val="00A2098C"/>
    <w:rsid w:val="00A20A10"/>
    <w:rsid w:val="00A20F3B"/>
    <w:rsid w:val="00A20F85"/>
    <w:rsid w:val="00A20FD0"/>
    <w:rsid w:val="00A21034"/>
    <w:rsid w:val="00A21708"/>
    <w:rsid w:val="00A21B8F"/>
    <w:rsid w:val="00A21C95"/>
    <w:rsid w:val="00A21CC9"/>
    <w:rsid w:val="00A21CF3"/>
    <w:rsid w:val="00A21EAC"/>
    <w:rsid w:val="00A22871"/>
    <w:rsid w:val="00A23429"/>
    <w:rsid w:val="00A23481"/>
    <w:rsid w:val="00A236E1"/>
    <w:rsid w:val="00A23883"/>
    <w:rsid w:val="00A2390A"/>
    <w:rsid w:val="00A2397B"/>
    <w:rsid w:val="00A23F6A"/>
    <w:rsid w:val="00A23F7D"/>
    <w:rsid w:val="00A24004"/>
    <w:rsid w:val="00A240A5"/>
    <w:rsid w:val="00A24120"/>
    <w:rsid w:val="00A2425C"/>
    <w:rsid w:val="00A24731"/>
    <w:rsid w:val="00A24813"/>
    <w:rsid w:val="00A24BED"/>
    <w:rsid w:val="00A24D4B"/>
    <w:rsid w:val="00A24DCC"/>
    <w:rsid w:val="00A251C0"/>
    <w:rsid w:val="00A251F2"/>
    <w:rsid w:val="00A253E6"/>
    <w:rsid w:val="00A259BD"/>
    <w:rsid w:val="00A25A6B"/>
    <w:rsid w:val="00A263D0"/>
    <w:rsid w:val="00A2648D"/>
    <w:rsid w:val="00A266FD"/>
    <w:rsid w:val="00A268C6"/>
    <w:rsid w:val="00A26AC3"/>
    <w:rsid w:val="00A26B27"/>
    <w:rsid w:val="00A27540"/>
    <w:rsid w:val="00A277DF"/>
    <w:rsid w:val="00A27934"/>
    <w:rsid w:val="00A27AEC"/>
    <w:rsid w:val="00A27C35"/>
    <w:rsid w:val="00A27F4D"/>
    <w:rsid w:val="00A302CA"/>
    <w:rsid w:val="00A303C9"/>
    <w:rsid w:val="00A307FD"/>
    <w:rsid w:val="00A30E82"/>
    <w:rsid w:val="00A30E92"/>
    <w:rsid w:val="00A30EE4"/>
    <w:rsid w:val="00A30FDD"/>
    <w:rsid w:val="00A31121"/>
    <w:rsid w:val="00A315E3"/>
    <w:rsid w:val="00A3192D"/>
    <w:rsid w:val="00A31F15"/>
    <w:rsid w:val="00A32079"/>
    <w:rsid w:val="00A320DB"/>
    <w:rsid w:val="00A324C7"/>
    <w:rsid w:val="00A326CC"/>
    <w:rsid w:val="00A3285B"/>
    <w:rsid w:val="00A32AA5"/>
    <w:rsid w:val="00A32DB3"/>
    <w:rsid w:val="00A32F7E"/>
    <w:rsid w:val="00A33428"/>
    <w:rsid w:val="00A33DF0"/>
    <w:rsid w:val="00A3409B"/>
    <w:rsid w:val="00A34153"/>
    <w:rsid w:val="00A34404"/>
    <w:rsid w:val="00A34553"/>
    <w:rsid w:val="00A345A4"/>
    <w:rsid w:val="00A34895"/>
    <w:rsid w:val="00A349A8"/>
    <w:rsid w:val="00A35038"/>
    <w:rsid w:val="00A350CE"/>
    <w:rsid w:val="00A3524F"/>
    <w:rsid w:val="00A35AC3"/>
    <w:rsid w:val="00A35BC3"/>
    <w:rsid w:val="00A35D16"/>
    <w:rsid w:val="00A35E99"/>
    <w:rsid w:val="00A35F26"/>
    <w:rsid w:val="00A362A8"/>
    <w:rsid w:val="00A36628"/>
    <w:rsid w:val="00A366CB"/>
    <w:rsid w:val="00A3691C"/>
    <w:rsid w:val="00A36D14"/>
    <w:rsid w:val="00A36EBC"/>
    <w:rsid w:val="00A3750B"/>
    <w:rsid w:val="00A375A8"/>
    <w:rsid w:val="00A3779D"/>
    <w:rsid w:val="00A37864"/>
    <w:rsid w:val="00A378CC"/>
    <w:rsid w:val="00A37BCD"/>
    <w:rsid w:val="00A37EB1"/>
    <w:rsid w:val="00A4035E"/>
    <w:rsid w:val="00A4072A"/>
    <w:rsid w:val="00A4094F"/>
    <w:rsid w:val="00A40ABE"/>
    <w:rsid w:val="00A40ABF"/>
    <w:rsid w:val="00A41063"/>
    <w:rsid w:val="00A412B4"/>
    <w:rsid w:val="00A41689"/>
    <w:rsid w:val="00A4183F"/>
    <w:rsid w:val="00A419A5"/>
    <w:rsid w:val="00A41BB5"/>
    <w:rsid w:val="00A41DDC"/>
    <w:rsid w:val="00A41EA6"/>
    <w:rsid w:val="00A41FD0"/>
    <w:rsid w:val="00A42033"/>
    <w:rsid w:val="00A4223C"/>
    <w:rsid w:val="00A42592"/>
    <w:rsid w:val="00A42889"/>
    <w:rsid w:val="00A42E9A"/>
    <w:rsid w:val="00A4314F"/>
    <w:rsid w:val="00A431BC"/>
    <w:rsid w:val="00A43390"/>
    <w:rsid w:val="00A433EA"/>
    <w:rsid w:val="00A4349B"/>
    <w:rsid w:val="00A4351E"/>
    <w:rsid w:val="00A435E3"/>
    <w:rsid w:val="00A4366D"/>
    <w:rsid w:val="00A438D7"/>
    <w:rsid w:val="00A43AE7"/>
    <w:rsid w:val="00A43C59"/>
    <w:rsid w:val="00A43D61"/>
    <w:rsid w:val="00A43E3B"/>
    <w:rsid w:val="00A43F85"/>
    <w:rsid w:val="00A44330"/>
    <w:rsid w:val="00A44381"/>
    <w:rsid w:val="00A44832"/>
    <w:rsid w:val="00A44854"/>
    <w:rsid w:val="00A44A7B"/>
    <w:rsid w:val="00A44C89"/>
    <w:rsid w:val="00A44DD7"/>
    <w:rsid w:val="00A44F2A"/>
    <w:rsid w:val="00A45566"/>
    <w:rsid w:val="00A4577F"/>
    <w:rsid w:val="00A45783"/>
    <w:rsid w:val="00A4606A"/>
    <w:rsid w:val="00A46099"/>
    <w:rsid w:val="00A460C0"/>
    <w:rsid w:val="00A4610F"/>
    <w:rsid w:val="00A466D6"/>
    <w:rsid w:val="00A4686D"/>
    <w:rsid w:val="00A46E03"/>
    <w:rsid w:val="00A470EC"/>
    <w:rsid w:val="00A4745E"/>
    <w:rsid w:val="00A477BC"/>
    <w:rsid w:val="00A47A47"/>
    <w:rsid w:val="00A47D1C"/>
    <w:rsid w:val="00A47D82"/>
    <w:rsid w:val="00A47E34"/>
    <w:rsid w:val="00A47E5E"/>
    <w:rsid w:val="00A47FB1"/>
    <w:rsid w:val="00A503DF"/>
    <w:rsid w:val="00A5041B"/>
    <w:rsid w:val="00A504B6"/>
    <w:rsid w:val="00A508A2"/>
    <w:rsid w:val="00A50E8B"/>
    <w:rsid w:val="00A50ECD"/>
    <w:rsid w:val="00A50EEF"/>
    <w:rsid w:val="00A512E5"/>
    <w:rsid w:val="00A5175D"/>
    <w:rsid w:val="00A51768"/>
    <w:rsid w:val="00A51850"/>
    <w:rsid w:val="00A518F3"/>
    <w:rsid w:val="00A51C5C"/>
    <w:rsid w:val="00A51CD4"/>
    <w:rsid w:val="00A51D76"/>
    <w:rsid w:val="00A51DB6"/>
    <w:rsid w:val="00A51E8A"/>
    <w:rsid w:val="00A520B1"/>
    <w:rsid w:val="00A52124"/>
    <w:rsid w:val="00A521E4"/>
    <w:rsid w:val="00A52200"/>
    <w:rsid w:val="00A52393"/>
    <w:rsid w:val="00A523C9"/>
    <w:rsid w:val="00A523E3"/>
    <w:rsid w:val="00A524CE"/>
    <w:rsid w:val="00A52721"/>
    <w:rsid w:val="00A52729"/>
    <w:rsid w:val="00A52845"/>
    <w:rsid w:val="00A528CC"/>
    <w:rsid w:val="00A52B42"/>
    <w:rsid w:val="00A52F5E"/>
    <w:rsid w:val="00A530F2"/>
    <w:rsid w:val="00A53214"/>
    <w:rsid w:val="00A53574"/>
    <w:rsid w:val="00A53675"/>
    <w:rsid w:val="00A536A4"/>
    <w:rsid w:val="00A53963"/>
    <w:rsid w:val="00A53A15"/>
    <w:rsid w:val="00A53A3E"/>
    <w:rsid w:val="00A53C2A"/>
    <w:rsid w:val="00A53C6C"/>
    <w:rsid w:val="00A54522"/>
    <w:rsid w:val="00A546B9"/>
    <w:rsid w:val="00A5473D"/>
    <w:rsid w:val="00A547BB"/>
    <w:rsid w:val="00A54831"/>
    <w:rsid w:val="00A5490C"/>
    <w:rsid w:val="00A54977"/>
    <w:rsid w:val="00A549BE"/>
    <w:rsid w:val="00A54B7E"/>
    <w:rsid w:val="00A552B3"/>
    <w:rsid w:val="00A5558D"/>
    <w:rsid w:val="00A55696"/>
    <w:rsid w:val="00A55BFF"/>
    <w:rsid w:val="00A55C1C"/>
    <w:rsid w:val="00A55E53"/>
    <w:rsid w:val="00A55EC9"/>
    <w:rsid w:val="00A5610A"/>
    <w:rsid w:val="00A5633E"/>
    <w:rsid w:val="00A56385"/>
    <w:rsid w:val="00A564D7"/>
    <w:rsid w:val="00A56556"/>
    <w:rsid w:val="00A565CE"/>
    <w:rsid w:val="00A5665E"/>
    <w:rsid w:val="00A56B6A"/>
    <w:rsid w:val="00A56F95"/>
    <w:rsid w:val="00A57651"/>
    <w:rsid w:val="00A578DC"/>
    <w:rsid w:val="00A57A9F"/>
    <w:rsid w:val="00A57AA3"/>
    <w:rsid w:val="00A57B51"/>
    <w:rsid w:val="00A57BA6"/>
    <w:rsid w:val="00A57C09"/>
    <w:rsid w:val="00A57E02"/>
    <w:rsid w:val="00A57F5A"/>
    <w:rsid w:val="00A57F76"/>
    <w:rsid w:val="00A6035D"/>
    <w:rsid w:val="00A60761"/>
    <w:rsid w:val="00A60966"/>
    <w:rsid w:val="00A60982"/>
    <w:rsid w:val="00A60B7B"/>
    <w:rsid w:val="00A60B81"/>
    <w:rsid w:val="00A60CEF"/>
    <w:rsid w:val="00A60D73"/>
    <w:rsid w:val="00A60DCB"/>
    <w:rsid w:val="00A60E54"/>
    <w:rsid w:val="00A60EB2"/>
    <w:rsid w:val="00A60F14"/>
    <w:rsid w:val="00A61155"/>
    <w:rsid w:val="00A61230"/>
    <w:rsid w:val="00A6130F"/>
    <w:rsid w:val="00A615B0"/>
    <w:rsid w:val="00A615C2"/>
    <w:rsid w:val="00A6172B"/>
    <w:rsid w:val="00A61A04"/>
    <w:rsid w:val="00A61A2C"/>
    <w:rsid w:val="00A61BD3"/>
    <w:rsid w:val="00A61BD6"/>
    <w:rsid w:val="00A61C75"/>
    <w:rsid w:val="00A61D83"/>
    <w:rsid w:val="00A61FF6"/>
    <w:rsid w:val="00A6208F"/>
    <w:rsid w:val="00A620ED"/>
    <w:rsid w:val="00A6219A"/>
    <w:rsid w:val="00A6219F"/>
    <w:rsid w:val="00A621BC"/>
    <w:rsid w:val="00A62297"/>
    <w:rsid w:val="00A62383"/>
    <w:rsid w:val="00A625E0"/>
    <w:rsid w:val="00A62617"/>
    <w:rsid w:val="00A62730"/>
    <w:rsid w:val="00A62B98"/>
    <w:rsid w:val="00A62EEC"/>
    <w:rsid w:val="00A6300C"/>
    <w:rsid w:val="00A63205"/>
    <w:rsid w:val="00A63307"/>
    <w:rsid w:val="00A63D5C"/>
    <w:rsid w:val="00A63E93"/>
    <w:rsid w:val="00A63FC9"/>
    <w:rsid w:val="00A640E2"/>
    <w:rsid w:val="00A643D5"/>
    <w:rsid w:val="00A6454E"/>
    <w:rsid w:val="00A6467A"/>
    <w:rsid w:val="00A648FA"/>
    <w:rsid w:val="00A64973"/>
    <w:rsid w:val="00A64BEA"/>
    <w:rsid w:val="00A64D39"/>
    <w:rsid w:val="00A64D65"/>
    <w:rsid w:val="00A64F56"/>
    <w:rsid w:val="00A64FDF"/>
    <w:rsid w:val="00A65061"/>
    <w:rsid w:val="00A652D6"/>
    <w:rsid w:val="00A65434"/>
    <w:rsid w:val="00A65825"/>
    <w:rsid w:val="00A658B6"/>
    <w:rsid w:val="00A65A4B"/>
    <w:rsid w:val="00A65AFC"/>
    <w:rsid w:val="00A65C52"/>
    <w:rsid w:val="00A65DD5"/>
    <w:rsid w:val="00A65E8A"/>
    <w:rsid w:val="00A65EF0"/>
    <w:rsid w:val="00A66382"/>
    <w:rsid w:val="00A663B6"/>
    <w:rsid w:val="00A66407"/>
    <w:rsid w:val="00A66779"/>
    <w:rsid w:val="00A66790"/>
    <w:rsid w:val="00A667AE"/>
    <w:rsid w:val="00A66C92"/>
    <w:rsid w:val="00A67056"/>
    <w:rsid w:val="00A6725B"/>
    <w:rsid w:val="00A67372"/>
    <w:rsid w:val="00A67765"/>
    <w:rsid w:val="00A67767"/>
    <w:rsid w:val="00A6783E"/>
    <w:rsid w:val="00A67931"/>
    <w:rsid w:val="00A67AF4"/>
    <w:rsid w:val="00A67ECE"/>
    <w:rsid w:val="00A67F3C"/>
    <w:rsid w:val="00A700E3"/>
    <w:rsid w:val="00A7011B"/>
    <w:rsid w:val="00A701C5"/>
    <w:rsid w:val="00A703F6"/>
    <w:rsid w:val="00A70605"/>
    <w:rsid w:val="00A7096D"/>
    <w:rsid w:val="00A70B03"/>
    <w:rsid w:val="00A70BC5"/>
    <w:rsid w:val="00A70C49"/>
    <w:rsid w:val="00A70D2F"/>
    <w:rsid w:val="00A70E02"/>
    <w:rsid w:val="00A70F24"/>
    <w:rsid w:val="00A70F29"/>
    <w:rsid w:val="00A71041"/>
    <w:rsid w:val="00A714F3"/>
    <w:rsid w:val="00A715B7"/>
    <w:rsid w:val="00A71941"/>
    <w:rsid w:val="00A71B33"/>
    <w:rsid w:val="00A71C62"/>
    <w:rsid w:val="00A7245A"/>
    <w:rsid w:val="00A725F5"/>
    <w:rsid w:val="00A726E3"/>
    <w:rsid w:val="00A72C14"/>
    <w:rsid w:val="00A72CC6"/>
    <w:rsid w:val="00A72EB5"/>
    <w:rsid w:val="00A72F00"/>
    <w:rsid w:val="00A73134"/>
    <w:rsid w:val="00A73200"/>
    <w:rsid w:val="00A73222"/>
    <w:rsid w:val="00A732D4"/>
    <w:rsid w:val="00A7335E"/>
    <w:rsid w:val="00A7365A"/>
    <w:rsid w:val="00A7365D"/>
    <w:rsid w:val="00A7369F"/>
    <w:rsid w:val="00A73921"/>
    <w:rsid w:val="00A73A65"/>
    <w:rsid w:val="00A73A89"/>
    <w:rsid w:val="00A73AA8"/>
    <w:rsid w:val="00A73CD4"/>
    <w:rsid w:val="00A73CE7"/>
    <w:rsid w:val="00A74088"/>
    <w:rsid w:val="00A745F2"/>
    <w:rsid w:val="00A74B1C"/>
    <w:rsid w:val="00A74B6D"/>
    <w:rsid w:val="00A74E03"/>
    <w:rsid w:val="00A74E04"/>
    <w:rsid w:val="00A74EA6"/>
    <w:rsid w:val="00A74F0F"/>
    <w:rsid w:val="00A7529C"/>
    <w:rsid w:val="00A75370"/>
    <w:rsid w:val="00A7558D"/>
    <w:rsid w:val="00A7558F"/>
    <w:rsid w:val="00A75614"/>
    <w:rsid w:val="00A75943"/>
    <w:rsid w:val="00A75B34"/>
    <w:rsid w:val="00A75EF2"/>
    <w:rsid w:val="00A75F41"/>
    <w:rsid w:val="00A76001"/>
    <w:rsid w:val="00A76006"/>
    <w:rsid w:val="00A760FA"/>
    <w:rsid w:val="00A763A5"/>
    <w:rsid w:val="00A76639"/>
    <w:rsid w:val="00A772AC"/>
    <w:rsid w:val="00A77414"/>
    <w:rsid w:val="00A774C1"/>
    <w:rsid w:val="00A775B8"/>
    <w:rsid w:val="00A7768C"/>
    <w:rsid w:val="00A777B2"/>
    <w:rsid w:val="00A77896"/>
    <w:rsid w:val="00A7799D"/>
    <w:rsid w:val="00A77D63"/>
    <w:rsid w:val="00A80072"/>
    <w:rsid w:val="00A803F8"/>
    <w:rsid w:val="00A80536"/>
    <w:rsid w:val="00A80A60"/>
    <w:rsid w:val="00A80B56"/>
    <w:rsid w:val="00A80EDB"/>
    <w:rsid w:val="00A81092"/>
    <w:rsid w:val="00A811C2"/>
    <w:rsid w:val="00A81621"/>
    <w:rsid w:val="00A8167C"/>
    <w:rsid w:val="00A81DC4"/>
    <w:rsid w:val="00A81EA1"/>
    <w:rsid w:val="00A82028"/>
    <w:rsid w:val="00A82280"/>
    <w:rsid w:val="00A825D4"/>
    <w:rsid w:val="00A828F6"/>
    <w:rsid w:val="00A82956"/>
    <w:rsid w:val="00A82B73"/>
    <w:rsid w:val="00A831D5"/>
    <w:rsid w:val="00A832E7"/>
    <w:rsid w:val="00A83506"/>
    <w:rsid w:val="00A8353D"/>
    <w:rsid w:val="00A836BB"/>
    <w:rsid w:val="00A8382B"/>
    <w:rsid w:val="00A83ADB"/>
    <w:rsid w:val="00A83B4A"/>
    <w:rsid w:val="00A83B81"/>
    <w:rsid w:val="00A83F29"/>
    <w:rsid w:val="00A84015"/>
    <w:rsid w:val="00A84139"/>
    <w:rsid w:val="00A842BC"/>
    <w:rsid w:val="00A84368"/>
    <w:rsid w:val="00A84B00"/>
    <w:rsid w:val="00A84B38"/>
    <w:rsid w:val="00A84DFB"/>
    <w:rsid w:val="00A853B4"/>
    <w:rsid w:val="00A85463"/>
    <w:rsid w:val="00A854AC"/>
    <w:rsid w:val="00A855D3"/>
    <w:rsid w:val="00A85BB4"/>
    <w:rsid w:val="00A85D4A"/>
    <w:rsid w:val="00A8601D"/>
    <w:rsid w:val="00A861F2"/>
    <w:rsid w:val="00A8641A"/>
    <w:rsid w:val="00A86533"/>
    <w:rsid w:val="00A867D7"/>
    <w:rsid w:val="00A868CE"/>
    <w:rsid w:val="00A86A30"/>
    <w:rsid w:val="00A86C48"/>
    <w:rsid w:val="00A86CAF"/>
    <w:rsid w:val="00A86CFB"/>
    <w:rsid w:val="00A86E8B"/>
    <w:rsid w:val="00A87164"/>
    <w:rsid w:val="00A871A9"/>
    <w:rsid w:val="00A87258"/>
    <w:rsid w:val="00A873E2"/>
    <w:rsid w:val="00A8743D"/>
    <w:rsid w:val="00A87532"/>
    <w:rsid w:val="00A87683"/>
    <w:rsid w:val="00A87970"/>
    <w:rsid w:val="00A87973"/>
    <w:rsid w:val="00A87B75"/>
    <w:rsid w:val="00A87BBD"/>
    <w:rsid w:val="00A87C0A"/>
    <w:rsid w:val="00A87D09"/>
    <w:rsid w:val="00A87FF1"/>
    <w:rsid w:val="00A900A6"/>
    <w:rsid w:val="00A904CC"/>
    <w:rsid w:val="00A905DA"/>
    <w:rsid w:val="00A908EF"/>
    <w:rsid w:val="00A9092B"/>
    <w:rsid w:val="00A90DF0"/>
    <w:rsid w:val="00A90FA8"/>
    <w:rsid w:val="00A9106D"/>
    <w:rsid w:val="00A911C6"/>
    <w:rsid w:val="00A91659"/>
    <w:rsid w:val="00A91713"/>
    <w:rsid w:val="00A91744"/>
    <w:rsid w:val="00A919AA"/>
    <w:rsid w:val="00A91C20"/>
    <w:rsid w:val="00A91C30"/>
    <w:rsid w:val="00A91F90"/>
    <w:rsid w:val="00A921E4"/>
    <w:rsid w:val="00A923C2"/>
    <w:rsid w:val="00A92732"/>
    <w:rsid w:val="00A92BD8"/>
    <w:rsid w:val="00A92CC2"/>
    <w:rsid w:val="00A92EA3"/>
    <w:rsid w:val="00A93072"/>
    <w:rsid w:val="00A93270"/>
    <w:rsid w:val="00A9339A"/>
    <w:rsid w:val="00A93421"/>
    <w:rsid w:val="00A936BD"/>
    <w:rsid w:val="00A936F5"/>
    <w:rsid w:val="00A938A5"/>
    <w:rsid w:val="00A938BD"/>
    <w:rsid w:val="00A9390E"/>
    <w:rsid w:val="00A93953"/>
    <w:rsid w:val="00A9395A"/>
    <w:rsid w:val="00A93A81"/>
    <w:rsid w:val="00A93D35"/>
    <w:rsid w:val="00A93DBB"/>
    <w:rsid w:val="00A93F63"/>
    <w:rsid w:val="00A94121"/>
    <w:rsid w:val="00A94230"/>
    <w:rsid w:val="00A9429C"/>
    <w:rsid w:val="00A9436A"/>
    <w:rsid w:val="00A94420"/>
    <w:rsid w:val="00A946D2"/>
    <w:rsid w:val="00A947CF"/>
    <w:rsid w:val="00A949A4"/>
    <w:rsid w:val="00A94CB9"/>
    <w:rsid w:val="00A9500B"/>
    <w:rsid w:val="00A95249"/>
    <w:rsid w:val="00A952FA"/>
    <w:rsid w:val="00A957B4"/>
    <w:rsid w:val="00A957EC"/>
    <w:rsid w:val="00A959D8"/>
    <w:rsid w:val="00A95B0F"/>
    <w:rsid w:val="00A95CAE"/>
    <w:rsid w:val="00A95E81"/>
    <w:rsid w:val="00A95F0F"/>
    <w:rsid w:val="00A95F80"/>
    <w:rsid w:val="00A96A5C"/>
    <w:rsid w:val="00A96AB8"/>
    <w:rsid w:val="00A97859"/>
    <w:rsid w:val="00A97A81"/>
    <w:rsid w:val="00A97A86"/>
    <w:rsid w:val="00A97B81"/>
    <w:rsid w:val="00A97F25"/>
    <w:rsid w:val="00AA02DC"/>
    <w:rsid w:val="00AA0644"/>
    <w:rsid w:val="00AA0B5F"/>
    <w:rsid w:val="00AA10BF"/>
    <w:rsid w:val="00AA113D"/>
    <w:rsid w:val="00AA1791"/>
    <w:rsid w:val="00AA18E4"/>
    <w:rsid w:val="00AA199D"/>
    <w:rsid w:val="00AA1FC9"/>
    <w:rsid w:val="00AA2319"/>
    <w:rsid w:val="00AA2761"/>
    <w:rsid w:val="00AA296F"/>
    <w:rsid w:val="00AA2A7D"/>
    <w:rsid w:val="00AA2A9E"/>
    <w:rsid w:val="00AA2F16"/>
    <w:rsid w:val="00AA2F36"/>
    <w:rsid w:val="00AA2FF8"/>
    <w:rsid w:val="00AA310F"/>
    <w:rsid w:val="00AA35E5"/>
    <w:rsid w:val="00AA372B"/>
    <w:rsid w:val="00AA37D6"/>
    <w:rsid w:val="00AA3D0A"/>
    <w:rsid w:val="00AA3D4A"/>
    <w:rsid w:val="00AA4005"/>
    <w:rsid w:val="00AA4111"/>
    <w:rsid w:val="00AA433B"/>
    <w:rsid w:val="00AA445F"/>
    <w:rsid w:val="00AA45C2"/>
    <w:rsid w:val="00AA48A3"/>
    <w:rsid w:val="00AA4DF9"/>
    <w:rsid w:val="00AA4ED3"/>
    <w:rsid w:val="00AA4F91"/>
    <w:rsid w:val="00AA5051"/>
    <w:rsid w:val="00AA53C3"/>
    <w:rsid w:val="00AA5581"/>
    <w:rsid w:val="00AA59E3"/>
    <w:rsid w:val="00AA59E5"/>
    <w:rsid w:val="00AA5C37"/>
    <w:rsid w:val="00AA5DEF"/>
    <w:rsid w:val="00AA5EC9"/>
    <w:rsid w:val="00AA60DB"/>
    <w:rsid w:val="00AA613F"/>
    <w:rsid w:val="00AA6149"/>
    <w:rsid w:val="00AA6738"/>
    <w:rsid w:val="00AA6BD5"/>
    <w:rsid w:val="00AA6BD8"/>
    <w:rsid w:val="00AA6C7D"/>
    <w:rsid w:val="00AA6E34"/>
    <w:rsid w:val="00AA70A9"/>
    <w:rsid w:val="00AA74CC"/>
    <w:rsid w:val="00AA783C"/>
    <w:rsid w:val="00AA7C0E"/>
    <w:rsid w:val="00AA7E31"/>
    <w:rsid w:val="00AA7E63"/>
    <w:rsid w:val="00AA7EF3"/>
    <w:rsid w:val="00AA7FD6"/>
    <w:rsid w:val="00AB004B"/>
    <w:rsid w:val="00AB0115"/>
    <w:rsid w:val="00AB042A"/>
    <w:rsid w:val="00AB04AF"/>
    <w:rsid w:val="00AB0895"/>
    <w:rsid w:val="00AB0E30"/>
    <w:rsid w:val="00AB0F30"/>
    <w:rsid w:val="00AB10B0"/>
    <w:rsid w:val="00AB1107"/>
    <w:rsid w:val="00AB11AD"/>
    <w:rsid w:val="00AB12BA"/>
    <w:rsid w:val="00AB1565"/>
    <w:rsid w:val="00AB1881"/>
    <w:rsid w:val="00AB19EF"/>
    <w:rsid w:val="00AB1B07"/>
    <w:rsid w:val="00AB1B17"/>
    <w:rsid w:val="00AB1BC7"/>
    <w:rsid w:val="00AB1D0C"/>
    <w:rsid w:val="00AB1E67"/>
    <w:rsid w:val="00AB1F4F"/>
    <w:rsid w:val="00AB1FF7"/>
    <w:rsid w:val="00AB226A"/>
    <w:rsid w:val="00AB22B3"/>
    <w:rsid w:val="00AB2346"/>
    <w:rsid w:val="00AB2495"/>
    <w:rsid w:val="00AB2679"/>
    <w:rsid w:val="00AB2B6F"/>
    <w:rsid w:val="00AB2B9D"/>
    <w:rsid w:val="00AB2D34"/>
    <w:rsid w:val="00AB2EAF"/>
    <w:rsid w:val="00AB2FD2"/>
    <w:rsid w:val="00AB3101"/>
    <w:rsid w:val="00AB3245"/>
    <w:rsid w:val="00AB32C2"/>
    <w:rsid w:val="00AB3430"/>
    <w:rsid w:val="00AB3545"/>
    <w:rsid w:val="00AB359F"/>
    <w:rsid w:val="00AB37B9"/>
    <w:rsid w:val="00AB3C63"/>
    <w:rsid w:val="00AB3F47"/>
    <w:rsid w:val="00AB4071"/>
    <w:rsid w:val="00AB45C2"/>
    <w:rsid w:val="00AB4621"/>
    <w:rsid w:val="00AB49E8"/>
    <w:rsid w:val="00AB4A44"/>
    <w:rsid w:val="00AB4AD1"/>
    <w:rsid w:val="00AB4D5C"/>
    <w:rsid w:val="00AB508D"/>
    <w:rsid w:val="00AB5146"/>
    <w:rsid w:val="00AB51C8"/>
    <w:rsid w:val="00AB5215"/>
    <w:rsid w:val="00AB545E"/>
    <w:rsid w:val="00AB5475"/>
    <w:rsid w:val="00AB565D"/>
    <w:rsid w:val="00AB5E07"/>
    <w:rsid w:val="00AB5E12"/>
    <w:rsid w:val="00AB5FB1"/>
    <w:rsid w:val="00AB609B"/>
    <w:rsid w:val="00AB66DE"/>
    <w:rsid w:val="00AB6AA2"/>
    <w:rsid w:val="00AB6BFA"/>
    <w:rsid w:val="00AB6D8C"/>
    <w:rsid w:val="00AB6F7B"/>
    <w:rsid w:val="00AB705E"/>
    <w:rsid w:val="00AB709E"/>
    <w:rsid w:val="00AB7207"/>
    <w:rsid w:val="00AB786F"/>
    <w:rsid w:val="00AB78F8"/>
    <w:rsid w:val="00AB7A2C"/>
    <w:rsid w:val="00AB7AD5"/>
    <w:rsid w:val="00AB7B0F"/>
    <w:rsid w:val="00AB7CFA"/>
    <w:rsid w:val="00AC0015"/>
    <w:rsid w:val="00AC076F"/>
    <w:rsid w:val="00AC091C"/>
    <w:rsid w:val="00AC0CD4"/>
    <w:rsid w:val="00AC0E67"/>
    <w:rsid w:val="00AC13F4"/>
    <w:rsid w:val="00AC17BA"/>
    <w:rsid w:val="00AC17FD"/>
    <w:rsid w:val="00AC184F"/>
    <w:rsid w:val="00AC1896"/>
    <w:rsid w:val="00AC1933"/>
    <w:rsid w:val="00AC1953"/>
    <w:rsid w:val="00AC19FE"/>
    <w:rsid w:val="00AC1B1F"/>
    <w:rsid w:val="00AC1E6B"/>
    <w:rsid w:val="00AC21FA"/>
    <w:rsid w:val="00AC2277"/>
    <w:rsid w:val="00AC23CB"/>
    <w:rsid w:val="00AC295F"/>
    <w:rsid w:val="00AC2AA8"/>
    <w:rsid w:val="00AC3678"/>
    <w:rsid w:val="00AC36D6"/>
    <w:rsid w:val="00AC387F"/>
    <w:rsid w:val="00AC389A"/>
    <w:rsid w:val="00AC3C66"/>
    <w:rsid w:val="00AC3FF7"/>
    <w:rsid w:val="00AC4093"/>
    <w:rsid w:val="00AC4170"/>
    <w:rsid w:val="00AC4A0A"/>
    <w:rsid w:val="00AC4F3E"/>
    <w:rsid w:val="00AC4FBF"/>
    <w:rsid w:val="00AC504D"/>
    <w:rsid w:val="00AC506D"/>
    <w:rsid w:val="00AC516D"/>
    <w:rsid w:val="00AC5215"/>
    <w:rsid w:val="00AC53B1"/>
    <w:rsid w:val="00AC53C0"/>
    <w:rsid w:val="00AC575D"/>
    <w:rsid w:val="00AC5A0E"/>
    <w:rsid w:val="00AC5A1B"/>
    <w:rsid w:val="00AC5B42"/>
    <w:rsid w:val="00AC5B48"/>
    <w:rsid w:val="00AC5D34"/>
    <w:rsid w:val="00AC606E"/>
    <w:rsid w:val="00AC63E5"/>
    <w:rsid w:val="00AC644A"/>
    <w:rsid w:val="00AC64EF"/>
    <w:rsid w:val="00AC677C"/>
    <w:rsid w:val="00AC69EE"/>
    <w:rsid w:val="00AC6A1A"/>
    <w:rsid w:val="00AC6BEE"/>
    <w:rsid w:val="00AC6E6B"/>
    <w:rsid w:val="00AC6EE3"/>
    <w:rsid w:val="00AC70B1"/>
    <w:rsid w:val="00AC71BC"/>
    <w:rsid w:val="00AC731E"/>
    <w:rsid w:val="00AC75E1"/>
    <w:rsid w:val="00AC797E"/>
    <w:rsid w:val="00AC79E2"/>
    <w:rsid w:val="00AC7A26"/>
    <w:rsid w:val="00AC7A98"/>
    <w:rsid w:val="00AC7BB3"/>
    <w:rsid w:val="00AD0044"/>
    <w:rsid w:val="00AD0182"/>
    <w:rsid w:val="00AD0282"/>
    <w:rsid w:val="00AD0290"/>
    <w:rsid w:val="00AD04EC"/>
    <w:rsid w:val="00AD06F6"/>
    <w:rsid w:val="00AD080E"/>
    <w:rsid w:val="00AD0A4D"/>
    <w:rsid w:val="00AD0B1C"/>
    <w:rsid w:val="00AD0B3F"/>
    <w:rsid w:val="00AD0C65"/>
    <w:rsid w:val="00AD0E78"/>
    <w:rsid w:val="00AD1450"/>
    <w:rsid w:val="00AD15E8"/>
    <w:rsid w:val="00AD19FB"/>
    <w:rsid w:val="00AD1B99"/>
    <w:rsid w:val="00AD1BD6"/>
    <w:rsid w:val="00AD1D86"/>
    <w:rsid w:val="00AD2037"/>
    <w:rsid w:val="00AD2757"/>
    <w:rsid w:val="00AD289F"/>
    <w:rsid w:val="00AD2980"/>
    <w:rsid w:val="00AD298F"/>
    <w:rsid w:val="00AD3072"/>
    <w:rsid w:val="00AD3325"/>
    <w:rsid w:val="00AD339B"/>
    <w:rsid w:val="00AD34A7"/>
    <w:rsid w:val="00AD356D"/>
    <w:rsid w:val="00AD3B64"/>
    <w:rsid w:val="00AD3D29"/>
    <w:rsid w:val="00AD3E76"/>
    <w:rsid w:val="00AD3EDD"/>
    <w:rsid w:val="00AD3FBA"/>
    <w:rsid w:val="00AD3FC3"/>
    <w:rsid w:val="00AD4D53"/>
    <w:rsid w:val="00AD5106"/>
    <w:rsid w:val="00AD5183"/>
    <w:rsid w:val="00AD5610"/>
    <w:rsid w:val="00AD56F4"/>
    <w:rsid w:val="00AD57E4"/>
    <w:rsid w:val="00AD5AD3"/>
    <w:rsid w:val="00AD5B90"/>
    <w:rsid w:val="00AD5C33"/>
    <w:rsid w:val="00AD5ED2"/>
    <w:rsid w:val="00AD6239"/>
    <w:rsid w:val="00AD63B9"/>
    <w:rsid w:val="00AD641F"/>
    <w:rsid w:val="00AD6502"/>
    <w:rsid w:val="00AD6634"/>
    <w:rsid w:val="00AD6720"/>
    <w:rsid w:val="00AD678A"/>
    <w:rsid w:val="00AD6DEF"/>
    <w:rsid w:val="00AD73F2"/>
    <w:rsid w:val="00AD7489"/>
    <w:rsid w:val="00AD7B64"/>
    <w:rsid w:val="00AD7C44"/>
    <w:rsid w:val="00AD7DF2"/>
    <w:rsid w:val="00AD7E93"/>
    <w:rsid w:val="00AD7FD5"/>
    <w:rsid w:val="00AE05A2"/>
    <w:rsid w:val="00AE05A3"/>
    <w:rsid w:val="00AE0695"/>
    <w:rsid w:val="00AE07C5"/>
    <w:rsid w:val="00AE07FA"/>
    <w:rsid w:val="00AE0A9C"/>
    <w:rsid w:val="00AE0FA5"/>
    <w:rsid w:val="00AE1162"/>
    <w:rsid w:val="00AE1426"/>
    <w:rsid w:val="00AE14CB"/>
    <w:rsid w:val="00AE1507"/>
    <w:rsid w:val="00AE1C8A"/>
    <w:rsid w:val="00AE1F7B"/>
    <w:rsid w:val="00AE1FCB"/>
    <w:rsid w:val="00AE2126"/>
    <w:rsid w:val="00AE23F5"/>
    <w:rsid w:val="00AE266D"/>
    <w:rsid w:val="00AE2738"/>
    <w:rsid w:val="00AE2951"/>
    <w:rsid w:val="00AE29CD"/>
    <w:rsid w:val="00AE312C"/>
    <w:rsid w:val="00AE3392"/>
    <w:rsid w:val="00AE3484"/>
    <w:rsid w:val="00AE355E"/>
    <w:rsid w:val="00AE35C3"/>
    <w:rsid w:val="00AE3688"/>
    <w:rsid w:val="00AE37DE"/>
    <w:rsid w:val="00AE3A4C"/>
    <w:rsid w:val="00AE3AA0"/>
    <w:rsid w:val="00AE3ACD"/>
    <w:rsid w:val="00AE3B2C"/>
    <w:rsid w:val="00AE3D0E"/>
    <w:rsid w:val="00AE3D9F"/>
    <w:rsid w:val="00AE3E7E"/>
    <w:rsid w:val="00AE42B6"/>
    <w:rsid w:val="00AE4464"/>
    <w:rsid w:val="00AE4A9A"/>
    <w:rsid w:val="00AE4C5B"/>
    <w:rsid w:val="00AE4DFE"/>
    <w:rsid w:val="00AE4EBD"/>
    <w:rsid w:val="00AE4F79"/>
    <w:rsid w:val="00AE4FC5"/>
    <w:rsid w:val="00AE5032"/>
    <w:rsid w:val="00AE531F"/>
    <w:rsid w:val="00AE5481"/>
    <w:rsid w:val="00AE59F5"/>
    <w:rsid w:val="00AE5C3F"/>
    <w:rsid w:val="00AE5EFC"/>
    <w:rsid w:val="00AE6355"/>
    <w:rsid w:val="00AE6387"/>
    <w:rsid w:val="00AE6871"/>
    <w:rsid w:val="00AE6D80"/>
    <w:rsid w:val="00AE72A5"/>
    <w:rsid w:val="00AE72EC"/>
    <w:rsid w:val="00AE7495"/>
    <w:rsid w:val="00AE74B0"/>
    <w:rsid w:val="00AE75E0"/>
    <w:rsid w:val="00AE760F"/>
    <w:rsid w:val="00AE77FC"/>
    <w:rsid w:val="00AE79A8"/>
    <w:rsid w:val="00AE7DE2"/>
    <w:rsid w:val="00AE7E53"/>
    <w:rsid w:val="00AE7F73"/>
    <w:rsid w:val="00AE7FD2"/>
    <w:rsid w:val="00AF0D77"/>
    <w:rsid w:val="00AF0F27"/>
    <w:rsid w:val="00AF1315"/>
    <w:rsid w:val="00AF13AA"/>
    <w:rsid w:val="00AF161B"/>
    <w:rsid w:val="00AF198B"/>
    <w:rsid w:val="00AF19BF"/>
    <w:rsid w:val="00AF1E38"/>
    <w:rsid w:val="00AF1F0F"/>
    <w:rsid w:val="00AF1F4F"/>
    <w:rsid w:val="00AF24E0"/>
    <w:rsid w:val="00AF2577"/>
    <w:rsid w:val="00AF2613"/>
    <w:rsid w:val="00AF279F"/>
    <w:rsid w:val="00AF2DC3"/>
    <w:rsid w:val="00AF36CD"/>
    <w:rsid w:val="00AF37A9"/>
    <w:rsid w:val="00AF37FB"/>
    <w:rsid w:val="00AF400F"/>
    <w:rsid w:val="00AF42F2"/>
    <w:rsid w:val="00AF43C9"/>
    <w:rsid w:val="00AF4478"/>
    <w:rsid w:val="00AF49EB"/>
    <w:rsid w:val="00AF4A63"/>
    <w:rsid w:val="00AF4ABA"/>
    <w:rsid w:val="00AF4C48"/>
    <w:rsid w:val="00AF4DC7"/>
    <w:rsid w:val="00AF53E0"/>
    <w:rsid w:val="00AF5591"/>
    <w:rsid w:val="00AF566B"/>
    <w:rsid w:val="00AF56E3"/>
    <w:rsid w:val="00AF59B3"/>
    <w:rsid w:val="00AF5FA8"/>
    <w:rsid w:val="00AF63A2"/>
    <w:rsid w:val="00AF63C4"/>
    <w:rsid w:val="00AF654F"/>
    <w:rsid w:val="00AF68D3"/>
    <w:rsid w:val="00AF68E6"/>
    <w:rsid w:val="00AF6DB8"/>
    <w:rsid w:val="00AF765D"/>
    <w:rsid w:val="00AF7776"/>
    <w:rsid w:val="00AF778C"/>
    <w:rsid w:val="00AF7AB9"/>
    <w:rsid w:val="00AF7D45"/>
    <w:rsid w:val="00AF7E34"/>
    <w:rsid w:val="00AF7F7A"/>
    <w:rsid w:val="00B0033D"/>
    <w:rsid w:val="00B0060A"/>
    <w:rsid w:val="00B0063A"/>
    <w:rsid w:val="00B00663"/>
    <w:rsid w:val="00B007BB"/>
    <w:rsid w:val="00B00BFE"/>
    <w:rsid w:val="00B00E3D"/>
    <w:rsid w:val="00B0117F"/>
    <w:rsid w:val="00B01339"/>
    <w:rsid w:val="00B014D4"/>
    <w:rsid w:val="00B017B0"/>
    <w:rsid w:val="00B01900"/>
    <w:rsid w:val="00B01B87"/>
    <w:rsid w:val="00B01D21"/>
    <w:rsid w:val="00B01D79"/>
    <w:rsid w:val="00B0221F"/>
    <w:rsid w:val="00B025EF"/>
    <w:rsid w:val="00B02735"/>
    <w:rsid w:val="00B028BB"/>
    <w:rsid w:val="00B02C1F"/>
    <w:rsid w:val="00B02D21"/>
    <w:rsid w:val="00B03071"/>
    <w:rsid w:val="00B03375"/>
    <w:rsid w:val="00B033E5"/>
    <w:rsid w:val="00B03513"/>
    <w:rsid w:val="00B0359F"/>
    <w:rsid w:val="00B03858"/>
    <w:rsid w:val="00B03863"/>
    <w:rsid w:val="00B0394F"/>
    <w:rsid w:val="00B03A63"/>
    <w:rsid w:val="00B03CF8"/>
    <w:rsid w:val="00B040A2"/>
    <w:rsid w:val="00B042DC"/>
    <w:rsid w:val="00B046FB"/>
    <w:rsid w:val="00B04784"/>
    <w:rsid w:val="00B04B35"/>
    <w:rsid w:val="00B04B99"/>
    <w:rsid w:val="00B04CF8"/>
    <w:rsid w:val="00B04D14"/>
    <w:rsid w:val="00B04DC9"/>
    <w:rsid w:val="00B0505E"/>
    <w:rsid w:val="00B05084"/>
    <w:rsid w:val="00B05328"/>
    <w:rsid w:val="00B05518"/>
    <w:rsid w:val="00B05B09"/>
    <w:rsid w:val="00B05D00"/>
    <w:rsid w:val="00B05E9E"/>
    <w:rsid w:val="00B05F47"/>
    <w:rsid w:val="00B06052"/>
    <w:rsid w:val="00B0608A"/>
    <w:rsid w:val="00B065B6"/>
    <w:rsid w:val="00B06692"/>
    <w:rsid w:val="00B06A53"/>
    <w:rsid w:val="00B06BD0"/>
    <w:rsid w:val="00B06F31"/>
    <w:rsid w:val="00B06FD1"/>
    <w:rsid w:val="00B07258"/>
    <w:rsid w:val="00B07288"/>
    <w:rsid w:val="00B07559"/>
    <w:rsid w:val="00B07D91"/>
    <w:rsid w:val="00B07E9D"/>
    <w:rsid w:val="00B10073"/>
    <w:rsid w:val="00B10191"/>
    <w:rsid w:val="00B104C3"/>
    <w:rsid w:val="00B106DE"/>
    <w:rsid w:val="00B1091D"/>
    <w:rsid w:val="00B10989"/>
    <w:rsid w:val="00B10B92"/>
    <w:rsid w:val="00B10DF8"/>
    <w:rsid w:val="00B10E44"/>
    <w:rsid w:val="00B10F06"/>
    <w:rsid w:val="00B10FAE"/>
    <w:rsid w:val="00B11176"/>
    <w:rsid w:val="00B114F1"/>
    <w:rsid w:val="00B11708"/>
    <w:rsid w:val="00B119BF"/>
    <w:rsid w:val="00B11A82"/>
    <w:rsid w:val="00B11DD1"/>
    <w:rsid w:val="00B11E2A"/>
    <w:rsid w:val="00B11E8A"/>
    <w:rsid w:val="00B12499"/>
    <w:rsid w:val="00B124E7"/>
    <w:rsid w:val="00B126FA"/>
    <w:rsid w:val="00B129A4"/>
    <w:rsid w:val="00B13019"/>
    <w:rsid w:val="00B13141"/>
    <w:rsid w:val="00B13310"/>
    <w:rsid w:val="00B13694"/>
    <w:rsid w:val="00B13925"/>
    <w:rsid w:val="00B1396D"/>
    <w:rsid w:val="00B13C12"/>
    <w:rsid w:val="00B13D7A"/>
    <w:rsid w:val="00B13D81"/>
    <w:rsid w:val="00B13EC6"/>
    <w:rsid w:val="00B14010"/>
    <w:rsid w:val="00B140EE"/>
    <w:rsid w:val="00B14BF9"/>
    <w:rsid w:val="00B14D11"/>
    <w:rsid w:val="00B14DBC"/>
    <w:rsid w:val="00B14E11"/>
    <w:rsid w:val="00B14FA1"/>
    <w:rsid w:val="00B14FC0"/>
    <w:rsid w:val="00B1517C"/>
    <w:rsid w:val="00B15A04"/>
    <w:rsid w:val="00B15B8D"/>
    <w:rsid w:val="00B15C54"/>
    <w:rsid w:val="00B15CBE"/>
    <w:rsid w:val="00B15D37"/>
    <w:rsid w:val="00B15D8D"/>
    <w:rsid w:val="00B160BE"/>
    <w:rsid w:val="00B161DC"/>
    <w:rsid w:val="00B16283"/>
    <w:rsid w:val="00B163B9"/>
    <w:rsid w:val="00B1689F"/>
    <w:rsid w:val="00B16AE5"/>
    <w:rsid w:val="00B16B8E"/>
    <w:rsid w:val="00B16CA1"/>
    <w:rsid w:val="00B16E46"/>
    <w:rsid w:val="00B17115"/>
    <w:rsid w:val="00B17179"/>
    <w:rsid w:val="00B1744C"/>
    <w:rsid w:val="00B174E6"/>
    <w:rsid w:val="00B17553"/>
    <w:rsid w:val="00B175D9"/>
    <w:rsid w:val="00B17643"/>
    <w:rsid w:val="00B17850"/>
    <w:rsid w:val="00B17958"/>
    <w:rsid w:val="00B17A2E"/>
    <w:rsid w:val="00B17E22"/>
    <w:rsid w:val="00B17F19"/>
    <w:rsid w:val="00B201A4"/>
    <w:rsid w:val="00B201D1"/>
    <w:rsid w:val="00B2023C"/>
    <w:rsid w:val="00B2034B"/>
    <w:rsid w:val="00B20877"/>
    <w:rsid w:val="00B20A4A"/>
    <w:rsid w:val="00B20D24"/>
    <w:rsid w:val="00B20FA0"/>
    <w:rsid w:val="00B20FC2"/>
    <w:rsid w:val="00B2100D"/>
    <w:rsid w:val="00B21188"/>
    <w:rsid w:val="00B213A6"/>
    <w:rsid w:val="00B213B8"/>
    <w:rsid w:val="00B21618"/>
    <w:rsid w:val="00B21622"/>
    <w:rsid w:val="00B216F6"/>
    <w:rsid w:val="00B21C8F"/>
    <w:rsid w:val="00B21DBB"/>
    <w:rsid w:val="00B22195"/>
    <w:rsid w:val="00B2232C"/>
    <w:rsid w:val="00B2238E"/>
    <w:rsid w:val="00B224D2"/>
    <w:rsid w:val="00B225EC"/>
    <w:rsid w:val="00B226B2"/>
    <w:rsid w:val="00B2278D"/>
    <w:rsid w:val="00B22C03"/>
    <w:rsid w:val="00B23060"/>
    <w:rsid w:val="00B23318"/>
    <w:rsid w:val="00B23523"/>
    <w:rsid w:val="00B235B0"/>
    <w:rsid w:val="00B235DD"/>
    <w:rsid w:val="00B237D3"/>
    <w:rsid w:val="00B2384C"/>
    <w:rsid w:val="00B23C0A"/>
    <w:rsid w:val="00B23DA3"/>
    <w:rsid w:val="00B23DCF"/>
    <w:rsid w:val="00B23E88"/>
    <w:rsid w:val="00B2448E"/>
    <w:rsid w:val="00B248BF"/>
    <w:rsid w:val="00B248CB"/>
    <w:rsid w:val="00B249A2"/>
    <w:rsid w:val="00B24DF6"/>
    <w:rsid w:val="00B24EEC"/>
    <w:rsid w:val="00B2560A"/>
    <w:rsid w:val="00B2568F"/>
    <w:rsid w:val="00B25749"/>
    <w:rsid w:val="00B2588B"/>
    <w:rsid w:val="00B2596F"/>
    <w:rsid w:val="00B25ACB"/>
    <w:rsid w:val="00B25FC6"/>
    <w:rsid w:val="00B260E9"/>
    <w:rsid w:val="00B2615E"/>
    <w:rsid w:val="00B26185"/>
    <w:rsid w:val="00B261B8"/>
    <w:rsid w:val="00B26293"/>
    <w:rsid w:val="00B26364"/>
    <w:rsid w:val="00B265CE"/>
    <w:rsid w:val="00B266E7"/>
    <w:rsid w:val="00B267A8"/>
    <w:rsid w:val="00B26927"/>
    <w:rsid w:val="00B2696C"/>
    <w:rsid w:val="00B26F15"/>
    <w:rsid w:val="00B26F17"/>
    <w:rsid w:val="00B2742F"/>
    <w:rsid w:val="00B27596"/>
    <w:rsid w:val="00B2760F"/>
    <w:rsid w:val="00B27A61"/>
    <w:rsid w:val="00B27B1E"/>
    <w:rsid w:val="00B27F63"/>
    <w:rsid w:val="00B3007F"/>
    <w:rsid w:val="00B30212"/>
    <w:rsid w:val="00B3031A"/>
    <w:rsid w:val="00B30501"/>
    <w:rsid w:val="00B30626"/>
    <w:rsid w:val="00B3066D"/>
    <w:rsid w:val="00B3069A"/>
    <w:rsid w:val="00B30B3C"/>
    <w:rsid w:val="00B30BCD"/>
    <w:rsid w:val="00B30C1E"/>
    <w:rsid w:val="00B30D6B"/>
    <w:rsid w:val="00B3111D"/>
    <w:rsid w:val="00B312A1"/>
    <w:rsid w:val="00B31497"/>
    <w:rsid w:val="00B31538"/>
    <w:rsid w:val="00B315F1"/>
    <w:rsid w:val="00B3190E"/>
    <w:rsid w:val="00B31C9E"/>
    <w:rsid w:val="00B31D77"/>
    <w:rsid w:val="00B3246C"/>
    <w:rsid w:val="00B326E4"/>
    <w:rsid w:val="00B32717"/>
    <w:rsid w:val="00B32B7B"/>
    <w:rsid w:val="00B32D7B"/>
    <w:rsid w:val="00B32DB1"/>
    <w:rsid w:val="00B32E4B"/>
    <w:rsid w:val="00B33854"/>
    <w:rsid w:val="00B338CA"/>
    <w:rsid w:val="00B33A1B"/>
    <w:rsid w:val="00B33A89"/>
    <w:rsid w:val="00B33C08"/>
    <w:rsid w:val="00B340B8"/>
    <w:rsid w:val="00B34675"/>
    <w:rsid w:val="00B34879"/>
    <w:rsid w:val="00B34B03"/>
    <w:rsid w:val="00B34C15"/>
    <w:rsid w:val="00B34D8F"/>
    <w:rsid w:val="00B34EBE"/>
    <w:rsid w:val="00B34F35"/>
    <w:rsid w:val="00B34FE2"/>
    <w:rsid w:val="00B350D2"/>
    <w:rsid w:val="00B35166"/>
    <w:rsid w:val="00B357D8"/>
    <w:rsid w:val="00B35825"/>
    <w:rsid w:val="00B360F4"/>
    <w:rsid w:val="00B36205"/>
    <w:rsid w:val="00B36501"/>
    <w:rsid w:val="00B3656B"/>
    <w:rsid w:val="00B367EA"/>
    <w:rsid w:val="00B36986"/>
    <w:rsid w:val="00B36A00"/>
    <w:rsid w:val="00B36AD6"/>
    <w:rsid w:val="00B36C38"/>
    <w:rsid w:val="00B36CB2"/>
    <w:rsid w:val="00B36D27"/>
    <w:rsid w:val="00B36DBA"/>
    <w:rsid w:val="00B36EC0"/>
    <w:rsid w:val="00B37263"/>
    <w:rsid w:val="00B3728F"/>
    <w:rsid w:val="00B372E8"/>
    <w:rsid w:val="00B372FB"/>
    <w:rsid w:val="00B374BD"/>
    <w:rsid w:val="00B37645"/>
    <w:rsid w:val="00B37713"/>
    <w:rsid w:val="00B37760"/>
    <w:rsid w:val="00B3785E"/>
    <w:rsid w:val="00B3792B"/>
    <w:rsid w:val="00B37B05"/>
    <w:rsid w:val="00B37BFC"/>
    <w:rsid w:val="00B37DEA"/>
    <w:rsid w:val="00B37E13"/>
    <w:rsid w:val="00B402D7"/>
    <w:rsid w:val="00B40358"/>
    <w:rsid w:val="00B40467"/>
    <w:rsid w:val="00B40470"/>
    <w:rsid w:val="00B40687"/>
    <w:rsid w:val="00B40D86"/>
    <w:rsid w:val="00B41614"/>
    <w:rsid w:val="00B4166F"/>
    <w:rsid w:val="00B41BDB"/>
    <w:rsid w:val="00B41C30"/>
    <w:rsid w:val="00B41DBF"/>
    <w:rsid w:val="00B41E4C"/>
    <w:rsid w:val="00B41EC0"/>
    <w:rsid w:val="00B41EF6"/>
    <w:rsid w:val="00B42341"/>
    <w:rsid w:val="00B424BF"/>
    <w:rsid w:val="00B42641"/>
    <w:rsid w:val="00B42851"/>
    <w:rsid w:val="00B42B79"/>
    <w:rsid w:val="00B42F80"/>
    <w:rsid w:val="00B43107"/>
    <w:rsid w:val="00B434C9"/>
    <w:rsid w:val="00B435CB"/>
    <w:rsid w:val="00B435EB"/>
    <w:rsid w:val="00B43651"/>
    <w:rsid w:val="00B439B1"/>
    <w:rsid w:val="00B43B7B"/>
    <w:rsid w:val="00B441E0"/>
    <w:rsid w:val="00B44DC8"/>
    <w:rsid w:val="00B44FFB"/>
    <w:rsid w:val="00B45112"/>
    <w:rsid w:val="00B4552B"/>
    <w:rsid w:val="00B45635"/>
    <w:rsid w:val="00B45748"/>
    <w:rsid w:val="00B4592D"/>
    <w:rsid w:val="00B459AC"/>
    <w:rsid w:val="00B459DF"/>
    <w:rsid w:val="00B45AEA"/>
    <w:rsid w:val="00B45E03"/>
    <w:rsid w:val="00B45F93"/>
    <w:rsid w:val="00B463B6"/>
    <w:rsid w:val="00B465EC"/>
    <w:rsid w:val="00B46C03"/>
    <w:rsid w:val="00B46F46"/>
    <w:rsid w:val="00B470D4"/>
    <w:rsid w:val="00B47272"/>
    <w:rsid w:val="00B47406"/>
    <w:rsid w:val="00B4764E"/>
    <w:rsid w:val="00B4777B"/>
    <w:rsid w:val="00B47AB3"/>
    <w:rsid w:val="00B47C65"/>
    <w:rsid w:val="00B47C6E"/>
    <w:rsid w:val="00B47D37"/>
    <w:rsid w:val="00B505C8"/>
    <w:rsid w:val="00B507BE"/>
    <w:rsid w:val="00B50A94"/>
    <w:rsid w:val="00B50AA4"/>
    <w:rsid w:val="00B50CB0"/>
    <w:rsid w:val="00B50DB8"/>
    <w:rsid w:val="00B51194"/>
    <w:rsid w:val="00B51330"/>
    <w:rsid w:val="00B51467"/>
    <w:rsid w:val="00B51759"/>
    <w:rsid w:val="00B51785"/>
    <w:rsid w:val="00B517AD"/>
    <w:rsid w:val="00B518C2"/>
    <w:rsid w:val="00B51A09"/>
    <w:rsid w:val="00B51B60"/>
    <w:rsid w:val="00B51D37"/>
    <w:rsid w:val="00B51D74"/>
    <w:rsid w:val="00B51FFB"/>
    <w:rsid w:val="00B52036"/>
    <w:rsid w:val="00B522F8"/>
    <w:rsid w:val="00B5239B"/>
    <w:rsid w:val="00B5249C"/>
    <w:rsid w:val="00B527F9"/>
    <w:rsid w:val="00B52843"/>
    <w:rsid w:val="00B528E5"/>
    <w:rsid w:val="00B52EE2"/>
    <w:rsid w:val="00B534A8"/>
    <w:rsid w:val="00B53654"/>
    <w:rsid w:val="00B53717"/>
    <w:rsid w:val="00B537D7"/>
    <w:rsid w:val="00B53882"/>
    <w:rsid w:val="00B53905"/>
    <w:rsid w:val="00B539BB"/>
    <w:rsid w:val="00B53A79"/>
    <w:rsid w:val="00B53B95"/>
    <w:rsid w:val="00B53D05"/>
    <w:rsid w:val="00B53E49"/>
    <w:rsid w:val="00B5450D"/>
    <w:rsid w:val="00B545BB"/>
    <w:rsid w:val="00B546A4"/>
    <w:rsid w:val="00B546DB"/>
    <w:rsid w:val="00B54830"/>
    <w:rsid w:val="00B548F5"/>
    <w:rsid w:val="00B54A22"/>
    <w:rsid w:val="00B54A24"/>
    <w:rsid w:val="00B54B5B"/>
    <w:rsid w:val="00B54C0E"/>
    <w:rsid w:val="00B54D82"/>
    <w:rsid w:val="00B551BE"/>
    <w:rsid w:val="00B5524A"/>
    <w:rsid w:val="00B5562E"/>
    <w:rsid w:val="00B55862"/>
    <w:rsid w:val="00B5586D"/>
    <w:rsid w:val="00B558ED"/>
    <w:rsid w:val="00B55902"/>
    <w:rsid w:val="00B55ACD"/>
    <w:rsid w:val="00B55B1F"/>
    <w:rsid w:val="00B55CBA"/>
    <w:rsid w:val="00B55D65"/>
    <w:rsid w:val="00B560E9"/>
    <w:rsid w:val="00B56305"/>
    <w:rsid w:val="00B56331"/>
    <w:rsid w:val="00B567E4"/>
    <w:rsid w:val="00B56A1C"/>
    <w:rsid w:val="00B56F07"/>
    <w:rsid w:val="00B57000"/>
    <w:rsid w:val="00B570FE"/>
    <w:rsid w:val="00B57303"/>
    <w:rsid w:val="00B57597"/>
    <w:rsid w:val="00B5771C"/>
    <w:rsid w:val="00B57AE7"/>
    <w:rsid w:val="00B57D38"/>
    <w:rsid w:val="00B57DA3"/>
    <w:rsid w:val="00B57EFD"/>
    <w:rsid w:val="00B60282"/>
    <w:rsid w:val="00B603D0"/>
    <w:rsid w:val="00B6045C"/>
    <w:rsid w:val="00B6070E"/>
    <w:rsid w:val="00B6084F"/>
    <w:rsid w:val="00B60939"/>
    <w:rsid w:val="00B60A14"/>
    <w:rsid w:val="00B60AFD"/>
    <w:rsid w:val="00B60B18"/>
    <w:rsid w:val="00B60D5F"/>
    <w:rsid w:val="00B60D8C"/>
    <w:rsid w:val="00B60E04"/>
    <w:rsid w:val="00B60F15"/>
    <w:rsid w:val="00B61356"/>
    <w:rsid w:val="00B615BC"/>
    <w:rsid w:val="00B61943"/>
    <w:rsid w:val="00B619D0"/>
    <w:rsid w:val="00B61D3B"/>
    <w:rsid w:val="00B61D43"/>
    <w:rsid w:val="00B61DD3"/>
    <w:rsid w:val="00B62190"/>
    <w:rsid w:val="00B62625"/>
    <w:rsid w:val="00B62715"/>
    <w:rsid w:val="00B628DB"/>
    <w:rsid w:val="00B62A22"/>
    <w:rsid w:val="00B62AA9"/>
    <w:rsid w:val="00B62B24"/>
    <w:rsid w:val="00B62C9D"/>
    <w:rsid w:val="00B62CB7"/>
    <w:rsid w:val="00B62ED6"/>
    <w:rsid w:val="00B62FB6"/>
    <w:rsid w:val="00B63077"/>
    <w:rsid w:val="00B6315F"/>
    <w:rsid w:val="00B63374"/>
    <w:rsid w:val="00B633F6"/>
    <w:rsid w:val="00B63789"/>
    <w:rsid w:val="00B639BC"/>
    <w:rsid w:val="00B63A23"/>
    <w:rsid w:val="00B63FBC"/>
    <w:rsid w:val="00B641E2"/>
    <w:rsid w:val="00B643EE"/>
    <w:rsid w:val="00B64528"/>
    <w:rsid w:val="00B64590"/>
    <w:rsid w:val="00B64A11"/>
    <w:rsid w:val="00B655C7"/>
    <w:rsid w:val="00B655C9"/>
    <w:rsid w:val="00B65611"/>
    <w:rsid w:val="00B6561B"/>
    <w:rsid w:val="00B658F9"/>
    <w:rsid w:val="00B65B8E"/>
    <w:rsid w:val="00B65E59"/>
    <w:rsid w:val="00B65ED5"/>
    <w:rsid w:val="00B65F6A"/>
    <w:rsid w:val="00B66043"/>
    <w:rsid w:val="00B660F3"/>
    <w:rsid w:val="00B66502"/>
    <w:rsid w:val="00B6661F"/>
    <w:rsid w:val="00B66868"/>
    <w:rsid w:val="00B66ACF"/>
    <w:rsid w:val="00B66BCE"/>
    <w:rsid w:val="00B66C73"/>
    <w:rsid w:val="00B66DAA"/>
    <w:rsid w:val="00B66E18"/>
    <w:rsid w:val="00B66F1D"/>
    <w:rsid w:val="00B66F82"/>
    <w:rsid w:val="00B6701B"/>
    <w:rsid w:val="00B674DF"/>
    <w:rsid w:val="00B67B83"/>
    <w:rsid w:val="00B700DA"/>
    <w:rsid w:val="00B70108"/>
    <w:rsid w:val="00B70A3A"/>
    <w:rsid w:val="00B70AC0"/>
    <w:rsid w:val="00B70C43"/>
    <w:rsid w:val="00B70D32"/>
    <w:rsid w:val="00B70D86"/>
    <w:rsid w:val="00B70E8E"/>
    <w:rsid w:val="00B71182"/>
    <w:rsid w:val="00B7124F"/>
    <w:rsid w:val="00B7134A"/>
    <w:rsid w:val="00B71914"/>
    <w:rsid w:val="00B71ADB"/>
    <w:rsid w:val="00B71BB4"/>
    <w:rsid w:val="00B71C59"/>
    <w:rsid w:val="00B71D81"/>
    <w:rsid w:val="00B72234"/>
    <w:rsid w:val="00B72927"/>
    <w:rsid w:val="00B72C60"/>
    <w:rsid w:val="00B72D7B"/>
    <w:rsid w:val="00B72F8D"/>
    <w:rsid w:val="00B731BB"/>
    <w:rsid w:val="00B731EA"/>
    <w:rsid w:val="00B73422"/>
    <w:rsid w:val="00B73441"/>
    <w:rsid w:val="00B737D3"/>
    <w:rsid w:val="00B7394C"/>
    <w:rsid w:val="00B73AB8"/>
    <w:rsid w:val="00B73C66"/>
    <w:rsid w:val="00B74762"/>
    <w:rsid w:val="00B748F0"/>
    <w:rsid w:val="00B74BE0"/>
    <w:rsid w:val="00B74C9E"/>
    <w:rsid w:val="00B74DEE"/>
    <w:rsid w:val="00B74E7D"/>
    <w:rsid w:val="00B74F3F"/>
    <w:rsid w:val="00B74F4B"/>
    <w:rsid w:val="00B75095"/>
    <w:rsid w:val="00B75103"/>
    <w:rsid w:val="00B751EB"/>
    <w:rsid w:val="00B75487"/>
    <w:rsid w:val="00B75CE7"/>
    <w:rsid w:val="00B75EE4"/>
    <w:rsid w:val="00B76093"/>
    <w:rsid w:val="00B763D6"/>
    <w:rsid w:val="00B766A0"/>
    <w:rsid w:val="00B76734"/>
    <w:rsid w:val="00B7697A"/>
    <w:rsid w:val="00B76A09"/>
    <w:rsid w:val="00B76BD7"/>
    <w:rsid w:val="00B76C06"/>
    <w:rsid w:val="00B76C92"/>
    <w:rsid w:val="00B77038"/>
    <w:rsid w:val="00B770C1"/>
    <w:rsid w:val="00B771B3"/>
    <w:rsid w:val="00B7780E"/>
    <w:rsid w:val="00B77A66"/>
    <w:rsid w:val="00B77DE3"/>
    <w:rsid w:val="00B77FC0"/>
    <w:rsid w:val="00B80246"/>
    <w:rsid w:val="00B80515"/>
    <w:rsid w:val="00B8056E"/>
    <w:rsid w:val="00B80935"/>
    <w:rsid w:val="00B80A05"/>
    <w:rsid w:val="00B80C94"/>
    <w:rsid w:val="00B80EFD"/>
    <w:rsid w:val="00B810AE"/>
    <w:rsid w:val="00B81358"/>
    <w:rsid w:val="00B81431"/>
    <w:rsid w:val="00B8149A"/>
    <w:rsid w:val="00B818A4"/>
    <w:rsid w:val="00B818E3"/>
    <w:rsid w:val="00B81B65"/>
    <w:rsid w:val="00B82127"/>
    <w:rsid w:val="00B825C9"/>
    <w:rsid w:val="00B826C6"/>
    <w:rsid w:val="00B82790"/>
    <w:rsid w:val="00B8288F"/>
    <w:rsid w:val="00B82A2E"/>
    <w:rsid w:val="00B82ACF"/>
    <w:rsid w:val="00B82AF2"/>
    <w:rsid w:val="00B82FB9"/>
    <w:rsid w:val="00B82FF8"/>
    <w:rsid w:val="00B83564"/>
    <w:rsid w:val="00B835CF"/>
    <w:rsid w:val="00B83652"/>
    <w:rsid w:val="00B8371D"/>
    <w:rsid w:val="00B83739"/>
    <w:rsid w:val="00B838C4"/>
    <w:rsid w:val="00B83924"/>
    <w:rsid w:val="00B83B26"/>
    <w:rsid w:val="00B83BBA"/>
    <w:rsid w:val="00B83EAB"/>
    <w:rsid w:val="00B83F09"/>
    <w:rsid w:val="00B84117"/>
    <w:rsid w:val="00B84135"/>
    <w:rsid w:val="00B84568"/>
    <w:rsid w:val="00B845AC"/>
    <w:rsid w:val="00B8490D"/>
    <w:rsid w:val="00B84E89"/>
    <w:rsid w:val="00B8503D"/>
    <w:rsid w:val="00B850C6"/>
    <w:rsid w:val="00B851FB"/>
    <w:rsid w:val="00B852A9"/>
    <w:rsid w:val="00B858F0"/>
    <w:rsid w:val="00B859C7"/>
    <w:rsid w:val="00B85AA2"/>
    <w:rsid w:val="00B85D31"/>
    <w:rsid w:val="00B85FA1"/>
    <w:rsid w:val="00B86012"/>
    <w:rsid w:val="00B860C7"/>
    <w:rsid w:val="00B86368"/>
    <w:rsid w:val="00B86402"/>
    <w:rsid w:val="00B8649C"/>
    <w:rsid w:val="00B86694"/>
    <w:rsid w:val="00B8695D"/>
    <w:rsid w:val="00B86BA5"/>
    <w:rsid w:val="00B86C77"/>
    <w:rsid w:val="00B87298"/>
    <w:rsid w:val="00B874AE"/>
    <w:rsid w:val="00B87592"/>
    <w:rsid w:val="00B876E7"/>
    <w:rsid w:val="00B87A3C"/>
    <w:rsid w:val="00B87C85"/>
    <w:rsid w:val="00B87F0A"/>
    <w:rsid w:val="00B90232"/>
    <w:rsid w:val="00B9029F"/>
    <w:rsid w:val="00B902D5"/>
    <w:rsid w:val="00B9082E"/>
    <w:rsid w:val="00B90B75"/>
    <w:rsid w:val="00B9124A"/>
    <w:rsid w:val="00B912D7"/>
    <w:rsid w:val="00B9139B"/>
    <w:rsid w:val="00B91722"/>
    <w:rsid w:val="00B917B2"/>
    <w:rsid w:val="00B91A5F"/>
    <w:rsid w:val="00B91D93"/>
    <w:rsid w:val="00B921B0"/>
    <w:rsid w:val="00B92390"/>
    <w:rsid w:val="00B92432"/>
    <w:rsid w:val="00B92626"/>
    <w:rsid w:val="00B92C60"/>
    <w:rsid w:val="00B92D0B"/>
    <w:rsid w:val="00B92E6C"/>
    <w:rsid w:val="00B930BC"/>
    <w:rsid w:val="00B93160"/>
    <w:rsid w:val="00B93182"/>
    <w:rsid w:val="00B931FA"/>
    <w:rsid w:val="00B9331D"/>
    <w:rsid w:val="00B937AD"/>
    <w:rsid w:val="00B938A2"/>
    <w:rsid w:val="00B9394B"/>
    <w:rsid w:val="00B93A68"/>
    <w:rsid w:val="00B93BF3"/>
    <w:rsid w:val="00B93CF3"/>
    <w:rsid w:val="00B9405F"/>
    <w:rsid w:val="00B943C7"/>
    <w:rsid w:val="00B94634"/>
    <w:rsid w:val="00B947CF"/>
    <w:rsid w:val="00B94945"/>
    <w:rsid w:val="00B94A07"/>
    <w:rsid w:val="00B94B06"/>
    <w:rsid w:val="00B94B3B"/>
    <w:rsid w:val="00B94D77"/>
    <w:rsid w:val="00B94DD6"/>
    <w:rsid w:val="00B94FC7"/>
    <w:rsid w:val="00B94FDA"/>
    <w:rsid w:val="00B957BC"/>
    <w:rsid w:val="00B95B6B"/>
    <w:rsid w:val="00B960D9"/>
    <w:rsid w:val="00B9641D"/>
    <w:rsid w:val="00B967CE"/>
    <w:rsid w:val="00B96A0D"/>
    <w:rsid w:val="00B96C31"/>
    <w:rsid w:val="00B96D85"/>
    <w:rsid w:val="00B96FBD"/>
    <w:rsid w:val="00B97134"/>
    <w:rsid w:val="00B97291"/>
    <w:rsid w:val="00B973FB"/>
    <w:rsid w:val="00B9772D"/>
    <w:rsid w:val="00B97C23"/>
    <w:rsid w:val="00B97FDB"/>
    <w:rsid w:val="00BA02BB"/>
    <w:rsid w:val="00BA0467"/>
    <w:rsid w:val="00BA07AD"/>
    <w:rsid w:val="00BA08F3"/>
    <w:rsid w:val="00BA0AE4"/>
    <w:rsid w:val="00BA0FF0"/>
    <w:rsid w:val="00BA1128"/>
    <w:rsid w:val="00BA1132"/>
    <w:rsid w:val="00BA123F"/>
    <w:rsid w:val="00BA14CE"/>
    <w:rsid w:val="00BA1531"/>
    <w:rsid w:val="00BA1668"/>
    <w:rsid w:val="00BA1799"/>
    <w:rsid w:val="00BA19DC"/>
    <w:rsid w:val="00BA1ACE"/>
    <w:rsid w:val="00BA1D79"/>
    <w:rsid w:val="00BA1E04"/>
    <w:rsid w:val="00BA206B"/>
    <w:rsid w:val="00BA215E"/>
    <w:rsid w:val="00BA21C4"/>
    <w:rsid w:val="00BA28BB"/>
    <w:rsid w:val="00BA2BFA"/>
    <w:rsid w:val="00BA2F51"/>
    <w:rsid w:val="00BA30B9"/>
    <w:rsid w:val="00BA322D"/>
    <w:rsid w:val="00BA3397"/>
    <w:rsid w:val="00BA37C0"/>
    <w:rsid w:val="00BA3B02"/>
    <w:rsid w:val="00BA3D54"/>
    <w:rsid w:val="00BA3D83"/>
    <w:rsid w:val="00BA3E97"/>
    <w:rsid w:val="00BA45AF"/>
    <w:rsid w:val="00BA469B"/>
    <w:rsid w:val="00BA47CF"/>
    <w:rsid w:val="00BA4BEB"/>
    <w:rsid w:val="00BA4E6F"/>
    <w:rsid w:val="00BA509A"/>
    <w:rsid w:val="00BA53F2"/>
    <w:rsid w:val="00BA54DD"/>
    <w:rsid w:val="00BA5C21"/>
    <w:rsid w:val="00BA5F2A"/>
    <w:rsid w:val="00BA60D7"/>
    <w:rsid w:val="00BA6123"/>
    <w:rsid w:val="00BA6157"/>
    <w:rsid w:val="00BA63FA"/>
    <w:rsid w:val="00BA6719"/>
    <w:rsid w:val="00BA6DAC"/>
    <w:rsid w:val="00BA6ECD"/>
    <w:rsid w:val="00BA7607"/>
    <w:rsid w:val="00BA7E85"/>
    <w:rsid w:val="00BB00B3"/>
    <w:rsid w:val="00BB0142"/>
    <w:rsid w:val="00BB0183"/>
    <w:rsid w:val="00BB051E"/>
    <w:rsid w:val="00BB059C"/>
    <w:rsid w:val="00BB059F"/>
    <w:rsid w:val="00BB0BDD"/>
    <w:rsid w:val="00BB0ECD"/>
    <w:rsid w:val="00BB1262"/>
    <w:rsid w:val="00BB135F"/>
    <w:rsid w:val="00BB14D0"/>
    <w:rsid w:val="00BB176C"/>
    <w:rsid w:val="00BB1874"/>
    <w:rsid w:val="00BB18F7"/>
    <w:rsid w:val="00BB1924"/>
    <w:rsid w:val="00BB1B37"/>
    <w:rsid w:val="00BB1E06"/>
    <w:rsid w:val="00BB21B5"/>
    <w:rsid w:val="00BB2300"/>
    <w:rsid w:val="00BB242D"/>
    <w:rsid w:val="00BB2942"/>
    <w:rsid w:val="00BB29AF"/>
    <w:rsid w:val="00BB2A73"/>
    <w:rsid w:val="00BB2DB2"/>
    <w:rsid w:val="00BB2E5F"/>
    <w:rsid w:val="00BB2FD4"/>
    <w:rsid w:val="00BB39B8"/>
    <w:rsid w:val="00BB3A45"/>
    <w:rsid w:val="00BB4549"/>
    <w:rsid w:val="00BB4ACC"/>
    <w:rsid w:val="00BB4BAD"/>
    <w:rsid w:val="00BB4C02"/>
    <w:rsid w:val="00BB4C63"/>
    <w:rsid w:val="00BB4CF9"/>
    <w:rsid w:val="00BB4E9D"/>
    <w:rsid w:val="00BB4EA4"/>
    <w:rsid w:val="00BB54D5"/>
    <w:rsid w:val="00BB54FD"/>
    <w:rsid w:val="00BB5C4A"/>
    <w:rsid w:val="00BB5E51"/>
    <w:rsid w:val="00BB6232"/>
    <w:rsid w:val="00BB6B46"/>
    <w:rsid w:val="00BB6B92"/>
    <w:rsid w:val="00BB6DF9"/>
    <w:rsid w:val="00BB703E"/>
    <w:rsid w:val="00BB7306"/>
    <w:rsid w:val="00BB732D"/>
    <w:rsid w:val="00BB7405"/>
    <w:rsid w:val="00BB7428"/>
    <w:rsid w:val="00BB7567"/>
    <w:rsid w:val="00BB760F"/>
    <w:rsid w:val="00BB76A6"/>
    <w:rsid w:val="00BB7833"/>
    <w:rsid w:val="00BB790F"/>
    <w:rsid w:val="00BB7AF4"/>
    <w:rsid w:val="00BB7C4C"/>
    <w:rsid w:val="00BB7EC3"/>
    <w:rsid w:val="00BC0616"/>
    <w:rsid w:val="00BC0898"/>
    <w:rsid w:val="00BC0B22"/>
    <w:rsid w:val="00BC0B6F"/>
    <w:rsid w:val="00BC0F05"/>
    <w:rsid w:val="00BC0F73"/>
    <w:rsid w:val="00BC0FA3"/>
    <w:rsid w:val="00BC1078"/>
    <w:rsid w:val="00BC1112"/>
    <w:rsid w:val="00BC12C2"/>
    <w:rsid w:val="00BC1522"/>
    <w:rsid w:val="00BC1589"/>
    <w:rsid w:val="00BC16FB"/>
    <w:rsid w:val="00BC1B49"/>
    <w:rsid w:val="00BC1B8F"/>
    <w:rsid w:val="00BC20D3"/>
    <w:rsid w:val="00BC21F3"/>
    <w:rsid w:val="00BC22B8"/>
    <w:rsid w:val="00BC25C0"/>
    <w:rsid w:val="00BC2955"/>
    <w:rsid w:val="00BC2994"/>
    <w:rsid w:val="00BC2C80"/>
    <w:rsid w:val="00BC2EAF"/>
    <w:rsid w:val="00BC3099"/>
    <w:rsid w:val="00BC314A"/>
    <w:rsid w:val="00BC31BD"/>
    <w:rsid w:val="00BC3285"/>
    <w:rsid w:val="00BC3321"/>
    <w:rsid w:val="00BC3501"/>
    <w:rsid w:val="00BC3631"/>
    <w:rsid w:val="00BC364A"/>
    <w:rsid w:val="00BC36AC"/>
    <w:rsid w:val="00BC3E1D"/>
    <w:rsid w:val="00BC3F89"/>
    <w:rsid w:val="00BC4302"/>
    <w:rsid w:val="00BC45A3"/>
    <w:rsid w:val="00BC4617"/>
    <w:rsid w:val="00BC4911"/>
    <w:rsid w:val="00BC4B2B"/>
    <w:rsid w:val="00BC4CFF"/>
    <w:rsid w:val="00BC4D84"/>
    <w:rsid w:val="00BC4EAE"/>
    <w:rsid w:val="00BC4ECB"/>
    <w:rsid w:val="00BC4F08"/>
    <w:rsid w:val="00BC5174"/>
    <w:rsid w:val="00BC524B"/>
    <w:rsid w:val="00BC5374"/>
    <w:rsid w:val="00BC591F"/>
    <w:rsid w:val="00BC59CF"/>
    <w:rsid w:val="00BC5E24"/>
    <w:rsid w:val="00BC5FD7"/>
    <w:rsid w:val="00BC62B5"/>
    <w:rsid w:val="00BC6351"/>
    <w:rsid w:val="00BC6499"/>
    <w:rsid w:val="00BC67B8"/>
    <w:rsid w:val="00BC6B7A"/>
    <w:rsid w:val="00BC6C62"/>
    <w:rsid w:val="00BC6E27"/>
    <w:rsid w:val="00BC6E77"/>
    <w:rsid w:val="00BC731B"/>
    <w:rsid w:val="00BC75BA"/>
    <w:rsid w:val="00BC75E2"/>
    <w:rsid w:val="00BC766E"/>
    <w:rsid w:val="00BC784D"/>
    <w:rsid w:val="00BC78C6"/>
    <w:rsid w:val="00BC79CD"/>
    <w:rsid w:val="00BC7B43"/>
    <w:rsid w:val="00BC7D6D"/>
    <w:rsid w:val="00BD0434"/>
    <w:rsid w:val="00BD08D2"/>
    <w:rsid w:val="00BD0A74"/>
    <w:rsid w:val="00BD0B01"/>
    <w:rsid w:val="00BD0E07"/>
    <w:rsid w:val="00BD0E1D"/>
    <w:rsid w:val="00BD134D"/>
    <w:rsid w:val="00BD139C"/>
    <w:rsid w:val="00BD149B"/>
    <w:rsid w:val="00BD1CA0"/>
    <w:rsid w:val="00BD1DC2"/>
    <w:rsid w:val="00BD2108"/>
    <w:rsid w:val="00BD2443"/>
    <w:rsid w:val="00BD2B06"/>
    <w:rsid w:val="00BD2C8B"/>
    <w:rsid w:val="00BD2CFA"/>
    <w:rsid w:val="00BD350E"/>
    <w:rsid w:val="00BD37D6"/>
    <w:rsid w:val="00BD37EA"/>
    <w:rsid w:val="00BD3C01"/>
    <w:rsid w:val="00BD3F11"/>
    <w:rsid w:val="00BD3FB6"/>
    <w:rsid w:val="00BD3FEA"/>
    <w:rsid w:val="00BD404F"/>
    <w:rsid w:val="00BD4125"/>
    <w:rsid w:val="00BD4728"/>
    <w:rsid w:val="00BD5068"/>
    <w:rsid w:val="00BD53D9"/>
    <w:rsid w:val="00BD5470"/>
    <w:rsid w:val="00BD5732"/>
    <w:rsid w:val="00BD5849"/>
    <w:rsid w:val="00BD5923"/>
    <w:rsid w:val="00BD5B28"/>
    <w:rsid w:val="00BD5B40"/>
    <w:rsid w:val="00BD5BD2"/>
    <w:rsid w:val="00BD5FB0"/>
    <w:rsid w:val="00BD60DE"/>
    <w:rsid w:val="00BD68A3"/>
    <w:rsid w:val="00BD68CF"/>
    <w:rsid w:val="00BD6938"/>
    <w:rsid w:val="00BD6CF3"/>
    <w:rsid w:val="00BD7074"/>
    <w:rsid w:val="00BD70A1"/>
    <w:rsid w:val="00BD7407"/>
    <w:rsid w:val="00BD7589"/>
    <w:rsid w:val="00BD76A0"/>
    <w:rsid w:val="00BD78DE"/>
    <w:rsid w:val="00BD7C07"/>
    <w:rsid w:val="00BD7CC3"/>
    <w:rsid w:val="00BD7F72"/>
    <w:rsid w:val="00BE0044"/>
    <w:rsid w:val="00BE02B2"/>
    <w:rsid w:val="00BE06A3"/>
    <w:rsid w:val="00BE08D9"/>
    <w:rsid w:val="00BE0DAF"/>
    <w:rsid w:val="00BE0EC1"/>
    <w:rsid w:val="00BE0ECA"/>
    <w:rsid w:val="00BE1171"/>
    <w:rsid w:val="00BE1647"/>
    <w:rsid w:val="00BE1754"/>
    <w:rsid w:val="00BE1842"/>
    <w:rsid w:val="00BE1931"/>
    <w:rsid w:val="00BE1AD2"/>
    <w:rsid w:val="00BE1D3F"/>
    <w:rsid w:val="00BE1D85"/>
    <w:rsid w:val="00BE1EC0"/>
    <w:rsid w:val="00BE1F29"/>
    <w:rsid w:val="00BE2180"/>
    <w:rsid w:val="00BE21F2"/>
    <w:rsid w:val="00BE2268"/>
    <w:rsid w:val="00BE2305"/>
    <w:rsid w:val="00BE24BE"/>
    <w:rsid w:val="00BE26C1"/>
    <w:rsid w:val="00BE26C9"/>
    <w:rsid w:val="00BE2903"/>
    <w:rsid w:val="00BE2AE3"/>
    <w:rsid w:val="00BE2D10"/>
    <w:rsid w:val="00BE314E"/>
    <w:rsid w:val="00BE31BA"/>
    <w:rsid w:val="00BE3392"/>
    <w:rsid w:val="00BE3503"/>
    <w:rsid w:val="00BE3590"/>
    <w:rsid w:val="00BE3622"/>
    <w:rsid w:val="00BE3670"/>
    <w:rsid w:val="00BE3777"/>
    <w:rsid w:val="00BE3A77"/>
    <w:rsid w:val="00BE3AB3"/>
    <w:rsid w:val="00BE3D46"/>
    <w:rsid w:val="00BE3DF7"/>
    <w:rsid w:val="00BE4275"/>
    <w:rsid w:val="00BE42F2"/>
    <w:rsid w:val="00BE4887"/>
    <w:rsid w:val="00BE4A58"/>
    <w:rsid w:val="00BE4C42"/>
    <w:rsid w:val="00BE5164"/>
    <w:rsid w:val="00BE526B"/>
    <w:rsid w:val="00BE5BA8"/>
    <w:rsid w:val="00BE5D27"/>
    <w:rsid w:val="00BE5FAE"/>
    <w:rsid w:val="00BE5FB3"/>
    <w:rsid w:val="00BE637B"/>
    <w:rsid w:val="00BE6430"/>
    <w:rsid w:val="00BE6573"/>
    <w:rsid w:val="00BE65A8"/>
    <w:rsid w:val="00BE6624"/>
    <w:rsid w:val="00BE6682"/>
    <w:rsid w:val="00BE6732"/>
    <w:rsid w:val="00BE67B7"/>
    <w:rsid w:val="00BE6B27"/>
    <w:rsid w:val="00BE6FA6"/>
    <w:rsid w:val="00BE6FE3"/>
    <w:rsid w:val="00BE7000"/>
    <w:rsid w:val="00BE7089"/>
    <w:rsid w:val="00BE7402"/>
    <w:rsid w:val="00BE77B0"/>
    <w:rsid w:val="00BF0018"/>
    <w:rsid w:val="00BF0068"/>
    <w:rsid w:val="00BF0174"/>
    <w:rsid w:val="00BF0206"/>
    <w:rsid w:val="00BF0330"/>
    <w:rsid w:val="00BF05DB"/>
    <w:rsid w:val="00BF0690"/>
    <w:rsid w:val="00BF06AE"/>
    <w:rsid w:val="00BF08A6"/>
    <w:rsid w:val="00BF09D4"/>
    <w:rsid w:val="00BF0A58"/>
    <w:rsid w:val="00BF0C14"/>
    <w:rsid w:val="00BF0D60"/>
    <w:rsid w:val="00BF0E7A"/>
    <w:rsid w:val="00BF0F95"/>
    <w:rsid w:val="00BF128E"/>
    <w:rsid w:val="00BF1FA0"/>
    <w:rsid w:val="00BF2037"/>
    <w:rsid w:val="00BF2433"/>
    <w:rsid w:val="00BF2467"/>
    <w:rsid w:val="00BF277A"/>
    <w:rsid w:val="00BF2DCC"/>
    <w:rsid w:val="00BF2E6E"/>
    <w:rsid w:val="00BF2EF0"/>
    <w:rsid w:val="00BF346E"/>
    <w:rsid w:val="00BF3A06"/>
    <w:rsid w:val="00BF3ADB"/>
    <w:rsid w:val="00BF408E"/>
    <w:rsid w:val="00BF4196"/>
    <w:rsid w:val="00BF4197"/>
    <w:rsid w:val="00BF41CE"/>
    <w:rsid w:val="00BF4258"/>
    <w:rsid w:val="00BF45FB"/>
    <w:rsid w:val="00BF4904"/>
    <w:rsid w:val="00BF4A82"/>
    <w:rsid w:val="00BF4AB5"/>
    <w:rsid w:val="00BF4C92"/>
    <w:rsid w:val="00BF504E"/>
    <w:rsid w:val="00BF53B4"/>
    <w:rsid w:val="00BF53F7"/>
    <w:rsid w:val="00BF545B"/>
    <w:rsid w:val="00BF54D0"/>
    <w:rsid w:val="00BF55B8"/>
    <w:rsid w:val="00BF55C6"/>
    <w:rsid w:val="00BF586C"/>
    <w:rsid w:val="00BF5998"/>
    <w:rsid w:val="00BF5A34"/>
    <w:rsid w:val="00BF5C5E"/>
    <w:rsid w:val="00BF5D4C"/>
    <w:rsid w:val="00BF604F"/>
    <w:rsid w:val="00BF6086"/>
    <w:rsid w:val="00BF61C9"/>
    <w:rsid w:val="00BF6476"/>
    <w:rsid w:val="00BF6B6A"/>
    <w:rsid w:val="00BF6C94"/>
    <w:rsid w:val="00BF6CB8"/>
    <w:rsid w:val="00BF7074"/>
    <w:rsid w:val="00BF72B6"/>
    <w:rsid w:val="00BF7439"/>
    <w:rsid w:val="00BF7712"/>
    <w:rsid w:val="00BF7809"/>
    <w:rsid w:val="00BF7A6F"/>
    <w:rsid w:val="00BF7A93"/>
    <w:rsid w:val="00BF7E09"/>
    <w:rsid w:val="00BF7FE4"/>
    <w:rsid w:val="00C00051"/>
    <w:rsid w:val="00C00204"/>
    <w:rsid w:val="00C002ED"/>
    <w:rsid w:val="00C002FF"/>
    <w:rsid w:val="00C00424"/>
    <w:rsid w:val="00C00467"/>
    <w:rsid w:val="00C004A5"/>
    <w:rsid w:val="00C0056A"/>
    <w:rsid w:val="00C005D0"/>
    <w:rsid w:val="00C00789"/>
    <w:rsid w:val="00C008D2"/>
    <w:rsid w:val="00C00922"/>
    <w:rsid w:val="00C00BB0"/>
    <w:rsid w:val="00C00BB1"/>
    <w:rsid w:val="00C00CF6"/>
    <w:rsid w:val="00C00EE2"/>
    <w:rsid w:val="00C0105D"/>
    <w:rsid w:val="00C012D5"/>
    <w:rsid w:val="00C01360"/>
    <w:rsid w:val="00C01565"/>
    <w:rsid w:val="00C01902"/>
    <w:rsid w:val="00C01985"/>
    <w:rsid w:val="00C01A05"/>
    <w:rsid w:val="00C01CD4"/>
    <w:rsid w:val="00C01F96"/>
    <w:rsid w:val="00C023F9"/>
    <w:rsid w:val="00C02840"/>
    <w:rsid w:val="00C031E2"/>
    <w:rsid w:val="00C03735"/>
    <w:rsid w:val="00C03B5E"/>
    <w:rsid w:val="00C03CA8"/>
    <w:rsid w:val="00C03D3B"/>
    <w:rsid w:val="00C03FD5"/>
    <w:rsid w:val="00C04049"/>
    <w:rsid w:val="00C04075"/>
    <w:rsid w:val="00C04133"/>
    <w:rsid w:val="00C044D3"/>
    <w:rsid w:val="00C04629"/>
    <w:rsid w:val="00C04687"/>
    <w:rsid w:val="00C046EC"/>
    <w:rsid w:val="00C04A46"/>
    <w:rsid w:val="00C04C15"/>
    <w:rsid w:val="00C05245"/>
    <w:rsid w:val="00C052D4"/>
    <w:rsid w:val="00C052D6"/>
    <w:rsid w:val="00C05306"/>
    <w:rsid w:val="00C054CD"/>
    <w:rsid w:val="00C0555F"/>
    <w:rsid w:val="00C05965"/>
    <w:rsid w:val="00C05999"/>
    <w:rsid w:val="00C05B96"/>
    <w:rsid w:val="00C05BC3"/>
    <w:rsid w:val="00C05BCF"/>
    <w:rsid w:val="00C061F2"/>
    <w:rsid w:val="00C06334"/>
    <w:rsid w:val="00C06AB8"/>
    <w:rsid w:val="00C06E1B"/>
    <w:rsid w:val="00C06E47"/>
    <w:rsid w:val="00C075AE"/>
    <w:rsid w:val="00C07CE2"/>
    <w:rsid w:val="00C07E7B"/>
    <w:rsid w:val="00C10070"/>
    <w:rsid w:val="00C100E2"/>
    <w:rsid w:val="00C101F8"/>
    <w:rsid w:val="00C1038C"/>
    <w:rsid w:val="00C103BA"/>
    <w:rsid w:val="00C10505"/>
    <w:rsid w:val="00C10521"/>
    <w:rsid w:val="00C107C3"/>
    <w:rsid w:val="00C109FB"/>
    <w:rsid w:val="00C10B06"/>
    <w:rsid w:val="00C10BFF"/>
    <w:rsid w:val="00C10C1A"/>
    <w:rsid w:val="00C10E68"/>
    <w:rsid w:val="00C11041"/>
    <w:rsid w:val="00C11068"/>
    <w:rsid w:val="00C110D3"/>
    <w:rsid w:val="00C1157A"/>
    <w:rsid w:val="00C11621"/>
    <w:rsid w:val="00C1179F"/>
    <w:rsid w:val="00C11AA3"/>
    <w:rsid w:val="00C11B1F"/>
    <w:rsid w:val="00C12248"/>
    <w:rsid w:val="00C12476"/>
    <w:rsid w:val="00C126FF"/>
    <w:rsid w:val="00C127B9"/>
    <w:rsid w:val="00C12879"/>
    <w:rsid w:val="00C128FA"/>
    <w:rsid w:val="00C12C14"/>
    <w:rsid w:val="00C12C2C"/>
    <w:rsid w:val="00C12D7F"/>
    <w:rsid w:val="00C12DC4"/>
    <w:rsid w:val="00C13039"/>
    <w:rsid w:val="00C134F1"/>
    <w:rsid w:val="00C1369D"/>
    <w:rsid w:val="00C136FF"/>
    <w:rsid w:val="00C1389D"/>
    <w:rsid w:val="00C138BB"/>
    <w:rsid w:val="00C139A1"/>
    <w:rsid w:val="00C139AE"/>
    <w:rsid w:val="00C13BF3"/>
    <w:rsid w:val="00C13C95"/>
    <w:rsid w:val="00C14049"/>
    <w:rsid w:val="00C143B7"/>
    <w:rsid w:val="00C14436"/>
    <w:rsid w:val="00C144AD"/>
    <w:rsid w:val="00C14D53"/>
    <w:rsid w:val="00C14D98"/>
    <w:rsid w:val="00C14DF2"/>
    <w:rsid w:val="00C150C9"/>
    <w:rsid w:val="00C152D3"/>
    <w:rsid w:val="00C15566"/>
    <w:rsid w:val="00C155E4"/>
    <w:rsid w:val="00C156B0"/>
    <w:rsid w:val="00C156E8"/>
    <w:rsid w:val="00C15914"/>
    <w:rsid w:val="00C15DA0"/>
    <w:rsid w:val="00C15F04"/>
    <w:rsid w:val="00C163E4"/>
    <w:rsid w:val="00C1654C"/>
    <w:rsid w:val="00C165EB"/>
    <w:rsid w:val="00C16640"/>
    <w:rsid w:val="00C16680"/>
    <w:rsid w:val="00C16960"/>
    <w:rsid w:val="00C16C7A"/>
    <w:rsid w:val="00C16CC0"/>
    <w:rsid w:val="00C16F7A"/>
    <w:rsid w:val="00C16FD1"/>
    <w:rsid w:val="00C17218"/>
    <w:rsid w:val="00C1743F"/>
    <w:rsid w:val="00C176A1"/>
    <w:rsid w:val="00C178E5"/>
    <w:rsid w:val="00C179B3"/>
    <w:rsid w:val="00C17E3F"/>
    <w:rsid w:val="00C200AA"/>
    <w:rsid w:val="00C202BD"/>
    <w:rsid w:val="00C2031F"/>
    <w:rsid w:val="00C20472"/>
    <w:rsid w:val="00C20599"/>
    <w:rsid w:val="00C20AAD"/>
    <w:rsid w:val="00C21135"/>
    <w:rsid w:val="00C21183"/>
    <w:rsid w:val="00C2144B"/>
    <w:rsid w:val="00C215F5"/>
    <w:rsid w:val="00C2182C"/>
    <w:rsid w:val="00C21CCA"/>
    <w:rsid w:val="00C21D0D"/>
    <w:rsid w:val="00C21F9B"/>
    <w:rsid w:val="00C22145"/>
    <w:rsid w:val="00C2258C"/>
    <w:rsid w:val="00C22800"/>
    <w:rsid w:val="00C22992"/>
    <w:rsid w:val="00C229CC"/>
    <w:rsid w:val="00C22D31"/>
    <w:rsid w:val="00C22E45"/>
    <w:rsid w:val="00C22EA0"/>
    <w:rsid w:val="00C22FCF"/>
    <w:rsid w:val="00C2303C"/>
    <w:rsid w:val="00C23109"/>
    <w:rsid w:val="00C2323F"/>
    <w:rsid w:val="00C23253"/>
    <w:rsid w:val="00C23480"/>
    <w:rsid w:val="00C23566"/>
    <w:rsid w:val="00C2358C"/>
    <w:rsid w:val="00C237BD"/>
    <w:rsid w:val="00C237ED"/>
    <w:rsid w:val="00C23802"/>
    <w:rsid w:val="00C239A4"/>
    <w:rsid w:val="00C23CF2"/>
    <w:rsid w:val="00C23D63"/>
    <w:rsid w:val="00C23F8D"/>
    <w:rsid w:val="00C24632"/>
    <w:rsid w:val="00C247C9"/>
    <w:rsid w:val="00C249EC"/>
    <w:rsid w:val="00C24A50"/>
    <w:rsid w:val="00C24A6C"/>
    <w:rsid w:val="00C24BD9"/>
    <w:rsid w:val="00C24CAE"/>
    <w:rsid w:val="00C24CBC"/>
    <w:rsid w:val="00C24E60"/>
    <w:rsid w:val="00C24FDB"/>
    <w:rsid w:val="00C252A8"/>
    <w:rsid w:val="00C25418"/>
    <w:rsid w:val="00C2541D"/>
    <w:rsid w:val="00C25685"/>
    <w:rsid w:val="00C25882"/>
    <w:rsid w:val="00C25D40"/>
    <w:rsid w:val="00C25D9C"/>
    <w:rsid w:val="00C25E91"/>
    <w:rsid w:val="00C25EB1"/>
    <w:rsid w:val="00C25EC0"/>
    <w:rsid w:val="00C26025"/>
    <w:rsid w:val="00C26113"/>
    <w:rsid w:val="00C2664E"/>
    <w:rsid w:val="00C26660"/>
    <w:rsid w:val="00C266A9"/>
    <w:rsid w:val="00C2673F"/>
    <w:rsid w:val="00C26864"/>
    <w:rsid w:val="00C269A0"/>
    <w:rsid w:val="00C269A9"/>
    <w:rsid w:val="00C26D5B"/>
    <w:rsid w:val="00C27293"/>
    <w:rsid w:val="00C272BD"/>
    <w:rsid w:val="00C27395"/>
    <w:rsid w:val="00C27432"/>
    <w:rsid w:val="00C2778B"/>
    <w:rsid w:val="00C277C8"/>
    <w:rsid w:val="00C27BCE"/>
    <w:rsid w:val="00C301D5"/>
    <w:rsid w:val="00C301E5"/>
    <w:rsid w:val="00C30333"/>
    <w:rsid w:val="00C305FD"/>
    <w:rsid w:val="00C30811"/>
    <w:rsid w:val="00C30990"/>
    <w:rsid w:val="00C309DA"/>
    <w:rsid w:val="00C30A85"/>
    <w:rsid w:val="00C30B80"/>
    <w:rsid w:val="00C30C88"/>
    <w:rsid w:val="00C3148B"/>
    <w:rsid w:val="00C31565"/>
    <w:rsid w:val="00C31649"/>
    <w:rsid w:val="00C317CB"/>
    <w:rsid w:val="00C31A1C"/>
    <w:rsid w:val="00C31C2C"/>
    <w:rsid w:val="00C31CEA"/>
    <w:rsid w:val="00C31F11"/>
    <w:rsid w:val="00C32394"/>
    <w:rsid w:val="00C32728"/>
    <w:rsid w:val="00C32996"/>
    <w:rsid w:val="00C32A97"/>
    <w:rsid w:val="00C32C7B"/>
    <w:rsid w:val="00C335EA"/>
    <w:rsid w:val="00C33694"/>
    <w:rsid w:val="00C337E0"/>
    <w:rsid w:val="00C33B6A"/>
    <w:rsid w:val="00C33BD8"/>
    <w:rsid w:val="00C33C18"/>
    <w:rsid w:val="00C33EC4"/>
    <w:rsid w:val="00C33F3A"/>
    <w:rsid w:val="00C34302"/>
    <w:rsid w:val="00C34343"/>
    <w:rsid w:val="00C3434C"/>
    <w:rsid w:val="00C3465B"/>
    <w:rsid w:val="00C346DB"/>
    <w:rsid w:val="00C347D8"/>
    <w:rsid w:val="00C34847"/>
    <w:rsid w:val="00C34C06"/>
    <w:rsid w:val="00C34C8D"/>
    <w:rsid w:val="00C34EF9"/>
    <w:rsid w:val="00C35056"/>
    <w:rsid w:val="00C35116"/>
    <w:rsid w:val="00C35282"/>
    <w:rsid w:val="00C3528A"/>
    <w:rsid w:val="00C356D9"/>
    <w:rsid w:val="00C35A83"/>
    <w:rsid w:val="00C35BA1"/>
    <w:rsid w:val="00C35D48"/>
    <w:rsid w:val="00C35F81"/>
    <w:rsid w:val="00C36427"/>
    <w:rsid w:val="00C36454"/>
    <w:rsid w:val="00C3661D"/>
    <w:rsid w:val="00C36690"/>
    <w:rsid w:val="00C366E4"/>
    <w:rsid w:val="00C36783"/>
    <w:rsid w:val="00C36848"/>
    <w:rsid w:val="00C36BB4"/>
    <w:rsid w:val="00C36C20"/>
    <w:rsid w:val="00C372C9"/>
    <w:rsid w:val="00C37B5E"/>
    <w:rsid w:val="00C40012"/>
    <w:rsid w:val="00C4015A"/>
    <w:rsid w:val="00C40219"/>
    <w:rsid w:val="00C40385"/>
    <w:rsid w:val="00C403D3"/>
    <w:rsid w:val="00C408D1"/>
    <w:rsid w:val="00C40A2B"/>
    <w:rsid w:val="00C40CB6"/>
    <w:rsid w:val="00C41316"/>
    <w:rsid w:val="00C414A0"/>
    <w:rsid w:val="00C415E3"/>
    <w:rsid w:val="00C41768"/>
    <w:rsid w:val="00C419E7"/>
    <w:rsid w:val="00C41A5A"/>
    <w:rsid w:val="00C41F1E"/>
    <w:rsid w:val="00C41F2F"/>
    <w:rsid w:val="00C41F77"/>
    <w:rsid w:val="00C41F97"/>
    <w:rsid w:val="00C4205A"/>
    <w:rsid w:val="00C4210E"/>
    <w:rsid w:val="00C4221E"/>
    <w:rsid w:val="00C42277"/>
    <w:rsid w:val="00C429D1"/>
    <w:rsid w:val="00C429F6"/>
    <w:rsid w:val="00C42CFF"/>
    <w:rsid w:val="00C42DDA"/>
    <w:rsid w:val="00C42E5D"/>
    <w:rsid w:val="00C43106"/>
    <w:rsid w:val="00C43111"/>
    <w:rsid w:val="00C434AD"/>
    <w:rsid w:val="00C43643"/>
    <w:rsid w:val="00C43729"/>
    <w:rsid w:val="00C43956"/>
    <w:rsid w:val="00C43C94"/>
    <w:rsid w:val="00C43CC1"/>
    <w:rsid w:val="00C43E58"/>
    <w:rsid w:val="00C43EF2"/>
    <w:rsid w:val="00C4420B"/>
    <w:rsid w:val="00C442EA"/>
    <w:rsid w:val="00C443BB"/>
    <w:rsid w:val="00C44478"/>
    <w:rsid w:val="00C447A5"/>
    <w:rsid w:val="00C447C0"/>
    <w:rsid w:val="00C44830"/>
    <w:rsid w:val="00C448CB"/>
    <w:rsid w:val="00C44A13"/>
    <w:rsid w:val="00C44CDD"/>
    <w:rsid w:val="00C450FD"/>
    <w:rsid w:val="00C45688"/>
    <w:rsid w:val="00C45783"/>
    <w:rsid w:val="00C45831"/>
    <w:rsid w:val="00C458A5"/>
    <w:rsid w:val="00C458F0"/>
    <w:rsid w:val="00C45983"/>
    <w:rsid w:val="00C45AFC"/>
    <w:rsid w:val="00C45FE3"/>
    <w:rsid w:val="00C46225"/>
    <w:rsid w:val="00C463E4"/>
    <w:rsid w:val="00C4646C"/>
    <w:rsid w:val="00C46A02"/>
    <w:rsid w:val="00C46A80"/>
    <w:rsid w:val="00C46B15"/>
    <w:rsid w:val="00C46E13"/>
    <w:rsid w:val="00C46E6F"/>
    <w:rsid w:val="00C46F40"/>
    <w:rsid w:val="00C47188"/>
    <w:rsid w:val="00C474D4"/>
    <w:rsid w:val="00C475AA"/>
    <w:rsid w:val="00C476B5"/>
    <w:rsid w:val="00C476D7"/>
    <w:rsid w:val="00C47734"/>
    <w:rsid w:val="00C47994"/>
    <w:rsid w:val="00C479B3"/>
    <w:rsid w:val="00C47F4B"/>
    <w:rsid w:val="00C50037"/>
    <w:rsid w:val="00C50192"/>
    <w:rsid w:val="00C50194"/>
    <w:rsid w:val="00C50290"/>
    <w:rsid w:val="00C503CB"/>
    <w:rsid w:val="00C50849"/>
    <w:rsid w:val="00C5086A"/>
    <w:rsid w:val="00C50958"/>
    <w:rsid w:val="00C50C92"/>
    <w:rsid w:val="00C50F8C"/>
    <w:rsid w:val="00C51377"/>
    <w:rsid w:val="00C513EE"/>
    <w:rsid w:val="00C5178C"/>
    <w:rsid w:val="00C51803"/>
    <w:rsid w:val="00C51918"/>
    <w:rsid w:val="00C5191B"/>
    <w:rsid w:val="00C5196C"/>
    <w:rsid w:val="00C51BB0"/>
    <w:rsid w:val="00C51BFF"/>
    <w:rsid w:val="00C51F51"/>
    <w:rsid w:val="00C521B0"/>
    <w:rsid w:val="00C5262A"/>
    <w:rsid w:val="00C52642"/>
    <w:rsid w:val="00C526A0"/>
    <w:rsid w:val="00C527C7"/>
    <w:rsid w:val="00C52823"/>
    <w:rsid w:val="00C52885"/>
    <w:rsid w:val="00C52BF4"/>
    <w:rsid w:val="00C52CA1"/>
    <w:rsid w:val="00C52D05"/>
    <w:rsid w:val="00C530FF"/>
    <w:rsid w:val="00C53266"/>
    <w:rsid w:val="00C5329E"/>
    <w:rsid w:val="00C534B9"/>
    <w:rsid w:val="00C535E7"/>
    <w:rsid w:val="00C53742"/>
    <w:rsid w:val="00C53ACE"/>
    <w:rsid w:val="00C53B02"/>
    <w:rsid w:val="00C53C98"/>
    <w:rsid w:val="00C53CC6"/>
    <w:rsid w:val="00C53D56"/>
    <w:rsid w:val="00C53F29"/>
    <w:rsid w:val="00C54027"/>
    <w:rsid w:val="00C54156"/>
    <w:rsid w:val="00C542AE"/>
    <w:rsid w:val="00C542EE"/>
    <w:rsid w:val="00C5433C"/>
    <w:rsid w:val="00C54A65"/>
    <w:rsid w:val="00C54BC2"/>
    <w:rsid w:val="00C54DB0"/>
    <w:rsid w:val="00C5597C"/>
    <w:rsid w:val="00C55A5B"/>
    <w:rsid w:val="00C55ABA"/>
    <w:rsid w:val="00C56080"/>
    <w:rsid w:val="00C562B3"/>
    <w:rsid w:val="00C563B4"/>
    <w:rsid w:val="00C5690A"/>
    <w:rsid w:val="00C56B0B"/>
    <w:rsid w:val="00C56C19"/>
    <w:rsid w:val="00C56C38"/>
    <w:rsid w:val="00C56D94"/>
    <w:rsid w:val="00C56FCF"/>
    <w:rsid w:val="00C572F6"/>
    <w:rsid w:val="00C575DD"/>
    <w:rsid w:val="00C57B6C"/>
    <w:rsid w:val="00C57E9D"/>
    <w:rsid w:val="00C600EB"/>
    <w:rsid w:val="00C602B4"/>
    <w:rsid w:val="00C60991"/>
    <w:rsid w:val="00C60AD0"/>
    <w:rsid w:val="00C60B7D"/>
    <w:rsid w:val="00C60D42"/>
    <w:rsid w:val="00C60E9E"/>
    <w:rsid w:val="00C6155B"/>
    <w:rsid w:val="00C61831"/>
    <w:rsid w:val="00C61927"/>
    <w:rsid w:val="00C61A4C"/>
    <w:rsid w:val="00C61A59"/>
    <w:rsid w:val="00C61DE1"/>
    <w:rsid w:val="00C61E1D"/>
    <w:rsid w:val="00C61E83"/>
    <w:rsid w:val="00C620C4"/>
    <w:rsid w:val="00C628A6"/>
    <w:rsid w:val="00C62C52"/>
    <w:rsid w:val="00C62C70"/>
    <w:rsid w:val="00C62CA6"/>
    <w:rsid w:val="00C63123"/>
    <w:rsid w:val="00C633EB"/>
    <w:rsid w:val="00C634FA"/>
    <w:rsid w:val="00C63513"/>
    <w:rsid w:val="00C63913"/>
    <w:rsid w:val="00C6391E"/>
    <w:rsid w:val="00C63B6A"/>
    <w:rsid w:val="00C63D7D"/>
    <w:rsid w:val="00C63D9B"/>
    <w:rsid w:val="00C63D9E"/>
    <w:rsid w:val="00C63DA1"/>
    <w:rsid w:val="00C63FCC"/>
    <w:rsid w:val="00C64344"/>
    <w:rsid w:val="00C64546"/>
    <w:rsid w:val="00C648F4"/>
    <w:rsid w:val="00C64B6B"/>
    <w:rsid w:val="00C64CAF"/>
    <w:rsid w:val="00C64E61"/>
    <w:rsid w:val="00C650D6"/>
    <w:rsid w:val="00C65108"/>
    <w:rsid w:val="00C651CA"/>
    <w:rsid w:val="00C653B6"/>
    <w:rsid w:val="00C65562"/>
    <w:rsid w:val="00C65576"/>
    <w:rsid w:val="00C656B6"/>
    <w:rsid w:val="00C65723"/>
    <w:rsid w:val="00C65878"/>
    <w:rsid w:val="00C659F5"/>
    <w:rsid w:val="00C65E0D"/>
    <w:rsid w:val="00C65EB2"/>
    <w:rsid w:val="00C65ED0"/>
    <w:rsid w:val="00C65F28"/>
    <w:rsid w:val="00C66165"/>
    <w:rsid w:val="00C66648"/>
    <w:rsid w:val="00C66711"/>
    <w:rsid w:val="00C66A13"/>
    <w:rsid w:val="00C66D06"/>
    <w:rsid w:val="00C66D2A"/>
    <w:rsid w:val="00C66E4D"/>
    <w:rsid w:val="00C672E4"/>
    <w:rsid w:val="00C678E9"/>
    <w:rsid w:val="00C67BC1"/>
    <w:rsid w:val="00C67F6B"/>
    <w:rsid w:val="00C67F7F"/>
    <w:rsid w:val="00C704E9"/>
    <w:rsid w:val="00C7060A"/>
    <w:rsid w:val="00C7069D"/>
    <w:rsid w:val="00C70729"/>
    <w:rsid w:val="00C708E1"/>
    <w:rsid w:val="00C70A4B"/>
    <w:rsid w:val="00C70AAF"/>
    <w:rsid w:val="00C70BD0"/>
    <w:rsid w:val="00C70D3C"/>
    <w:rsid w:val="00C70EB5"/>
    <w:rsid w:val="00C70FF9"/>
    <w:rsid w:val="00C714E0"/>
    <w:rsid w:val="00C7151A"/>
    <w:rsid w:val="00C715FC"/>
    <w:rsid w:val="00C717E3"/>
    <w:rsid w:val="00C71915"/>
    <w:rsid w:val="00C71ABA"/>
    <w:rsid w:val="00C71C7E"/>
    <w:rsid w:val="00C71CEB"/>
    <w:rsid w:val="00C71E2C"/>
    <w:rsid w:val="00C71F60"/>
    <w:rsid w:val="00C71FBF"/>
    <w:rsid w:val="00C72073"/>
    <w:rsid w:val="00C72241"/>
    <w:rsid w:val="00C722E7"/>
    <w:rsid w:val="00C7239B"/>
    <w:rsid w:val="00C725DB"/>
    <w:rsid w:val="00C72798"/>
    <w:rsid w:val="00C72954"/>
    <w:rsid w:val="00C72CDD"/>
    <w:rsid w:val="00C73325"/>
    <w:rsid w:val="00C733C1"/>
    <w:rsid w:val="00C73B1A"/>
    <w:rsid w:val="00C73D9F"/>
    <w:rsid w:val="00C74018"/>
    <w:rsid w:val="00C74188"/>
    <w:rsid w:val="00C741D6"/>
    <w:rsid w:val="00C74325"/>
    <w:rsid w:val="00C744C0"/>
    <w:rsid w:val="00C74525"/>
    <w:rsid w:val="00C7490B"/>
    <w:rsid w:val="00C74971"/>
    <w:rsid w:val="00C749D5"/>
    <w:rsid w:val="00C749D8"/>
    <w:rsid w:val="00C74A4C"/>
    <w:rsid w:val="00C74BE2"/>
    <w:rsid w:val="00C74E15"/>
    <w:rsid w:val="00C74FE1"/>
    <w:rsid w:val="00C750AB"/>
    <w:rsid w:val="00C750C8"/>
    <w:rsid w:val="00C753E1"/>
    <w:rsid w:val="00C75433"/>
    <w:rsid w:val="00C7552A"/>
    <w:rsid w:val="00C7560F"/>
    <w:rsid w:val="00C7573E"/>
    <w:rsid w:val="00C75D7A"/>
    <w:rsid w:val="00C75F0B"/>
    <w:rsid w:val="00C76227"/>
    <w:rsid w:val="00C7635E"/>
    <w:rsid w:val="00C76501"/>
    <w:rsid w:val="00C769B1"/>
    <w:rsid w:val="00C76AFB"/>
    <w:rsid w:val="00C76B2C"/>
    <w:rsid w:val="00C76D2F"/>
    <w:rsid w:val="00C76D5C"/>
    <w:rsid w:val="00C76E19"/>
    <w:rsid w:val="00C77149"/>
    <w:rsid w:val="00C773F1"/>
    <w:rsid w:val="00C7748F"/>
    <w:rsid w:val="00C77610"/>
    <w:rsid w:val="00C77623"/>
    <w:rsid w:val="00C77D38"/>
    <w:rsid w:val="00C77DAC"/>
    <w:rsid w:val="00C77EB9"/>
    <w:rsid w:val="00C8000C"/>
    <w:rsid w:val="00C80418"/>
    <w:rsid w:val="00C807BC"/>
    <w:rsid w:val="00C80921"/>
    <w:rsid w:val="00C80A0E"/>
    <w:rsid w:val="00C80F88"/>
    <w:rsid w:val="00C8133A"/>
    <w:rsid w:val="00C81629"/>
    <w:rsid w:val="00C81894"/>
    <w:rsid w:val="00C818C2"/>
    <w:rsid w:val="00C8191F"/>
    <w:rsid w:val="00C81A26"/>
    <w:rsid w:val="00C81B58"/>
    <w:rsid w:val="00C81C3C"/>
    <w:rsid w:val="00C81DEF"/>
    <w:rsid w:val="00C81E4A"/>
    <w:rsid w:val="00C8213F"/>
    <w:rsid w:val="00C82769"/>
    <w:rsid w:val="00C828BB"/>
    <w:rsid w:val="00C82A69"/>
    <w:rsid w:val="00C82B07"/>
    <w:rsid w:val="00C8303F"/>
    <w:rsid w:val="00C83150"/>
    <w:rsid w:val="00C8327E"/>
    <w:rsid w:val="00C839DC"/>
    <w:rsid w:val="00C83BE5"/>
    <w:rsid w:val="00C83C06"/>
    <w:rsid w:val="00C83C0C"/>
    <w:rsid w:val="00C840D0"/>
    <w:rsid w:val="00C8437A"/>
    <w:rsid w:val="00C846FF"/>
    <w:rsid w:val="00C847B2"/>
    <w:rsid w:val="00C8499E"/>
    <w:rsid w:val="00C84AF4"/>
    <w:rsid w:val="00C84AF5"/>
    <w:rsid w:val="00C84B1E"/>
    <w:rsid w:val="00C84C3D"/>
    <w:rsid w:val="00C84CD1"/>
    <w:rsid w:val="00C84D44"/>
    <w:rsid w:val="00C84D5C"/>
    <w:rsid w:val="00C84F40"/>
    <w:rsid w:val="00C85154"/>
    <w:rsid w:val="00C8532D"/>
    <w:rsid w:val="00C85731"/>
    <w:rsid w:val="00C85A70"/>
    <w:rsid w:val="00C85C72"/>
    <w:rsid w:val="00C85D73"/>
    <w:rsid w:val="00C85DB9"/>
    <w:rsid w:val="00C85E42"/>
    <w:rsid w:val="00C85FB1"/>
    <w:rsid w:val="00C86247"/>
    <w:rsid w:val="00C8630D"/>
    <w:rsid w:val="00C86657"/>
    <w:rsid w:val="00C866A9"/>
    <w:rsid w:val="00C86F88"/>
    <w:rsid w:val="00C87096"/>
    <w:rsid w:val="00C870CF"/>
    <w:rsid w:val="00C8797A"/>
    <w:rsid w:val="00C87A29"/>
    <w:rsid w:val="00C87CF7"/>
    <w:rsid w:val="00C900B8"/>
    <w:rsid w:val="00C90197"/>
    <w:rsid w:val="00C901B6"/>
    <w:rsid w:val="00C9034C"/>
    <w:rsid w:val="00C903FC"/>
    <w:rsid w:val="00C905D7"/>
    <w:rsid w:val="00C90C71"/>
    <w:rsid w:val="00C91000"/>
    <w:rsid w:val="00C91015"/>
    <w:rsid w:val="00C9117C"/>
    <w:rsid w:val="00C9125A"/>
    <w:rsid w:val="00C9173E"/>
    <w:rsid w:val="00C91893"/>
    <w:rsid w:val="00C91A3D"/>
    <w:rsid w:val="00C91BED"/>
    <w:rsid w:val="00C91FD1"/>
    <w:rsid w:val="00C92074"/>
    <w:rsid w:val="00C9212F"/>
    <w:rsid w:val="00C92148"/>
    <w:rsid w:val="00C92281"/>
    <w:rsid w:val="00C923F3"/>
    <w:rsid w:val="00C92466"/>
    <w:rsid w:val="00C926FE"/>
    <w:rsid w:val="00C931A1"/>
    <w:rsid w:val="00C931CF"/>
    <w:rsid w:val="00C9345B"/>
    <w:rsid w:val="00C93861"/>
    <w:rsid w:val="00C9387D"/>
    <w:rsid w:val="00C938CF"/>
    <w:rsid w:val="00C93E17"/>
    <w:rsid w:val="00C94053"/>
    <w:rsid w:val="00C946EC"/>
    <w:rsid w:val="00C949E0"/>
    <w:rsid w:val="00C94A58"/>
    <w:rsid w:val="00C94BDD"/>
    <w:rsid w:val="00C94E0B"/>
    <w:rsid w:val="00C94F6F"/>
    <w:rsid w:val="00C94FD5"/>
    <w:rsid w:val="00C95873"/>
    <w:rsid w:val="00C9596E"/>
    <w:rsid w:val="00C959FC"/>
    <w:rsid w:val="00C95E53"/>
    <w:rsid w:val="00C95E9C"/>
    <w:rsid w:val="00C95F86"/>
    <w:rsid w:val="00C9624D"/>
    <w:rsid w:val="00C969DA"/>
    <w:rsid w:val="00C96C63"/>
    <w:rsid w:val="00C96D65"/>
    <w:rsid w:val="00C96E29"/>
    <w:rsid w:val="00C96E5D"/>
    <w:rsid w:val="00C9707B"/>
    <w:rsid w:val="00C97131"/>
    <w:rsid w:val="00C9718E"/>
    <w:rsid w:val="00C971E3"/>
    <w:rsid w:val="00C973FD"/>
    <w:rsid w:val="00C974F3"/>
    <w:rsid w:val="00C9758D"/>
    <w:rsid w:val="00C97D36"/>
    <w:rsid w:val="00C97DB8"/>
    <w:rsid w:val="00C97F16"/>
    <w:rsid w:val="00CA0081"/>
    <w:rsid w:val="00CA0441"/>
    <w:rsid w:val="00CA048A"/>
    <w:rsid w:val="00CA0499"/>
    <w:rsid w:val="00CA0724"/>
    <w:rsid w:val="00CA0F75"/>
    <w:rsid w:val="00CA124E"/>
    <w:rsid w:val="00CA14B5"/>
    <w:rsid w:val="00CA1880"/>
    <w:rsid w:val="00CA1A9A"/>
    <w:rsid w:val="00CA2249"/>
    <w:rsid w:val="00CA24C5"/>
    <w:rsid w:val="00CA2770"/>
    <w:rsid w:val="00CA27A8"/>
    <w:rsid w:val="00CA292F"/>
    <w:rsid w:val="00CA2BBA"/>
    <w:rsid w:val="00CA2BF6"/>
    <w:rsid w:val="00CA2C77"/>
    <w:rsid w:val="00CA2D15"/>
    <w:rsid w:val="00CA3464"/>
    <w:rsid w:val="00CA3586"/>
    <w:rsid w:val="00CA3789"/>
    <w:rsid w:val="00CA38C5"/>
    <w:rsid w:val="00CA3D6E"/>
    <w:rsid w:val="00CA3E6E"/>
    <w:rsid w:val="00CA4157"/>
    <w:rsid w:val="00CA41FB"/>
    <w:rsid w:val="00CA444F"/>
    <w:rsid w:val="00CA464D"/>
    <w:rsid w:val="00CA47E0"/>
    <w:rsid w:val="00CA47F8"/>
    <w:rsid w:val="00CA4826"/>
    <w:rsid w:val="00CA4B07"/>
    <w:rsid w:val="00CA4E13"/>
    <w:rsid w:val="00CA4F8B"/>
    <w:rsid w:val="00CA5245"/>
    <w:rsid w:val="00CA52DA"/>
    <w:rsid w:val="00CA546F"/>
    <w:rsid w:val="00CA5755"/>
    <w:rsid w:val="00CA5B4D"/>
    <w:rsid w:val="00CA5BE2"/>
    <w:rsid w:val="00CA5EEE"/>
    <w:rsid w:val="00CA632C"/>
    <w:rsid w:val="00CA6382"/>
    <w:rsid w:val="00CA64B8"/>
    <w:rsid w:val="00CA68A4"/>
    <w:rsid w:val="00CA68DC"/>
    <w:rsid w:val="00CA6A0E"/>
    <w:rsid w:val="00CA6C93"/>
    <w:rsid w:val="00CA6CC3"/>
    <w:rsid w:val="00CA6CC5"/>
    <w:rsid w:val="00CA6FD7"/>
    <w:rsid w:val="00CA71F1"/>
    <w:rsid w:val="00CA71F4"/>
    <w:rsid w:val="00CA758A"/>
    <w:rsid w:val="00CA77E6"/>
    <w:rsid w:val="00CA7B09"/>
    <w:rsid w:val="00CA7FC8"/>
    <w:rsid w:val="00CA7FDD"/>
    <w:rsid w:val="00CB000A"/>
    <w:rsid w:val="00CB0134"/>
    <w:rsid w:val="00CB01A7"/>
    <w:rsid w:val="00CB0319"/>
    <w:rsid w:val="00CB04C9"/>
    <w:rsid w:val="00CB05B4"/>
    <w:rsid w:val="00CB05C2"/>
    <w:rsid w:val="00CB05D9"/>
    <w:rsid w:val="00CB0864"/>
    <w:rsid w:val="00CB0B43"/>
    <w:rsid w:val="00CB0B5C"/>
    <w:rsid w:val="00CB0BE2"/>
    <w:rsid w:val="00CB108A"/>
    <w:rsid w:val="00CB12A5"/>
    <w:rsid w:val="00CB1763"/>
    <w:rsid w:val="00CB1955"/>
    <w:rsid w:val="00CB1CAC"/>
    <w:rsid w:val="00CB1F5E"/>
    <w:rsid w:val="00CB1FD6"/>
    <w:rsid w:val="00CB211F"/>
    <w:rsid w:val="00CB24AF"/>
    <w:rsid w:val="00CB27AD"/>
    <w:rsid w:val="00CB27F6"/>
    <w:rsid w:val="00CB293D"/>
    <w:rsid w:val="00CB2B17"/>
    <w:rsid w:val="00CB2E49"/>
    <w:rsid w:val="00CB2F2A"/>
    <w:rsid w:val="00CB32A3"/>
    <w:rsid w:val="00CB3314"/>
    <w:rsid w:val="00CB333C"/>
    <w:rsid w:val="00CB3831"/>
    <w:rsid w:val="00CB386B"/>
    <w:rsid w:val="00CB39D3"/>
    <w:rsid w:val="00CB3F70"/>
    <w:rsid w:val="00CB3FD5"/>
    <w:rsid w:val="00CB40F4"/>
    <w:rsid w:val="00CB4198"/>
    <w:rsid w:val="00CB481B"/>
    <w:rsid w:val="00CB4BAD"/>
    <w:rsid w:val="00CB4D29"/>
    <w:rsid w:val="00CB5372"/>
    <w:rsid w:val="00CB56B9"/>
    <w:rsid w:val="00CB5B1A"/>
    <w:rsid w:val="00CB5CB2"/>
    <w:rsid w:val="00CB5F14"/>
    <w:rsid w:val="00CB62CD"/>
    <w:rsid w:val="00CB662C"/>
    <w:rsid w:val="00CB66E2"/>
    <w:rsid w:val="00CB6A63"/>
    <w:rsid w:val="00CB6B22"/>
    <w:rsid w:val="00CB6C0D"/>
    <w:rsid w:val="00CB6E8E"/>
    <w:rsid w:val="00CB6EEC"/>
    <w:rsid w:val="00CB6F9F"/>
    <w:rsid w:val="00CB713A"/>
    <w:rsid w:val="00CB71B6"/>
    <w:rsid w:val="00CB74BC"/>
    <w:rsid w:val="00CB7518"/>
    <w:rsid w:val="00CB752B"/>
    <w:rsid w:val="00CB75EF"/>
    <w:rsid w:val="00CB76BD"/>
    <w:rsid w:val="00CB7788"/>
    <w:rsid w:val="00CB7A60"/>
    <w:rsid w:val="00CB7A90"/>
    <w:rsid w:val="00CB7DFB"/>
    <w:rsid w:val="00CB7E67"/>
    <w:rsid w:val="00CB7E80"/>
    <w:rsid w:val="00CB7F4E"/>
    <w:rsid w:val="00CB7F5F"/>
    <w:rsid w:val="00CC0314"/>
    <w:rsid w:val="00CC0556"/>
    <w:rsid w:val="00CC0620"/>
    <w:rsid w:val="00CC0B87"/>
    <w:rsid w:val="00CC0CDC"/>
    <w:rsid w:val="00CC0DAC"/>
    <w:rsid w:val="00CC0DF2"/>
    <w:rsid w:val="00CC1314"/>
    <w:rsid w:val="00CC13CE"/>
    <w:rsid w:val="00CC141D"/>
    <w:rsid w:val="00CC149D"/>
    <w:rsid w:val="00CC189D"/>
    <w:rsid w:val="00CC1B39"/>
    <w:rsid w:val="00CC1BAF"/>
    <w:rsid w:val="00CC1BEF"/>
    <w:rsid w:val="00CC1BFA"/>
    <w:rsid w:val="00CC1CBB"/>
    <w:rsid w:val="00CC1CF3"/>
    <w:rsid w:val="00CC1D8D"/>
    <w:rsid w:val="00CC2475"/>
    <w:rsid w:val="00CC2688"/>
    <w:rsid w:val="00CC27B5"/>
    <w:rsid w:val="00CC29CF"/>
    <w:rsid w:val="00CC2A47"/>
    <w:rsid w:val="00CC2B72"/>
    <w:rsid w:val="00CC2C9C"/>
    <w:rsid w:val="00CC2C9D"/>
    <w:rsid w:val="00CC2E9F"/>
    <w:rsid w:val="00CC2EF0"/>
    <w:rsid w:val="00CC313A"/>
    <w:rsid w:val="00CC323F"/>
    <w:rsid w:val="00CC35CA"/>
    <w:rsid w:val="00CC35EA"/>
    <w:rsid w:val="00CC3671"/>
    <w:rsid w:val="00CC3848"/>
    <w:rsid w:val="00CC38EA"/>
    <w:rsid w:val="00CC3B6A"/>
    <w:rsid w:val="00CC3DA3"/>
    <w:rsid w:val="00CC3DBC"/>
    <w:rsid w:val="00CC3E25"/>
    <w:rsid w:val="00CC462F"/>
    <w:rsid w:val="00CC4822"/>
    <w:rsid w:val="00CC48B2"/>
    <w:rsid w:val="00CC4AF6"/>
    <w:rsid w:val="00CC4C35"/>
    <w:rsid w:val="00CC4D6E"/>
    <w:rsid w:val="00CC5066"/>
    <w:rsid w:val="00CC50C6"/>
    <w:rsid w:val="00CC54AC"/>
    <w:rsid w:val="00CC552D"/>
    <w:rsid w:val="00CC562F"/>
    <w:rsid w:val="00CC590E"/>
    <w:rsid w:val="00CC5B03"/>
    <w:rsid w:val="00CC5DD0"/>
    <w:rsid w:val="00CC62D3"/>
    <w:rsid w:val="00CC6409"/>
    <w:rsid w:val="00CC6847"/>
    <w:rsid w:val="00CC68A6"/>
    <w:rsid w:val="00CC69D8"/>
    <w:rsid w:val="00CC6C38"/>
    <w:rsid w:val="00CC6D5E"/>
    <w:rsid w:val="00CC6D7D"/>
    <w:rsid w:val="00CC6D94"/>
    <w:rsid w:val="00CC6E34"/>
    <w:rsid w:val="00CC6EE5"/>
    <w:rsid w:val="00CC709D"/>
    <w:rsid w:val="00CC7126"/>
    <w:rsid w:val="00CC73CE"/>
    <w:rsid w:val="00CC740E"/>
    <w:rsid w:val="00CC75B8"/>
    <w:rsid w:val="00CC7DE3"/>
    <w:rsid w:val="00CC7F4B"/>
    <w:rsid w:val="00CD0200"/>
    <w:rsid w:val="00CD042D"/>
    <w:rsid w:val="00CD0530"/>
    <w:rsid w:val="00CD0625"/>
    <w:rsid w:val="00CD09A5"/>
    <w:rsid w:val="00CD0A15"/>
    <w:rsid w:val="00CD1132"/>
    <w:rsid w:val="00CD128C"/>
    <w:rsid w:val="00CD1559"/>
    <w:rsid w:val="00CD16E3"/>
    <w:rsid w:val="00CD176E"/>
    <w:rsid w:val="00CD1D1D"/>
    <w:rsid w:val="00CD237A"/>
    <w:rsid w:val="00CD2626"/>
    <w:rsid w:val="00CD27D2"/>
    <w:rsid w:val="00CD2833"/>
    <w:rsid w:val="00CD30F6"/>
    <w:rsid w:val="00CD31B7"/>
    <w:rsid w:val="00CD3509"/>
    <w:rsid w:val="00CD3531"/>
    <w:rsid w:val="00CD3B13"/>
    <w:rsid w:val="00CD3C8A"/>
    <w:rsid w:val="00CD3E5D"/>
    <w:rsid w:val="00CD3E8A"/>
    <w:rsid w:val="00CD3F77"/>
    <w:rsid w:val="00CD401A"/>
    <w:rsid w:val="00CD401E"/>
    <w:rsid w:val="00CD41DC"/>
    <w:rsid w:val="00CD44E2"/>
    <w:rsid w:val="00CD4692"/>
    <w:rsid w:val="00CD4B91"/>
    <w:rsid w:val="00CD4DE9"/>
    <w:rsid w:val="00CD4F29"/>
    <w:rsid w:val="00CD510F"/>
    <w:rsid w:val="00CD5642"/>
    <w:rsid w:val="00CD5721"/>
    <w:rsid w:val="00CD5CEF"/>
    <w:rsid w:val="00CD5F7D"/>
    <w:rsid w:val="00CD6655"/>
    <w:rsid w:val="00CD66BA"/>
    <w:rsid w:val="00CD672E"/>
    <w:rsid w:val="00CD6811"/>
    <w:rsid w:val="00CD6844"/>
    <w:rsid w:val="00CD6ADC"/>
    <w:rsid w:val="00CD6BE9"/>
    <w:rsid w:val="00CD6CC9"/>
    <w:rsid w:val="00CD6DF0"/>
    <w:rsid w:val="00CD6EB1"/>
    <w:rsid w:val="00CD6F0C"/>
    <w:rsid w:val="00CD7193"/>
    <w:rsid w:val="00CD75A3"/>
    <w:rsid w:val="00CD7880"/>
    <w:rsid w:val="00CD791A"/>
    <w:rsid w:val="00CD7FC4"/>
    <w:rsid w:val="00CE00C1"/>
    <w:rsid w:val="00CE0332"/>
    <w:rsid w:val="00CE06C3"/>
    <w:rsid w:val="00CE08BD"/>
    <w:rsid w:val="00CE0B5F"/>
    <w:rsid w:val="00CE0D0D"/>
    <w:rsid w:val="00CE0DBE"/>
    <w:rsid w:val="00CE143F"/>
    <w:rsid w:val="00CE1A29"/>
    <w:rsid w:val="00CE1A41"/>
    <w:rsid w:val="00CE1A4F"/>
    <w:rsid w:val="00CE1B58"/>
    <w:rsid w:val="00CE1C6B"/>
    <w:rsid w:val="00CE27CA"/>
    <w:rsid w:val="00CE27DA"/>
    <w:rsid w:val="00CE29FA"/>
    <w:rsid w:val="00CE2A09"/>
    <w:rsid w:val="00CE2BA3"/>
    <w:rsid w:val="00CE2CE7"/>
    <w:rsid w:val="00CE2D6C"/>
    <w:rsid w:val="00CE2EC4"/>
    <w:rsid w:val="00CE2F00"/>
    <w:rsid w:val="00CE3114"/>
    <w:rsid w:val="00CE38C8"/>
    <w:rsid w:val="00CE39A3"/>
    <w:rsid w:val="00CE3EDC"/>
    <w:rsid w:val="00CE428D"/>
    <w:rsid w:val="00CE43A1"/>
    <w:rsid w:val="00CE4495"/>
    <w:rsid w:val="00CE450E"/>
    <w:rsid w:val="00CE46C3"/>
    <w:rsid w:val="00CE4A1A"/>
    <w:rsid w:val="00CE4A98"/>
    <w:rsid w:val="00CE4B99"/>
    <w:rsid w:val="00CE50B3"/>
    <w:rsid w:val="00CE50D3"/>
    <w:rsid w:val="00CE51E8"/>
    <w:rsid w:val="00CE524F"/>
    <w:rsid w:val="00CE5284"/>
    <w:rsid w:val="00CE5388"/>
    <w:rsid w:val="00CE548B"/>
    <w:rsid w:val="00CE5494"/>
    <w:rsid w:val="00CE5628"/>
    <w:rsid w:val="00CE571D"/>
    <w:rsid w:val="00CE58CC"/>
    <w:rsid w:val="00CE5C6A"/>
    <w:rsid w:val="00CE5FC5"/>
    <w:rsid w:val="00CE6274"/>
    <w:rsid w:val="00CE6542"/>
    <w:rsid w:val="00CE6BCA"/>
    <w:rsid w:val="00CE6EBA"/>
    <w:rsid w:val="00CE6F1F"/>
    <w:rsid w:val="00CE6F52"/>
    <w:rsid w:val="00CE7197"/>
    <w:rsid w:val="00CE71B6"/>
    <w:rsid w:val="00CE73B3"/>
    <w:rsid w:val="00CE756F"/>
    <w:rsid w:val="00CE75BE"/>
    <w:rsid w:val="00CE77B6"/>
    <w:rsid w:val="00CE783E"/>
    <w:rsid w:val="00CE7849"/>
    <w:rsid w:val="00CE7A65"/>
    <w:rsid w:val="00CE7C8A"/>
    <w:rsid w:val="00CF030C"/>
    <w:rsid w:val="00CF0535"/>
    <w:rsid w:val="00CF0577"/>
    <w:rsid w:val="00CF064F"/>
    <w:rsid w:val="00CF0864"/>
    <w:rsid w:val="00CF08B7"/>
    <w:rsid w:val="00CF09F4"/>
    <w:rsid w:val="00CF0B2E"/>
    <w:rsid w:val="00CF0E18"/>
    <w:rsid w:val="00CF135A"/>
    <w:rsid w:val="00CF142C"/>
    <w:rsid w:val="00CF161D"/>
    <w:rsid w:val="00CF19BF"/>
    <w:rsid w:val="00CF1ABA"/>
    <w:rsid w:val="00CF1AC8"/>
    <w:rsid w:val="00CF1CD0"/>
    <w:rsid w:val="00CF2138"/>
    <w:rsid w:val="00CF213D"/>
    <w:rsid w:val="00CF2301"/>
    <w:rsid w:val="00CF2343"/>
    <w:rsid w:val="00CF2487"/>
    <w:rsid w:val="00CF264B"/>
    <w:rsid w:val="00CF27CB"/>
    <w:rsid w:val="00CF2B02"/>
    <w:rsid w:val="00CF2B8D"/>
    <w:rsid w:val="00CF2CB2"/>
    <w:rsid w:val="00CF32C5"/>
    <w:rsid w:val="00CF3350"/>
    <w:rsid w:val="00CF3783"/>
    <w:rsid w:val="00CF37B7"/>
    <w:rsid w:val="00CF3A1B"/>
    <w:rsid w:val="00CF3ABB"/>
    <w:rsid w:val="00CF3D7A"/>
    <w:rsid w:val="00CF3E4A"/>
    <w:rsid w:val="00CF41B3"/>
    <w:rsid w:val="00CF4234"/>
    <w:rsid w:val="00CF4488"/>
    <w:rsid w:val="00CF456B"/>
    <w:rsid w:val="00CF4958"/>
    <w:rsid w:val="00CF4D17"/>
    <w:rsid w:val="00CF4DCC"/>
    <w:rsid w:val="00CF509B"/>
    <w:rsid w:val="00CF51D0"/>
    <w:rsid w:val="00CF56A2"/>
    <w:rsid w:val="00CF56BC"/>
    <w:rsid w:val="00CF5721"/>
    <w:rsid w:val="00CF5A22"/>
    <w:rsid w:val="00CF5AAD"/>
    <w:rsid w:val="00CF5DF3"/>
    <w:rsid w:val="00CF5F75"/>
    <w:rsid w:val="00CF5FCF"/>
    <w:rsid w:val="00CF6221"/>
    <w:rsid w:val="00CF645D"/>
    <w:rsid w:val="00CF6714"/>
    <w:rsid w:val="00CF67AC"/>
    <w:rsid w:val="00CF687D"/>
    <w:rsid w:val="00CF69C5"/>
    <w:rsid w:val="00CF6A6E"/>
    <w:rsid w:val="00CF6BB6"/>
    <w:rsid w:val="00CF6E6A"/>
    <w:rsid w:val="00CF709C"/>
    <w:rsid w:val="00CF70D3"/>
    <w:rsid w:val="00CF710F"/>
    <w:rsid w:val="00CF752D"/>
    <w:rsid w:val="00CF755F"/>
    <w:rsid w:val="00CF7611"/>
    <w:rsid w:val="00CF77C8"/>
    <w:rsid w:val="00CF78ED"/>
    <w:rsid w:val="00CF790C"/>
    <w:rsid w:val="00CF7AA7"/>
    <w:rsid w:val="00CF7CAA"/>
    <w:rsid w:val="00CF7CD1"/>
    <w:rsid w:val="00CF7CEE"/>
    <w:rsid w:val="00CF7FAD"/>
    <w:rsid w:val="00D00033"/>
    <w:rsid w:val="00D002BF"/>
    <w:rsid w:val="00D00473"/>
    <w:rsid w:val="00D004FF"/>
    <w:rsid w:val="00D0097A"/>
    <w:rsid w:val="00D009C4"/>
    <w:rsid w:val="00D00BB5"/>
    <w:rsid w:val="00D00C2E"/>
    <w:rsid w:val="00D00FE2"/>
    <w:rsid w:val="00D0128A"/>
    <w:rsid w:val="00D014F7"/>
    <w:rsid w:val="00D015AC"/>
    <w:rsid w:val="00D01D7A"/>
    <w:rsid w:val="00D01D84"/>
    <w:rsid w:val="00D01EAC"/>
    <w:rsid w:val="00D0225B"/>
    <w:rsid w:val="00D0262E"/>
    <w:rsid w:val="00D02B6E"/>
    <w:rsid w:val="00D02E52"/>
    <w:rsid w:val="00D03254"/>
    <w:rsid w:val="00D0342B"/>
    <w:rsid w:val="00D034D4"/>
    <w:rsid w:val="00D03645"/>
    <w:rsid w:val="00D0365A"/>
    <w:rsid w:val="00D03679"/>
    <w:rsid w:val="00D03A72"/>
    <w:rsid w:val="00D03B90"/>
    <w:rsid w:val="00D04096"/>
    <w:rsid w:val="00D0417B"/>
    <w:rsid w:val="00D04379"/>
    <w:rsid w:val="00D04744"/>
    <w:rsid w:val="00D04B82"/>
    <w:rsid w:val="00D04D43"/>
    <w:rsid w:val="00D04ED2"/>
    <w:rsid w:val="00D05004"/>
    <w:rsid w:val="00D0573C"/>
    <w:rsid w:val="00D05749"/>
    <w:rsid w:val="00D05A15"/>
    <w:rsid w:val="00D05C11"/>
    <w:rsid w:val="00D05C4E"/>
    <w:rsid w:val="00D05D4C"/>
    <w:rsid w:val="00D05E3D"/>
    <w:rsid w:val="00D05E40"/>
    <w:rsid w:val="00D060B6"/>
    <w:rsid w:val="00D06139"/>
    <w:rsid w:val="00D063B0"/>
    <w:rsid w:val="00D06703"/>
    <w:rsid w:val="00D06F96"/>
    <w:rsid w:val="00D07514"/>
    <w:rsid w:val="00D07704"/>
    <w:rsid w:val="00D079F0"/>
    <w:rsid w:val="00D07CF2"/>
    <w:rsid w:val="00D10074"/>
    <w:rsid w:val="00D100C3"/>
    <w:rsid w:val="00D1021C"/>
    <w:rsid w:val="00D104B4"/>
    <w:rsid w:val="00D10A3B"/>
    <w:rsid w:val="00D10AD0"/>
    <w:rsid w:val="00D10AF6"/>
    <w:rsid w:val="00D10C76"/>
    <w:rsid w:val="00D10EC7"/>
    <w:rsid w:val="00D110BD"/>
    <w:rsid w:val="00D11196"/>
    <w:rsid w:val="00D11AB0"/>
    <w:rsid w:val="00D11EB5"/>
    <w:rsid w:val="00D1235F"/>
    <w:rsid w:val="00D12B72"/>
    <w:rsid w:val="00D12E86"/>
    <w:rsid w:val="00D130B0"/>
    <w:rsid w:val="00D13140"/>
    <w:rsid w:val="00D13160"/>
    <w:rsid w:val="00D1328D"/>
    <w:rsid w:val="00D133A9"/>
    <w:rsid w:val="00D133AE"/>
    <w:rsid w:val="00D13443"/>
    <w:rsid w:val="00D135F7"/>
    <w:rsid w:val="00D13675"/>
    <w:rsid w:val="00D136A4"/>
    <w:rsid w:val="00D1379A"/>
    <w:rsid w:val="00D13C0A"/>
    <w:rsid w:val="00D13F84"/>
    <w:rsid w:val="00D14001"/>
    <w:rsid w:val="00D141E1"/>
    <w:rsid w:val="00D141F6"/>
    <w:rsid w:val="00D14210"/>
    <w:rsid w:val="00D145BD"/>
    <w:rsid w:val="00D14636"/>
    <w:rsid w:val="00D14680"/>
    <w:rsid w:val="00D146FD"/>
    <w:rsid w:val="00D1477A"/>
    <w:rsid w:val="00D14865"/>
    <w:rsid w:val="00D14A00"/>
    <w:rsid w:val="00D14BC3"/>
    <w:rsid w:val="00D14C97"/>
    <w:rsid w:val="00D14DB6"/>
    <w:rsid w:val="00D14E03"/>
    <w:rsid w:val="00D15005"/>
    <w:rsid w:val="00D15314"/>
    <w:rsid w:val="00D1538D"/>
    <w:rsid w:val="00D15A4E"/>
    <w:rsid w:val="00D15B48"/>
    <w:rsid w:val="00D15ECC"/>
    <w:rsid w:val="00D162C4"/>
    <w:rsid w:val="00D162D2"/>
    <w:rsid w:val="00D163D1"/>
    <w:rsid w:val="00D16534"/>
    <w:rsid w:val="00D167A3"/>
    <w:rsid w:val="00D168DC"/>
    <w:rsid w:val="00D16B90"/>
    <w:rsid w:val="00D173D6"/>
    <w:rsid w:val="00D17432"/>
    <w:rsid w:val="00D1745C"/>
    <w:rsid w:val="00D1774D"/>
    <w:rsid w:val="00D179C5"/>
    <w:rsid w:val="00D17D6C"/>
    <w:rsid w:val="00D17E6E"/>
    <w:rsid w:val="00D17E7F"/>
    <w:rsid w:val="00D20113"/>
    <w:rsid w:val="00D2011C"/>
    <w:rsid w:val="00D205F5"/>
    <w:rsid w:val="00D2063D"/>
    <w:rsid w:val="00D20B92"/>
    <w:rsid w:val="00D20CAD"/>
    <w:rsid w:val="00D21058"/>
    <w:rsid w:val="00D21269"/>
    <w:rsid w:val="00D21323"/>
    <w:rsid w:val="00D2155B"/>
    <w:rsid w:val="00D21870"/>
    <w:rsid w:val="00D21A0C"/>
    <w:rsid w:val="00D21C41"/>
    <w:rsid w:val="00D21EAE"/>
    <w:rsid w:val="00D220B3"/>
    <w:rsid w:val="00D22132"/>
    <w:rsid w:val="00D221AC"/>
    <w:rsid w:val="00D22243"/>
    <w:rsid w:val="00D22545"/>
    <w:rsid w:val="00D22785"/>
    <w:rsid w:val="00D229ED"/>
    <w:rsid w:val="00D22AF2"/>
    <w:rsid w:val="00D22BA4"/>
    <w:rsid w:val="00D22C7D"/>
    <w:rsid w:val="00D22EDC"/>
    <w:rsid w:val="00D22F42"/>
    <w:rsid w:val="00D231D2"/>
    <w:rsid w:val="00D2332C"/>
    <w:rsid w:val="00D23339"/>
    <w:rsid w:val="00D23432"/>
    <w:rsid w:val="00D23801"/>
    <w:rsid w:val="00D23B71"/>
    <w:rsid w:val="00D23BA1"/>
    <w:rsid w:val="00D23D11"/>
    <w:rsid w:val="00D23D70"/>
    <w:rsid w:val="00D244B6"/>
    <w:rsid w:val="00D24501"/>
    <w:rsid w:val="00D245C2"/>
    <w:rsid w:val="00D249E6"/>
    <w:rsid w:val="00D24A3A"/>
    <w:rsid w:val="00D24AE8"/>
    <w:rsid w:val="00D24B39"/>
    <w:rsid w:val="00D24D43"/>
    <w:rsid w:val="00D25194"/>
    <w:rsid w:val="00D255B8"/>
    <w:rsid w:val="00D257C9"/>
    <w:rsid w:val="00D257D1"/>
    <w:rsid w:val="00D25916"/>
    <w:rsid w:val="00D25941"/>
    <w:rsid w:val="00D259E2"/>
    <w:rsid w:val="00D25A6F"/>
    <w:rsid w:val="00D25C5A"/>
    <w:rsid w:val="00D25DA8"/>
    <w:rsid w:val="00D25EA7"/>
    <w:rsid w:val="00D25EEF"/>
    <w:rsid w:val="00D261A2"/>
    <w:rsid w:val="00D26483"/>
    <w:rsid w:val="00D26538"/>
    <w:rsid w:val="00D265EC"/>
    <w:rsid w:val="00D2675F"/>
    <w:rsid w:val="00D267DB"/>
    <w:rsid w:val="00D2688E"/>
    <w:rsid w:val="00D26E5D"/>
    <w:rsid w:val="00D2754D"/>
    <w:rsid w:val="00D27672"/>
    <w:rsid w:val="00D27B27"/>
    <w:rsid w:val="00D27C98"/>
    <w:rsid w:val="00D27EF1"/>
    <w:rsid w:val="00D27FA8"/>
    <w:rsid w:val="00D30497"/>
    <w:rsid w:val="00D3067A"/>
    <w:rsid w:val="00D308D4"/>
    <w:rsid w:val="00D30AD7"/>
    <w:rsid w:val="00D30B6D"/>
    <w:rsid w:val="00D30C6C"/>
    <w:rsid w:val="00D30D5B"/>
    <w:rsid w:val="00D3135D"/>
    <w:rsid w:val="00D3158F"/>
    <w:rsid w:val="00D31802"/>
    <w:rsid w:val="00D31C24"/>
    <w:rsid w:val="00D31DB4"/>
    <w:rsid w:val="00D31FA5"/>
    <w:rsid w:val="00D32131"/>
    <w:rsid w:val="00D3241D"/>
    <w:rsid w:val="00D32584"/>
    <w:rsid w:val="00D32732"/>
    <w:rsid w:val="00D32786"/>
    <w:rsid w:val="00D32B54"/>
    <w:rsid w:val="00D32E57"/>
    <w:rsid w:val="00D32EBA"/>
    <w:rsid w:val="00D3309C"/>
    <w:rsid w:val="00D3327E"/>
    <w:rsid w:val="00D33295"/>
    <w:rsid w:val="00D3330F"/>
    <w:rsid w:val="00D333C6"/>
    <w:rsid w:val="00D337EB"/>
    <w:rsid w:val="00D338A8"/>
    <w:rsid w:val="00D33A8A"/>
    <w:rsid w:val="00D33B71"/>
    <w:rsid w:val="00D33BE9"/>
    <w:rsid w:val="00D33E8A"/>
    <w:rsid w:val="00D33ED4"/>
    <w:rsid w:val="00D33F93"/>
    <w:rsid w:val="00D33FEF"/>
    <w:rsid w:val="00D3406F"/>
    <w:rsid w:val="00D340AC"/>
    <w:rsid w:val="00D34306"/>
    <w:rsid w:val="00D34488"/>
    <w:rsid w:val="00D345DE"/>
    <w:rsid w:val="00D346C6"/>
    <w:rsid w:val="00D34BD5"/>
    <w:rsid w:val="00D34C08"/>
    <w:rsid w:val="00D34D0A"/>
    <w:rsid w:val="00D350D5"/>
    <w:rsid w:val="00D3512D"/>
    <w:rsid w:val="00D35616"/>
    <w:rsid w:val="00D357FF"/>
    <w:rsid w:val="00D3597D"/>
    <w:rsid w:val="00D35C9D"/>
    <w:rsid w:val="00D35F6F"/>
    <w:rsid w:val="00D36041"/>
    <w:rsid w:val="00D360A1"/>
    <w:rsid w:val="00D362CD"/>
    <w:rsid w:val="00D3654C"/>
    <w:rsid w:val="00D368C3"/>
    <w:rsid w:val="00D3699E"/>
    <w:rsid w:val="00D369E5"/>
    <w:rsid w:val="00D36D51"/>
    <w:rsid w:val="00D36D6F"/>
    <w:rsid w:val="00D36D94"/>
    <w:rsid w:val="00D36E3B"/>
    <w:rsid w:val="00D37245"/>
    <w:rsid w:val="00D3779D"/>
    <w:rsid w:val="00D379F5"/>
    <w:rsid w:val="00D37AD4"/>
    <w:rsid w:val="00D37D39"/>
    <w:rsid w:val="00D37E54"/>
    <w:rsid w:val="00D37EA9"/>
    <w:rsid w:val="00D37EBD"/>
    <w:rsid w:val="00D40A04"/>
    <w:rsid w:val="00D40BC2"/>
    <w:rsid w:val="00D40BE6"/>
    <w:rsid w:val="00D40D3B"/>
    <w:rsid w:val="00D41071"/>
    <w:rsid w:val="00D4112C"/>
    <w:rsid w:val="00D41193"/>
    <w:rsid w:val="00D41253"/>
    <w:rsid w:val="00D41263"/>
    <w:rsid w:val="00D41291"/>
    <w:rsid w:val="00D41303"/>
    <w:rsid w:val="00D414A0"/>
    <w:rsid w:val="00D41544"/>
    <w:rsid w:val="00D41659"/>
    <w:rsid w:val="00D41923"/>
    <w:rsid w:val="00D41B75"/>
    <w:rsid w:val="00D41CC4"/>
    <w:rsid w:val="00D41F51"/>
    <w:rsid w:val="00D4234A"/>
    <w:rsid w:val="00D4240F"/>
    <w:rsid w:val="00D424A6"/>
    <w:rsid w:val="00D424C7"/>
    <w:rsid w:val="00D42623"/>
    <w:rsid w:val="00D4279D"/>
    <w:rsid w:val="00D4287F"/>
    <w:rsid w:val="00D4308E"/>
    <w:rsid w:val="00D43278"/>
    <w:rsid w:val="00D433F6"/>
    <w:rsid w:val="00D43B24"/>
    <w:rsid w:val="00D43B2A"/>
    <w:rsid w:val="00D43CF1"/>
    <w:rsid w:val="00D43D83"/>
    <w:rsid w:val="00D44131"/>
    <w:rsid w:val="00D442E1"/>
    <w:rsid w:val="00D4443C"/>
    <w:rsid w:val="00D44B71"/>
    <w:rsid w:val="00D44C38"/>
    <w:rsid w:val="00D44E84"/>
    <w:rsid w:val="00D45626"/>
    <w:rsid w:val="00D456D9"/>
    <w:rsid w:val="00D4585C"/>
    <w:rsid w:val="00D45C1F"/>
    <w:rsid w:val="00D45C77"/>
    <w:rsid w:val="00D45D81"/>
    <w:rsid w:val="00D45FB8"/>
    <w:rsid w:val="00D4614E"/>
    <w:rsid w:val="00D46788"/>
    <w:rsid w:val="00D46A68"/>
    <w:rsid w:val="00D46F81"/>
    <w:rsid w:val="00D4706E"/>
    <w:rsid w:val="00D471B9"/>
    <w:rsid w:val="00D47323"/>
    <w:rsid w:val="00D47575"/>
    <w:rsid w:val="00D47695"/>
    <w:rsid w:val="00D476F2"/>
    <w:rsid w:val="00D4777C"/>
    <w:rsid w:val="00D47C45"/>
    <w:rsid w:val="00D47DB2"/>
    <w:rsid w:val="00D5022F"/>
    <w:rsid w:val="00D503C9"/>
    <w:rsid w:val="00D50C60"/>
    <w:rsid w:val="00D5102A"/>
    <w:rsid w:val="00D51379"/>
    <w:rsid w:val="00D513AF"/>
    <w:rsid w:val="00D514D4"/>
    <w:rsid w:val="00D51BA6"/>
    <w:rsid w:val="00D5209C"/>
    <w:rsid w:val="00D5243B"/>
    <w:rsid w:val="00D524D3"/>
    <w:rsid w:val="00D524F2"/>
    <w:rsid w:val="00D526C8"/>
    <w:rsid w:val="00D52DA6"/>
    <w:rsid w:val="00D52E2F"/>
    <w:rsid w:val="00D533EC"/>
    <w:rsid w:val="00D536B4"/>
    <w:rsid w:val="00D53A1D"/>
    <w:rsid w:val="00D53BFE"/>
    <w:rsid w:val="00D53CFC"/>
    <w:rsid w:val="00D53D79"/>
    <w:rsid w:val="00D53DD7"/>
    <w:rsid w:val="00D540BB"/>
    <w:rsid w:val="00D540C6"/>
    <w:rsid w:val="00D5412A"/>
    <w:rsid w:val="00D54207"/>
    <w:rsid w:val="00D548B9"/>
    <w:rsid w:val="00D54E10"/>
    <w:rsid w:val="00D5511C"/>
    <w:rsid w:val="00D55314"/>
    <w:rsid w:val="00D55374"/>
    <w:rsid w:val="00D554F0"/>
    <w:rsid w:val="00D55573"/>
    <w:rsid w:val="00D555DF"/>
    <w:rsid w:val="00D5568E"/>
    <w:rsid w:val="00D557C9"/>
    <w:rsid w:val="00D558DA"/>
    <w:rsid w:val="00D55F96"/>
    <w:rsid w:val="00D56098"/>
    <w:rsid w:val="00D56499"/>
    <w:rsid w:val="00D5661F"/>
    <w:rsid w:val="00D566CB"/>
    <w:rsid w:val="00D566E5"/>
    <w:rsid w:val="00D56737"/>
    <w:rsid w:val="00D5676F"/>
    <w:rsid w:val="00D56916"/>
    <w:rsid w:val="00D569A3"/>
    <w:rsid w:val="00D56A60"/>
    <w:rsid w:val="00D56A95"/>
    <w:rsid w:val="00D56D4D"/>
    <w:rsid w:val="00D56DBD"/>
    <w:rsid w:val="00D56E2A"/>
    <w:rsid w:val="00D5736D"/>
    <w:rsid w:val="00D57552"/>
    <w:rsid w:val="00D577FE"/>
    <w:rsid w:val="00D5798B"/>
    <w:rsid w:val="00D57AA0"/>
    <w:rsid w:val="00D57C0C"/>
    <w:rsid w:val="00D57DEB"/>
    <w:rsid w:val="00D57E50"/>
    <w:rsid w:val="00D60069"/>
    <w:rsid w:val="00D6016A"/>
    <w:rsid w:val="00D60334"/>
    <w:rsid w:val="00D6037D"/>
    <w:rsid w:val="00D60481"/>
    <w:rsid w:val="00D606AF"/>
    <w:rsid w:val="00D606D0"/>
    <w:rsid w:val="00D606D6"/>
    <w:rsid w:val="00D6076E"/>
    <w:rsid w:val="00D607AC"/>
    <w:rsid w:val="00D60D93"/>
    <w:rsid w:val="00D6138E"/>
    <w:rsid w:val="00D61550"/>
    <w:rsid w:val="00D616CB"/>
    <w:rsid w:val="00D61CC4"/>
    <w:rsid w:val="00D6246B"/>
    <w:rsid w:val="00D62583"/>
    <w:rsid w:val="00D62CA3"/>
    <w:rsid w:val="00D62E16"/>
    <w:rsid w:val="00D62EA9"/>
    <w:rsid w:val="00D63285"/>
    <w:rsid w:val="00D6331F"/>
    <w:rsid w:val="00D63737"/>
    <w:rsid w:val="00D637A1"/>
    <w:rsid w:val="00D6399F"/>
    <w:rsid w:val="00D63CAB"/>
    <w:rsid w:val="00D63E6D"/>
    <w:rsid w:val="00D6414E"/>
    <w:rsid w:val="00D6435C"/>
    <w:rsid w:val="00D643C9"/>
    <w:rsid w:val="00D64514"/>
    <w:rsid w:val="00D6471C"/>
    <w:rsid w:val="00D648E5"/>
    <w:rsid w:val="00D64A61"/>
    <w:rsid w:val="00D64A9A"/>
    <w:rsid w:val="00D64BEC"/>
    <w:rsid w:val="00D64D3F"/>
    <w:rsid w:val="00D64EB9"/>
    <w:rsid w:val="00D64F62"/>
    <w:rsid w:val="00D655D7"/>
    <w:rsid w:val="00D65968"/>
    <w:rsid w:val="00D6597A"/>
    <w:rsid w:val="00D65A2D"/>
    <w:rsid w:val="00D65D06"/>
    <w:rsid w:val="00D65DC5"/>
    <w:rsid w:val="00D6628D"/>
    <w:rsid w:val="00D664A0"/>
    <w:rsid w:val="00D665CD"/>
    <w:rsid w:val="00D66665"/>
    <w:rsid w:val="00D671B4"/>
    <w:rsid w:val="00D6727D"/>
    <w:rsid w:val="00D672DA"/>
    <w:rsid w:val="00D67754"/>
    <w:rsid w:val="00D67821"/>
    <w:rsid w:val="00D67944"/>
    <w:rsid w:val="00D679D0"/>
    <w:rsid w:val="00D67B60"/>
    <w:rsid w:val="00D67BBC"/>
    <w:rsid w:val="00D67F4C"/>
    <w:rsid w:val="00D70039"/>
    <w:rsid w:val="00D7022E"/>
    <w:rsid w:val="00D70368"/>
    <w:rsid w:val="00D70697"/>
    <w:rsid w:val="00D709EB"/>
    <w:rsid w:val="00D70A83"/>
    <w:rsid w:val="00D70F16"/>
    <w:rsid w:val="00D71213"/>
    <w:rsid w:val="00D71768"/>
    <w:rsid w:val="00D723D1"/>
    <w:rsid w:val="00D7246A"/>
    <w:rsid w:val="00D7257D"/>
    <w:rsid w:val="00D72617"/>
    <w:rsid w:val="00D72B2B"/>
    <w:rsid w:val="00D72F57"/>
    <w:rsid w:val="00D7305D"/>
    <w:rsid w:val="00D733D6"/>
    <w:rsid w:val="00D73435"/>
    <w:rsid w:val="00D739C4"/>
    <w:rsid w:val="00D739DA"/>
    <w:rsid w:val="00D73F23"/>
    <w:rsid w:val="00D740A3"/>
    <w:rsid w:val="00D741A4"/>
    <w:rsid w:val="00D742D2"/>
    <w:rsid w:val="00D743B9"/>
    <w:rsid w:val="00D74AC5"/>
    <w:rsid w:val="00D74B72"/>
    <w:rsid w:val="00D74CD0"/>
    <w:rsid w:val="00D74D2C"/>
    <w:rsid w:val="00D74E59"/>
    <w:rsid w:val="00D751F6"/>
    <w:rsid w:val="00D7520D"/>
    <w:rsid w:val="00D7561E"/>
    <w:rsid w:val="00D75636"/>
    <w:rsid w:val="00D7580B"/>
    <w:rsid w:val="00D759F6"/>
    <w:rsid w:val="00D75AC9"/>
    <w:rsid w:val="00D7602B"/>
    <w:rsid w:val="00D7613E"/>
    <w:rsid w:val="00D762D6"/>
    <w:rsid w:val="00D76334"/>
    <w:rsid w:val="00D766CA"/>
    <w:rsid w:val="00D7671D"/>
    <w:rsid w:val="00D76A44"/>
    <w:rsid w:val="00D76AFB"/>
    <w:rsid w:val="00D76FBA"/>
    <w:rsid w:val="00D7703F"/>
    <w:rsid w:val="00D77069"/>
    <w:rsid w:val="00D77198"/>
    <w:rsid w:val="00D775B2"/>
    <w:rsid w:val="00D77672"/>
    <w:rsid w:val="00D776F5"/>
    <w:rsid w:val="00D77998"/>
    <w:rsid w:val="00D77A08"/>
    <w:rsid w:val="00D77A85"/>
    <w:rsid w:val="00D77B7B"/>
    <w:rsid w:val="00D77CA4"/>
    <w:rsid w:val="00D801F4"/>
    <w:rsid w:val="00D80388"/>
    <w:rsid w:val="00D80470"/>
    <w:rsid w:val="00D80CB9"/>
    <w:rsid w:val="00D80FE2"/>
    <w:rsid w:val="00D81034"/>
    <w:rsid w:val="00D81218"/>
    <w:rsid w:val="00D8131A"/>
    <w:rsid w:val="00D813C7"/>
    <w:rsid w:val="00D8146F"/>
    <w:rsid w:val="00D815D3"/>
    <w:rsid w:val="00D815EE"/>
    <w:rsid w:val="00D815EF"/>
    <w:rsid w:val="00D81949"/>
    <w:rsid w:val="00D81C18"/>
    <w:rsid w:val="00D81C1A"/>
    <w:rsid w:val="00D81ECC"/>
    <w:rsid w:val="00D81ED2"/>
    <w:rsid w:val="00D81F26"/>
    <w:rsid w:val="00D822E2"/>
    <w:rsid w:val="00D8284D"/>
    <w:rsid w:val="00D82C8F"/>
    <w:rsid w:val="00D82E5A"/>
    <w:rsid w:val="00D82F59"/>
    <w:rsid w:val="00D82FA9"/>
    <w:rsid w:val="00D83213"/>
    <w:rsid w:val="00D83227"/>
    <w:rsid w:val="00D83398"/>
    <w:rsid w:val="00D841F0"/>
    <w:rsid w:val="00D84320"/>
    <w:rsid w:val="00D843F2"/>
    <w:rsid w:val="00D84446"/>
    <w:rsid w:val="00D8474F"/>
    <w:rsid w:val="00D84A2F"/>
    <w:rsid w:val="00D84A64"/>
    <w:rsid w:val="00D84CD8"/>
    <w:rsid w:val="00D84DDB"/>
    <w:rsid w:val="00D84EA9"/>
    <w:rsid w:val="00D854FE"/>
    <w:rsid w:val="00D85745"/>
    <w:rsid w:val="00D85B5B"/>
    <w:rsid w:val="00D85FBA"/>
    <w:rsid w:val="00D86231"/>
    <w:rsid w:val="00D864F0"/>
    <w:rsid w:val="00D867BF"/>
    <w:rsid w:val="00D8682D"/>
    <w:rsid w:val="00D86DD3"/>
    <w:rsid w:val="00D86F22"/>
    <w:rsid w:val="00D870E9"/>
    <w:rsid w:val="00D871A6"/>
    <w:rsid w:val="00D87473"/>
    <w:rsid w:val="00D876C3"/>
    <w:rsid w:val="00D8791B"/>
    <w:rsid w:val="00D87EA9"/>
    <w:rsid w:val="00D87FFC"/>
    <w:rsid w:val="00D90095"/>
    <w:rsid w:val="00D902AF"/>
    <w:rsid w:val="00D90301"/>
    <w:rsid w:val="00D903E7"/>
    <w:rsid w:val="00D906EA"/>
    <w:rsid w:val="00D90871"/>
    <w:rsid w:val="00D908BE"/>
    <w:rsid w:val="00D9096D"/>
    <w:rsid w:val="00D90DD9"/>
    <w:rsid w:val="00D9101E"/>
    <w:rsid w:val="00D910AE"/>
    <w:rsid w:val="00D9124D"/>
    <w:rsid w:val="00D912AB"/>
    <w:rsid w:val="00D914B4"/>
    <w:rsid w:val="00D9150C"/>
    <w:rsid w:val="00D91923"/>
    <w:rsid w:val="00D91971"/>
    <w:rsid w:val="00D919A5"/>
    <w:rsid w:val="00D91A36"/>
    <w:rsid w:val="00D91A8B"/>
    <w:rsid w:val="00D91B17"/>
    <w:rsid w:val="00D91BE6"/>
    <w:rsid w:val="00D92041"/>
    <w:rsid w:val="00D920B3"/>
    <w:rsid w:val="00D921C9"/>
    <w:rsid w:val="00D921FC"/>
    <w:rsid w:val="00D9246D"/>
    <w:rsid w:val="00D9281E"/>
    <w:rsid w:val="00D92D9D"/>
    <w:rsid w:val="00D92FC2"/>
    <w:rsid w:val="00D92FF2"/>
    <w:rsid w:val="00D93363"/>
    <w:rsid w:val="00D933FB"/>
    <w:rsid w:val="00D93620"/>
    <w:rsid w:val="00D93753"/>
    <w:rsid w:val="00D9378A"/>
    <w:rsid w:val="00D939CA"/>
    <w:rsid w:val="00D93C29"/>
    <w:rsid w:val="00D93D26"/>
    <w:rsid w:val="00D94174"/>
    <w:rsid w:val="00D94A27"/>
    <w:rsid w:val="00D94AA1"/>
    <w:rsid w:val="00D94B7C"/>
    <w:rsid w:val="00D94D50"/>
    <w:rsid w:val="00D9528E"/>
    <w:rsid w:val="00D95350"/>
    <w:rsid w:val="00D95379"/>
    <w:rsid w:val="00D955BD"/>
    <w:rsid w:val="00D9599D"/>
    <w:rsid w:val="00D95A2C"/>
    <w:rsid w:val="00D95A85"/>
    <w:rsid w:val="00D95C47"/>
    <w:rsid w:val="00D95CEC"/>
    <w:rsid w:val="00D96041"/>
    <w:rsid w:val="00D96635"/>
    <w:rsid w:val="00D966F3"/>
    <w:rsid w:val="00D967AF"/>
    <w:rsid w:val="00D96869"/>
    <w:rsid w:val="00D96927"/>
    <w:rsid w:val="00D969B9"/>
    <w:rsid w:val="00D96DA2"/>
    <w:rsid w:val="00D96EC5"/>
    <w:rsid w:val="00D97035"/>
    <w:rsid w:val="00D970D6"/>
    <w:rsid w:val="00D979D4"/>
    <w:rsid w:val="00D97C07"/>
    <w:rsid w:val="00D97C81"/>
    <w:rsid w:val="00D97D56"/>
    <w:rsid w:val="00DA00EE"/>
    <w:rsid w:val="00DA0192"/>
    <w:rsid w:val="00DA0350"/>
    <w:rsid w:val="00DA03B5"/>
    <w:rsid w:val="00DA042C"/>
    <w:rsid w:val="00DA0592"/>
    <w:rsid w:val="00DA05A8"/>
    <w:rsid w:val="00DA07AE"/>
    <w:rsid w:val="00DA0A8F"/>
    <w:rsid w:val="00DA0DE0"/>
    <w:rsid w:val="00DA0EB1"/>
    <w:rsid w:val="00DA0F70"/>
    <w:rsid w:val="00DA0F90"/>
    <w:rsid w:val="00DA1419"/>
    <w:rsid w:val="00DA17A3"/>
    <w:rsid w:val="00DA1946"/>
    <w:rsid w:val="00DA1B93"/>
    <w:rsid w:val="00DA1BB7"/>
    <w:rsid w:val="00DA1CC6"/>
    <w:rsid w:val="00DA1D2D"/>
    <w:rsid w:val="00DA1F81"/>
    <w:rsid w:val="00DA1FD2"/>
    <w:rsid w:val="00DA213A"/>
    <w:rsid w:val="00DA24CF"/>
    <w:rsid w:val="00DA2626"/>
    <w:rsid w:val="00DA288A"/>
    <w:rsid w:val="00DA288D"/>
    <w:rsid w:val="00DA2C62"/>
    <w:rsid w:val="00DA2C84"/>
    <w:rsid w:val="00DA2F6B"/>
    <w:rsid w:val="00DA3160"/>
    <w:rsid w:val="00DA3167"/>
    <w:rsid w:val="00DA34A0"/>
    <w:rsid w:val="00DA3760"/>
    <w:rsid w:val="00DA39AB"/>
    <w:rsid w:val="00DA39B1"/>
    <w:rsid w:val="00DA3C85"/>
    <w:rsid w:val="00DA3CEE"/>
    <w:rsid w:val="00DA3F4A"/>
    <w:rsid w:val="00DA3FB9"/>
    <w:rsid w:val="00DA41DE"/>
    <w:rsid w:val="00DA49EA"/>
    <w:rsid w:val="00DA4A4F"/>
    <w:rsid w:val="00DA4BE1"/>
    <w:rsid w:val="00DA4DC3"/>
    <w:rsid w:val="00DA51F8"/>
    <w:rsid w:val="00DA53FB"/>
    <w:rsid w:val="00DA56FC"/>
    <w:rsid w:val="00DA59C9"/>
    <w:rsid w:val="00DA5B21"/>
    <w:rsid w:val="00DA5BF2"/>
    <w:rsid w:val="00DA5C60"/>
    <w:rsid w:val="00DA5E23"/>
    <w:rsid w:val="00DA63C4"/>
    <w:rsid w:val="00DA644D"/>
    <w:rsid w:val="00DA67EE"/>
    <w:rsid w:val="00DA6933"/>
    <w:rsid w:val="00DA6BD1"/>
    <w:rsid w:val="00DA6E01"/>
    <w:rsid w:val="00DA6F56"/>
    <w:rsid w:val="00DA712B"/>
    <w:rsid w:val="00DA7172"/>
    <w:rsid w:val="00DA72FC"/>
    <w:rsid w:val="00DA77A5"/>
    <w:rsid w:val="00DA7B2C"/>
    <w:rsid w:val="00DA7B4E"/>
    <w:rsid w:val="00DA7C40"/>
    <w:rsid w:val="00DA7D40"/>
    <w:rsid w:val="00DA7EA6"/>
    <w:rsid w:val="00DA7ECD"/>
    <w:rsid w:val="00DB02F8"/>
    <w:rsid w:val="00DB0575"/>
    <w:rsid w:val="00DB05F7"/>
    <w:rsid w:val="00DB0609"/>
    <w:rsid w:val="00DB0749"/>
    <w:rsid w:val="00DB0914"/>
    <w:rsid w:val="00DB0E36"/>
    <w:rsid w:val="00DB0FEF"/>
    <w:rsid w:val="00DB13B1"/>
    <w:rsid w:val="00DB17A2"/>
    <w:rsid w:val="00DB196A"/>
    <w:rsid w:val="00DB1992"/>
    <w:rsid w:val="00DB1A61"/>
    <w:rsid w:val="00DB1BC8"/>
    <w:rsid w:val="00DB1BE8"/>
    <w:rsid w:val="00DB1CAE"/>
    <w:rsid w:val="00DB1D71"/>
    <w:rsid w:val="00DB2217"/>
    <w:rsid w:val="00DB2256"/>
    <w:rsid w:val="00DB2723"/>
    <w:rsid w:val="00DB288D"/>
    <w:rsid w:val="00DB2A65"/>
    <w:rsid w:val="00DB2CE1"/>
    <w:rsid w:val="00DB2D26"/>
    <w:rsid w:val="00DB2DB6"/>
    <w:rsid w:val="00DB2EB3"/>
    <w:rsid w:val="00DB30EE"/>
    <w:rsid w:val="00DB312D"/>
    <w:rsid w:val="00DB340A"/>
    <w:rsid w:val="00DB340E"/>
    <w:rsid w:val="00DB366D"/>
    <w:rsid w:val="00DB39C7"/>
    <w:rsid w:val="00DB3A47"/>
    <w:rsid w:val="00DB3B95"/>
    <w:rsid w:val="00DB3DBF"/>
    <w:rsid w:val="00DB4039"/>
    <w:rsid w:val="00DB457F"/>
    <w:rsid w:val="00DB46F5"/>
    <w:rsid w:val="00DB484F"/>
    <w:rsid w:val="00DB4977"/>
    <w:rsid w:val="00DB4A24"/>
    <w:rsid w:val="00DB4E51"/>
    <w:rsid w:val="00DB4F3B"/>
    <w:rsid w:val="00DB5056"/>
    <w:rsid w:val="00DB50E3"/>
    <w:rsid w:val="00DB5390"/>
    <w:rsid w:val="00DB5595"/>
    <w:rsid w:val="00DB56CA"/>
    <w:rsid w:val="00DB577F"/>
    <w:rsid w:val="00DB5995"/>
    <w:rsid w:val="00DB5CC0"/>
    <w:rsid w:val="00DB5E4F"/>
    <w:rsid w:val="00DB5EBD"/>
    <w:rsid w:val="00DB6504"/>
    <w:rsid w:val="00DB6647"/>
    <w:rsid w:val="00DB66CA"/>
    <w:rsid w:val="00DB6A56"/>
    <w:rsid w:val="00DB6C5A"/>
    <w:rsid w:val="00DB6F8A"/>
    <w:rsid w:val="00DB708D"/>
    <w:rsid w:val="00DB753B"/>
    <w:rsid w:val="00DB76B6"/>
    <w:rsid w:val="00DB77F2"/>
    <w:rsid w:val="00DB794F"/>
    <w:rsid w:val="00DB7A20"/>
    <w:rsid w:val="00DB7A25"/>
    <w:rsid w:val="00DB7F07"/>
    <w:rsid w:val="00DB7FCE"/>
    <w:rsid w:val="00DC0043"/>
    <w:rsid w:val="00DC0053"/>
    <w:rsid w:val="00DC0061"/>
    <w:rsid w:val="00DC0180"/>
    <w:rsid w:val="00DC0262"/>
    <w:rsid w:val="00DC02B0"/>
    <w:rsid w:val="00DC0332"/>
    <w:rsid w:val="00DC04F6"/>
    <w:rsid w:val="00DC0690"/>
    <w:rsid w:val="00DC081F"/>
    <w:rsid w:val="00DC087A"/>
    <w:rsid w:val="00DC0B4B"/>
    <w:rsid w:val="00DC0BF2"/>
    <w:rsid w:val="00DC0F4A"/>
    <w:rsid w:val="00DC1355"/>
    <w:rsid w:val="00DC1499"/>
    <w:rsid w:val="00DC19F1"/>
    <w:rsid w:val="00DC1D61"/>
    <w:rsid w:val="00DC1D65"/>
    <w:rsid w:val="00DC1DC3"/>
    <w:rsid w:val="00DC206A"/>
    <w:rsid w:val="00DC2376"/>
    <w:rsid w:val="00DC34A5"/>
    <w:rsid w:val="00DC34E1"/>
    <w:rsid w:val="00DC365C"/>
    <w:rsid w:val="00DC3ABD"/>
    <w:rsid w:val="00DC3C57"/>
    <w:rsid w:val="00DC4059"/>
    <w:rsid w:val="00DC45F8"/>
    <w:rsid w:val="00DC46BE"/>
    <w:rsid w:val="00DC4724"/>
    <w:rsid w:val="00DC487B"/>
    <w:rsid w:val="00DC4A4F"/>
    <w:rsid w:val="00DC4B01"/>
    <w:rsid w:val="00DC4B84"/>
    <w:rsid w:val="00DC4E14"/>
    <w:rsid w:val="00DC4E84"/>
    <w:rsid w:val="00DC50A2"/>
    <w:rsid w:val="00DC516F"/>
    <w:rsid w:val="00DC5231"/>
    <w:rsid w:val="00DC54A5"/>
    <w:rsid w:val="00DC5501"/>
    <w:rsid w:val="00DC584D"/>
    <w:rsid w:val="00DC5AD0"/>
    <w:rsid w:val="00DC5DBC"/>
    <w:rsid w:val="00DC5DBD"/>
    <w:rsid w:val="00DC5DE4"/>
    <w:rsid w:val="00DC60F6"/>
    <w:rsid w:val="00DC6185"/>
    <w:rsid w:val="00DC625A"/>
    <w:rsid w:val="00DC635B"/>
    <w:rsid w:val="00DC6580"/>
    <w:rsid w:val="00DC6773"/>
    <w:rsid w:val="00DC6B00"/>
    <w:rsid w:val="00DC6B42"/>
    <w:rsid w:val="00DC6FB4"/>
    <w:rsid w:val="00DC7154"/>
    <w:rsid w:val="00DC7354"/>
    <w:rsid w:val="00DC7639"/>
    <w:rsid w:val="00DC772A"/>
    <w:rsid w:val="00DC7970"/>
    <w:rsid w:val="00DC7CD5"/>
    <w:rsid w:val="00DC7E8A"/>
    <w:rsid w:val="00DD042A"/>
    <w:rsid w:val="00DD055A"/>
    <w:rsid w:val="00DD058C"/>
    <w:rsid w:val="00DD07FC"/>
    <w:rsid w:val="00DD0887"/>
    <w:rsid w:val="00DD0908"/>
    <w:rsid w:val="00DD0993"/>
    <w:rsid w:val="00DD0B81"/>
    <w:rsid w:val="00DD0BC4"/>
    <w:rsid w:val="00DD0EFF"/>
    <w:rsid w:val="00DD0F78"/>
    <w:rsid w:val="00DD1114"/>
    <w:rsid w:val="00DD164D"/>
    <w:rsid w:val="00DD185E"/>
    <w:rsid w:val="00DD1F70"/>
    <w:rsid w:val="00DD23EB"/>
    <w:rsid w:val="00DD273C"/>
    <w:rsid w:val="00DD2B7E"/>
    <w:rsid w:val="00DD2EF0"/>
    <w:rsid w:val="00DD2F9C"/>
    <w:rsid w:val="00DD324E"/>
    <w:rsid w:val="00DD338C"/>
    <w:rsid w:val="00DD362B"/>
    <w:rsid w:val="00DD3826"/>
    <w:rsid w:val="00DD3908"/>
    <w:rsid w:val="00DD39AB"/>
    <w:rsid w:val="00DD39D7"/>
    <w:rsid w:val="00DD3D76"/>
    <w:rsid w:val="00DD3F28"/>
    <w:rsid w:val="00DD3F97"/>
    <w:rsid w:val="00DD4141"/>
    <w:rsid w:val="00DD422A"/>
    <w:rsid w:val="00DD4269"/>
    <w:rsid w:val="00DD4446"/>
    <w:rsid w:val="00DD4537"/>
    <w:rsid w:val="00DD476C"/>
    <w:rsid w:val="00DD485D"/>
    <w:rsid w:val="00DD48E9"/>
    <w:rsid w:val="00DD4A37"/>
    <w:rsid w:val="00DD4E15"/>
    <w:rsid w:val="00DD4EEF"/>
    <w:rsid w:val="00DD4FFE"/>
    <w:rsid w:val="00DD50E7"/>
    <w:rsid w:val="00DD53FB"/>
    <w:rsid w:val="00DD5C5A"/>
    <w:rsid w:val="00DD63F9"/>
    <w:rsid w:val="00DD661A"/>
    <w:rsid w:val="00DD6916"/>
    <w:rsid w:val="00DD6935"/>
    <w:rsid w:val="00DD69A9"/>
    <w:rsid w:val="00DD6BA6"/>
    <w:rsid w:val="00DD6C81"/>
    <w:rsid w:val="00DD6CD2"/>
    <w:rsid w:val="00DD6D82"/>
    <w:rsid w:val="00DD6DCE"/>
    <w:rsid w:val="00DD6E82"/>
    <w:rsid w:val="00DD720F"/>
    <w:rsid w:val="00DD732D"/>
    <w:rsid w:val="00DD753A"/>
    <w:rsid w:val="00DD7A15"/>
    <w:rsid w:val="00DD7B35"/>
    <w:rsid w:val="00DD7B85"/>
    <w:rsid w:val="00DD7C4E"/>
    <w:rsid w:val="00DE0150"/>
    <w:rsid w:val="00DE0265"/>
    <w:rsid w:val="00DE0432"/>
    <w:rsid w:val="00DE0846"/>
    <w:rsid w:val="00DE0E1C"/>
    <w:rsid w:val="00DE114C"/>
    <w:rsid w:val="00DE132B"/>
    <w:rsid w:val="00DE1432"/>
    <w:rsid w:val="00DE14B2"/>
    <w:rsid w:val="00DE14CF"/>
    <w:rsid w:val="00DE16F5"/>
    <w:rsid w:val="00DE17D8"/>
    <w:rsid w:val="00DE18A2"/>
    <w:rsid w:val="00DE1E83"/>
    <w:rsid w:val="00DE2280"/>
    <w:rsid w:val="00DE2304"/>
    <w:rsid w:val="00DE23C1"/>
    <w:rsid w:val="00DE2410"/>
    <w:rsid w:val="00DE249A"/>
    <w:rsid w:val="00DE25B8"/>
    <w:rsid w:val="00DE29BB"/>
    <w:rsid w:val="00DE29E3"/>
    <w:rsid w:val="00DE2B7B"/>
    <w:rsid w:val="00DE3138"/>
    <w:rsid w:val="00DE31DA"/>
    <w:rsid w:val="00DE3205"/>
    <w:rsid w:val="00DE3670"/>
    <w:rsid w:val="00DE379A"/>
    <w:rsid w:val="00DE37F8"/>
    <w:rsid w:val="00DE39CA"/>
    <w:rsid w:val="00DE3AAD"/>
    <w:rsid w:val="00DE3D4D"/>
    <w:rsid w:val="00DE3EFD"/>
    <w:rsid w:val="00DE3F4A"/>
    <w:rsid w:val="00DE4273"/>
    <w:rsid w:val="00DE432A"/>
    <w:rsid w:val="00DE444A"/>
    <w:rsid w:val="00DE44CE"/>
    <w:rsid w:val="00DE44EC"/>
    <w:rsid w:val="00DE4763"/>
    <w:rsid w:val="00DE47C6"/>
    <w:rsid w:val="00DE486E"/>
    <w:rsid w:val="00DE4F9F"/>
    <w:rsid w:val="00DE4FCB"/>
    <w:rsid w:val="00DE5116"/>
    <w:rsid w:val="00DE5364"/>
    <w:rsid w:val="00DE5848"/>
    <w:rsid w:val="00DE5851"/>
    <w:rsid w:val="00DE5A5F"/>
    <w:rsid w:val="00DE5AA1"/>
    <w:rsid w:val="00DE5D07"/>
    <w:rsid w:val="00DE5D9D"/>
    <w:rsid w:val="00DE5DDE"/>
    <w:rsid w:val="00DE5F44"/>
    <w:rsid w:val="00DE61A0"/>
    <w:rsid w:val="00DE6378"/>
    <w:rsid w:val="00DE6637"/>
    <w:rsid w:val="00DE669D"/>
    <w:rsid w:val="00DE673D"/>
    <w:rsid w:val="00DE67AE"/>
    <w:rsid w:val="00DE69E1"/>
    <w:rsid w:val="00DE6AB0"/>
    <w:rsid w:val="00DE7238"/>
    <w:rsid w:val="00DE72A7"/>
    <w:rsid w:val="00DE7593"/>
    <w:rsid w:val="00DE7766"/>
    <w:rsid w:val="00DE7818"/>
    <w:rsid w:val="00DE7832"/>
    <w:rsid w:val="00DE78FA"/>
    <w:rsid w:val="00DE79D0"/>
    <w:rsid w:val="00DE7B48"/>
    <w:rsid w:val="00DE7CB9"/>
    <w:rsid w:val="00DE7D40"/>
    <w:rsid w:val="00DE7EA4"/>
    <w:rsid w:val="00DE7F1E"/>
    <w:rsid w:val="00DE7F7A"/>
    <w:rsid w:val="00DF046F"/>
    <w:rsid w:val="00DF053F"/>
    <w:rsid w:val="00DF07B1"/>
    <w:rsid w:val="00DF0AAF"/>
    <w:rsid w:val="00DF0BCB"/>
    <w:rsid w:val="00DF1021"/>
    <w:rsid w:val="00DF10D8"/>
    <w:rsid w:val="00DF127E"/>
    <w:rsid w:val="00DF13F4"/>
    <w:rsid w:val="00DF1402"/>
    <w:rsid w:val="00DF141C"/>
    <w:rsid w:val="00DF144A"/>
    <w:rsid w:val="00DF167E"/>
    <w:rsid w:val="00DF18FC"/>
    <w:rsid w:val="00DF1914"/>
    <w:rsid w:val="00DF1F3D"/>
    <w:rsid w:val="00DF20F4"/>
    <w:rsid w:val="00DF2264"/>
    <w:rsid w:val="00DF241A"/>
    <w:rsid w:val="00DF26BD"/>
    <w:rsid w:val="00DF2701"/>
    <w:rsid w:val="00DF27C2"/>
    <w:rsid w:val="00DF2AF2"/>
    <w:rsid w:val="00DF2C2A"/>
    <w:rsid w:val="00DF2EC0"/>
    <w:rsid w:val="00DF2F5F"/>
    <w:rsid w:val="00DF30BF"/>
    <w:rsid w:val="00DF30FA"/>
    <w:rsid w:val="00DF322B"/>
    <w:rsid w:val="00DF32EF"/>
    <w:rsid w:val="00DF335A"/>
    <w:rsid w:val="00DF3A8D"/>
    <w:rsid w:val="00DF401A"/>
    <w:rsid w:val="00DF4086"/>
    <w:rsid w:val="00DF410C"/>
    <w:rsid w:val="00DF4226"/>
    <w:rsid w:val="00DF4375"/>
    <w:rsid w:val="00DF4485"/>
    <w:rsid w:val="00DF4681"/>
    <w:rsid w:val="00DF472D"/>
    <w:rsid w:val="00DF4A43"/>
    <w:rsid w:val="00DF4D2A"/>
    <w:rsid w:val="00DF51E4"/>
    <w:rsid w:val="00DF532E"/>
    <w:rsid w:val="00DF5457"/>
    <w:rsid w:val="00DF55C9"/>
    <w:rsid w:val="00DF5A1D"/>
    <w:rsid w:val="00DF5C1E"/>
    <w:rsid w:val="00DF5CDC"/>
    <w:rsid w:val="00DF5D2B"/>
    <w:rsid w:val="00DF5E42"/>
    <w:rsid w:val="00DF5F78"/>
    <w:rsid w:val="00DF6341"/>
    <w:rsid w:val="00DF644A"/>
    <w:rsid w:val="00DF65C5"/>
    <w:rsid w:val="00DF65D8"/>
    <w:rsid w:val="00DF6653"/>
    <w:rsid w:val="00DF69B4"/>
    <w:rsid w:val="00DF6AE6"/>
    <w:rsid w:val="00DF6B15"/>
    <w:rsid w:val="00DF6FC9"/>
    <w:rsid w:val="00DF7667"/>
    <w:rsid w:val="00DF7A48"/>
    <w:rsid w:val="00DF7A8C"/>
    <w:rsid w:val="00DF7D04"/>
    <w:rsid w:val="00DF7DC4"/>
    <w:rsid w:val="00DF7E0C"/>
    <w:rsid w:val="00DF7EA7"/>
    <w:rsid w:val="00DF7F81"/>
    <w:rsid w:val="00DF7FB8"/>
    <w:rsid w:val="00E00289"/>
    <w:rsid w:val="00E005A7"/>
    <w:rsid w:val="00E0090D"/>
    <w:rsid w:val="00E00AD7"/>
    <w:rsid w:val="00E00D9D"/>
    <w:rsid w:val="00E00E8E"/>
    <w:rsid w:val="00E00FA7"/>
    <w:rsid w:val="00E0132D"/>
    <w:rsid w:val="00E013F1"/>
    <w:rsid w:val="00E016EA"/>
    <w:rsid w:val="00E0185E"/>
    <w:rsid w:val="00E01923"/>
    <w:rsid w:val="00E01B34"/>
    <w:rsid w:val="00E01DB1"/>
    <w:rsid w:val="00E01DFE"/>
    <w:rsid w:val="00E02313"/>
    <w:rsid w:val="00E0235C"/>
    <w:rsid w:val="00E0237C"/>
    <w:rsid w:val="00E02A9F"/>
    <w:rsid w:val="00E02BE2"/>
    <w:rsid w:val="00E02FA1"/>
    <w:rsid w:val="00E02FE2"/>
    <w:rsid w:val="00E03010"/>
    <w:rsid w:val="00E032F5"/>
    <w:rsid w:val="00E03520"/>
    <w:rsid w:val="00E03673"/>
    <w:rsid w:val="00E0397F"/>
    <w:rsid w:val="00E03A82"/>
    <w:rsid w:val="00E03E6D"/>
    <w:rsid w:val="00E04154"/>
    <w:rsid w:val="00E0418A"/>
    <w:rsid w:val="00E04465"/>
    <w:rsid w:val="00E04564"/>
    <w:rsid w:val="00E04B98"/>
    <w:rsid w:val="00E04BD8"/>
    <w:rsid w:val="00E04C45"/>
    <w:rsid w:val="00E04CFE"/>
    <w:rsid w:val="00E04F0D"/>
    <w:rsid w:val="00E0503D"/>
    <w:rsid w:val="00E053A2"/>
    <w:rsid w:val="00E05630"/>
    <w:rsid w:val="00E05792"/>
    <w:rsid w:val="00E05C48"/>
    <w:rsid w:val="00E05C89"/>
    <w:rsid w:val="00E06248"/>
    <w:rsid w:val="00E0624B"/>
    <w:rsid w:val="00E06581"/>
    <w:rsid w:val="00E066AF"/>
    <w:rsid w:val="00E067D7"/>
    <w:rsid w:val="00E069C3"/>
    <w:rsid w:val="00E069EE"/>
    <w:rsid w:val="00E06AEF"/>
    <w:rsid w:val="00E06DBB"/>
    <w:rsid w:val="00E06F66"/>
    <w:rsid w:val="00E07030"/>
    <w:rsid w:val="00E070BE"/>
    <w:rsid w:val="00E07139"/>
    <w:rsid w:val="00E075DC"/>
    <w:rsid w:val="00E07847"/>
    <w:rsid w:val="00E078AF"/>
    <w:rsid w:val="00E07A3D"/>
    <w:rsid w:val="00E07EF4"/>
    <w:rsid w:val="00E10149"/>
    <w:rsid w:val="00E10176"/>
    <w:rsid w:val="00E10364"/>
    <w:rsid w:val="00E103A8"/>
    <w:rsid w:val="00E10401"/>
    <w:rsid w:val="00E1070F"/>
    <w:rsid w:val="00E107AB"/>
    <w:rsid w:val="00E10BF7"/>
    <w:rsid w:val="00E10C56"/>
    <w:rsid w:val="00E10C93"/>
    <w:rsid w:val="00E10FD8"/>
    <w:rsid w:val="00E11340"/>
    <w:rsid w:val="00E11389"/>
    <w:rsid w:val="00E1146D"/>
    <w:rsid w:val="00E11793"/>
    <w:rsid w:val="00E11794"/>
    <w:rsid w:val="00E11C21"/>
    <w:rsid w:val="00E122A1"/>
    <w:rsid w:val="00E12474"/>
    <w:rsid w:val="00E12737"/>
    <w:rsid w:val="00E12738"/>
    <w:rsid w:val="00E127AA"/>
    <w:rsid w:val="00E12B9B"/>
    <w:rsid w:val="00E12FF7"/>
    <w:rsid w:val="00E13370"/>
    <w:rsid w:val="00E1400E"/>
    <w:rsid w:val="00E14287"/>
    <w:rsid w:val="00E14497"/>
    <w:rsid w:val="00E144B0"/>
    <w:rsid w:val="00E1461D"/>
    <w:rsid w:val="00E14696"/>
    <w:rsid w:val="00E14966"/>
    <w:rsid w:val="00E149F0"/>
    <w:rsid w:val="00E14CE1"/>
    <w:rsid w:val="00E14FFE"/>
    <w:rsid w:val="00E15029"/>
    <w:rsid w:val="00E150DC"/>
    <w:rsid w:val="00E151A6"/>
    <w:rsid w:val="00E151A8"/>
    <w:rsid w:val="00E15488"/>
    <w:rsid w:val="00E15707"/>
    <w:rsid w:val="00E158C4"/>
    <w:rsid w:val="00E15B9F"/>
    <w:rsid w:val="00E15D8F"/>
    <w:rsid w:val="00E15EAD"/>
    <w:rsid w:val="00E15ECB"/>
    <w:rsid w:val="00E16038"/>
    <w:rsid w:val="00E160CA"/>
    <w:rsid w:val="00E160FE"/>
    <w:rsid w:val="00E16372"/>
    <w:rsid w:val="00E16456"/>
    <w:rsid w:val="00E16704"/>
    <w:rsid w:val="00E168C7"/>
    <w:rsid w:val="00E168EF"/>
    <w:rsid w:val="00E16A07"/>
    <w:rsid w:val="00E16A4C"/>
    <w:rsid w:val="00E16AD8"/>
    <w:rsid w:val="00E16C74"/>
    <w:rsid w:val="00E16C9C"/>
    <w:rsid w:val="00E16E6D"/>
    <w:rsid w:val="00E16EB0"/>
    <w:rsid w:val="00E172B5"/>
    <w:rsid w:val="00E17739"/>
    <w:rsid w:val="00E179D8"/>
    <w:rsid w:val="00E17E1F"/>
    <w:rsid w:val="00E17F22"/>
    <w:rsid w:val="00E17FFA"/>
    <w:rsid w:val="00E20100"/>
    <w:rsid w:val="00E20236"/>
    <w:rsid w:val="00E202C7"/>
    <w:rsid w:val="00E20B74"/>
    <w:rsid w:val="00E20DC8"/>
    <w:rsid w:val="00E20E4D"/>
    <w:rsid w:val="00E20ED6"/>
    <w:rsid w:val="00E2115E"/>
    <w:rsid w:val="00E2133E"/>
    <w:rsid w:val="00E21358"/>
    <w:rsid w:val="00E2136D"/>
    <w:rsid w:val="00E21410"/>
    <w:rsid w:val="00E21469"/>
    <w:rsid w:val="00E21508"/>
    <w:rsid w:val="00E218F5"/>
    <w:rsid w:val="00E21F4B"/>
    <w:rsid w:val="00E21F66"/>
    <w:rsid w:val="00E22357"/>
    <w:rsid w:val="00E2249B"/>
    <w:rsid w:val="00E228A4"/>
    <w:rsid w:val="00E22942"/>
    <w:rsid w:val="00E22A0D"/>
    <w:rsid w:val="00E22AFC"/>
    <w:rsid w:val="00E231C7"/>
    <w:rsid w:val="00E231F5"/>
    <w:rsid w:val="00E2334A"/>
    <w:rsid w:val="00E2339C"/>
    <w:rsid w:val="00E2354C"/>
    <w:rsid w:val="00E23AB6"/>
    <w:rsid w:val="00E23D39"/>
    <w:rsid w:val="00E23F42"/>
    <w:rsid w:val="00E24006"/>
    <w:rsid w:val="00E240DD"/>
    <w:rsid w:val="00E2418E"/>
    <w:rsid w:val="00E24469"/>
    <w:rsid w:val="00E244F6"/>
    <w:rsid w:val="00E24629"/>
    <w:rsid w:val="00E2468A"/>
    <w:rsid w:val="00E2472E"/>
    <w:rsid w:val="00E247E2"/>
    <w:rsid w:val="00E248BA"/>
    <w:rsid w:val="00E24998"/>
    <w:rsid w:val="00E24CE9"/>
    <w:rsid w:val="00E24E08"/>
    <w:rsid w:val="00E24EA6"/>
    <w:rsid w:val="00E2539C"/>
    <w:rsid w:val="00E25433"/>
    <w:rsid w:val="00E256EC"/>
    <w:rsid w:val="00E25743"/>
    <w:rsid w:val="00E258DB"/>
    <w:rsid w:val="00E25A29"/>
    <w:rsid w:val="00E25BFF"/>
    <w:rsid w:val="00E25C3E"/>
    <w:rsid w:val="00E25CB7"/>
    <w:rsid w:val="00E25DC7"/>
    <w:rsid w:val="00E26470"/>
    <w:rsid w:val="00E2688F"/>
    <w:rsid w:val="00E26BE1"/>
    <w:rsid w:val="00E26D2C"/>
    <w:rsid w:val="00E271C5"/>
    <w:rsid w:val="00E27384"/>
    <w:rsid w:val="00E2771E"/>
    <w:rsid w:val="00E2795C"/>
    <w:rsid w:val="00E279FD"/>
    <w:rsid w:val="00E3024B"/>
    <w:rsid w:val="00E3032A"/>
    <w:rsid w:val="00E30537"/>
    <w:rsid w:val="00E30A56"/>
    <w:rsid w:val="00E30AF0"/>
    <w:rsid w:val="00E30B3E"/>
    <w:rsid w:val="00E30BA6"/>
    <w:rsid w:val="00E30D2C"/>
    <w:rsid w:val="00E30E3C"/>
    <w:rsid w:val="00E310ED"/>
    <w:rsid w:val="00E311EF"/>
    <w:rsid w:val="00E3136A"/>
    <w:rsid w:val="00E315D2"/>
    <w:rsid w:val="00E31AC4"/>
    <w:rsid w:val="00E31BE7"/>
    <w:rsid w:val="00E31CDF"/>
    <w:rsid w:val="00E31D01"/>
    <w:rsid w:val="00E3205E"/>
    <w:rsid w:val="00E320EB"/>
    <w:rsid w:val="00E32180"/>
    <w:rsid w:val="00E32582"/>
    <w:rsid w:val="00E32B3F"/>
    <w:rsid w:val="00E32E5A"/>
    <w:rsid w:val="00E32E86"/>
    <w:rsid w:val="00E32EC7"/>
    <w:rsid w:val="00E32EEB"/>
    <w:rsid w:val="00E3300C"/>
    <w:rsid w:val="00E330C1"/>
    <w:rsid w:val="00E3311F"/>
    <w:rsid w:val="00E33477"/>
    <w:rsid w:val="00E3373B"/>
    <w:rsid w:val="00E3383F"/>
    <w:rsid w:val="00E33848"/>
    <w:rsid w:val="00E33CE4"/>
    <w:rsid w:val="00E33D73"/>
    <w:rsid w:val="00E33D89"/>
    <w:rsid w:val="00E342B4"/>
    <w:rsid w:val="00E34375"/>
    <w:rsid w:val="00E343C8"/>
    <w:rsid w:val="00E34590"/>
    <w:rsid w:val="00E34633"/>
    <w:rsid w:val="00E34948"/>
    <w:rsid w:val="00E34BDF"/>
    <w:rsid w:val="00E34DD8"/>
    <w:rsid w:val="00E35046"/>
    <w:rsid w:val="00E35094"/>
    <w:rsid w:val="00E35106"/>
    <w:rsid w:val="00E35207"/>
    <w:rsid w:val="00E355A8"/>
    <w:rsid w:val="00E35614"/>
    <w:rsid w:val="00E35919"/>
    <w:rsid w:val="00E35B27"/>
    <w:rsid w:val="00E35E4C"/>
    <w:rsid w:val="00E35F8C"/>
    <w:rsid w:val="00E35FD2"/>
    <w:rsid w:val="00E364D9"/>
    <w:rsid w:val="00E36588"/>
    <w:rsid w:val="00E369FA"/>
    <w:rsid w:val="00E36B79"/>
    <w:rsid w:val="00E36CF5"/>
    <w:rsid w:val="00E36DE2"/>
    <w:rsid w:val="00E373BF"/>
    <w:rsid w:val="00E37499"/>
    <w:rsid w:val="00E374DB"/>
    <w:rsid w:val="00E37569"/>
    <w:rsid w:val="00E375D1"/>
    <w:rsid w:val="00E375F9"/>
    <w:rsid w:val="00E376BA"/>
    <w:rsid w:val="00E3778D"/>
    <w:rsid w:val="00E37CC1"/>
    <w:rsid w:val="00E37E5D"/>
    <w:rsid w:val="00E401B2"/>
    <w:rsid w:val="00E404E8"/>
    <w:rsid w:val="00E41228"/>
    <w:rsid w:val="00E41235"/>
    <w:rsid w:val="00E41847"/>
    <w:rsid w:val="00E41E30"/>
    <w:rsid w:val="00E41E3E"/>
    <w:rsid w:val="00E41F97"/>
    <w:rsid w:val="00E4212D"/>
    <w:rsid w:val="00E422F4"/>
    <w:rsid w:val="00E42303"/>
    <w:rsid w:val="00E424BB"/>
    <w:rsid w:val="00E42D1B"/>
    <w:rsid w:val="00E42D61"/>
    <w:rsid w:val="00E42F73"/>
    <w:rsid w:val="00E4305E"/>
    <w:rsid w:val="00E431A4"/>
    <w:rsid w:val="00E4323E"/>
    <w:rsid w:val="00E4371A"/>
    <w:rsid w:val="00E4377A"/>
    <w:rsid w:val="00E43D70"/>
    <w:rsid w:val="00E440BD"/>
    <w:rsid w:val="00E447A6"/>
    <w:rsid w:val="00E44980"/>
    <w:rsid w:val="00E44B89"/>
    <w:rsid w:val="00E44D30"/>
    <w:rsid w:val="00E44DE2"/>
    <w:rsid w:val="00E454E3"/>
    <w:rsid w:val="00E4573C"/>
    <w:rsid w:val="00E4575E"/>
    <w:rsid w:val="00E45771"/>
    <w:rsid w:val="00E4628F"/>
    <w:rsid w:val="00E4630E"/>
    <w:rsid w:val="00E46673"/>
    <w:rsid w:val="00E466F3"/>
    <w:rsid w:val="00E46788"/>
    <w:rsid w:val="00E467F8"/>
    <w:rsid w:val="00E46AA4"/>
    <w:rsid w:val="00E46B82"/>
    <w:rsid w:val="00E46C40"/>
    <w:rsid w:val="00E47009"/>
    <w:rsid w:val="00E47017"/>
    <w:rsid w:val="00E4769C"/>
    <w:rsid w:val="00E478DA"/>
    <w:rsid w:val="00E47B2C"/>
    <w:rsid w:val="00E47BFB"/>
    <w:rsid w:val="00E47C01"/>
    <w:rsid w:val="00E47C1F"/>
    <w:rsid w:val="00E50279"/>
    <w:rsid w:val="00E50367"/>
    <w:rsid w:val="00E5037E"/>
    <w:rsid w:val="00E50442"/>
    <w:rsid w:val="00E509C1"/>
    <w:rsid w:val="00E50ADE"/>
    <w:rsid w:val="00E50CC8"/>
    <w:rsid w:val="00E5101A"/>
    <w:rsid w:val="00E510F2"/>
    <w:rsid w:val="00E51129"/>
    <w:rsid w:val="00E51194"/>
    <w:rsid w:val="00E51425"/>
    <w:rsid w:val="00E514F2"/>
    <w:rsid w:val="00E51560"/>
    <w:rsid w:val="00E51821"/>
    <w:rsid w:val="00E518D4"/>
    <w:rsid w:val="00E5197F"/>
    <w:rsid w:val="00E519E6"/>
    <w:rsid w:val="00E51CA5"/>
    <w:rsid w:val="00E51E54"/>
    <w:rsid w:val="00E520FF"/>
    <w:rsid w:val="00E52104"/>
    <w:rsid w:val="00E521F7"/>
    <w:rsid w:val="00E52580"/>
    <w:rsid w:val="00E52616"/>
    <w:rsid w:val="00E5280C"/>
    <w:rsid w:val="00E52F57"/>
    <w:rsid w:val="00E5321C"/>
    <w:rsid w:val="00E533F4"/>
    <w:rsid w:val="00E534DC"/>
    <w:rsid w:val="00E535C4"/>
    <w:rsid w:val="00E53868"/>
    <w:rsid w:val="00E53A05"/>
    <w:rsid w:val="00E53A12"/>
    <w:rsid w:val="00E53BA3"/>
    <w:rsid w:val="00E53CB3"/>
    <w:rsid w:val="00E53FC8"/>
    <w:rsid w:val="00E53FD2"/>
    <w:rsid w:val="00E54230"/>
    <w:rsid w:val="00E5431D"/>
    <w:rsid w:val="00E54347"/>
    <w:rsid w:val="00E54788"/>
    <w:rsid w:val="00E548B5"/>
    <w:rsid w:val="00E54AE8"/>
    <w:rsid w:val="00E54C76"/>
    <w:rsid w:val="00E54DAD"/>
    <w:rsid w:val="00E54F17"/>
    <w:rsid w:val="00E55065"/>
    <w:rsid w:val="00E5516F"/>
    <w:rsid w:val="00E553C0"/>
    <w:rsid w:val="00E55424"/>
    <w:rsid w:val="00E55915"/>
    <w:rsid w:val="00E55B98"/>
    <w:rsid w:val="00E55BB5"/>
    <w:rsid w:val="00E55BD4"/>
    <w:rsid w:val="00E55C16"/>
    <w:rsid w:val="00E55C7C"/>
    <w:rsid w:val="00E563CE"/>
    <w:rsid w:val="00E56478"/>
    <w:rsid w:val="00E564F2"/>
    <w:rsid w:val="00E56749"/>
    <w:rsid w:val="00E568E7"/>
    <w:rsid w:val="00E56A8F"/>
    <w:rsid w:val="00E56A95"/>
    <w:rsid w:val="00E56CE2"/>
    <w:rsid w:val="00E57107"/>
    <w:rsid w:val="00E57549"/>
    <w:rsid w:val="00E57991"/>
    <w:rsid w:val="00E57F88"/>
    <w:rsid w:val="00E600B2"/>
    <w:rsid w:val="00E60244"/>
    <w:rsid w:val="00E603DF"/>
    <w:rsid w:val="00E604AA"/>
    <w:rsid w:val="00E60765"/>
    <w:rsid w:val="00E60896"/>
    <w:rsid w:val="00E609E0"/>
    <w:rsid w:val="00E60BC0"/>
    <w:rsid w:val="00E60BCF"/>
    <w:rsid w:val="00E61027"/>
    <w:rsid w:val="00E6112B"/>
    <w:rsid w:val="00E611DF"/>
    <w:rsid w:val="00E61503"/>
    <w:rsid w:val="00E617E2"/>
    <w:rsid w:val="00E61CEB"/>
    <w:rsid w:val="00E62126"/>
    <w:rsid w:val="00E6226D"/>
    <w:rsid w:val="00E6248D"/>
    <w:rsid w:val="00E627AA"/>
    <w:rsid w:val="00E627F1"/>
    <w:rsid w:val="00E6288C"/>
    <w:rsid w:val="00E63379"/>
    <w:rsid w:val="00E633DF"/>
    <w:rsid w:val="00E63613"/>
    <w:rsid w:val="00E63705"/>
    <w:rsid w:val="00E63AE7"/>
    <w:rsid w:val="00E63E80"/>
    <w:rsid w:val="00E643C4"/>
    <w:rsid w:val="00E6447F"/>
    <w:rsid w:val="00E644C2"/>
    <w:rsid w:val="00E64542"/>
    <w:rsid w:val="00E646F2"/>
    <w:rsid w:val="00E64806"/>
    <w:rsid w:val="00E64B4C"/>
    <w:rsid w:val="00E64D8B"/>
    <w:rsid w:val="00E64DEE"/>
    <w:rsid w:val="00E65140"/>
    <w:rsid w:val="00E65575"/>
    <w:rsid w:val="00E6563E"/>
    <w:rsid w:val="00E657BA"/>
    <w:rsid w:val="00E657F1"/>
    <w:rsid w:val="00E65A78"/>
    <w:rsid w:val="00E65AD1"/>
    <w:rsid w:val="00E65E61"/>
    <w:rsid w:val="00E65E79"/>
    <w:rsid w:val="00E65EF7"/>
    <w:rsid w:val="00E65F9B"/>
    <w:rsid w:val="00E65F9E"/>
    <w:rsid w:val="00E66070"/>
    <w:rsid w:val="00E6614C"/>
    <w:rsid w:val="00E6622E"/>
    <w:rsid w:val="00E6648B"/>
    <w:rsid w:val="00E664AF"/>
    <w:rsid w:val="00E664F8"/>
    <w:rsid w:val="00E66577"/>
    <w:rsid w:val="00E6672A"/>
    <w:rsid w:val="00E66AA4"/>
    <w:rsid w:val="00E66AD6"/>
    <w:rsid w:val="00E66BA2"/>
    <w:rsid w:val="00E66D3A"/>
    <w:rsid w:val="00E6700E"/>
    <w:rsid w:val="00E67158"/>
    <w:rsid w:val="00E67416"/>
    <w:rsid w:val="00E6747E"/>
    <w:rsid w:val="00E67528"/>
    <w:rsid w:val="00E67B46"/>
    <w:rsid w:val="00E67B57"/>
    <w:rsid w:val="00E67BDD"/>
    <w:rsid w:val="00E67CA6"/>
    <w:rsid w:val="00E67EE5"/>
    <w:rsid w:val="00E67F6E"/>
    <w:rsid w:val="00E70035"/>
    <w:rsid w:val="00E702F5"/>
    <w:rsid w:val="00E7038E"/>
    <w:rsid w:val="00E7064E"/>
    <w:rsid w:val="00E7070F"/>
    <w:rsid w:val="00E7080E"/>
    <w:rsid w:val="00E7089D"/>
    <w:rsid w:val="00E70A62"/>
    <w:rsid w:val="00E70BAB"/>
    <w:rsid w:val="00E70F46"/>
    <w:rsid w:val="00E71318"/>
    <w:rsid w:val="00E71347"/>
    <w:rsid w:val="00E718B6"/>
    <w:rsid w:val="00E71DD5"/>
    <w:rsid w:val="00E71FB1"/>
    <w:rsid w:val="00E723BA"/>
    <w:rsid w:val="00E724DA"/>
    <w:rsid w:val="00E729D1"/>
    <w:rsid w:val="00E72DFA"/>
    <w:rsid w:val="00E731E1"/>
    <w:rsid w:val="00E733E4"/>
    <w:rsid w:val="00E73469"/>
    <w:rsid w:val="00E73581"/>
    <w:rsid w:val="00E736D6"/>
    <w:rsid w:val="00E738D8"/>
    <w:rsid w:val="00E738EA"/>
    <w:rsid w:val="00E73BB2"/>
    <w:rsid w:val="00E73D98"/>
    <w:rsid w:val="00E73EE1"/>
    <w:rsid w:val="00E73FEE"/>
    <w:rsid w:val="00E743F0"/>
    <w:rsid w:val="00E745A8"/>
    <w:rsid w:val="00E74633"/>
    <w:rsid w:val="00E74733"/>
    <w:rsid w:val="00E74831"/>
    <w:rsid w:val="00E74930"/>
    <w:rsid w:val="00E74A5B"/>
    <w:rsid w:val="00E74FF2"/>
    <w:rsid w:val="00E750D5"/>
    <w:rsid w:val="00E75160"/>
    <w:rsid w:val="00E75184"/>
    <w:rsid w:val="00E75529"/>
    <w:rsid w:val="00E75556"/>
    <w:rsid w:val="00E7559F"/>
    <w:rsid w:val="00E7560E"/>
    <w:rsid w:val="00E758B5"/>
    <w:rsid w:val="00E75A42"/>
    <w:rsid w:val="00E75E52"/>
    <w:rsid w:val="00E76213"/>
    <w:rsid w:val="00E76349"/>
    <w:rsid w:val="00E7637F"/>
    <w:rsid w:val="00E7687A"/>
    <w:rsid w:val="00E76948"/>
    <w:rsid w:val="00E7727F"/>
    <w:rsid w:val="00E77BDD"/>
    <w:rsid w:val="00E77CEE"/>
    <w:rsid w:val="00E77E18"/>
    <w:rsid w:val="00E8071D"/>
    <w:rsid w:val="00E80963"/>
    <w:rsid w:val="00E809FE"/>
    <w:rsid w:val="00E80DD4"/>
    <w:rsid w:val="00E80FB2"/>
    <w:rsid w:val="00E81096"/>
    <w:rsid w:val="00E81138"/>
    <w:rsid w:val="00E81479"/>
    <w:rsid w:val="00E815E5"/>
    <w:rsid w:val="00E81816"/>
    <w:rsid w:val="00E81857"/>
    <w:rsid w:val="00E81B04"/>
    <w:rsid w:val="00E81B55"/>
    <w:rsid w:val="00E81BEC"/>
    <w:rsid w:val="00E81C9D"/>
    <w:rsid w:val="00E81CC6"/>
    <w:rsid w:val="00E81D71"/>
    <w:rsid w:val="00E81DBB"/>
    <w:rsid w:val="00E81E11"/>
    <w:rsid w:val="00E82326"/>
    <w:rsid w:val="00E826D5"/>
    <w:rsid w:val="00E826E0"/>
    <w:rsid w:val="00E82B32"/>
    <w:rsid w:val="00E82E34"/>
    <w:rsid w:val="00E82E81"/>
    <w:rsid w:val="00E82F43"/>
    <w:rsid w:val="00E830B5"/>
    <w:rsid w:val="00E833F7"/>
    <w:rsid w:val="00E83614"/>
    <w:rsid w:val="00E83721"/>
    <w:rsid w:val="00E83787"/>
    <w:rsid w:val="00E83BDF"/>
    <w:rsid w:val="00E83BEC"/>
    <w:rsid w:val="00E83F70"/>
    <w:rsid w:val="00E84357"/>
    <w:rsid w:val="00E845C3"/>
    <w:rsid w:val="00E8473C"/>
    <w:rsid w:val="00E8486C"/>
    <w:rsid w:val="00E84D2D"/>
    <w:rsid w:val="00E84EDF"/>
    <w:rsid w:val="00E8516A"/>
    <w:rsid w:val="00E854A6"/>
    <w:rsid w:val="00E85C10"/>
    <w:rsid w:val="00E85F87"/>
    <w:rsid w:val="00E86059"/>
    <w:rsid w:val="00E8607D"/>
    <w:rsid w:val="00E86444"/>
    <w:rsid w:val="00E865C7"/>
    <w:rsid w:val="00E865D5"/>
    <w:rsid w:val="00E866B2"/>
    <w:rsid w:val="00E86ADB"/>
    <w:rsid w:val="00E86E82"/>
    <w:rsid w:val="00E86FCC"/>
    <w:rsid w:val="00E8752C"/>
    <w:rsid w:val="00E87726"/>
    <w:rsid w:val="00E87A1D"/>
    <w:rsid w:val="00E87C26"/>
    <w:rsid w:val="00E87D31"/>
    <w:rsid w:val="00E87F02"/>
    <w:rsid w:val="00E900FB"/>
    <w:rsid w:val="00E90362"/>
    <w:rsid w:val="00E90379"/>
    <w:rsid w:val="00E9091D"/>
    <w:rsid w:val="00E9094A"/>
    <w:rsid w:val="00E90B01"/>
    <w:rsid w:val="00E90B7D"/>
    <w:rsid w:val="00E90B83"/>
    <w:rsid w:val="00E90B88"/>
    <w:rsid w:val="00E90F6B"/>
    <w:rsid w:val="00E90FDD"/>
    <w:rsid w:val="00E91043"/>
    <w:rsid w:val="00E91163"/>
    <w:rsid w:val="00E911C6"/>
    <w:rsid w:val="00E911DB"/>
    <w:rsid w:val="00E91483"/>
    <w:rsid w:val="00E91733"/>
    <w:rsid w:val="00E91819"/>
    <w:rsid w:val="00E91C0A"/>
    <w:rsid w:val="00E91D35"/>
    <w:rsid w:val="00E91D90"/>
    <w:rsid w:val="00E91F9F"/>
    <w:rsid w:val="00E926A5"/>
    <w:rsid w:val="00E928DE"/>
    <w:rsid w:val="00E933FC"/>
    <w:rsid w:val="00E9355E"/>
    <w:rsid w:val="00E93AB8"/>
    <w:rsid w:val="00E941DA"/>
    <w:rsid w:val="00E942E9"/>
    <w:rsid w:val="00E944D3"/>
    <w:rsid w:val="00E94585"/>
    <w:rsid w:val="00E9466A"/>
    <w:rsid w:val="00E946F9"/>
    <w:rsid w:val="00E9491E"/>
    <w:rsid w:val="00E94B8B"/>
    <w:rsid w:val="00E94E61"/>
    <w:rsid w:val="00E94FC2"/>
    <w:rsid w:val="00E950E1"/>
    <w:rsid w:val="00E9537E"/>
    <w:rsid w:val="00E95A30"/>
    <w:rsid w:val="00E95BE0"/>
    <w:rsid w:val="00E95C58"/>
    <w:rsid w:val="00E95F48"/>
    <w:rsid w:val="00E960BE"/>
    <w:rsid w:val="00E962CC"/>
    <w:rsid w:val="00E9670E"/>
    <w:rsid w:val="00E96B06"/>
    <w:rsid w:val="00E96DAF"/>
    <w:rsid w:val="00E96E15"/>
    <w:rsid w:val="00E97297"/>
    <w:rsid w:val="00E97640"/>
    <w:rsid w:val="00E97A09"/>
    <w:rsid w:val="00E97AF9"/>
    <w:rsid w:val="00E97BF9"/>
    <w:rsid w:val="00EA05EB"/>
    <w:rsid w:val="00EA063E"/>
    <w:rsid w:val="00EA0719"/>
    <w:rsid w:val="00EA09A3"/>
    <w:rsid w:val="00EA1225"/>
    <w:rsid w:val="00EA126E"/>
    <w:rsid w:val="00EA1354"/>
    <w:rsid w:val="00EA137F"/>
    <w:rsid w:val="00EA155B"/>
    <w:rsid w:val="00EA17C3"/>
    <w:rsid w:val="00EA180E"/>
    <w:rsid w:val="00EA1B22"/>
    <w:rsid w:val="00EA2047"/>
    <w:rsid w:val="00EA2270"/>
    <w:rsid w:val="00EA22AE"/>
    <w:rsid w:val="00EA2443"/>
    <w:rsid w:val="00EA2781"/>
    <w:rsid w:val="00EA28F6"/>
    <w:rsid w:val="00EA294E"/>
    <w:rsid w:val="00EA2CAA"/>
    <w:rsid w:val="00EA2CED"/>
    <w:rsid w:val="00EA2ECF"/>
    <w:rsid w:val="00EA2EF6"/>
    <w:rsid w:val="00EA316F"/>
    <w:rsid w:val="00EA31B2"/>
    <w:rsid w:val="00EA31E0"/>
    <w:rsid w:val="00EA327A"/>
    <w:rsid w:val="00EA35FA"/>
    <w:rsid w:val="00EA37EE"/>
    <w:rsid w:val="00EA3864"/>
    <w:rsid w:val="00EA3B01"/>
    <w:rsid w:val="00EA3C69"/>
    <w:rsid w:val="00EA3F9C"/>
    <w:rsid w:val="00EA40E7"/>
    <w:rsid w:val="00EA4186"/>
    <w:rsid w:val="00EA43D1"/>
    <w:rsid w:val="00EA46DF"/>
    <w:rsid w:val="00EA4724"/>
    <w:rsid w:val="00EA480E"/>
    <w:rsid w:val="00EA4853"/>
    <w:rsid w:val="00EA4DF5"/>
    <w:rsid w:val="00EA4EDA"/>
    <w:rsid w:val="00EA4F45"/>
    <w:rsid w:val="00EA515C"/>
    <w:rsid w:val="00EA5901"/>
    <w:rsid w:val="00EA5958"/>
    <w:rsid w:val="00EA5C1A"/>
    <w:rsid w:val="00EA5D1A"/>
    <w:rsid w:val="00EA62C1"/>
    <w:rsid w:val="00EA63AD"/>
    <w:rsid w:val="00EA63C3"/>
    <w:rsid w:val="00EA65A3"/>
    <w:rsid w:val="00EA68AE"/>
    <w:rsid w:val="00EA6985"/>
    <w:rsid w:val="00EA6A4B"/>
    <w:rsid w:val="00EA6C5B"/>
    <w:rsid w:val="00EA6CBB"/>
    <w:rsid w:val="00EA71E7"/>
    <w:rsid w:val="00EA7397"/>
    <w:rsid w:val="00EA7420"/>
    <w:rsid w:val="00EA7421"/>
    <w:rsid w:val="00EA750B"/>
    <w:rsid w:val="00EA7552"/>
    <w:rsid w:val="00EA7956"/>
    <w:rsid w:val="00EA7BDB"/>
    <w:rsid w:val="00EA7DA2"/>
    <w:rsid w:val="00EA7E46"/>
    <w:rsid w:val="00EA7F1C"/>
    <w:rsid w:val="00EA7F7C"/>
    <w:rsid w:val="00EB0258"/>
    <w:rsid w:val="00EB08F5"/>
    <w:rsid w:val="00EB098B"/>
    <w:rsid w:val="00EB09BF"/>
    <w:rsid w:val="00EB0A6F"/>
    <w:rsid w:val="00EB0C01"/>
    <w:rsid w:val="00EB0D84"/>
    <w:rsid w:val="00EB0DD3"/>
    <w:rsid w:val="00EB0DE3"/>
    <w:rsid w:val="00EB0E7A"/>
    <w:rsid w:val="00EB0E90"/>
    <w:rsid w:val="00EB1159"/>
    <w:rsid w:val="00EB11E9"/>
    <w:rsid w:val="00EB12D5"/>
    <w:rsid w:val="00EB15B6"/>
    <w:rsid w:val="00EB15D7"/>
    <w:rsid w:val="00EB1807"/>
    <w:rsid w:val="00EB190D"/>
    <w:rsid w:val="00EB1A33"/>
    <w:rsid w:val="00EB1D1F"/>
    <w:rsid w:val="00EB1D33"/>
    <w:rsid w:val="00EB1D61"/>
    <w:rsid w:val="00EB210A"/>
    <w:rsid w:val="00EB233E"/>
    <w:rsid w:val="00EB24D2"/>
    <w:rsid w:val="00EB25FD"/>
    <w:rsid w:val="00EB293D"/>
    <w:rsid w:val="00EB2B60"/>
    <w:rsid w:val="00EB2BDB"/>
    <w:rsid w:val="00EB2D9D"/>
    <w:rsid w:val="00EB2E8C"/>
    <w:rsid w:val="00EB2ED9"/>
    <w:rsid w:val="00EB2FD7"/>
    <w:rsid w:val="00EB31DE"/>
    <w:rsid w:val="00EB3457"/>
    <w:rsid w:val="00EB352E"/>
    <w:rsid w:val="00EB3825"/>
    <w:rsid w:val="00EB38C1"/>
    <w:rsid w:val="00EB3D06"/>
    <w:rsid w:val="00EB3DA7"/>
    <w:rsid w:val="00EB3EC2"/>
    <w:rsid w:val="00EB48FC"/>
    <w:rsid w:val="00EB4916"/>
    <w:rsid w:val="00EB4A12"/>
    <w:rsid w:val="00EB4B16"/>
    <w:rsid w:val="00EB5287"/>
    <w:rsid w:val="00EB52E8"/>
    <w:rsid w:val="00EB52FF"/>
    <w:rsid w:val="00EB54AA"/>
    <w:rsid w:val="00EB54CA"/>
    <w:rsid w:val="00EB57D3"/>
    <w:rsid w:val="00EB5CDC"/>
    <w:rsid w:val="00EB6192"/>
    <w:rsid w:val="00EB61E5"/>
    <w:rsid w:val="00EB62D1"/>
    <w:rsid w:val="00EB632A"/>
    <w:rsid w:val="00EB6A74"/>
    <w:rsid w:val="00EB6B68"/>
    <w:rsid w:val="00EB6BFC"/>
    <w:rsid w:val="00EB6DD0"/>
    <w:rsid w:val="00EB6DE1"/>
    <w:rsid w:val="00EB71A3"/>
    <w:rsid w:val="00EB72AE"/>
    <w:rsid w:val="00EB72CA"/>
    <w:rsid w:val="00EB78E9"/>
    <w:rsid w:val="00EB7B63"/>
    <w:rsid w:val="00EB7C0A"/>
    <w:rsid w:val="00EB7ED1"/>
    <w:rsid w:val="00EB7ED9"/>
    <w:rsid w:val="00EC00C0"/>
    <w:rsid w:val="00EC00C9"/>
    <w:rsid w:val="00EC062E"/>
    <w:rsid w:val="00EC0632"/>
    <w:rsid w:val="00EC06B8"/>
    <w:rsid w:val="00EC0742"/>
    <w:rsid w:val="00EC079B"/>
    <w:rsid w:val="00EC07EB"/>
    <w:rsid w:val="00EC0894"/>
    <w:rsid w:val="00EC0DD9"/>
    <w:rsid w:val="00EC13A5"/>
    <w:rsid w:val="00EC14D9"/>
    <w:rsid w:val="00EC1BBE"/>
    <w:rsid w:val="00EC1C67"/>
    <w:rsid w:val="00EC1D40"/>
    <w:rsid w:val="00EC1DEF"/>
    <w:rsid w:val="00EC2246"/>
    <w:rsid w:val="00EC2350"/>
    <w:rsid w:val="00EC236A"/>
    <w:rsid w:val="00EC236C"/>
    <w:rsid w:val="00EC24AD"/>
    <w:rsid w:val="00EC24C3"/>
    <w:rsid w:val="00EC2649"/>
    <w:rsid w:val="00EC268C"/>
    <w:rsid w:val="00EC27A3"/>
    <w:rsid w:val="00EC28AC"/>
    <w:rsid w:val="00EC28C7"/>
    <w:rsid w:val="00EC2A5C"/>
    <w:rsid w:val="00EC2B4F"/>
    <w:rsid w:val="00EC2C2F"/>
    <w:rsid w:val="00EC2DC1"/>
    <w:rsid w:val="00EC2F85"/>
    <w:rsid w:val="00EC31ED"/>
    <w:rsid w:val="00EC3443"/>
    <w:rsid w:val="00EC3514"/>
    <w:rsid w:val="00EC3538"/>
    <w:rsid w:val="00EC3BB7"/>
    <w:rsid w:val="00EC3C3C"/>
    <w:rsid w:val="00EC3D07"/>
    <w:rsid w:val="00EC4336"/>
    <w:rsid w:val="00EC4474"/>
    <w:rsid w:val="00EC4490"/>
    <w:rsid w:val="00EC4511"/>
    <w:rsid w:val="00EC4A14"/>
    <w:rsid w:val="00EC4A77"/>
    <w:rsid w:val="00EC4E6F"/>
    <w:rsid w:val="00EC50B1"/>
    <w:rsid w:val="00EC5152"/>
    <w:rsid w:val="00EC5204"/>
    <w:rsid w:val="00EC55B2"/>
    <w:rsid w:val="00EC577A"/>
    <w:rsid w:val="00EC5836"/>
    <w:rsid w:val="00EC5B1E"/>
    <w:rsid w:val="00EC5E16"/>
    <w:rsid w:val="00EC6117"/>
    <w:rsid w:val="00EC61C0"/>
    <w:rsid w:val="00EC6275"/>
    <w:rsid w:val="00EC6455"/>
    <w:rsid w:val="00EC688C"/>
    <w:rsid w:val="00EC6E87"/>
    <w:rsid w:val="00EC72BC"/>
    <w:rsid w:val="00EC75F9"/>
    <w:rsid w:val="00EC7629"/>
    <w:rsid w:val="00EC79FB"/>
    <w:rsid w:val="00EC7ADC"/>
    <w:rsid w:val="00EC7CC4"/>
    <w:rsid w:val="00EC7E54"/>
    <w:rsid w:val="00ED0097"/>
    <w:rsid w:val="00ED0371"/>
    <w:rsid w:val="00ED0460"/>
    <w:rsid w:val="00ED08A3"/>
    <w:rsid w:val="00ED08F3"/>
    <w:rsid w:val="00ED0ADA"/>
    <w:rsid w:val="00ED0B78"/>
    <w:rsid w:val="00ED0CBB"/>
    <w:rsid w:val="00ED12E3"/>
    <w:rsid w:val="00ED1350"/>
    <w:rsid w:val="00ED1436"/>
    <w:rsid w:val="00ED18E7"/>
    <w:rsid w:val="00ED1AE8"/>
    <w:rsid w:val="00ED2169"/>
    <w:rsid w:val="00ED216F"/>
    <w:rsid w:val="00ED23C0"/>
    <w:rsid w:val="00ED24E4"/>
    <w:rsid w:val="00ED24FE"/>
    <w:rsid w:val="00ED254C"/>
    <w:rsid w:val="00ED2635"/>
    <w:rsid w:val="00ED27C3"/>
    <w:rsid w:val="00ED28D2"/>
    <w:rsid w:val="00ED292A"/>
    <w:rsid w:val="00ED2A93"/>
    <w:rsid w:val="00ED2DA8"/>
    <w:rsid w:val="00ED2F27"/>
    <w:rsid w:val="00ED31F7"/>
    <w:rsid w:val="00ED32D1"/>
    <w:rsid w:val="00ED35CF"/>
    <w:rsid w:val="00ED35FC"/>
    <w:rsid w:val="00ED388F"/>
    <w:rsid w:val="00ED3A57"/>
    <w:rsid w:val="00ED3D77"/>
    <w:rsid w:val="00ED3E81"/>
    <w:rsid w:val="00ED4081"/>
    <w:rsid w:val="00ED430A"/>
    <w:rsid w:val="00ED43FC"/>
    <w:rsid w:val="00ED4495"/>
    <w:rsid w:val="00ED44A4"/>
    <w:rsid w:val="00ED45A9"/>
    <w:rsid w:val="00ED4B04"/>
    <w:rsid w:val="00ED4B84"/>
    <w:rsid w:val="00ED4B9F"/>
    <w:rsid w:val="00ED4CC4"/>
    <w:rsid w:val="00ED4E1E"/>
    <w:rsid w:val="00ED4F1B"/>
    <w:rsid w:val="00ED4FA6"/>
    <w:rsid w:val="00ED5409"/>
    <w:rsid w:val="00ED57EA"/>
    <w:rsid w:val="00ED58D4"/>
    <w:rsid w:val="00ED59D8"/>
    <w:rsid w:val="00ED5B82"/>
    <w:rsid w:val="00ED5BD4"/>
    <w:rsid w:val="00ED5C37"/>
    <w:rsid w:val="00ED5F31"/>
    <w:rsid w:val="00ED625A"/>
    <w:rsid w:val="00ED62ED"/>
    <w:rsid w:val="00ED67BC"/>
    <w:rsid w:val="00ED694B"/>
    <w:rsid w:val="00ED6987"/>
    <w:rsid w:val="00ED6D13"/>
    <w:rsid w:val="00ED7278"/>
    <w:rsid w:val="00ED76D2"/>
    <w:rsid w:val="00ED7940"/>
    <w:rsid w:val="00ED7997"/>
    <w:rsid w:val="00ED7A9B"/>
    <w:rsid w:val="00ED7E08"/>
    <w:rsid w:val="00EE02D7"/>
    <w:rsid w:val="00EE03B5"/>
    <w:rsid w:val="00EE0647"/>
    <w:rsid w:val="00EE07D3"/>
    <w:rsid w:val="00EE0828"/>
    <w:rsid w:val="00EE0A4E"/>
    <w:rsid w:val="00EE0DD9"/>
    <w:rsid w:val="00EE0EE0"/>
    <w:rsid w:val="00EE1139"/>
    <w:rsid w:val="00EE17F7"/>
    <w:rsid w:val="00EE18D8"/>
    <w:rsid w:val="00EE1996"/>
    <w:rsid w:val="00EE1A5B"/>
    <w:rsid w:val="00EE1BDF"/>
    <w:rsid w:val="00EE1C01"/>
    <w:rsid w:val="00EE1C10"/>
    <w:rsid w:val="00EE1C88"/>
    <w:rsid w:val="00EE1D81"/>
    <w:rsid w:val="00EE1EDF"/>
    <w:rsid w:val="00EE1F0B"/>
    <w:rsid w:val="00EE22AF"/>
    <w:rsid w:val="00EE2665"/>
    <w:rsid w:val="00EE2889"/>
    <w:rsid w:val="00EE2B39"/>
    <w:rsid w:val="00EE2D20"/>
    <w:rsid w:val="00EE2DD7"/>
    <w:rsid w:val="00EE3380"/>
    <w:rsid w:val="00EE353C"/>
    <w:rsid w:val="00EE3811"/>
    <w:rsid w:val="00EE3E47"/>
    <w:rsid w:val="00EE419E"/>
    <w:rsid w:val="00EE4352"/>
    <w:rsid w:val="00EE44D8"/>
    <w:rsid w:val="00EE44FC"/>
    <w:rsid w:val="00EE4726"/>
    <w:rsid w:val="00EE4956"/>
    <w:rsid w:val="00EE4A95"/>
    <w:rsid w:val="00EE4AD1"/>
    <w:rsid w:val="00EE4CF0"/>
    <w:rsid w:val="00EE4E28"/>
    <w:rsid w:val="00EE4EB0"/>
    <w:rsid w:val="00EE515D"/>
    <w:rsid w:val="00EE544B"/>
    <w:rsid w:val="00EE55D3"/>
    <w:rsid w:val="00EE5605"/>
    <w:rsid w:val="00EE563D"/>
    <w:rsid w:val="00EE564B"/>
    <w:rsid w:val="00EE5BED"/>
    <w:rsid w:val="00EE5C57"/>
    <w:rsid w:val="00EE6057"/>
    <w:rsid w:val="00EE6173"/>
    <w:rsid w:val="00EE6352"/>
    <w:rsid w:val="00EE6478"/>
    <w:rsid w:val="00EE664C"/>
    <w:rsid w:val="00EE691F"/>
    <w:rsid w:val="00EE6B85"/>
    <w:rsid w:val="00EE6B9D"/>
    <w:rsid w:val="00EE6BDE"/>
    <w:rsid w:val="00EE6FD8"/>
    <w:rsid w:val="00EE724A"/>
    <w:rsid w:val="00EE73AD"/>
    <w:rsid w:val="00EE7408"/>
    <w:rsid w:val="00EE774D"/>
    <w:rsid w:val="00EF00BF"/>
    <w:rsid w:val="00EF0171"/>
    <w:rsid w:val="00EF0681"/>
    <w:rsid w:val="00EF07F4"/>
    <w:rsid w:val="00EF08D8"/>
    <w:rsid w:val="00EF0F99"/>
    <w:rsid w:val="00EF0FCC"/>
    <w:rsid w:val="00EF1085"/>
    <w:rsid w:val="00EF15CC"/>
    <w:rsid w:val="00EF1688"/>
    <w:rsid w:val="00EF16CE"/>
    <w:rsid w:val="00EF1937"/>
    <w:rsid w:val="00EF1A49"/>
    <w:rsid w:val="00EF1B25"/>
    <w:rsid w:val="00EF1D44"/>
    <w:rsid w:val="00EF1DA0"/>
    <w:rsid w:val="00EF2189"/>
    <w:rsid w:val="00EF21AF"/>
    <w:rsid w:val="00EF223A"/>
    <w:rsid w:val="00EF2333"/>
    <w:rsid w:val="00EF239B"/>
    <w:rsid w:val="00EF23D1"/>
    <w:rsid w:val="00EF2568"/>
    <w:rsid w:val="00EF25EF"/>
    <w:rsid w:val="00EF2A02"/>
    <w:rsid w:val="00EF2BDB"/>
    <w:rsid w:val="00EF2C05"/>
    <w:rsid w:val="00EF2C17"/>
    <w:rsid w:val="00EF4211"/>
    <w:rsid w:val="00EF43B2"/>
    <w:rsid w:val="00EF4510"/>
    <w:rsid w:val="00EF45A9"/>
    <w:rsid w:val="00EF4747"/>
    <w:rsid w:val="00EF4BF8"/>
    <w:rsid w:val="00EF4E5F"/>
    <w:rsid w:val="00EF4EA2"/>
    <w:rsid w:val="00EF4FED"/>
    <w:rsid w:val="00EF51ED"/>
    <w:rsid w:val="00EF532E"/>
    <w:rsid w:val="00EF534C"/>
    <w:rsid w:val="00EF54F8"/>
    <w:rsid w:val="00EF556C"/>
    <w:rsid w:val="00EF5C1A"/>
    <w:rsid w:val="00EF5D65"/>
    <w:rsid w:val="00EF5DBA"/>
    <w:rsid w:val="00EF5FD9"/>
    <w:rsid w:val="00EF6067"/>
    <w:rsid w:val="00EF688C"/>
    <w:rsid w:val="00EF6BE6"/>
    <w:rsid w:val="00EF71DC"/>
    <w:rsid w:val="00EF72CA"/>
    <w:rsid w:val="00EF7397"/>
    <w:rsid w:val="00EF73A8"/>
    <w:rsid w:val="00EF74BA"/>
    <w:rsid w:val="00EF7519"/>
    <w:rsid w:val="00EF7708"/>
    <w:rsid w:val="00EF7A9D"/>
    <w:rsid w:val="00EF7B2D"/>
    <w:rsid w:val="00EF7BA9"/>
    <w:rsid w:val="00EF7CBD"/>
    <w:rsid w:val="00F00031"/>
    <w:rsid w:val="00F000C0"/>
    <w:rsid w:val="00F001B3"/>
    <w:rsid w:val="00F00520"/>
    <w:rsid w:val="00F006EF"/>
    <w:rsid w:val="00F00751"/>
    <w:rsid w:val="00F014BE"/>
    <w:rsid w:val="00F01649"/>
    <w:rsid w:val="00F0190B"/>
    <w:rsid w:val="00F0192E"/>
    <w:rsid w:val="00F01A21"/>
    <w:rsid w:val="00F01B71"/>
    <w:rsid w:val="00F01C60"/>
    <w:rsid w:val="00F01F2B"/>
    <w:rsid w:val="00F02004"/>
    <w:rsid w:val="00F020C3"/>
    <w:rsid w:val="00F020DE"/>
    <w:rsid w:val="00F02194"/>
    <w:rsid w:val="00F02253"/>
    <w:rsid w:val="00F0229A"/>
    <w:rsid w:val="00F023D2"/>
    <w:rsid w:val="00F02463"/>
    <w:rsid w:val="00F026B5"/>
    <w:rsid w:val="00F02CF9"/>
    <w:rsid w:val="00F02E05"/>
    <w:rsid w:val="00F02FCF"/>
    <w:rsid w:val="00F03317"/>
    <w:rsid w:val="00F03536"/>
    <w:rsid w:val="00F03589"/>
    <w:rsid w:val="00F0384B"/>
    <w:rsid w:val="00F03C2E"/>
    <w:rsid w:val="00F03FD7"/>
    <w:rsid w:val="00F040E2"/>
    <w:rsid w:val="00F04312"/>
    <w:rsid w:val="00F04355"/>
    <w:rsid w:val="00F0437D"/>
    <w:rsid w:val="00F0442D"/>
    <w:rsid w:val="00F04A4F"/>
    <w:rsid w:val="00F04A66"/>
    <w:rsid w:val="00F04B4B"/>
    <w:rsid w:val="00F04BD0"/>
    <w:rsid w:val="00F04D07"/>
    <w:rsid w:val="00F04D49"/>
    <w:rsid w:val="00F04F8F"/>
    <w:rsid w:val="00F0516C"/>
    <w:rsid w:val="00F051C4"/>
    <w:rsid w:val="00F0520B"/>
    <w:rsid w:val="00F055F6"/>
    <w:rsid w:val="00F05654"/>
    <w:rsid w:val="00F0579C"/>
    <w:rsid w:val="00F057B7"/>
    <w:rsid w:val="00F058AC"/>
    <w:rsid w:val="00F05A15"/>
    <w:rsid w:val="00F05EAE"/>
    <w:rsid w:val="00F0600A"/>
    <w:rsid w:val="00F0616F"/>
    <w:rsid w:val="00F062B6"/>
    <w:rsid w:val="00F0637F"/>
    <w:rsid w:val="00F063FA"/>
    <w:rsid w:val="00F0674F"/>
    <w:rsid w:val="00F067A2"/>
    <w:rsid w:val="00F068E3"/>
    <w:rsid w:val="00F06B61"/>
    <w:rsid w:val="00F06F02"/>
    <w:rsid w:val="00F06F64"/>
    <w:rsid w:val="00F06F9D"/>
    <w:rsid w:val="00F0775E"/>
    <w:rsid w:val="00F077C7"/>
    <w:rsid w:val="00F07B93"/>
    <w:rsid w:val="00F07B9E"/>
    <w:rsid w:val="00F07CED"/>
    <w:rsid w:val="00F100AE"/>
    <w:rsid w:val="00F1037D"/>
    <w:rsid w:val="00F103C2"/>
    <w:rsid w:val="00F10605"/>
    <w:rsid w:val="00F10625"/>
    <w:rsid w:val="00F10C34"/>
    <w:rsid w:val="00F110AA"/>
    <w:rsid w:val="00F1116F"/>
    <w:rsid w:val="00F11175"/>
    <w:rsid w:val="00F11221"/>
    <w:rsid w:val="00F112D6"/>
    <w:rsid w:val="00F1165F"/>
    <w:rsid w:val="00F11B44"/>
    <w:rsid w:val="00F11BCF"/>
    <w:rsid w:val="00F11F88"/>
    <w:rsid w:val="00F11FD9"/>
    <w:rsid w:val="00F1225B"/>
    <w:rsid w:val="00F125A7"/>
    <w:rsid w:val="00F125DA"/>
    <w:rsid w:val="00F1263A"/>
    <w:rsid w:val="00F12728"/>
    <w:rsid w:val="00F12A06"/>
    <w:rsid w:val="00F12A14"/>
    <w:rsid w:val="00F12B2C"/>
    <w:rsid w:val="00F12B5E"/>
    <w:rsid w:val="00F12D22"/>
    <w:rsid w:val="00F12D30"/>
    <w:rsid w:val="00F12DD9"/>
    <w:rsid w:val="00F136D7"/>
    <w:rsid w:val="00F1399B"/>
    <w:rsid w:val="00F139C5"/>
    <w:rsid w:val="00F13CC9"/>
    <w:rsid w:val="00F14015"/>
    <w:rsid w:val="00F1401D"/>
    <w:rsid w:val="00F14191"/>
    <w:rsid w:val="00F14933"/>
    <w:rsid w:val="00F14A91"/>
    <w:rsid w:val="00F14CC1"/>
    <w:rsid w:val="00F151BF"/>
    <w:rsid w:val="00F15347"/>
    <w:rsid w:val="00F153E0"/>
    <w:rsid w:val="00F154D1"/>
    <w:rsid w:val="00F15775"/>
    <w:rsid w:val="00F15855"/>
    <w:rsid w:val="00F15866"/>
    <w:rsid w:val="00F158A4"/>
    <w:rsid w:val="00F15A52"/>
    <w:rsid w:val="00F15AF6"/>
    <w:rsid w:val="00F15B77"/>
    <w:rsid w:val="00F15BCA"/>
    <w:rsid w:val="00F1622E"/>
    <w:rsid w:val="00F16244"/>
    <w:rsid w:val="00F16321"/>
    <w:rsid w:val="00F16689"/>
    <w:rsid w:val="00F16A21"/>
    <w:rsid w:val="00F16CEC"/>
    <w:rsid w:val="00F17146"/>
    <w:rsid w:val="00F1722F"/>
    <w:rsid w:val="00F172CA"/>
    <w:rsid w:val="00F17625"/>
    <w:rsid w:val="00F17C28"/>
    <w:rsid w:val="00F2029B"/>
    <w:rsid w:val="00F20314"/>
    <w:rsid w:val="00F2036B"/>
    <w:rsid w:val="00F2048B"/>
    <w:rsid w:val="00F20A2D"/>
    <w:rsid w:val="00F20E6E"/>
    <w:rsid w:val="00F20E7D"/>
    <w:rsid w:val="00F210A6"/>
    <w:rsid w:val="00F21167"/>
    <w:rsid w:val="00F21236"/>
    <w:rsid w:val="00F21628"/>
    <w:rsid w:val="00F2163F"/>
    <w:rsid w:val="00F220B5"/>
    <w:rsid w:val="00F222E4"/>
    <w:rsid w:val="00F22423"/>
    <w:rsid w:val="00F22510"/>
    <w:rsid w:val="00F22575"/>
    <w:rsid w:val="00F22636"/>
    <w:rsid w:val="00F2276D"/>
    <w:rsid w:val="00F22869"/>
    <w:rsid w:val="00F22B40"/>
    <w:rsid w:val="00F22F6A"/>
    <w:rsid w:val="00F22FCA"/>
    <w:rsid w:val="00F234FA"/>
    <w:rsid w:val="00F2383C"/>
    <w:rsid w:val="00F238E3"/>
    <w:rsid w:val="00F239DF"/>
    <w:rsid w:val="00F23AD4"/>
    <w:rsid w:val="00F23B04"/>
    <w:rsid w:val="00F23B48"/>
    <w:rsid w:val="00F24096"/>
    <w:rsid w:val="00F2461C"/>
    <w:rsid w:val="00F24837"/>
    <w:rsid w:val="00F24D4B"/>
    <w:rsid w:val="00F25349"/>
    <w:rsid w:val="00F254D4"/>
    <w:rsid w:val="00F2575F"/>
    <w:rsid w:val="00F25762"/>
    <w:rsid w:val="00F257EC"/>
    <w:rsid w:val="00F25B4D"/>
    <w:rsid w:val="00F25E4D"/>
    <w:rsid w:val="00F264E5"/>
    <w:rsid w:val="00F268B7"/>
    <w:rsid w:val="00F2699C"/>
    <w:rsid w:val="00F26C40"/>
    <w:rsid w:val="00F26C59"/>
    <w:rsid w:val="00F26EC0"/>
    <w:rsid w:val="00F27060"/>
    <w:rsid w:val="00F270C7"/>
    <w:rsid w:val="00F27367"/>
    <w:rsid w:val="00F2745E"/>
    <w:rsid w:val="00F274B8"/>
    <w:rsid w:val="00F27565"/>
    <w:rsid w:val="00F275C0"/>
    <w:rsid w:val="00F27734"/>
    <w:rsid w:val="00F27793"/>
    <w:rsid w:val="00F27A27"/>
    <w:rsid w:val="00F27A53"/>
    <w:rsid w:val="00F27FFA"/>
    <w:rsid w:val="00F301D8"/>
    <w:rsid w:val="00F3054C"/>
    <w:rsid w:val="00F306D9"/>
    <w:rsid w:val="00F3080B"/>
    <w:rsid w:val="00F30AD3"/>
    <w:rsid w:val="00F30C53"/>
    <w:rsid w:val="00F310D4"/>
    <w:rsid w:val="00F310E1"/>
    <w:rsid w:val="00F31161"/>
    <w:rsid w:val="00F31432"/>
    <w:rsid w:val="00F31483"/>
    <w:rsid w:val="00F314B3"/>
    <w:rsid w:val="00F31568"/>
    <w:rsid w:val="00F315EB"/>
    <w:rsid w:val="00F316DA"/>
    <w:rsid w:val="00F31837"/>
    <w:rsid w:val="00F318B8"/>
    <w:rsid w:val="00F31AEF"/>
    <w:rsid w:val="00F31BA4"/>
    <w:rsid w:val="00F31D3F"/>
    <w:rsid w:val="00F31D5A"/>
    <w:rsid w:val="00F31EFF"/>
    <w:rsid w:val="00F31F99"/>
    <w:rsid w:val="00F3219F"/>
    <w:rsid w:val="00F32284"/>
    <w:rsid w:val="00F32461"/>
    <w:rsid w:val="00F3271C"/>
    <w:rsid w:val="00F32762"/>
    <w:rsid w:val="00F328DE"/>
    <w:rsid w:val="00F3290D"/>
    <w:rsid w:val="00F32946"/>
    <w:rsid w:val="00F32C7F"/>
    <w:rsid w:val="00F32C92"/>
    <w:rsid w:val="00F32D47"/>
    <w:rsid w:val="00F32E87"/>
    <w:rsid w:val="00F32FB5"/>
    <w:rsid w:val="00F331E9"/>
    <w:rsid w:val="00F3324C"/>
    <w:rsid w:val="00F33276"/>
    <w:rsid w:val="00F334C6"/>
    <w:rsid w:val="00F3351F"/>
    <w:rsid w:val="00F335AB"/>
    <w:rsid w:val="00F337CF"/>
    <w:rsid w:val="00F33975"/>
    <w:rsid w:val="00F339EE"/>
    <w:rsid w:val="00F33C07"/>
    <w:rsid w:val="00F33D29"/>
    <w:rsid w:val="00F33DE9"/>
    <w:rsid w:val="00F3405D"/>
    <w:rsid w:val="00F34562"/>
    <w:rsid w:val="00F34627"/>
    <w:rsid w:val="00F3469A"/>
    <w:rsid w:val="00F34764"/>
    <w:rsid w:val="00F34886"/>
    <w:rsid w:val="00F34BA8"/>
    <w:rsid w:val="00F34C04"/>
    <w:rsid w:val="00F34C7C"/>
    <w:rsid w:val="00F34D9D"/>
    <w:rsid w:val="00F34F38"/>
    <w:rsid w:val="00F35011"/>
    <w:rsid w:val="00F351A4"/>
    <w:rsid w:val="00F352A1"/>
    <w:rsid w:val="00F3534A"/>
    <w:rsid w:val="00F3551A"/>
    <w:rsid w:val="00F356E1"/>
    <w:rsid w:val="00F35D20"/>
    <w:rsid w:val="00F35E47"/>
    <w:rsid w:val="00F35E6D"/>
    <w:rsid w:val="00F360C5"/>
    <w:rsid w:val="00F3619A"/>
    <w:rsid w:val="00F3686D"/>
    <w:rsid w:val="00F36B2C"/>
    <w:rsid w:val="00F36D41"/>
    <w:rsid w:val="00F372F5"/>
    <w:rsid w:val="00F377CF"/>
    <w:rsid w:val="00F37F2C"/>
    <w:rsid w:val="00F40322"/>
    <w:rsid w:val="00F4047D"/>
    <w:rsid w:val="00F40482"/>
    <w:rsid w:val="00F406A7"/>
    <w:rsid w:val="00F407EE"/>
    <w:rsid w:val="00F40AAA"/>
    <w:rsid w:val="00F40B0D"/>
    <w:rsid w:val="00F40B33"/>
    <w:rsid w:val="00F40BA7"/>
    <w:rsid w:val="00F40C89"/>
    <w:rsid w:val="00F40C8F"/>
    <w:rsid w:val="00F40F9D"/>
    <w:rsid w:val="00F4118B"/>
    <w:rsid w:val="00F4155E"/>
    <w:rsid w:val="00F4189C"/>
    <w:rsid w:val="00F418C0"/>
    <w:rsid w:val="00F41911"/>
    <w:rsid w:val="00F419A2"/>
    <w:rsid w:val="00F419FD"/>
    <w:rsid w:val="00F41ACD"/>
    <w:rsid w:val="00F41C6F"/>
    <w:rsid w:val="00F41DD3"/>
    <w:rsid w:val="00F4218D"/>
    <w:rsid w:val="00F4219D"/>
    <w:rsid w:val="00F423A9"/>
    <w:rsid w:val="00F4241B"/>
    <w:rsid w:val="00F42739"/>
    <w:rsid w:val="00F429D7"/>
    <w:rsid w:val="00F42B64"/>
    <w:rsid w:val="00F42E21"/>
    <w:rsid w:val="00F4314F"/>
    <w:rsid w:val="00F43171"/>
    <w:rsid w:val="00F431B1"/>
    <w:rsid w:val="00F434A9"/>
    <w:rsid w:val="00F438CD"/>
    <w:rsid w:val="00F43966"/>
    <w:rsid w:val="00F43CAB"/>
    <w:rsid w:val="00F43CB4"/>
    <w:rsid w:val="00F43E8B"/>
    <w:rsid w:val="00F43F60"/>
    <w:rsid w:val="00F43FA0"/>
    <w:rsid w:val="00F44868"/>
    <w:rsid w:val="00F449BD"/>
    <w:rsid w:val="00F44B0D"/>
    <w:rsid w:val="00F44C19"/>
    <w:rsid w:val="00F44C26"/>
    <w:rsid w:val="00F44E11"/>
    <w:rsid w:val="00F451AB"/>
    <w:rsid w:val="00F451EA"/>
    <w:rsid w:val="00F452E7"/>
    <w:rsid w:val="00F453D7"/>
    <w:rsid w:val="00F45490"/>
    <w:rsid w:val="00F45529"/>
    <w:rsid w:val="00F455E8"/>
    <w:rsid w:val="00F45A08"/>
    <w:rsid w:val="00F45D45"/>
    <w:rsid w:val="00F45D8E"/>
    <w:rsid w:val="00F46168"/>
    <w:rsid w:val="00F46410"/>
    <w:rsid w:val="00F465B5"/>
    <w:rsid w:val="00F46693"/>
    <w:rsid w:val="00F4677E"/>
    <w:rsid w:val="00F468DF"/>
    <w:rsid w:val="00F46B0D"/>
    <w:rsid w:val="00F46BF6"/>
    <w:rsid w:val="00F46CB6"/>
    <w:rsid w:val="00F46F09"/>
    <w:rsid w:val="00F4723C"/>
    <w:rsid w:val="00F4756D"/>
    <w:rsid w:val="00F475AC"/>
    <w:rsid w:val="00F47893"/>
    <w:rsid w:val="00F47A98"/>
    <w:rsid w:val="00F47B84"/>
    <w:rsid w:val="00F47DE8"/>
    <w:rsid w:val="00F47FDC"/>
    <w:rsid w:val="00F50211"/>
    <w:rsid w:val="00F503D5"/>
    <w:rsid w:val="00F50428"/>
    <w:rsid w:val="00F50615"/>
    <w:rsid w:val="00F50820"/>
    <w:rsid w:val="00F50DAD"/>
    <w:rsid w:val="00F510FC"/>
    <w:rsid w:val="00F511B9"/>
    <w:rsid w:val="00F5162B"/>
    <w:rsid w:val="00F51952"/>
    <w:rsid w:val="00F51A18"/>
    <w:rsid w:val="00F51A9B"/>
    <w:rsid w:val="00F51BA0"/>
    <w:rsid w:val="00F51F82"/>
    <w:rsid w:val="00F52050"/>
    <w:rsid w:val="00F525A9"/>
    <w:rsid w:val="00F52949"/>
    <w:rsid w:val="00F52A59"/>
    <w:rsid w:val="00F52B9C"/>
    <w:rsid w:val="00F52D8E"/>
    <w:rsid w:val="00F5325B"/>
    <w:rsid w:val="00F53328"/>
    <w:rsid w:val="00F53343"/>
    <w:rsid w:val="00F53444"/>
    <w:rsid w:val="00F53484"/>
    <w:rsid w:val="00F535EE"/>
    <w:rsid w:val="00F536C1"/>
    <w:rsid w:val="00F53709"/>
    <w:rsid w:val="00F53B50"/>
    <w:rsid w:val="00F53B8B"/>
    <w:rsid w:val="00F53C66"/>
    <w:rsid w:val="00F53CED"/>
    <w:rsid w:val="00F53DD0"/>
    <w:rsid w:val="00F53E7F"/>
    <w:rsid w:val="00F53EBC"/>
    <w:rsid w:val="00F53EDA"/>
    <w:rsid w:val="00F54104"/>
    <w:rsid w:val="00F542C1"/>
    <w:rsid w:val="00F542D7"/>
    <w:rsid w:val="00F549E2"/>
    <w:rsid w:val="00F54A23"/>
    <w:rsid w:val="00F54B0A"/>
    <w:rsid w:val="00F54C69"/>
    <w:rsid w:val="00F54CF0"/>
    <w:rsid w:val="00F54D31"/>
    <w:rsid w:val="00F54FAD"/>
    <w:rsid w:val="00F550E3"/>
    <w:rsid w:val="00F554C8"/>
    <w:rsid w:val="00F55705"/>
    <w:rsid w:val="00F5599B"/>
    <w:rsid w:val="00F55A06"/>
    <w:rsid w:val="00F55D50"/>
    <w:rsid w:val="00F55E73"/>
    <w:rsid w:val="00F55EDA"/>
    <w:rsid w:val="00F561A5"/>
    <w:rsid w:val="00F56298"/>
    <w:rsid w:val="00F562BF"/>
    <w:rsid w:val="00F5636C"/>
    <w:rsid w:val="00F56554"/>
    <w:rsid w:val="00F5665D"/>
    <w:rsid w:val="00F56795"/>
    <w:rsid w:val="00F56A0A"/>
    <w:rsid w:val="00F56A22"/>
    <w:rsid w:val="00F56C07"/>
    <w:rsid w:val="00F56C80"/>
    <w:rsid w:val="00F56DBD"/>
    <w:rsid w:val="00F56DC6"/>
    <w:rsid w:val="00F56FBC"/>
    <w:rsid w:val="00F570B8"/>
    <w:rsid w:val="00F571C3"/>
    <w:rsid w:val="00F57476"/>
    <w:rsid w:val="00F576A3"/>
    <w:rsid w:val="00F57745"/>
    <w:rsid w:val="00F57755"/>
    <w:rsid w:val="00F578F2"/>
    <w:rsid w:val="00F57B32"/>
    <w:rsid w:val="00F57E49"/>
    <w:rsid w:val="00F57F14"/>
    <w:rsid w:val="00F57F1D"/>
    <w:rsid w:val="00F60034"/>
    <w:rsid w:val="00F60092"/>
    <w:rsid w:val="00F600D1"/>
    <w:rsid w:val="00F601F1"/>
    <w:rsid w:val="00F603C3"/>
    <w:rsid w:val="00F60426"/>
    <w:rsid w:val="00F6065F"/>
    <w:rsid w:val="00F60B63"/>
    <w:rsid w:val="00F60F81"/>
    <w:rsid w:val="00F6134B"/>
    <w:rsid w:val="00F618D8"/>
    <w:rsid w:val="00F61BF4"/>
    <w:rsid w:val="00F61C18"/>
    <w:rsid w:val="00F61C3A"/>
    <w:rsid w:val="00F6239B"/>
    <w:rsid w:val="00F62414"/>
    <w:rsid w:val="00F62DCF"/>
    <w:rsid w:val="00F630F1"/>
    <w:rsid w:val="00F63271"/>
    <w:rsid w:val="00F63BF5"/>
    <w:rsid w:val="00F63F6A"/>
    <w:rsid w:val="00F6414B"/>
    <w:rsid w:val="00F64188"/>
    <w:rsid w:val="00F649ED"/>
    <w:rsid w:val="00F64A93"/>
    <w:rsid w:val="00F64AA4"/>
    <w:rsid w:val="00F6510F"/>
    <w:rsid w:val="00F65903"/>
    <w:rsid w:val="00F65A76"/>
    <w:rsid w:val="00F65B11"/>
    <w:rsid w:val="00F65C3F"/>
    <w:rsid w:val="00F65EC9"/>
    <w:rsid w:val="00F65F4B"/>
    <w:rsid w:val="00F65F5D"/>
    <w:rsid w:val="00F6608B"/>
    <w:rsid w:val="00F66D7E"/>
    <w:rsid w:val="00F66D91"/>
    <w:rsid w:val="00F67042"/>
    <w:rsid w:val="00F678C9"/>
    <w:rsid w:val="00F67A69"/>
    <w:rsid w:val="00F67A8C"/>
    <w:rsid w:val="00F67B40"/>
    <w:rsid w:val="00F67C78"/>
    <w:rsid w:val="00F67ECA"/>
    <w:rsid w:val="00F67EDA"/>
    <w:rsid w:val="00F7004F"/>
    <w:rsid w:val="00F70305"/>
    <w:rsid w:val="00F703C3"/>
    <w:rsid w:val="00F70631"/>
    <w:rsid w:val="00F70BFF"/>
    <w:rsid w:val="00F70C9D"/>
    <w:rsid w:val="00F70D05"/>
    <w:rsid w:val="00F70FEC"/>
    <w:rsid w:val="00F7142B"/>
    <w:rsid w:val="00F714F9"/>
    <w:rsid w:val="00F71B82"/>
    <w:rsid w:val="00F72057"/>
    <w:rsid w:val="00F72246"/>
    <w:rsid w:val="00F727C6"/>
    <w:rsid w:val="00F72E5C"/>
    <w:rsid w:val="00F7325F"/>
    <w:rsid w:val="00F73296"/>
    <w:rsid w:val="00F736F8"/>
    <w:rsid w:val="00F7387F"/>
    <w:rsid w:val="00F73AC1"/>
    <w:rsid w:val="00F73BD9"/>
    <w:rsid w:val="00F73D28"/>
    <w:rsid w:val="00F73E08"/>
    <w:rsid w:val="00F74025"/>
    <w:rsid w:val="00F74133"/>
    <w:rsid w:val="00F74942"/>
    <w:rsid w:val="00F74CD9"/>
    <w:rsid w:val="00F74E0D"/>
    <w:rsid w:val="00F74FC2"/>
    <w:rsid w:val="00F751AF"/>
    <w:rsid w:val="00F75388"/>
    <w:rsid w:val="00F75541"/>
    <w:rsid w:val="00F75A4B"/>
    <w:rsid w:val="00F75DD4"/>
    <w:rsid w:val="00F761A0"/>
    <w:rsid w:val="00F7620C"/>
    <w:rsid w:val="00F7628A"/>
    <w:rsid w:val="00F76314"/>
    <w:rsid w:val="00F7632B"/>
    <w:rsid w:val="00F7638E"/>
    <w:rsid w:val="00F7656D"/>
    <w:rsid w:val="00F76970"/>
    <w:rsid w:val="00F76B60"/>
    <w:rsid w:val="00F76B72"/>
    <w:rsid w:val="00F76EC3"/>
    <w:rsid w:val="00F76ED1"/>
    <w:rsid w:val="00F7718C"/>
    <w:rsid w:val="00F771A3"/>
    <w:rsid w:val="00F77467"/>
    <w:rsid w:val="00F77483"/>
    <w:rsid w:val="00F774EF"/>
    <w:rsid w:val="00F7782D"/>
    <w:rsid w:val="00F77D3B"/>
    <w:rsid w:val="00F8016B"/>
    <w:rsid w:val="00F80431"/>
    <w:rsid w:val="00F805BE"/>
    <w:rsid w:val="00F806E3"/>
    <w:rsid w:val="00F80A7B"/>
    <w:rsid w:val="00F80B72"/>
    <w:rsid w:val="00F80E5D"/>
    <w:rsid w:val="00F8107B"/>
    <w:rsid w:val="00F810FE"/>
    <w:rsid w:val="00F81249"/>
    <w:rsid w:val="00F8183A"/>
    <w:rsid w:val="00F819E3"/>
    <w:rsid w:val="00F81C19"/>
    <w:rsid w:val="00F81DB1"/>
    <w:rsid w:val="00F81DEC"/>
    <w:rsid w:val="00F81E78"/>
    <w:rsid w:val="00F81F8C"/>
    <w:rsid w:val="00F8213D"/>
    <w:rsid w:val="00F826BF"/>
    <w:rsid w:val="00F82A9B"/>
    <w:rsid w:val="00F82B0A"/>
    <w:rsid w:val="00F82CEB"/>
    <w:rsid w:val="00F82DB4"/>
    <w:rsid w:val="00F82EFA"/>
    <w:rsid w:val="00F82F1D"/>
    <w:rsid w:val="00F83195"/>
    <w:rsid w:val="00F83232"/>
    <w:rsid w:val="00F83572"/>
    <w:rsid w:val="00F836A7"/>
    <w:rsid w:val="00F838AE"/>
    <w:rsid w:val="00F83916"/>
    <w:rsid w:val="00F8396D"/>
    <w:rsid w:val="00F83BC7"/>
    <w:rsid w:val="00F8454F"/>
    <w:rsid w:val="00F845CA"/>
    <w:rsid w:val="00F8465D"/>
    <w:rsid w:val="00F8465E"/>
    <w:rsid w:val="00F849FE"/>
    <w:rsid w:val="00F84D83"/>
    <w:rsid w:val="00F85090"/>
    <w:rsid w:val="00F85191"/>
    <w:rsid w:val="00F851CE"/>
    <w:rsid w:val="00F85222"/>
    <w:rsid w:val="00F852AD"/>
    <w:rsid w:val="00F855DB"/>
    <w:rsid w:val="00F85A0B"/>
    <w:rsid w:val="00F85DDB"/>
    <w:rsid w:val="00F85F0A"/>
    <w:rsid w:val="00F86638"/>
    <w:rsid w:val="00F8670D"/>
    <w:rsid w:val="00F86865"/>
    <w:rsid w:val="00F86926"/>
    <w:rsid w:val="00F86EA3"/>
    <w:rsid w:val="00F8736F"/>
    <w:rsid w:val="00F873B7"/>
    <w:rsid w:val="00F874ED"/>
    <w:rsid w:val="00F876B3"/>
    <w:rsid w:val="00F8774A"/>
    <w:rsid w:val="00F878EA"/>
    <w:rsid w:val="00F90082"/>
    <w:rsid w:val="00F901AF"/>
    <w:rsid w:val="00F902ED"/>
    <w:rsid w:val="00F907FE"/>
    <w:rsid w:val="00F9095E"/>
    <w:rsid w:val="00F90CE3"/>
    <w:rsid w:val="00F90D06"/>
    <w:rsid w:val="00F90F9A"/>
    <w:rsid w:val="00F91074"/>
    <w:rsid w:val="00F91075"/>
    <w:rsid w:val="00F91143"/>
    <w:rsid w:val="00F91219"/>
    <w:rsid w:val="00F9151B"/>
    <w:rsid w:val="00F91624"/>
    <w:rsid w:val="00F918E5"/>
    <w:rsid w:val="00F91F8A"/>
    <w:rsid w:val="00F920ED"/>
    <w:rsid w:val="00F92141"/>
    <w:rsid w:val="00F9219C"/>
    <w:rsid w:val="00F92444"/>
    <w:rsid w:val="00F926A4"/>
    <w:rsid w:val="00F9275A"/>
    <w:rsid w:val="00F92CB0"/>
    <w:rsid w:val="00F92EE2"/>
    <w:rsid w:val="00F9393E"/>
    <w:rsid w:val="00F93AD9"/>
    <w:rsid w:val="00F93D13"/>
    <w:rsid w:val="00F93DE6"/>
    <w:rsid w:val="00F942D0"/>
    <w:rsid w:val="00F9437C"/>
    <w:rsid w:val="00F943F8"/>
    <w:rsid w:val="00F94CEA"/>
    <w:rsid w:val="00F94E42"/>
    <w:rsid w:val="00F94FC9"/>
    <w:rsid w:val="00F95AD8"/>
    <w:rsid w:val="00F95B59"/>
    <w:rsid w:val="00F95BB2"/>
    <w:rsid w:val="00F95D41"/>
    <w:rsid w:val="00F960D5"/>
    <w:rsid w:val="00F9622F"/>
    <w:rsid w:val="00F96943"/>
    <w:rsid w:val="00F9694E"/>
    <w:rsid w:val="00F96BEF"/>
    <w:rsid w:val="00F96D21"/>
    <w:rsid w:val="00F96FD0"/>
    <w:rsid w:val="00F96FF7"/>
    <w:rsid w:val="00F970F1"/>
    <w:rsid w:val="00F9711A"/>
    <w:rsid w:val="00F9731F"/>
    <w:rsid w:val="00F9744C"/>
    <w:rsid w:val="00F97A78"/>
    <w:rsid w:val="00F97AE1"/>
    <w:rsid w:val="00F97CAD"/>
    <w:rsid w:val="00F97E5E"/>
    <w:rsid w:val="00FA05C0"/>
    <w:rsid w:val="00FA065B"/>
    <w:rsid w:val="00FA0836"/>
    <w:rsid w:val="00FA0842"/>
    <w:rsid w:val="00FA0853"/>
    <w:rsid w:val="00FA08F2"/>
    <w:rsid w:val="00FA0B20"/>
    <w:rsid w:val="00FA0C9B"/>
    <w:rsid w:val="00FA10DF"/>
    <w:rsid w:val="00FA152F"/>
    <w:rsid w:val="00FA1595"/>
    <w:rsid w:val="00FA1630"/>
    <w:rsid w:val="00FA186B"/>
    <w:rsid w:val="00FA206A"/>
    <w:rsid w:val="00FA20E1"/>
    <w:rsid w:val="00FA2135"/>
    <w:rsid w:val="00FA219A"/>
    <w:rsid w:val="00FA24E7"/>
    <w:rsid w:val="00FA2636"/>
    <w:rsid w:val="00FA2911"/>
    <w:rsid w:val="00FA2AD5"/>
    <w:rsid w:val="00FA2D84"/>
    <w:rsid w:val="00FA30A0"/>
    <w:rsid w:val="00FA3360"/>
    <w:rsid w:val="00FA347E"/>
    <w:rsid w:val="00FA34A7"/>
    <w:rsid w:val="00FA37E3"/>
    <w:rsid w:val="00FA3849"/>
    <w:rsid w:val="00FA3AD6"/>
    <w:rsid w:val="00FA3B9D"/>
    <w:rsid w:val="00FA3BF5"/>
    <w:rsid w:val="00FA3DC8"/>
    <w:rsid w:val="00FA3E3C"/>
    <w:rsid w:val="00FA4344"/>
    <w:rsid w:val="00FA44C0"/>
    <w:rsid w:val="00FA4E06"/>
    <w:rsid w:val="00FA526C"/>
    <w:rsid w:val="00FA534D"/>
    <w:rsid w:val="00FA582C"/>
    <w:rsid w:val="00FA58CC"/>
    <w:rsid w:val="00FA596A"/>
    <w:rsid w:val="00FA5B85"/>
    <w:rsid w:val="00FA5D20"/>
    <w:rsid w:val="00FA5EE6"/>
    <w:rsid w:val="00FA6101"/>
    <w:rsid w:val="00FA655B"/>
    <w:rsid w:val="00FA66DB"/>
    <w:rsid w:val="00FA6A01"/>
    <w:rsid w:val="00FA6A9E"/>
    <w:rsid w:val="00FA6AB1"/>
    <w:rsid w:val="00FA6C05"/>
    <w:rsid w:val="00FA6C93"/>
    <w:rsid w:val="00FA6DA9"/>
    <w:rsid w:val="00FA6DC8"/>
    <w:rsid w:val="00FA6E21"/>
    <w:rsid w:val="00FA6F77"/>
    <w:rsid w:val="00FA71DE"/>
    <w:rsid w:val="00FA73EC"/>
    <w:rsid w:val="00FA7554"/>
    <w:rsid w:val="00FA75AE"/>
    <w:rsid w:val="00FA769E"/>
    <w:rsid w:val="00FA7956"/>
    <w:rsid w:val="00FA7AAA"/>
    <w:rsid w:val="00FA7B90"/>
    <w:rsid w:val="00FA7F1D"/>
    <w:rsid w:val="00FB001D"/>
    <w:rsid w:val="00FB00E8"/>
    <w:rsid w:val="00FB012D"/>
    <w:rsid w:val="00FB02B6"/>
    <w:rsid w:val="00FB0824"/>
    <w:rsid w:val="00FB08C7"/>
    <w:rsid w:val="00FB0A44"/>
    <w:rsid w:val="00FB0D6E"/>
    <w:rsid w:val="00FB0EAF"/>
    <w:rsid w:val="00FB0FA3"/>
    <w:rsid w:val="00FB0FDC"/>
    <w:rsid w:val="00FB128E"/>
    <w:rsid w:val="00FB13CC"/>
    <w:rsid w:val="00FB13DF"/>
    <w:rsid w:val="00FB1480"/>
    <w:rsid w:val="00FB14F0"/>
    <w:rsid w:val="00FB167C"/>
    <w:rsid w:val="00FB1D19"/>
    <w:rsid w:val="00FB1EA9"/>
    <w:rsid w:val="00FB1EBC"/>
    <w:rsid w:val="00FB202E"/>
    <w:rsid w:val="00FB23FB"/>
    <w:rsid w:val="00FB2422"/>
    <w:rsid w:val="00FB25D7"/>
    <w:rsid w:val="00FB273D"/>
    <w:rsid w:val="00FB286C"/>
    <w:rsid w:val="00FB2D17"/>
    <w:rsid w:val="00FB2FCB"/>
    <w:rsid w:val="00FB30B3"/>
    <w:rsid w:val="00FB30E9"/>
    <w:rsid w:val="00FB3199"/>
    <w:rsid w:val="00FB34E8"/>
    <w:rsid w:val="00FB397D"/>
    <w:rsid w:val="00FB39CE"/>
    <w:rsid w:val="00FB39DE"/>
    <w:rsid w:val="00FB3ABD"/>
    <w:rsid w:val="00FB3B77"/>
    <w:rsid w:val="00FB3CBA"/>
    <w:rsid w:val="00FB3CD4"/>
    <w:rsid w:val="00FB40CD"/>
    <w:rsid w:val="00FB44C5"/>
    <w:rsid w:val="00FB45D6"/>
    <w:rsid w:val="00FB4C9C"/>
    <w:rsid w:val="00FB5314"/>
    <w:rsid w:val="00FB56DC"/>
    <w:rsid w:val="00FB5756"/>
    <w:rsid w:val="00FB5885"/>
    <w:rsid w:val="00FB58A5"/>
    <w:rsid w:val="00FB59CB"/>
    <w:rsid w:val="00FB5C09"/>
    <w:rsid w:val="00FB5C53"/>
    <w:rsid w:val="00FB5E64"/>
    <w:rsid w:val="00FB63AC"/>
    <w:rsid w:val="00FB63D5"/>
    <w:rsid w:val="00FB63F3"/>
    <w:rsid w:val="00FB6451"/>
    <w:rsid w:val="00FB64A1"/>
    <w:rsid w:val="00FB65EC"/>
    <w:rsid w:val="00FB6744"/>
    <w:rsid w:val="00FB6BB6"/>
    <w:rsid w:val="00FB6F53"/>
    <w:rsid w:val="00FB776B"/>
    <w:rsid w:val="00FB7C55"/>
    <w:rsid w:val="00FB7D7C"/>
    <w:rsid w:val="00FC0115"/>
    <w:rsid w:val="00FC03A4"/>
    <w:rsid w:val="00FC04A0"/>
    <w:rsid w:val="00FC065C"/>
    <w:rsid w:val="00FC0838"/>
    <w:rsid w:val="00FC0862"/>
    <w:rsid w:val="00FC0B3D"/>
    <w:rsid w:val="00FC0D8B"/>
    <w:rsid w:val="00FC0E67"/>
    <w:rsid w:val="00FC0FB2"/>
    <w:rsid w:val="00FC1074"/>
    <w:rsid w:val="00FC1092"/>
    <w:rsid w:val="00FC1122"/>
    <w:rsid w:val="00FC1294"/>
    <w:rsid w:val="00FC1458"/>
    <w:rsid w:val="00FC1884"/>
    <w:rsid w:val="00FC1BFD"/>
    <w:rsid w:val="00FC1D07"/>
    <w:rsid w:val="00FC1F28"/>
    <w:rsid w:val="00FC219B"/>
    <w:rsid w:val="00FC222E"/>
    <w:rsid w:val="00FC22BF"/>
    <w:rsid w:val="00FC2969"/>
    <w:rsid w:val="00FC2CA9"/>
    <w:rsid w:val="00FC302B"/>
    <w:rsid w:val="00FC3105"/>
    <w:rsid w:val="00FC3233"/>
    <w:rsid w:val="00FC336B"/>
    <w:rsid w:val="00FC33E7"/>
    <w:rsid w:val="00FC3422"/>
    <w:rsid w:val="00FC3476"/>
    <w:rsid w:val="00FC36B4"/>
    <w:rsid w:val="00FC371D"/>
    <w:rsid w:val="00FC3723"/>
    <w:rsid w:val="00FC3820"/>
    <w:rsid w:val="00FC3869"/>
    <w:rsid w:val="00FC3BB3"/>
    <w:rsid w:val="00FC3C1F"/>
    <w:rsid w:val="00FC3F15"/>
    <w:rsid w:val="00FC3F99"/>
    <w:rsid w:val="00FC4120"/>
    <w:rsid w:val="00FC4509"/>
    <w:rsid w:val="00FC47C2"/>
    <w:rsid w:val="00FC4BD5"/>
    <w:rsid w:val="00FC4BDA"/>
    <w:rsid w:val="00FC4E3D"/>
    <w:rsid w:val="00FC4F29"/>
    <w:rsid w:val="00FC4FD5"/>
    <w:rsid w:val="00FC50CF"/>
    <w:rsid w:val="00FC511B"/>
    <w:rsid w:val="00FC52B4"/>
    <w:rsid w:val="00FC545E"/>
    <w:rsid w:val="00FC5A79"/>
    <w:rsid w:val="00FC5BE4"/>
    <w:rsid w:val="00FC5DEA"/>
    <w:rsid w:val="00FC5E20"/>
    <w:rsid w:val="00FC5F0B"/>
    <w:rsid w:val="00FC61FE"/>
    <w:rsid w:val="00FC688B"/>
    <w:rsid w:val="00FC68CE"/>
    <w:rsid w:val="00FC68D2"/>
    <w:rsid w:val="00FC69EB"/>
    <w:rsid w:val="00FC6E46"/>
    <w:rsid w:val="00FC6F5A"/>
    <w:rsid w:val="00FC6FD5"/>
    <w:rsid w:val="00FC7284"/>
    <w:rsid w:val="00FC7796"/>
    <w:rsid w:val="00FC791D"/>
    <w:rsid w:val="00FC797A"/>
    <w:rsid w:val="00FC79DA"/>
    <w:rsid w:val="00FC7A97"/>
    <w:rsid w:val="00FD00E2"/>
    <w:rsid w:val="00FD01E8"/>
    <w:rsid w:val="00FD0268"/>
    <w:rsid w:val="00FD055E"/>
    <w:rsid w:val="00FD05A7"/>
    <w:rsid w:val="00FD0A04"/>
    <w:rsid w:val="00FD0A9F"/>
    <w:rsid w:val="00FD0E80"/>
    <w:rsid w:val="00FD118D"/>
    <w:rsid w:val="00FD1247"/>
    <w:rsid w:val="00FD1263"/>
    <w:rsid w:val="00FD130D"/>
    <w:rsid w:val="00FD13A3"/>
    <w:rsid w:val="00FD14B8"/>
    <w:rsid w:val="00FD15D6"/>
    <w:rsid w:val="00FD183F"/>
    <w:rsid w:val="00FD1933"/>
    <w:rsid w:val="00FD1B19"/>
    <w:rsid w:val="00FD1D50"/>
    <w:rsid w:val="00FD1D6B"/>
    <w:rsid w:val="00FD1DF9"/>
    <w:rsid w:val="00FD2100"/>
    <w:rsid w:val="00FD2411"/>
    <w:rsid w:val="00FD2470"/>
    <w:rsid w:val="00FD2532"/>
    <w:rsid w:val="00FD253C"/>
    <w:rsid w:val="00FD2AE7"/>
    <w:rsid w:val="00FD2BD0"/>
    <w:rsid w:val="00FD2CC3"/>
    <w:rsid w:val="00FD2EDD"/>
    <w:rsid w:val="00FD2FC1"/>
    <w:rsid w:val="00FD3023"/>
    <w:rsid w:val="00FD317E"/>
    <w:rsid w:val="00FD338F"/>
    <w:rsid w:val="00FD3744"/>
    <w:rsid w:val="00FD3808"/>
    <w:rsid w:val="00FD3835"/>
    <w:rsid w:val="00FD3968"/>
    <w:rsid w:val="00FD39EF"/>
    <w:rsid w:val="00FD3CC0"/>
    <w:rsid w:val="00FD3F32"/>
    <w:rsid w:val="00FD436C"/>
    <w:rsid w:val="00FD446D"/>
    <w:rsid w:val="00FD49AD"/>
    <w:rsid w:val="00FD4D6D"/>
    <w:rsid w:val="00FD4EB5"/>
    <w:rsid w:val="00FD4F2C"/>
    <w:rsid w:val="00FD5352"/>
    <w:rsid w:val="00FD5432"/>
    <w:rsid w:val="00FD5465"/>
    <w:rsid w:val="00FD576F"/>
    <w:rsid w:val="00FD5AD1"/>
    <w:rsid w:val="00FD61DA"/>
    <w:rsid w:val="00FD635D"/>
    <w:rsid w:val="00FD6394"/>
    <w:rsid w:val="00FD6487"/>
    <w:rsid w:val="00FD6568"/>
    <w:rsid w:val="00FD66A4"/>
    <w:rsid w:val="00FD68D5"/>
    <w:rsid w:val="00FD68FD"/>
    <w:rsid w:val="00FD696A"/>
    <w:rsid w:val="00FD6984"/>
    <w:rsid w:val="00FD6CDA"/>
    <w:rsid w:val="00FD6D8F"/>
    <w:rsid w:val="00FD6F7F"/>
    <w:rsid w:val="00FD726E"/>
    <w:rsid w:val="00FD74D8"/>
    <w:rsid w:val="00FD74F2"/>
    <w:rsid w:val="00FD7801"/>
    <w:rsid w:val="00FD79B1"/>
    <w:rsid w:val="00FD7A78"/>
    <w:rsid w:val="00FD7B55"/>
    <w:rsid w:val="00FD7C25"/>
    <w:rsid w:val="00FD7E2A"/>
    <w:rsid w:val="00FD7EF8"/>
    <w:rsid w:val="00FD7FD8"/>
    <w:rsid w:val="00FE0418"/>
    <w:rsid w:val="00FE045E"/>
    <w:rsid w:val="00FE0558"/>
    <w:rsid w:val="00FE0578"/>
    <w:rsid w:val="00FE07A4"/>
    <w:rsid w:val="00FE07F8"/>
    <w:rsid w:val="00FE096F"/>
    <w:rsid w:val="00FE0C6B"/>
    <w:rsid w:val="00FE0DAE"/>
    <w:rsid w:val="00FE0E5A"/>
    <w:rsid w:val="00FE0E5C"/>
    <w:rsid w:val="00FE0E6C"/>
    <w:rsid w:val="00FE165F"/>
    <w:rsid w:val="00FE16DB"/>
    <w:rsid w:val="00FE178E"/>
    <w:rsid w:val="00FE1882"/>
    <w:rsid w:val="00FE1A0B"/>
    <w:rsid w:val="00FE1CDC"/>
    <w:rsid w:val="00FE1E6D"/>
    <w:rsid w:val="00FE245B"/>
    <w:rsid w:val="00FE286B"/>
    <w:rsid w:val="00FE2D58"/>
    <w:rsid w:val="00FE30B4"/>
    <w:rsid w:val="00FE30C1"/>
    <w:rsid w:val="00FE34E3"/>
    <w:rsid w:val="00FE34F5"/>
    <w:rsid w:val="00FE3663"/>
    <w:rsid w:val="00FE366F"/>
    <w:rsid w:val="00FE37D9"/>
    <w:rsid w:val="00FE3C4E"/>
    <w:rsid w:val="00FE3EF1"/>
    <w:rsid w:val="00FE3F29"/>
    <w:rsid w:val="00FE4022"/>
    <w:rsid w:val="00FE4257"/>
    <w:rsid w:val="00FE430F"/>
    <w:rsid w:val="00FE4799"/>
    <w:rsid w:val="00FE47F5"/>
    <w:rsid w:val="00FE480D"/>
    <w:rsid w:val="00FE4900"/>
    <w:rsid w:val="00FE4FCA"/>
    <w:rsid w:val="00FE5043"/>
    <w:rsid w:val="00FE51DC"/>
    <w:rsid w:val="00FE5298"/>
    <w:rsid w:val="00FE546A"/>
    <w:rsid w:val="00FE5517"/>
    <w:rsid w:val="00FE556B"/>
    <w:rsid w:val="00FE568D"/>
    <w:rsid w:val="00FE5804"/>
    <w:rsid w:val="00FE597B"/>
    <w:rsid w:val="00FE5C16"/>
    <w:rsid w:val="00FE6210"/>
    <w:rsid w:val="00FE6552"/>
    <w:rsid w:val="00FE65B8"/>
    <w:rsid w:val="00FE6608"/>
    <w:rsid w:val="00FE682F"/>
    <w:rsid w:val="00FE6862"/>
    <w:rsid w:val="00FE6CB9"/>
    <w:rsid w:val="00FE70C3"/>
    <w:rsid w:val="00FE7107"/>
    <w:rsid w:val="00FE722D"/>
    <w:rsid w:val="00FE724B"/>
    <w:rsid w:val="00FE75C3"/>
    <w:rsid w:val="00FE7692"/>
    <w:rsid w:val="00FE76B8"/>
    <w:rsid w:val="00FE7B4B"/>
    <w:rsid w:val="00FE7D0A"/>
    <w:rsid w:val="00FE7DB7"/>
    <w:rsid w:val="00FE7F6E"/>
    <w:rsid w:val="00FE7FAE"/>
    <w:rsid w:val="00FF00B0"/>
    <w:rsid w:val="00FF03F7"/>
    <w:rsid w:val="00FF0591"/>
    <w:rsid w:val="00FF0837"/>
    <w:rsid w:val="00FF0861"/>
    <w:rsid w:val="00FF0BAC"/>
    <w:rsid w:val="00FF0D44"/>
    <w:rsid w:val="00FF0EDE"/>
    <w:rsid w:val="00FF1135"/>
    <w:rsid w:val="00FF117E"/>
    <w:rsid w:val="00FF11FE"/>
    <w:rsid w:val="00FF12BA"/>
    <w:rsid w:val="00FF178B"/>
    <w:rsid w:val="00FF1881"/>
    <w:rsid w:val="00FF197A"/>
    <w:rsid w:val="00FF19C7"/>
    <w:rsid w:val="00FF1A8B"/>
    <w:rsid w:val="00FF1BB3"/>
    <w:rsid w:val="00FF1C68"/>
    <w:rsid w:val="00FF1E6D"/>
    <w:rsid w:val="00FF1F15"/>
    <w:rsid w:val="00FF1FC5"/>
    <w:rsid w:val="00FF2137"/>
    <w:rsid w:val="00FF2139"/>
    <w:rsid w:val="00FF24C9"/>
    <w:rsid w:val="00FF2618"/>
    <w:rsid w:val="00FF2906"/>
    <w:rsid w:val="00FF296D"/>
    <w:rsid w:val="00FF2A6F"/>
    <w:rsid w:val="00FF2AD9"/>
    <w:rsid w:val="00FF2CDF"/>
    <w:rsid w:val="00FF33AE"/>
    <w:rsid w:val="00FF359F"/>
    <w:rsid w:val="00FF35D6"/>
    <w:rsid w:val="00FF3DCF"/>
    <w:rsid w:val="00FF428D"/>
    <w:rsid w:val="00FF468B"/>
    <w:rsid w:val="00FF47D4"/>
    <w:rsid w:val="00FF492C"/>
    <w:rsid w:val="00FF4953"/>
    <w:rsid w:val="00FF4A21"/>
    <w:rsid w:val="00FF4A3E"/>
    <w:rsid w:val="00FF4BF3"/>
    <w:rsid w:val="00FF4C32"/>
    <w:rsid w:val="00FF4E87"/>
    <w:rsid w:val="00FF513A"/>
    <w:rsid w:val="00FF51CF"/>
    <w:rsid w:val="00FF540F"/>
    <w:rsid w:val="00FF54E3"/>
    <w:rsid w:val="00FF55FC"/>
    <w:rsid w:val="00FF5657"/>
    <w:rsid w:val="00FF5AA3"/>
    <w:rsid w:val="00FF5AD8"/>
    <w:rsid w:val="00FF5DA1"/>
    <w:rsid w:val="00FF5FC8"/>
    <w:rsid w:val="00FF6120"/>
    <w:rsid w:val="00FF619B"/>
    <w:rsid w:val="00FF6437"/>
    <w:rsid w:val="00FF6550"/>
    <w:rsid w:val="00FF6890"/>
    <w:rsid w:val="00FF69C8"/>
    <w:rsid w:val="00FF6A62"/>
    <w:rsid w:val="00FF6B82"/>
    <w:rsid w:val="00FF6FCA"/>
    <w:rsid w:val="00FF716D"/>
    <w:rsid w:val="00FF7648"/>
    <w:rsid w:val="00FF766B"/>
    <w:rsid w:val="00FF7C13"/>
    <w:rsid w:val="00FF7EED"/>
    <w:rsid w:val="00FF7F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qFormat="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4407"/>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Table and Figure Name,Bullet,- H17,Bayer Caption,IB Caption,Medical Caption,B Caption,Caption Char2 Char,Caption Char Char Char2,Caption Char1 Char Char Char1,Caption Char2 Char Char Char1 Char1,Caption Char Char1 Char Char Char1 Char1,~Caption"/>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Table and Figure Name Char,Bullet Char,- H17 Char,Bayer Caption Char,IB Caption Char,Medical Caption Char,B Caption Char,Caption Char2 Char Char,Caption Char Char Char2 Char,Caption Char1 Char Char Char1 Char,~Caption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s Points,ES Paragraph,PBAC ES Paragraph,PBAC normal points,Bullet List,Figure_name,lp1"/>
    <w:link w:val="ListParagraphChar"/>
    <w:uiPriority w:val="34"/>
    <w:qFormat/>
    <w:rsid w:val="004C3B02"/>
    <w:pPr>
      <w:numPr>
        <w:numId w:val="6"/>
      </w:num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s Points Char,ES Paragraph Char,lp1 Char"/>
    <w:basedOn w:val="DefaultParagraphFont"/>
    <w:link w:val="ListParagraph"/>
    <w:uiPriority w:val="34"/>
    <w:qFormat/>
    <w:locked/>
    <w:rsid w:val="004C3B02"/>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4C3B02"/>
    <w:pPr>
      <w:keepNext/>
      <w:tabs>
        <w:tab w:val="center" w:pos="4513"/>
        <w:tab w:val="right" w:pos="9026"/>
      </w:tabs>
      <w:jc w:val="center"/>
    </w:pPr>
    <w:rPr>
      <w:i/>
      <w:iCs/>
    </w:rPr>
  </w:style>
  <w:style w:type="character" w:customStyle="1" w:styleId="HeaderChar">
    <w:name w:val="Header Char"/>
    <w:aliases w:val="Page Header Char,Header title Char,he=header Char,cntr/bld Char"/>
    <w:basedOn w:val="DefaultParagraphFont"/>
    <w:link w:val="Header"/>
    <w:rsid w:val="004C3B02"/>
    <w:rPr>
      <w:rFonts w:ascii="Calibri" w:hAnsi="Calibri" w:cs="Arial"/>
      <w:i/>
      <w:iCs/>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HTAtableplain,PBAC table,new style,MSD Table Grid,RTI AMCP Table,Header Table,Source table_,NICE instructions,HealthConsult,YHEC table,Lash Style Table,Tabellengitternetz 9pt,Dossier tab"/>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4"/>
    <w:qFormat/>
    <w:rsid w:val="00A518F3"/>
    <w:pPr>
      <w:jc w:val="left"/>
    </w:pPr>
    <w:rPr>
      <w:rFonts w:ascii="Arial Narrow" w:hAnsi="Arial Narrow" w:cs="Times New Roman"/>
      <w:snapToGrid w:val="0"/>
      <w:sz w:val="20"/>
    </w:rPr>
  </w:style>
  <w:style w:type="character" w:customStyle="1" w:styleId="TabletextChar">
    <w:name w:val="Table text Char"/>
    <w:link w:val="Tabletext"/>
    <w:uiPriority w:val="4"/>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uiPriority w:val="11"/>
    <w:rsid w:val="00B50DB8"/>
    <w:rPr>
      <w:lang w:eastAsia="en-US"/>
    </w:rPr>
  </w:style>
  <w:style w:type="paragraph" w:styleId="Subtitle">
    <w:name w:val="Subtitle"/>
    <w:basedOn w:val="Normal"/>
    <w:link w:val="SubtitleChar"/>
    <w:uiPriority w:val="11"/>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45231F"/>
    <w:pPr>
      <w:keepNext/>
      <w:keepLines/>
      <w:tabs>
        <w:tab w:val="left" w:pos="164"/>
      </w:tabs>
    </w:pPr>
    <w:rPr>
      <w:rFonts w:ascii="Arial Narrow" w:eastAsiaTheme="majorEastAsia" w:hAnsi="Arial Narrow" w:cstheme="majorBidi"/>
      <w:bCs/>
      <w:snapToGrid w:val="0"/>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autoRedefine/>
    <w:qFormat/>
    <w:rsid w:val="00F57F1D"/>
    <w:pPr>
      <w:keepNext/>
      <w:keepLines/>
    </w:pPr>
    <w:rPr>
      <w:rFonts w:ascii="Arial Narrow" w:eastAsiaTheme="majorEastAsia" w:hAnsi="Arial Narrow"/>
      <w:b/>
      <w:szCs w:val="24"/>
      <w:lang w:val="en-US"/>
    </w:rPr>
  </w:style>
  <w:style w:type="paragraph" w:customStyle="1" w:styleId="2-SectionHeading">
    <w:name w:val="2-Section Heading"/>
    <w:next w:val="3-BodyText"/>
    <w:qFormat/>
    <w:rsid w:val="004C3B02"/>
    <w:pPr>
      <w:keepNext/>
      <w:numPr>
        <w:numId w:val="7"/>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C3B02"/>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C3B02"/>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C3B02"/>
    <w:rPr>
      <w:rFonts w:ascii="Arial Narrow" w:eastAsiaTheme="majorEastAsia" w:hAnsi="Arial Narrow" w:cstheme="majorBidi"/>
      <w:b/>
      <w:bCs/>
      <w:szCs w:val="24"/>
    </w:rPr>
  </w:style>
  <w:style w:type="paragraph" w:customStyle="1" w:styleId="3-BodyText">
    <w:name w:val="3-Body Text"/>
    <w:link w:val="3-BodyTextChar"/>
    <w:qFormat/>
    <w:rsid w:val="00213B0B"/>
    <w:pPr>
      <w:numPr>
        <w:ilvl w:val="1"/>
        <w:numId w:val="7"/>
      </w:numPr>
      <w:spacing w:before="120"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213B0B"/>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C3B02"/>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4C3B02"/>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C3B02"/>
    <w:pPr>
      <w:keepNext/>
      <w:spacing w:before="120" w:after="120"/>
    </w:pPr>
    <w:rPr>
      <w:rFonts w:asciiTheme="minorHAnsi" w:eastAsiaTheme="majorEastAsia" w:hAnsiTheme="minorHAnsi" w:cstheme="majorBidi"/>
      <w:spacing w:val="5"/>
      <w:kern w:val="28"/>
      <w:szCs w:val="36"/>
      <w:lang w:eastAsia="en-US"/>
    </w:rPr>
  </w:style>
  <w:style w:type="character" w:customStyle="1" w:styleId="4-SubsectionHeadingChar">
    <w:name w:val="4-Subsection Heading Char"/>
    <w:basedOn w:val="Heading2Char"/>
    <w:link w:val="4-SubsectionHeading"/>
    <w:rsid w:val="004C3B02"/>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C3B02"/>
    <w:pPr>
      <w:keepNext/>
      <w:keepLines/>
      <w:spacing w:before="4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C3B02"/>
    <w:rPr>
      <w:rFonts w:asciiTheme="minorHAnsi" w:eastAsiaTheme="majorEastAsia" w:hAnsiTheme="minorHAnsi" w:cstheme="majorBidi"/>
      <w:b/>
      <w:color w:val="000000" w:themeColor="text1"/>
      <w:sz w:val="24"/>
      <w:szCs w:val="24"/>
    </w:rPr>
  </w:style>
  <w:style w:type="paragraph" w:styleId="ListBullet">
    <w:name w:val="List Bullet"/>
    <w:basedOn w:val="Normal"/>
    <w:uiPriority w:val="99"/>
    <w:unhideWhenUsed/>
    <w:rsid w:val="00EE1996"/>
    <w:pPr>
      <w:numPr>
        <w:numId w:val="3"/>
      </w:numPr>
      <w:contextualSpacing/>
    </w:pPr>
  </w:style>
  <w:style w:type="character" w:customStyle="1" w:styleId="TableTextChar0">
    <w:name w:val="Table Text Char"/>
    <w:basedOn w:val="DefaultParagraphFont"/>
    <w:link w:val="TableText0"/>
    <w:rsid w:val="0045231F"/>
    <w:rPr>
      <w:rFonts w:ascii="Arial Narrow" w:eastAsiaTheme="majorEastAsia" w:hAnsi="Arial Narrow" w:cstheme="majorBidi"/>
      <w:bCs/>
      <w:snapToGrid w:val="0"/>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5"/>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next w:val="3-BodyText"/>
    <w:link w:val="TableFigureFooterChar"/>
    <w:autoRedefine/>
    <w:qFormat/>
    <w:rsid w:val="008B265F"/>
    <w:pPr>
      <w:keepNext/>
      <w:keepLines/>
      <w:contextualSpacing/>
      <w:jc w:val="left"/>
    </w:pPr>
    <w:rPr>
      <w:rFonts w:ascii="Arial Narrow" w:hAnsi="Arial Narrow"/>
      <w:snapToGrid w:val="0"/>
      <w:sz w:val="18"/>
      <w:szCs w:val="22"/>
    </w:rPr>
  </w:style>
  <w:style w:type="character" w:customStyle="1" w:styleId="TableFigureFooterChar">
    <w:name w:val="Table/Figure Footer Char"/>
    <w:link w:val="TableFigureFooter"/>
    <w:rsid w:val="008B265F"/>
    <w:rPr>
      <w:rFonts w:ascii="Arial Narrow" w:hAnsi="Arial Narrow" w:cs="Arial"/>
      <w:snapToGrid w:val="0"/>
      <w:sz w:val="18"/>
      <w:szCs w:val="22"/>
    </w:rPr>
  </w:style>
  <w:style w:type="paragraph" w:customStyle="1" w:styleId="TableH1">
    <w:name w:val="Table H1"/>
    <w:basedOn w:val="BodyText"/>
    <w:uiPriority w:val="4"/>
    <w:qFormat/>
    <w:rsid w:val="007A3D77"/>
    <w:pPr>
      <w:keepNext/>
      <w:keepLines/>
      <w:spacing w:before="20" w:after="20"/>
    </w:pPr>
    <w:rPr>
      <w:rFonts w:ascii="Montserrat" w:eastAsia="Calibri" w:hAnsi="Montserrat" w:cs="Calibri"/>
      <w:b/>
      <w:sz w:val="18"/>
      <w:szCs w:val="16"/>
      <w:lang w:val="en-US" w:eastAsia="en-US"/>
    </w:rPr>
  </w:style>
  <w:style w:type="paragraph" w:customStyle="1" w:styleId="TableFigNotes18">
    <w:name w:val="TableFigNotes+18"/>
    <w:basedOn w:val="ListParagraph"/>
    <w:next w:val="BodyText"/>
    <w:link w:val="TableFigNotes18Char"/>
    <w:uiPriority w:val="4"/>
    <w:qFormat/>
    <w:rsid w:val="007A3D77"/>
    <w:pPr>
      <w:numPr>
        <w:numId w:val="0"/>
      </w:numPr>
      <w:spacing w:before="60" w:after="360" w:line="276" w:lineRule="auto"/>
      <w:contextualSpacing/>
    </w:pPr>
    <w:rPr>
      <w:rFonts w:ascii="Montserrat" w:eastAsia="Calibri" w:hAnsi="Montserrat" w:cs="Calibri"/>
      <w:snapToGrid/>
      <w:sz w:val="16"/>
      <w:szCs w:val="20"/>
      <w:lang w:eastAsia="en-US"/>
    </w:rPr>
  </w:style>
  <w:style w:type="character" w:customStyle="1" w:styleId="TableFigNotes18Char">
    <w:name w:val="TableFigNotes+18 Char"/>
    <w:basedOn w:val="DefaultParagraphFont"/>
    <w:link w:val="TableFigNotes18"/>
    <w:uiPriority w:val="4"/>
    <w:locked/>
    <w:rsid w:val="007A3D77"/>
    <w:rPr>
      <w:rFonts w:ascii="Montserrat" w:eastAsia="Calibri" w:hAnsi="Montserrat" w:cs="Calibri"/>
      <w:sz w:val="16"/>
      <w:lang w:eastAsia="en-US"/>
    </w:rPr>
  </w:style>
  <w:style w:type="paragraph" w:customStyle="1" w:styleId="NEWCaptionTableandFigureNameBullet-H17BayerCaptionIBC">
    <w:name w:val="NEW CaptionTable and Figure NameBullet- H17Bayer CaptionIB C..."/>
    <w:basedOn w:val="Caption"/>
    <w:rsid w:val="007A3D77"/>
    <w:pPr>
      <w:widowControl w:val="0"/>
      <w:spacing w:before="240" w:after="120" w:line="288" w:lineRule="auto"/>
      <w:ind w:left="1418" w:hanging="1418"/>
      <w:jc w:val="left"/>
    </w:pPr>
    <w:rPr>
      <w:rFonts w:ascii="Montserrat" w:hAnsi="Montserrat" w:cs="Times New Roman"/>
      <w:sz w:val="17"/>
      <w:szCs w:val="20"/>
      <w:lang w:eastAsia="en-US"/>
    </w:rPr>
  </w:style>
  <w:style w:type="paragraph" w:customStyle="1" w:styleId="Tabletext8pt">
    <w:name w:val="Table text 8pt"/>
    <w:basedOn w:val="Tabletext"/>
    <w:qFormat/>
    <w:rsid w:val="007A3D77"/>
    <w:pPr>
      <w:keepNext/>
      <w:keepLines/>
      <w:spacing w:before="20" w:after="20"/>
    </w:pPr>
    <w:rPr>
      <w:rFonts w:ascii="Montserrat" w:eastAsia="Calibri" w:hAnsi="Montserrat" w:cs="Calibri"/>
      <w:snapToGrid/>
      <w:sz w:val="16"/>
      <w:szCs w:val="16"/>
      <w:lang w:eastAsia="en-US"/>
    </w:rPr>
  </w:style>
  <w:style w:type="paragraph" w:styleId="FootnoteText">
    <w:name w:val="footnote text"/>
    <w:basedOn w:val="Normal"/>
    <w:link w:val="FootnoteTextChar"/>
    <w:semiHidden/>
    <w:unhideWhenUsed/>
    <w:rsid w:val="00556BCF"/>
    <w:rPr>
      <w:sz w:val="20"/>
      <w:szCs w:val="20"/>
    </w:rPr>
  </w:style>
  <w:style w:type="character" w:customStyle="1" w:styleId="FootnoteTextChar">
    <w:name w:val="Footnote Text Char"/>
    <w:basedOn w:val="DefaultParagraphFont"/>
    <w:link w:val="FootnoteText"/>
    <w:semiHidden/>
    <w:rsid w:val="00556BCF"/>
    <w:rPr>
      <w:rFonts w:ascii="Calibri" w:hAnsi="Calibri" w:cs="Arial"/>
    </w:rPr>
  </w:style>
  <w:style w:type="character" w:styleId="FootnoteReference">
    <w:name w:val="footnote reference"/>
    <w:basedOn w:val="DefaultParagraphFont"/>
    <w:semiHidden/>
    <w:unhideWhenUsed/>
    <w:rsid w:val="00556BCF"/>
    <w:rPr>
      <w:vertAlign w:val="superscript"/>
    </w:rPr>
  </w:style>
  <w:style w:type="numbering" w:customStyle="1" w:styleId="CurrentList8">
    <w:name w:val="Current List8"/>
    <w:uiPriority w:val="99"/>
    <w:rsid w:val="00AB2B9D"/>
    <w:pPr>
      <w:numPr>
        <w:numId w:val="8"/>
      </w:numPr>
    </w:pPr>
  </w:style>
  <w:style w:type="paragraph" w:customStyle="1" w:styleId="TableH28pt">
    <w:name w:val="Table H2 8pt"/>
    <w:basedOn w:val="Normal"/>
    <w:qFormat/>
    <w:rsid w:val="00E47017"/>
    <w:pPr>
      <w:keepNext/>
      <w:keepLines/>
      <w:spacing w:before="20" w:after="20"/>
      <w:contextualSpacing/>
      <w:jc w:val="left"/>
    </w:pPr>
    <w:rPr>
      <w:rFonts w:ascii="Montserrat" w:eastAsia="Calibri" w:hAnsi="Montserrat" w:cs="Calibri"/>
      <w:b/>
      <w:sz w:val="16"/>
      <w:szCs w:val="20"/>
      <w:lang w:eastAsia="en-US"/>
    </w:rPr>
  </w:style>
  <w:style w:type="table" w:customStyle="1" w:styleId="HTATableshaded">
    <w:name w:val="HTA Table shaded"/>
    <w:basedOn w:val="TableNormal"/>
    <w:rsid w:val="00C26D5B"/>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ableHeadingleft">
    <w:name w:val="Table Heading left"/>
    <w:basedOn w:val="Normal"/>
    <w:next w:val="Normal"/>
    <w:qFormat/>
    <w:rsid w:val="00C26D5B"/>
    <w:pPr>
      <w:spacing w:before="40" w:after="40"/>
      <w:jc w:val="left"/>
    </w:pPr>
    <w:rPr>
      <w:rFonts w:asciiTheme="minorHAnsi" w:eastAsiaTheme="minorHAnsi" w:hAnsiTheme="minorHAnsi" w:cs="Tahoma"/>
      <w:b/>
      <w:sz w:val="18"/>
      <w:szCs w:val="18"/>
      <w:lang w:val="de-DE" w:eastAsia="en-US"/>
    </w:rPr>
  </w:style>
  <w:style w:type="paragraph" w:customStyle="1" w:styleId="Tabletextleft">
    <w:name w:val="Table text left"/>
    <w:basedOn w:val="Normal"/>
    <w:link w:val="TabletextleftChar"/>
    <w:qFormat/>
    <w:rsid w:val="00C26D5B"/>
    <w:pPr>
      <w:spacing w:before="20" w:after="20"/>
      <w:jc w:val="left"/>
    </w:pPr>
    <w:rPr>
      <w:rFonts w:asciiTheme="minorHAnsi" w:hAnsiTheme="minorHAnsi" w:cs="Times New Roman"/>
      <w:sz w:val="18"/>
      <w:szCs w:val="20"/>
    </w:rPr>
  </w:style>
  <w:style w:type="character" w:customStyle="1" w:styleId="TabletextleftChar">
    <w:name w:val="Table text left Char"/>
    <w:basedOn w:val="DefaultParagraphFont"/>
    <w:link w:val="Tabletextleft"/>
    <w:rsid w:val="00C26D5B"/>
    <w:rPr>
      <w:rFonts w:asciiTheme="minorHAnsi" w:hAnsiTheme="minorHAnsi"/>
      <w:sz w:val="18"/>
    </w:rPr>
  </w:style>
  <w:style w:type="paragraph" w:customStyle="1" w:styleId="TableFigNotes0">
    <w:name w:val="TableFigNotes+0"/>
    <w:basedOn w:val="Normal"/>
    <w:uiPriority w:val="4"/>
    <w:rsid w:val="00C26D5B"/>
    <w:pPr>
      <w:keepNext/>
      <w:keepLines/>
      <w:jc w:val="left"/>
    </w:pPr>
    <w:rPr>
      <w:rFonts w:cs="Tahoma"/>
      <w:color w:val="000000"/>
      <w:sz w:val="16"/>
      <w:szCs w:val="18"/>
      <w:lang w:val="en-US"/>
    </w:rPr>
  </w:style>
  <w:style w:type="paragraph" w:customStyle="1" w:styleId="Tabletextcent">
    <w:name w:val="Table text cent"/>
    <w:basedOn w:val="Tabletextleft"/>
    <w:qFormat/>
    <w:rsid w:val="00C26D5B"/>
    <w:pPr>
      <w:jc w:val="center"/>
    </w:pPr>
    <w:rPr>
      <w:lang w:val="de-DE"/>
    </w:rPr>
  </w:style>
  <w:style w:type="paragraph" w:customStyle="1" w:styleId="Tableheadingcent">
    <w:name w:val="Table heading cent"/>
    <w:basedOn w:val="TableHeadingleft"/>
    <w:qFormat/>
    <w:rsid w:val="00C26D5B"/>
    <w:pPr>
      <w:jc w:val="center"/>
    </w:pPr>
  </w:style>
  <w:style w:type="paragraph" w:customStyle="1" w:styleId="PBACTableText">
    <w:name w:val="PBAC Table Text"/>
    <w:basedOn w:val="Normal"/>
    <w:link w:val="PBACTableTextChar"/>
    <w:qFormat/>
    <w:rsid w:val="00C26D5B"/>
    <w:pPr>
      <w:spacing w:before="40" w:after="40"/>
      <w:jc w:val="left"/>
    </w:pPr>
    <w:rPr>
      <w:rFonts w:ascii="Arial Narrow" w:hAnsi="Arial Narrow" w:cs="Times New Roman"/>
      <w:sz w:val="20"/>
      <w:szCs w:val="20"/>
      <w:lang w:eastAsia="en-US"/>
    </w:rPr>
  </w:style>
  <w:style w:type="character" w:customStyle="1" w:styleId="PBACTableTextChar">
    <w:name w:val="PBAC Table Text Char"/>
    <w:basedOn w:val="DefaultParagraphFont"/>
    <w:link w:val="PBACTableText"/>
    <w:rsid w:val="00C26D5B"/>
    <w:rPr>
      <w:rFonts w:ascii="Arial Narrow" w:hAnsi="Arial Narrow"/>
      <w:lang w:eastAsia="en-US"/>
    </w:rPr>
  </w:style>
  <w:style w:type="paragraph" w:customStyle="1" w:styleId="PbacTableHeading">
    <w:name w:val="Pbac Table Heading"/>
    <w:basedOn w:val="PBACTableText"/>
    <w:rsid w:val="00C26D5B"/>
    <w:pPr>
      <w:spacing w:before="0" w:after="80"/>
    </w:pPr>
    <w:rPr>
      <w:rFonts w:eastAsiaTheme="minorHAnsi" w:cs="Arial"/>
      <w:b/>
    </w:rPr>
  </w:style>
  <w:style w:type="character" w:customStyle="1" w:styleId="cf01">
    <w:name w:val="cf01"/>
    <w:basedOn w:val="DefaultParagraphFont"/>
    <w:rsid w:val="00C04133"/>
    <w:rPr>
      <w:rFonts w:ascii="Segoe UI" w:hAnsi="Segoe UI" w:cs="Segoe UI" w:hint="default"/>
      <w:sz w:val="18"/>
      <w:szCs w:val="18"/>
    </w:rPr>
  </w:style>
  <w:style w:type="paragraph" w:customStyle="1" w:styleId="EndNoteBibliography">
    <w:name w:val="EndNote Bibliography"/>
    <w:basedOn w:val="Normal"/>
    <w:link w:val="EndNoteBibliographyChar"/>
    <w:rsid w:val="0061393C"/>
    <w:pPr>
      <w:spacing w:after="120"/>
      <w:jc w:val="left"/>
    </w:pPr>
    <w:rPr>
      <w:rFonts w:ascii="Montserrat" w:eastAsia="Calibri" w:hAnsi="Montserrat" w:cs="Calibri"/>
      <w:noProof/>
      <w:sz w:val="18"/>
      <w:szCs w:val="20"/>
      <w:lang w:val="en-US" w:eastAsia="en-US"/>
    </w:rPr>
  </w:style>
  <w:style w:type="character" w:customStyle="1" w:styleId="EndNoteBibliographyChar">
    <w:name w:val="EndNote Bibliography Char"/>
    <w:basedOn w:val="DefaultParagraphFont"/>
    <w:link w:val="EndNoteBibliography"/>
    <w:rsid w:val="0061393C"/>
    <w:rPr>
      <w:rFonts w:ascii="Montserrat" w:eastAsia="Calibri" w:hAnsi="Montserrat" w:cs="Calibri"/>
      <w:noProof/>
      <w:sz w:val="18"/>
      <w:lang w:val="en-US" w:eastAsia="en-US"/>
    </w:rPr>
  </w:style>
  <w:style w:type="paragraph" w:customStyle="1" w:styleId="3-SubsectionHeading">
    <w:name w:val="3-Subsection Heading"/>
    <w:basedOn w:val="Heading2"/>
    <w:next w:val="Normal"/>
    <w:link w:val="3-SubsectionHeadingChar"/>
    <w:qFormat/>
    <w:rsid w:val="00294EFE"/>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294EFE"/>
    <w:rPr>
      <w:rFonts w:asciiTheme="minorHAnsi" w:eastAsiaTheme="majorEastAsia" w:hAnsiTheme="minorHAnsi" w:cstheme="majorBidi"/>
      <w:b/>
      <w:i/>
      <w:snapToGrid/>
      <w:spacing w:val="5"/>
      <w:kern w:val="28"/>
      <w:sz w:val="28"/>
      <w:szCs w:val="36"/>
      <w:lang w:eastAsia="en-US"/>
    </w:rPr>
  </w:style>
  <w:style w:type="paragraph" w:customStyle="1" w:styleId="paragraph">
    <w:name w:val="paragraph"/>
    <w:basedOn w:val="Normal"/>
    <w:rsid w:val="004862F4"/>
    <w:pPr>
      <w:spacing w:before="100" w:beforeAutospacing="1" w:after="100" w:afterAutospacing="1"/>
      <w:jc w:val="left"/>
    </w:pPr>
    <w:rPr>
      <w:rFonts w:ascii="Times New Roman" w:hAnsi="Times New Roman" w:cs="Times New Roman"/>
    </w:rPr>
  </w:style>
  <w:style w:type="character" w:customStyle="1" w:styleId="normaltextrun">
    <w:name w:val="normaltextrun"/>
    <w:basedOn w:val="DefaultParagraphFont"/>
    <w:rsid w:val="004862F4"/>
  </w:style>
  <w:style w:type="character" w:customStyle="1" w:styleId="eop">
    <w:name w:val="eop"/>
    <w:basedOn w:val="DefaultParagraphFont"/>
    <w:rsid w:val="00486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49775">
      <w:bodyDiv w:val="1"/>
      <w:marLeft w:val="0"/>
      <w:marRight w:val="0"/>
      <w:marTop w:val="0"/>
      <w:marBottom w:val="0"/>
      <w:divBdr>
        <w:top w:val="none" w:sz="0" w:space="0" w:color="auto"/>
        <w:left w:val="none" w:sz="0" w:space="0" w:color="auto"/>
        <w:bottom w:val="none" w:sz="0" w:space="0" w:color="auto"/>
        <w:right w:val="none" w:sz="0" w:space="0" w:color="auto"/>
      </w:divBdr>
    </w:div>
    <w:div w:id="41877775">
      <w:bodyDiv w:val="1"/>
      <w:marLeft w:val="0"/>
      <w:marRight w:val="0"/>
      <w:marTop w:val="0"/>
      <w:marBottom w:val="0"/>
      <w:divBdr>
        <w:top w:val="none" w:sz="0" w:space="0" w:color="auto"/>
        <w:left w:val="none" w:sz="0" w:space="0" w:color="auto"/>
        <w:bottom w:val="none" w:sz="0" w:space="0" w:color="auto"/>
        <w:right w:val="none" w:sz="0" w:space="0" w:color="auto"/>
      </w:divBdr>
      <w:divsChild>
        <w:div w:id="213124780">
          <w:marLeft w:val="0"/>
          <w:marRight w:val="0"/>
          <w:marTop w:val="0"/>
          <w:marBottom w:val="0"/>
          <w:divBdr>
            <w:top w:val="none" w:sz="0" w:space="0" w:color="auto"/>
            <w:left w:val="none" w:sz="0" w:space="0" w:color="auto"/>
            <w:bottom w:val="none" w:sz="0" w:space="0" w:color="auto"/>
            <w:right w:val="none" w:sz="0" w:space="0" w:color="auto"/>
          </w:divBdr>
          <w:divsChild>
            <w:div w:id="840582589">
              <w:marLeft w:val="0"/>
              <w:marRight w:val="0"/>
              <w:marTop w:val="0"/>
              <w:marBottom w:val="0"/>
              <w:divBdr>
                <w:top w:val="none" w:sz="0" w:space="0" w:color="auto"/>
                <w:left w:val="none" w:sz="0" w:space="0" w:color="auto"/>
                <w:bottom w:val="none" w:sz="0" w:space="0" w:color="auto"/>
                <w:right w:val="none" w:sz="0" w:space="0" w:color="auto"/>
              </w:divBdr>
              <w:divsChild>
                <w:div w:id="144124508">
                  <w:marLeft w:val="0"/>
                  <w:marRight w:val="0"/>
                  <w:marTop w:val="0"/>
                  <w:marBottom w:val="0"/>
                  <w:divBdr>
                    <w:top w:val="none" w:sz="0" w:space="0" w:color="auto"/>
                    <w:left w:val="none" w:sz="0" w:space="0" w:color="auto"/>
                    <w:bottom w:val="none" w:sz="0" w:space="0" w:color="auto"/>
                    <w:right w:val="none" w:sz="0" w:space="0" w:color="auto"/>
                  </w:divBdr>
                  <w:divsChild>
                    <w:div w:id="61892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73956065">
      <w:bodyDiv w:val="1"/>
      <w:marLeft w:val="0"/>
      <w:marRight w:val="0"/>
      <w:marTop w:val="0"/>
      <w:marBottom w:val="0"/>
      <w:divBdr>
        <w:top w:val="none" w:sz="0" w:space="0" w:color="auto"/>
        <w:left w:val="none" w:sz="0" w:space="0" w:color="auto"/>
        <w:bottom w:val="none" w:sz="0" w:space="0" w:color="auto"/>
        <w:right w:val="none" w:sz="0" w:space="0" w:color="auto"/>
      </w:divBdr>
      <w:divsChild>
        <w:div w:id="1297107690">
          <w:marLeft w:val="0"/>
          <w:marRight w:val="0"/>
          <w:marTop w:val="0"/>
          <w:marBottom w:val="0"/>
          <w:divBdr>
            <w:top w:val="none" w:sz="0" w:space="0" w:color="auto"/>
            <w:left w:val="none" w:sz="0" w:space="0" w:color="auto"/>
            <w:bottom w:val="none" w:sz="0" w:space="0" w:color="auto"/>
            <w:right w:val="none" w:sz="0" w:space="0" w:color="auto"/>
          </w:divBdr>
          <w:divsChild>
            <w:div w:id="526679841">
              <w:marLeft w:val="0"/>
              <w:marRight w:val="0"/>
              <w:marTop w:val="0"/>
              <w:marBottom w:val="0"/>
              <w:divBdr>
                <w:top w:val="none" w:sz="0" w:space="0" w:color="auto"/>
                <w:left w:val="none" w:sz="0" w:space="0" w:color="auto"/>
                <w:bottom w:val="none" w:sz="0" w:space="0" w:color="auto"/>
                <w:right w:val="none" w:sz="0" w:space="0" w:color="auto"/>
              </w:divBdr>
              <w:divsChild>
                <w:div w:id="1097751522">
                  <w:marLeft w:val="0"/>
                  <w:marRight w:val="0"/>
                  <w:marTop w:val="0"/>
                  <w:marBottom w:val="0"/>
                  <w:divBdr>
                    <w:top w:val="none" w:sz="0" w:space="0" w:color="auto"/>
                    <w:left w:val="none" w:sz="0" w:space="0" w:color="auto"/>
                    <w:bottom w:val="none" w:sz="0" w:space="0" w:color="auto"/>
                    <w:right w:val="none" w:sz="0" w:space="0" w:color="auto"/>
                  </w:divBdr>
                  <w:divsChild>
                    <w:div w:id="15610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03186">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22915023">
      <w:bodyDiv w:val="1"/>
      <w:marLeft w:val="0"/>
      <w:marRight w:val="0"/>
      <w:marTop w:val="0"/>
      <w:marBottom w:val="0"/>
      <w:divBdr>
        <w:top w:val="none" w:sz="0" w:space="0" w:color="auto"/>
        <w:left w:val="none" w:sz="0" w:space="0" w:color="auto"/>
        <w:bottom w:val="none" w:sz="0" w:space="0" w:color="auto"/>
        <w:right w:val="none" w:sz="0" w:space="0" w:color="auto"/>
      </w:divBdr>
      <w:divsChild>
        <w:div w:id="103502327">
          <w:marLeft w:val="0"/>
          <w:marRight w:val="0"/>
          <w:marTop w:val="0"/>
          <w:marBottom w:val="0"/>
          <w:divBdr>
            <w:top w:val="none" w:sz="0" w:space="0" w:color="auto"/>
            <w:left w:val="none" w:sz="0" w:space="0" w:color="auto"/>
            <w:bottom w:val="none" w:sz="0" w:space="0" w:color="auto"/>
            <w:right w:val="none" w:sz="0" w:space="0" w:color="auto"/>
          </w:divBdr>
          <w:divsChild>
            <w:div w:id="523324313">
              <w:marLeft w:val="0"/>
              <w:marRight w:val="0"/>
              <w:marTop w:val="0"/>
              <w:marBottom w:val="0"/>
              <w:divBdr>
                <w:top w:val="none" w:sz="0" w:space="0" w:color="auto"/>
                <w:left w:val="none" w:sz="0" w:space="0" w:color="auto"/>
                <w:bottom w:val="none" w:sz="0" w:space="0" w:color="auto"/>
                <w:right w:val="none" w:sz="0" w:space="0" w:color="auto"/>
              </w:divBdr>
              <w:divsChild>
                <w:div w:id="26179887">
                  <w:marLeft w:val="0"/>
                  <w:marRight w:val="0"/>
                  <w:marTop w:val="0"/>
                  <w:marBottom w:val="0"/>
                  <w:divBdr>
                    <w:top w:val="none" w:sz="0" w:space="0" w:color="auto"/>
                    <w:left w:val="none" w:sz="0" w:space="0" w:color="auto"/>
                    <w:bottom w:val="none" w:sz="0" w:space="0" w:color="auto"/>
                    <w:right w:val="none" w:sz="0" w:space="0" w:color="auto"/>
                  </w:divBdr>
                  <w:divsChild>
                    <w:div w:id="609359119">
                      <w:marLeft w:val="0"/>
                      <w:marRight w:val="0"/>
                      <w:marTop w:val="0"/>
                      <w:marBottom w:val="0"/>
                      <w:divBdr>
                        <w:top w:val="none" w:sz="0" w:space="0" w:color="auto"/>
                        <w:left w:val="none" w:sz="0" w:space="0" w:color="auto"/>
                        <w:bottom w:val="none" w:sz="0" w:space="0" w:color="auto"/>
                        <w:right w:val="none" w:sz="0" w:space="0" w:color="auto"/>
                      </w:divBdr>
                      <w:divsChild>
                        <w:div w:id="124353422">
                          <w:marLeft w:val="0"/>
                          <w:marRight w:val="0"/>
                          <w:marTop w:val="0"/>
                          <w:marBottom w:val="0"/>
                          <w:divBdr>
                            <w:top w:val="none" w:sz="0" w:space="0" w:color="auto"/>
                            <w:left w:val="none" w:sz="0" w:space="0" w:color="auto"/>
                            <w:bottom w:val="none" w:sz="0" w:space="0" w:color="auto"/>
                            <w:right w:val="none" w:sz="0" w:space="0" w:color="auto"/>
                          </w:divBdr>
                          <w:divsChild>
                            <w:div w:id="6260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428534">
              <w:marLeft w:val="0"/>
              <w:marRight w:val="0"/>
              <w:marTop w:val="0"/>
              <w:marBottom w:val="0"/>
              <w:divBdr>
                <w:top w:val="none" w:sz="0" w:space="0" w:color="auto"/>
                <w:left w:val="none" w:sz="0" w:space="0" w:color="auto"/>
                <w:bottom w:val="none" w:sz="0" w:space="0" w:color="auto"/>
                <w:right w:val="none" w:sz="0" w:space="0" w:color="auto"/>
              </w:divBdr>
              <w:divsChild>
                <w:div w:id="1625429230">
                  <w:marLeft w:val="0"/>
                  <w:marRight w:val="0"/>
                  <w:marTop w:val="0"/>
                  <w:marBottom w:val="0"/>
                  <w:divBdr>
                    <w:top w:val="none" w:sz="0" w:space="0" w:color="auto"/>
                    <w:left w:val="none" w:sz="0" w:space="0" w:color="auto"/>
                    <w:bottom w:val="none" w:sz="0" w:space="0" w:color="auto"/>
                    <w:right w:val="none" w:sz="0" w:space="0" w:color="auto"/>
                  </w:divBdr>
                  <w:divsChild>
                    <w:div w:id="12297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54387">
      <w:bodyDiv w:val="1"/>
      <w:marLeft w:val="0"/>
      <w:marRight w:val="0"/>
      <w:marTop w:val="0"/>
      <w:marBottom w:val="0"/>
      <w:divBdr>
        <w:top w:val="none" w:sz="0" w:space="0" w:color="auto"/>
        <w:left w:val="none" w:sz="0" w:space="0" w:color="auto"/>
        <w:bottom w:val="none" w:sz="0" w:space="0" w:color="auto"/>
        <w:right w:val="none" w:sz="0" w:space="0" w:color="auto"/>
      </w:divBdr>
    </w:div>
    <w:div w:id="575172110">
      <w:bodyDiv w:val="1"/>
      <w:marLeft w:val="0"/>
      <w:marRight w:val="0"/>
      <w:marTop w:val="0"/>
      <w:marBottom w:val="0"/>
      <w:divBdr>
        <w:top w:val="none" w:sz="0" w:space="0" w:color="auto"/>
        <w:left w:val="none" w:sz="0" w:space="0" w:color="auto"/>
        <w:bottom w:val="none" w:sz="0" w:space="0" w:color="auto"/>
        <w:right w:val="none" w:sz="0" w:space="0" w:color="auto"/>
      </w:divBdr>
      <w:divsChild>
        <w:div w:id="1332946978">
          <w:marLeft w:val="0"/>
          <w:marRight w:val="0"/>
          <w:marTop w:val="0"/>
          <w:marBottom w:val="0"/>
          <w:divBdr>
            <w:top w:val="none" w:sz="0" w:space="0" w:color="auto"/>
            <w:left w:val="none" w:sz="0" w:space="0" w:color="auto"/>
            <w:bottom w:val="none" w:sz="0" w:space="0" w:color="auto"/>
            <w:right w:val="none" w:sz="0" w:space="0" w:color="auto"/>
          </w:divBdr>
          <w:divsChild>
            <w:div w:id="1394113286">
              <w:marLeft w:val="0"/>
              <w:marRight w:val="0"/>
              <w:marTop w:val="0"/>
              <w:marBottom w:val="0"/>
              <w:divBdr>
                <w:top w:val="none" w:sz="0" w:space="0" w:color="auto"/>
                <w:left w:val="none" w:sz="0" w:space="0" w:color="auto"/>
                <w:bottom w:val="none" w:sz="0" w:space="0" w:color="auto"/>
                <w:right w:val="none" w:sz="0" w:space="0" w:color="auto"/>
              </w:divBdr>
              <w:divsChild>
                <w:div w:id="1713462434">
                  <w:marLeft w:val="0"/>
                  <w:marRight w:val="0"/>
                  <w:marTop w:val="0"/>
                  <w:marBottom w:val="0"/>
                  <w:divBdr>
                    <w:top w:val="none" w:sz="0" w:space="0" w:color="auto"/>
                    <w:left w:val="none" w:sz="0" w:space="0" w:color="auto"/>
                    <w:bottom w:val="none" w:sz="0" w:space="0" w:color="auto"/>
                    <w:right w:val="none" w:sz="0" w:space="0" w:color="auto"/>
                  </w:divBdr>
                  <w:divsChild>
                    <w:div w:id="188705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136679">
      <w:bodyDiv w:val="1"/>
      <w:marLeft w:val="0"/>
      <w:marRight w:val="0"/>
      <w:marTop w:val="0"/>
      <w:marBottom w:val="0"/>
      <w:divBdr>
        <w:top w:val="none" w:sz="0" w:space="0" w:color="auto"/>
        <w:left w:val="none" w:sz="0" w:space="0" w:color="auto"/>
        <w:bottom w:val="none" w:sz="0" w:space="0" w:color="auto"/>
        <w:right w:val="none" w:sz="0" w:space="0" w:color="auto"/>
      </w:divBdr>
    </w:div>
    <w:div w:id="654650330">
      <w:bodyDiv w:val="1"/>
      <w:marLeft w:val="0"/>
      <w:marRight w:val="0"/>
      <w:marTop w:val="0"/>
      <w:marBottom w:val="0"/>
      <w:divBdr>
        <w:top w:val="none" w:sz="0" w:space="0" w:color="auto"/>
        <w:left w:val="none" w:sz="0" w:space="0" w:color="auto"/>
        <w:bottom w:val="none" w:sz="0" w:space="0" w:color="auto"/>
        <w:right w:val="none" w:sz="0" w:space="0" w:color="auto"/>
      </w:divBdr>
      <w:divsChild>
        <w:div w:id="1059206917">
          <w:marLeft w:val="0"/>
          <w:marRight w:val="0"/>
          <w:marTop w:val="0"/>
          <w:marBottom w:val="0"/>
          <w:divBdr>
            <w:top w:val="none" w:sz="0" w:space="0" w:color="auto"/>
            <w:left w:val="none" w:sz="0" w:space="0" w:color="auto"/>
            <w:bottom w:val="none" w:sz="0" w:space="0" w:color="auto"/>
            <w:right w:val="none" w:sz="0" w:space="0" w:color="auto"/>
          </w:divBdr>
        </w:div>
        <w:div w:id="1577664042">
          <w:marLeft w:val="0"/>
          <w:marRight w:val="0"/>
          <w:marTop w:val="0"/>
          <w:marBottom w:val="0"/>
          <w:divBdr>
            <w:top w:val="none" w:sz="0" w:space="0" w:color="auto"/>
            <w:left w:val="none" w:sz="0" w:space="0" w:color="auto"/>
            <w:bottom w:val="none" w:sz="0" w:space="0" w:color="auto"/>
            <w:right w:val="none" w:sz="0" w:space="0" w:color="auto"/>
          </w:divBdr>
        </w:div>
        <w:div w:id="1919094999">
          <w:marLeft w:val="0"/>
          <w:marRight w:val="0"/>
          <w:marTop w:val="0"/>
          <w:marBottom w:val="0"/>
          <w:divBdr>
            <w:top w:val="none" w:sz="0" w:space="0" w:color="auto"/>
            <w:left w:val="none" w:sz="0" w:space="0" w:color="auto"/>
            <w:bottom w:val="none" w:sz="0" w:space="0" w:color="auto"/>
            <w:right w:val="none" w:sz="0" w:space="0" w:color="auto"/>
          </w:divBdr>
        </w:div>
        <w:div w:id="656765160">
          <w:marLeft w:val="0"/>
          <w:marRight w:val="0"/>
          <w:marTop w:val="0"/>
          <w:marBottom w:val="0"/>
          <w:divBdr>
            <w:top w:val="none" w:sz="0" w:space="0" w:color="auto"/>
            <w:left w:val="none" w:sz="0" w:space="0" w:color="auto"/>
            <w:bottom w:val="none" w:sz="0" w:space="0" w:color="auto"/>
            <w:right w:val="none" w:sz="0" w:space="0" w:color="auto"/>
          </w:divBdr>
        </w:div>
        <w:div w:id="230390477">
          <w:marLeft w:val="0"/>
          <w:marRight w:val="0"/>
          <w:marTop w:val="0"/>
          <w:marBottom w:val="0"/>
          <w:divBdr>
            <w:top w:val="none" w:sz="0" w:space="0" w:color="auto"/>
            <w:left w:val="none" w:sz="0" w:space="0" w:color="auto"/>
            <w:bottom w:val="none" w:sz="0" w:space="0" w:color="auto"/>
            <w:right w:val="none" w:sz="0" w:space="0" w:color="auto"/>
          </w:divBdr>
        </w:div>
        <w:div w:id="980112895">
          <w:marLeft w:val="0"/>
          <w:marRight w:val="0"/>
          <w:marTop w:val="0"/>
          <w:marBottom w:val="0"/>
          <w:divBdr>
            <w:top w:val="none" w:sz="0" w:space="0" w:color="auto"/>
            <w:left w:val="none" w:sz="0" w:space="0" w:color="auto"/>
            <w:bottom w:val="none" w:sz="0" w:space="0" w:color="auto"/>
            <w:right w:val="none" w:sz="0" w:space="0" w:color="auto"/>
          </w:divBdr>
        </w:div>
      </w:divsChild>
    </w:div>
    <w:div w:id="822815790">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900095893">
      <w:bodyDiv w:val="1"/>
      <w:marLeft w:val="0"/>
      <w:marRight w:val="0"/>
      <w:marTop w:val="0"/>
      <w:marBottom w:val="0"/>
      <w:divBdr>
        <w:top w:val="none" w:sz="0" w:space="0" w:color="auto"/>
        <w:left w:val="none" w:sz="0" w:space="0" w:color="auto"/>
        <w:bottom w:val="none" w:sz="0" w:space="0" w:color="auto"/>
        <w:right w:val="none" w:sz="0" w:space="0" w:color="auto"/>
      </w:divBdr>
    </w:div>
    <w:div w:id="1146511723">
      <w:bodyDiv w:val="1"/>
      <w:marLeft w:val="0"/>
      <w:marRight w:val="0"/>
      <w:marTop w:val="0"/>
      <w:marBottom w:val="0"/>
      <w:divBdr>
        <w:top w:val="none" w:sz="0" w:space="0" w:color="auto"/>
        <w:left w:val="none" w:sz="0" w:space="0" w:color="auto"/>
        <w:bottom w:val="none" w:sz="0" w:space="0" w:color="auto"/>
        <w:right w:val="none" w:sz="0" w:space="0" w:color="auto"/>
      </w:divBdr>
      <w:divsChild>
        <w:div w:id="1536770131">
          <w:marLeft w:val="0"/>
          <w:marRight w:val="0"/>
          <w:marTop w:val="0"/>
          <w:marBottom w:val="0"/>
          <w:divBdr>
            <w:top w:val="none" w:sz="0" w:space="0" w:color="auto"/>
            <w:left w:val="none" w:sz="0" w:space="0" w:color="auto"/>
            <w:bottom w:val="none" w:sz="0" w:space="0" w:color="auto"/>
            <w:right w:val="none" w:sz="0" w:space="0" w:color="auto"/>
          </w:divBdr>
          <w:divsChild>
            <w:div w:id="202138117">
              <w:marLeft w:val="0"/>
              <w:marRight w:val="0"/>
              <w:marTop w:val="0"/>
              <w:marBottom w:val="0"/>
              <w:divBdr>
                <w:top w:val="none" w:sz="0" w:space="0" w:color="auto"/>
                <w:left w:val="none" w:sz="0" w:space="0" w:color="auto"/>
                <w:bottom w:val="none" w:sz="0" w:space="0" w:color="auto"/>
                <w:right w:val="none" w:sz="0" w:space="0" w:color="auto"/>
              </w:divBdr>
              <w:divsChild>
                <w:div w:id="237598045">
                  <w:marLeft w:val="0"/>
                  <w:marRight w:val="0"/>
                  <w:marTop w:val="0"/>
                  <w:marBottom w:val="0"/>
                  <w:divBdr>
                    <w:top w:val="none" w:sz="0" w:space="0" w:color="auto"/>
                    <w:left w:val="none" w:sz="0" w:space="0" w:color="auto"/>
                    <w:bottom w:val="none" w:sz="0" w:space="0" w:color="auto"/>
                    <w:right w:val="none" w:sz="0" w:space="0" w:color="auto"/>
                  </w:divBdr>
                  <w:divsChild>
                    <w:div w:id="850334685">
                      <w:marLeft w:val="0"/>
                      <w:marRight w:val="0"/>
                      <w:marTop w:val="0"/>
                      <w:marBottom w:val="0"/>
                      <w:divBdr>
                        <w:top w:val="none" w:sz="0" w:space="0" w:color="auto"/>
                        <w:left w:val="none" w:sz="0" w:space="0" w:color="auto"/>
                        <w:bottom w:val="none" w:sz="0" w:space="0" w:color="auto"/>
                        <w:right w:val="none" w:sz="0" w:space="0" w:color="auto"/>
                      </w:divBdr>
                      <w:divsChild>
                        <w:div w:id="1804688882">
                          <w:marLeft w:val="0"/>
                          <w:marRight w:val="0"/>
                          <w:marTop w:val="0"/>
                          <w:marBottom w:val="0"/>
                          <w:divBdr>
                            <w:top w:val="none" w:sz="0" w:space="0" w:color="auto"/>
                            <w:left w:val="none" w:sz="0" w:space="0" w:color="auto"/>
                            <w:bottom w:val="none" w:sz="0" w:space="0" w:color="auto"/>
                            <w:right w:val="none" w:sz="0" w:space="0" w:color="auto"/>
                          </w:divBdr>
                          <w:divsChild>
                            <w:div w:id="10316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088591">
              <w:marLeft w:val="0"/>
              <w:marRight w:val="0"/>
              <w:marTop w:val="0"/>
              <w:marBottom w:val="0"/>
              <w:divBdr>
                <w:top w:val="none" w:sz="0" w:space="0" w:color="auto"/>
                <w:left w:val="none" w:sz="0" w:space="0" w:color="auto"/>
                <w:bottom w:val="none" w:sz="0" w:space="0" w:color="auto"/>
                <w:right w:val="none" w:sz="0" w:space="0" w:color="auto"/>
              </w:divBdr>
              <w:divsChild>
                <w:div w:id="1538005812">
                  <w:marLeft w:val="0"/>
                  <w:marRight w:val="0"/>
                  <w:marTop w:val="0"/>
                  <w:marBottom w:val="0"/>
                  <w:divBdr>
                    <w:top w:val="none" w:sz="0" w:space="0" w:color="auto"/>
                    <w:left w:val="none" w:sz="0" w:space="0" w:color="auto"/>
                    <w:bottom w:val="none" w:sz="0" w:space="0" w:color="auto"/>
                    <w:right w:val="none" w:sz="0" w:space="0" w:color="auto"/>
                  </w:divBdr>
                  <w:divsChild>
                    <w:div w:id="15573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02127982">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56941203">
      <w:bodyDiv w:val="1"/>
      <w:marLeft w:val="0"/>
      <w:marRight w:val="0"/>
      <w:marTop w:val="0"/>
      <w:marBottom w:val="0"/>
      <w:divBdr>
        <w:top w:val="none" w:sz="0" w:space="0" w:color="auto"/>
        <w:left w:val="none" w:sz="0" w:space="0" w:color="auto"/>
        <w:bottom w:val="none" w:sz="0" w:space="0" w:color="auto"/>
        <w:right w:val="none" w:sz="0" w:space="0" w:color="auto"/>
      </w:divBdr>
    </w:div>
    <w:div w:id="1292830732">
      <w:bodyDiv w:val="1"/>
      <w:marLeft w:val="0"/>
      <w:marRight w:val="0"/>
      <w:marTop w:val="0"/>
      <w:marBottom w:val="0"/>
      <w:divBdr>
        <w:top w:val="none" w:sz="0" w:space="0" w:color="auto"/>
        <w:left w:val="none" w:sz="0" w:space="0" w:color="auto"/>
        <w:bottom w:val="none" w:sz="0" w:space="0" w:color="auto"/>
        <w:right w:val="none" w:sz="0" w:space="0" w:color="auto"/>
      </w:divBdr>
      <w:divsChild>
        <w:div w:id="189689008">
          <w:marLeft w:val="0"/>
          <w:marRight w:val="0"/>
          <w:marTop w:val="0"/>
          <w:marBottom w:val="0"/>
          <w:divBdr>
            <w:top w:val="none" w:sz="0" w:space="0" w:color="auto"/>
            <w:left w:val="none" w:sz="0" w:space="0" w:color="auto"/>
            <w:bottom w:val="none" w:sz="0" w:space="0" w:color="auto"/>
            <w:right w:val="none" w:sz="0" w:space="0" w:color="auto"/>
          </w:divBdr>
          <w:divsChild>
            <w:div w:id="824735202">
              <w:marLeft w:val="0"/>
              <w:marRight w:val="0"/>
              <w:marTop w:val="0"/>
              <w:marBottom w:val="0"/>
              <w:divBdr>
                <w:top w:val="none" w:sz="0" w:space="0" w:color="auto"/>
                <w:left w:val="none" w:sz="0" w:space="0" w:color="auto"/>
                <w:bottom w:val="none" w:sz="0" w:space="0" w:color="auto"/>
                <w:right w:val="none" w:sz="0" w:space="0" w:color="auto"/>
              </w:divBdr>
              <w:divsChild>
                <w:div w:id="497384651">
                  <w:marLeft w:val="0"/>
                  <w:marRight w:val="0"/>
                  <w:marTop w:val="0"/>
                  <w:marBottom w:val="0"/>
                  <w:divBdr>
                    <w:top w:val="none" w:sz="0" w:space="0" w:color="auto"/>
                    <w:left w:val="none" w:sz="0" w:space="0" w:color="auto"/>
                    <w:bottom w:val="none" w:sz="0" w:space="0" w:color="auto"/>
                    <w:right w:val="none" w:sz="0" w:space="0" w:color="auto"/>
                  </w:divBdr>
                  <w:divsChild>
                    <w:div w:id="1832016593">
                      <w:marLeft w:val="0"/>
                      <w:marRight w:val="0"/>
                      <w:marTop w:val="0"/>
                      <w:marBottom w:val="0"/>
                      <w:divBdr>
                        <w:top w:val="none" w:sz="0" w:space="0" w:color="auto"/>
                        <w:left w:val="none" w:sz="0" w:space="0" w:color="auto"/>
                        <w:bottom w:val="none" w:sz="0" w:space="0" w:color="auto"/>
                        <w:right w:val="none" w:sz="0" w:space="0" w:color="auto"/>
                      </w:divBdr>
                      <w:divsChild>
                        <w:div w:id="1844011381">
                          <w:marLeft w:val="0"/>
                          <w:marRight w:val="0"/>
                          <w:marTop w:val="0"/>
                          <w:marBottom w:val="0"/>
                          <w:divBdr>
                            <w:top w:val="none" w:sz="0" w:space="0" w:color="auto"/>
                            <w:left w:val="none" w:sz="0" w:space="0" w:color="auto"/>
                            <w:bottom w:val="none" w:sz="0" w:space="0" w:color="auto"/>
                            <w:right w:val="none" w:sz="0" w:space="0" w:color="auto"/>
                          </w:divBdr>
                          <w:divsChild>
                            <w:div w:id="9736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293731">
              <w:marLeft w:val="0"/>
              <w:marRight w:val="0"/>
              <w:marTop w:val="0"/>
              <w:marBottom w:val="0"/>
              <w:divBdr>
                <w:top w:val="none" w:sz="0" w:space="0" w:color="auto"/>
                <w:left w:val="none" w:sz="0" w:space="0" w:color="auto"/>
                <w:bottom w:val="none" w:sz="0" w:space="0" w:color="auto"/>
                <w:right w:val="none" w:sz="0" w:space="0" w:color="auto"/>
              </w:divBdr>
              <w:divsChild>
                <w:div w:id="1786579855">
                  <w:marLeft w:val="0"/>
                  <w:marRight w:val="0"/>
                  <w:marTop w:val="0"/>
                  <w:marBottom w:val="0"/>
                  <w:divBdr>
                    <w:top w:val="none" w:sz="0" w:space="0" w:color="auto"/>
                    <w:left w:val="none" w:sz="0" w:space="0" w:color="auto"/>
                    <w:bottom w:val="none" w:sz="0" w:space="0" w:color="auto"/>
                    <w:right w:val="none" w:sz="0" w:space="0" w:color="auto"/>
                  </w:divBdr>
                  <w:divsChild>
                    <w:div w:id="5578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529739">
      <w:bodyDiv w:val="1"/>
      <w:marLeft w:val="0"/>
      <w:marRight w:val="0"/>
      <w:marTop w:val="0"/>
      <w:marBottom w:val="0"/>
      <w:divBdr>
        <w:top w:val="none" w:sz="0" w:space="0" w:color="auto"/>
        <w:left w:val="none" w:sz="0" w:space="0" w:color="auto"/>
        <w:bottom w:val="none" w:sz="0" w:space="0" w:color="auto"/>
        <w:right w:val="none" w:sz="0" w:space="0" w:color="auto"/>
      </w:divBdr>
    </w:div>
    <w:div w:id="1352998127">
      <w:bodyDiv w:val="1"/>
      <w:marLeft w:val="0"/>
      <w:marRight w:val="0"/>
      <w:marTop w:val="0"/>
      <w:marBottom w:val="0"/>
      <w:divBdr>
        <w:top w:val="none" w:sz="0" w:space="0" w:color="auto"/>
        <w:left w:val="none" w:sz="0" w:space="0" w:color="auto"/>
        <w:bottom w:val="none" w:sz="0" w:space="0" w:color="auto"/>
        <w:right w:val="none" w:sz="0" w:space="0" w:color="auto"/>
      </w:divBdr>
      <w:divsChild>
        <w:div w:id="591158140">
          <w:marLeft w:val="0"/>
          <w:marRight w:val="0"/>
          <w:marTop w:val="0"/>
          <w:marBottom w:val="0"/>
          <w:divBdr>
            <w:top w:val="none" w:sz="0" w:space="0" w:color="auto"/>
            <w:left w:val="none" w:sz="0" w:space="0" w:color="auto"/>
            <w:bottom w:val="none" w:sz="0" w:space="0" w:color="auto"/>
            <w:right w:val="none" w:sz="0" w:space="0" w:color="auto"/>
          </w:divBdr>
          <w:divsChild>
            <w:div w:id="619727448">
              <w:marLeft w:val="0"/>
              <w:marRight w:val="0"/>
              <w:marTop w:val="0"/>
              <w:marBottom w:val="0"/>
              <w:divBdr>
                <w:top w:val="none" w:sz="0" w:space="0" w:color="auto"/>
                <w:left w:val="none" w:sz="0" w:space="0" w:color="auto"/>
                <w:bottom w:val="none" w:sz="0" w:space="0" w:color="auto"/>
                <w:right w:val="none" w:sz="0" w:space="0" w:color="auto"/>
              </w:divBdr>
              <w:divsChild>
                <w:div w:id="2067607569">
                  <w:marLeft w:val="0"/>
                  <w:marRight w:val="0"/>
                  <w:marTop w:val="0"/>
                  <w:marBottom w:val="0"/>
                  <w:divBdr>
                    <w:top w:val="none" w:sz="0" w:space="0" w:color="auto"/>
                    <w:left w:val="none" w:sz="0" w:space="0" w:color="auto"/>
                    <w:bottom w:val="none" w:sz="0" w:space="0" w:color="auto"/>
                    <w:right w:val="none" w:sz="0" w:space="0" w:color="auto"/>
                  </w:divBdr>
                  <w:divsChild>
                    <w:div w:id="17399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81728">
              <w:marLeft w:val="0"/>
              <w:marRight w:val="0"/>
              <w:marTop w:val="0"/>
              <w:marBottom w:val="0"/>
              <w:divBdr>
                <w:top w:val="none" w:sz="0" w:space="0" w:color="auto"/>
                <w:left w:val="none" w:sz="0" w:space="0" w:color="auto"/>
                <w:bottom w:val="none" w:sz="0" w:space="0" w:color="auto"/>
                <w:right w:val="none" w:sz="0" w:space="0" w:color="auto"/>
              </w:divBdr>
              <w:divsChild>
                <w:div w:id="224609920">
                  <w:marLeft w:val="0"/>
                  <w:marRight w:val="0"/>
                  <w:marTop w:val="0"/>
                  <w:marBottom w:val="0"/>
                  <w:divBdr>
                    <w:top w:val="none" w:sz="0" w:space="0" w:color="auto"/>
                    <w:left w:val="none" w:sz="0" w:space="0" w:color="auto"/>
                    <w:bottom w:val="none" w:sz="0" w:space="0" w:color="auto"/>
                    <w:right w:val="none" w:sz="0" w:space="0" w:color="auto"/>
                  </w:divBdr>
                  <w:divsChild>
                    <w:div w:id="734163890">
                      <w:marLeft w:val="0"/>
                      <w:marRight w:val="0"/>
                      <w:marTop w:val="0"/>
                      <w:marBottom w:val="0"/>
                      <w:divBdr>
                        <w:top w:val="none" w:sz="0" w:space="0" w:color="auto"/>
                        <w:left w:val="none" w:sz="0" w:space="0" w:color="auto"/>
                        <w:bottom w:val="none" w:sz="0" w:space="0" w:color="auto"/>
                        <w:right w:val="none" w:sz="0" w:space="0" w:color="auto"/>
                      </w:divBdr>
                      <w:divsChild>
                        <w:div w:id="1225068770">
                          <w:marLeft w:val="0"/>
                          <w:marRight w:val="0"/>
                          <w:marTop w:val="0"/>
                          <w:marBottom w:val="0"/>
                          <w:divBdr>
                            <w:top w:val="none" w:sz="0" w:space="0" w:color="auto"/>
                            <w:left w:val="none" w:sz="0" w:space="0" w:color="auto"/>
                            <w:bottom w:val="none" w:sz="0" w:space="0" w:color="auto"/>
                            <w:right w:val="none" w:sz="0" w:space="0" w:color="auto"/>
                          </w:divBdr>
                          <w:divsChild>
                            <w:div w:id="159023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451574">
      <w:bodyDiv w:val="1"/>
      <w:marLeft w:val="0"/>
      <w:marRight w:val="0"/>
      <w:marTop w:val="0"/>
      <w:marBottom w:val="0"/>
      <w:divBdr>
        <w:top w:val="none" w:sz="0" w:space="0" w:color="auto"/>
        <w:left w:val="none" w:sz="0" w:space="0" w:color="auto"/>
        <w:bottom w:val="none" w:sz="0" w:space="0" w:color="auto"/>
        <w:right w:val="none" w:sz="0" w:space="0" w:color="auto"/>
      </w:divBdr>
      <w:divsChild>
        <w:div w:id="1544826524">
          <w:marLeft w:val="0"/>
          <w:marRight w:val="0"/>
          <w:marTop w:val="0"/>
          <w:marBottom w:val="0"/>
          <w:divBdr>
            <w:top w:val="none" w:sz="0" w:space="0" w:color="auto"/>
            <w:left w:val="none" w:sz="0" w:space="0" w:color="auto"/>
            <w:bottom w:val="none" w:sz="0" w:space="0" w:color="auto"/>
            <w:right w:val="none" w:sz="0" w:space="0" w:color="auto"/>
          </w:divBdr>
        </w:div>
        <w:div w:id="448938306">
          <w:marLeft w:val="0"/>
          <w:marRight w:val="0"/>
          <w:marTop w:val="0"/>
          <w:marBottom w:val="0"/>
          <w:divBdr>
            <w:top w:val="none" w:sz="0" w:space="0" w:color="auto"/>
            <w:left w:val="none" w:sz="0" w:space="0" w:color="auto"/>
            <w:bottom w:val="none" w:sz="0" w:space="0" w:color="auto"/>
            <w:right w:val="none" w:sz="0" w:space="0" w:color="auto"/>
          </w:divBdr>
        </w:div>
        <w:div w:id="1611816741">
          <w:marLeft w:val="0"/>
          <w:marRight w:val="0"/>
          <w:marTop w:val="0"/>
          <w:marBottom w:val="0"/>
          <w:divBdr>
            <w:top w:val="none" w:sz="0" w:space="0" w:color="auto"/>
            <w:left w:val="none" w:sz="0" w:space="0" w:color="auto"/>
            <w:bottom w:val="none" w:sz="0" w:space="0" w:color="auto"/>
            <w:right w:val="none" w:sz="0" w:space="0" w:color="auto"/>
          </w:divBdr>
        </w:div>
        <w:div w:id="531382145">
          <w:marLeft w:val="0"/>
          <w:marRight w:val="0"/>
          <w:marTop w:val="0"/>
          <w:marBottom w:val="0"/>
          <w:divBdr>
            <w:top w:val="none" w:sz="0" w:space="0" w:color="auto"/>
            <w:left w:val="none" w:sz="0" w:space="0" w:color="auto"/>
            <w:bottom w:val="none" w:sz="0" w:space="0" w:color="auto"/>
            <w:right w:val="none" w:sz="0" w:space="0" w:color="auto"/>
          </w:divBdr>
        </w:div>
        <w:div w:id="1585185782">
          <w:marLeft w:val="0"/>
          <w:marRight w:val="0"/>
          <w:marTop w:val="0"/>
          <w:marBottom w:val="0"/>
          <w:divBdr>
            <w:top w:val="none" w:sz="0" w:space="0" w:color="auto"/>
            <w:left w:val="none" w:sz="0" w:space="0" w:color="auto"/>
            <w:bottom w:val="none" w:sz="0" w:space="0" w:color="auto"/>
            <w:right w:val="none" w:sz="0" w:space="0" w:color="auto"/>
          </w:divBdr>
        </w:div>
        <w:div w:id="34278269">
          <w:marLeft w:val="0"/>
          <w:marRight w:val="0"/>
          <w:marTop w:val="0"/>
          <w:marBottom w:val="0"/>
          <w:divBdr>
            <w:top w:val="none" w:sz="0" w:space="0" w:color="auto"/>
            <w:left w:val="none" w:sz="0" w:space="0" w:color="auto"/>
            <w:bottom w:val="none" w:sz="0" w:space="0" w:color="auto"/>
            <w:right w:val="none" w:sz="0" w:space="0" w:color="auto"/>
          </w:divBdr>
        </w:div>
      </w:divsChild>
    </w:div>
    <w:div w:id="1487092123">
      <w:bodyDiv w:val="1"/>
      <w:marLeft w:val="0"/>
      <w:marRight w:val="0"/>
      <w:marTop w:val="0"/>
      <w:marBottom w:val="0"/>
      <w:divBdr>
        <w:top w:val="none" w:sz="0" w:space="0" w:color="auto"/>
        <w:left w:val="none" w:sz="0" w:space="0" w:color="auto"/>
        <w:bottom w:val="none" w:sz="0" w:space="0" w:color="auto"/>
        <w:right w:val="none" w:sz="0" w:space="0" w:color="auto"/>
      </w:divBdr>
      <w:divsChild>
        <w:div w:id="2323336">
          <w:marLeft w:val="0"/>
          <w:marRight w:val="0"/>
          <w:marTop w:val="0"/>
          <w:marBottom w:val="0"/>
          <w:divBdr>
            <w:top w:val="none" w:sz="0" w:space="0" w:color="auto"/>
            <w:left w:val="none" w:sz="0" w:space="0" w:color="auto"/>
            <w:bottom w:val="none" w:sz="0" w:space="0" w:color="auto"/>
            <w:right w:val="none" w:sz="0" w:space="0" w:color="auto"/>
          </w:divBdr>
          <w:divsChild>
            <w:div w:id="529683675">
              <w:marLeft w:val="0"/>
              <w:marRight w:val="0"/>
              <w:marTop w:val="0"/>
              <w:marBottom w:val="0"/>
              <w:divBdr>
                <w:top w:val="none" w:sz="0" w:space="0" w:color="auto"/>
                <w:left w:val="none" w:sz="0" w:space="0" w:color="auto"/>
                <w:bottom w:val="none" w:sz="0" w:space="0" w:color="auto"/>
                <w:right w:val="none" w:sz="0" w:space="0" w:color="auto"/>
              </w:divBdr>
              <w:divsChild>
                <w:div w:id="271941044">
                  <w:marLeft w:val="0"/>
                  <w:marRight w:val="0"/>
                  <w:marTop w:val="0"/>
                  <w:marBottom w:val="0"/>
                  <w:divBdr>
                    <w:top w:val="none" w:sz="0" w:space="0" w:color="auto"/>
                    <w:left w:val="none" w:sz="0" w:space="0" w:color="auto"/>
                    <w:bottom w:val="none" w:sz="0" w:space="0" w:color="auto"/>
                    <w:right w:val="none" w:sz="0" w:space="0" w:color="auto"/>
                  </w:divBdr>
                  <w:divsChild>
                    <w:div w:id="480007358">
                      <w:marLeft w:val="0"/>
                      <w:marRight w:val="0"/>
                      <w:marTop w:val="0"/>
                      <w:marBottom w:val="0"/>
                      <w:divBdr>
                        <w:top w:val="none" w:sz="0" w:space="0" w:color="auto"/>
                        <w:left w:val="none" w:sz="0" w:space="0" w:color="auto"/>
                        <w:bottom w:val="none" w:sz="0" w:space="0" w:color="auto"/>
                        <w:right w:val="none" w:sz="0" w:space="0" w:color="auto"/>
                      </w:divBdr>
                      <w:divsChild>
                        <w:div w:id="163476839">
                          <w:marLeft w:val="0"/>
                          <w:marRight w:val="0"/>
                          <w:marTop w:val="0"/>
                          <w:marBottom w:val="0"/>
                          <w:divBdr>
                            <w:top w:val="none" w:sz="0" w:space="0" w:color="auto"/>
                            <w:left w:val="none" w:sz="0" w:space="0" w:color="auto"/>
                            <w:bottom w:val="none" w:sz="0" w:space="0" w:color="auto"/>
                            <w:right w:val="none" w:sz="0" w:space="0" w:color="auto"/>
                          </w:divBdr>
                          <w:divsChild>
                            <w:div w:id="29552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36877">
              <w:marLeft w:val="0"/>
              <w:marRight w:val="0"/>
              <w:marTop w:val="0"/>
              <w:marBottom w:val="0"/>
              <w:divBdr>
                <w:top w:val="none" w:sz="0" w:space="0" w:color="auto"/>
                <w:left w:val="none" w:sz="0" w:space="0" w:color="auto"/>
                <w:bottom w:val="none" w:sz="0" w:space="0" w:color="auto"/>
                <w:right w:val="none" w:sz="0" w:space="0" w:color="auto"/>
              </w:divBdr>
              <w:divsChild>
                <w:div w:id="1452279745">
                  <w:marLeft w:val="0"/>
                  <w:marRight w:val="0"/>
                  <w:marTop w:val="0"/>
                  <w:marBottom w:val="0"/>
                  <w:divBdr>
                    <w:top w:val="none" w:sz="0" w:space="0" w:color="auto"/>
                    <w:left w:val="none" w:sz="0" w:space="0" w:color="auto"/>
                    <w:bottom w:val="none" w:sz="0" w:space="0" w:color="auto"/>
                    <w:right w:val="none" w:sz="0" w:space="0" w:color="auto"/>
                  </w:divBdr>
                  <w:divsChild>
                    <w:div w:id="188123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755132">
      <w:bodyDiv w:val="1"/>
      <w:marLeft w:val="0"/>
      <w:marRight w:val="0"/>
      <w:marTop w:val="0"/>
      <w:marBottom w:val="0"/>
      <w:divBdr>
        <w:top w:val="none" w:sz="0" w:space="0" w:color="auto"/>
        <w:left w:val="none" w:sz="0" w:space="0" w:color="auto"/>
        <w:bottom w:val="none" w:sz="0" w:space="0" w:color="auto"/>
        <w:right w:val="none" w:sz="0" w:space="0" w:color="auto"/>
      </w:divBdr>
      <w:divsChild>
        <w:div w:id="594823162">
          <w:marLeft w:val="0"/>
          <w:marRight w:val="0"/>
          <w:marTop w:val="0"/>
          <w:marBottom w:val="0"/>
          <w:divBdr>
            <w:top w:val="none" w:sz="0" w:space="0" w:color="auto"/>
            <w:left w:val="none" w:sz="0" w:space="0" w:color="auto"/>
            <w:bottom w:val="none" w:sz="0" w:space="0" w:color="auto"/>
            <w:right w:val="none" w:sz="0" w:space="0" w:color="auto"/>
          </w:divBdr>
          <w:divsChild>
            <w:div w:id="672338159">
              <w:marLeft w:val="0"/>
              <w:marRight w:val="0"/>
              <w:marTop w:val="0"/>
              <w:marBottom w:val="0"/>
              <w:divBdr>
                <w:top w:val="none" w:sz="0" w:space="0" w:color="auto"/>
                <w:left w:val="none" w:sz="0" w:space="0" w:color="auto"/>
                <w:bottom w:val="none" w:sz="0" w:space="0" w:color="auto"/>
                <w:right w:val="none" w:sz="0" w:space="0" w:color="auto"/>
              </w:divBdr>
              <w:divsChild>
                <w:div w:id="464278518">
                  <w:marLeft w:val="0"/>
                  <w:marRight w:val="0"/>
                  <w:marTop w:val="0"/>
                  <w:marBottom w:val="0"/>
                  <w:divBdr>
                    <w:top w:val="none" w:sz="0" w:space="0" w:color="auto"/>
                    <w:left w:val="none" w:sz="0" w:space="0" w:color="auto"/>
                    <w:bottom w:val="none" w:sz="0" w:space="0" w:color="auto"/>
                    <w:right w:val="none" w:sz="0" w:space="0" w:color="auto"/>
                  </w:divBdr>
                  <w:divsChild>
                    <w:div w:id="75366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398107">
              <w:marLeft w:val="0"/>
              <w:marRight w:val="0"/>
              <w:marTop w:val="0"/>
              <w:marBottom w:val="0"/>
              <w:divBdr>
                <w:top w:val="none" w:sz="0" w:space="0" w:color="auto"/>
                <w:left w:val="none" w:sz="0" w:space="0" w:color="auto"/>
                <w:bottom w:val="none" w:sz="0" w:space="0" w:color="auto"/>
                <w:right w:val="none" w:sz="0" w:space="0" w:color="auto"/>
              </w:divBdr>
              <w:divsChild>
                <w:div w:id="625236511">
                  <w:marLeft w:val="0"/>
                  <w:marRight w:val="0"/>
                  <w:marTop w:val="0"/>
                  <w:marBottom w:val="0"/>
                  <w:divBdr>
                    <w:top w:val="none" w:sz="0" w:space="0" w:color="auto"/>
                    <w:left w:val="none" w:sz="0" w:space="0" w:color="auto"/>
                    <w:bottom w:val="none" w:sz="0" w:space="0" w:color="auto"/>
                    <w:right w:val="none" w:sz="0" w:space="0" w:color="auto"/>
                  </w:divBdr>
                  <w:divsChild>
                    <w:div w:id="1545943592">
                      <w:marLeft w:val="0"/>
                      <w:marRight w:val="0"/>
                      <w:marTop w:val="0"/>
                      <w:marBottom w:val="0"/>
                      <w:divBdr>
                        <w:top w:val="none" w:sz="0" w:space="0" w:color="auto"/>
                        <w:left w:val="none" w:sz="0" w:space="0" w:color="auto"/>
                        <w:bottom w:val="none" w:sz="0" w:space="0" w:color="auto"/>
                        <w:right w:val="none" w:sz="0" w:space="0" w:color="auto"/>
                      </w:divBdr>
                      <w:divsChild>
                        <w:div w:id="2096391721">
                          <w:marLeft w:val="0"/>
                          <w:marRight w:val="0"/>
                          <w:marTop w:val="0"/>
                          <w:marBottom w:val="0"/>
                          <w:divBdr>
                            <w:top w:val="none" w:sz="0" w:space="0" w:color="auto"/>
                            <w:left w:val="none" w:sz="0" w:space="0" w:color="auto"/>
                            <w:bottom w:val="none" w:sz="0" w:space="0" w:color="auto"/>
                            <w:right w:val="none" w:sz="0" w:space="0" w:color="auto"/>
                          </w:divBdr>
                          <w:divsChild>
                            <w:div w:id="20783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081393">
      <w:bodyDiv w:val="1"/>
      <w:marLeft w:val="0"/>
      <w:marRight w:val="0"/>
      <w:marTop w:val="0"/>
      <w:marBottom w:val="0"/>
      <w:divBdr>
        <w:top w:val="none" w:sz="0" w:space="0" w:color="auto"/>
        <w:left w:val="none" w:sz="0" w:space="0" w:color="auto"/>
        <w:bottom w:val="none" w:sz="0" w:space="0" w:color="auto"/>
        <w:right w:val="none" w:sz="0" w:space="0" w:color="auto"/>
      </w:divBdr>
    </w:div>
    <w:div w:id="1622569152">
      <w:bodyDiv w:val="1"/>
      <w:marLeft w:val="0"/>
      <w:marRight w:val="0"/>
      <w:marTop w:val="0"/>
      <w:marBottom w:val="0"/>
      <w:divBdr>
        <w:top w:val="none" w:sz="0" w:space="0" w:color="auto"/>
        <w:left w:val="none" w:sz="0" w:space="0" w:color="auto"/>
        <w:bottom w:val="none" w:sz="0" w:space="0" w:color="auto"/>
        <w:right w:val="none" w:sz="0" w:space="0" w:color="auto"/>
      </w:divBdr>
    </w:div>
    <w:div w:id="1740440215">
      <w:bodyDiv w:val="1"/>
      <w:marLeft w:val="0"/>
      <w:marRight w:val="0"/>
      <w:marTop w:val="0"/>
      <w:marBottom w:val="0"/>
      <w:divBdr>
        <w:top w:val="none" w:sz="0" w:space="0" w:color="auto"/>
        <w:left w:val="none" w:sz="0" w:space="0" w:color="auto"/>
        <w:bottom w:val="none" w:sz="0" w:space="0" w:color="auto"/>
        <w:right w:val="none" w:sz="0" w:space="0" w:color="auto"/>
      </w:divBdr>
    </w:div>
    <w:div w:id="1796874513">
      <w:bodyDiv w:val="1"/>
      <w:marLeft w:val="0"/>
      <w:marRight w:val="0"/>
      <w:marTop w:val="0"/>
      <w:marBottom w:val="0"/>
      <w:divBdr>
        <w:top w:val="none" w:sz="0" w:space="0" w:color="auto"/>
        <w:left w:val="none" w:sz="0" w:space="0" w:color="auto"/>
        <w:bottom w:val="none" w:sz="0" w:space="0" w:color="auto"/>
        <w:right w:val="none" w:sz="0" w:space="0" w:color="auto"/>
      </w:divBdr>
    </w:div>
    <w:div w:id="1821770801">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tgldcdp-tg-org-au.ezproxy.library.sydney.edu.au/viewTopic?etgAccess=true&amp;guidelinePage=Antibiotic&amp;topicfile=bartonella-infections&amp;guidelinename=auto&amp;sectionId=r_abg16-c21-ref1" TargetMode="External"/><Relationship Id="rId1" Type="http://schemas.openxmlformats.org/officeDocument/2006/relationships/hyperlink" Target="https://bnf.n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customXml/itemProps2.xml><?xml version="1.0" encoding="utf-8"?>
<ds:datastoreItem xmlns:ds="http://schemas.openxmlformats.org/officeDocument/2006/customXml" ds:itemID="{48408E6C-42E5-4685-9CC4-EFAE25BCD856}"/>
</file>

<file path=customXml/itemProps3.xml><?xml version="1.0" encoding="utf-8"?>
<ds:datastoreItem xmlns:ds="http://schemas.openxmlformats.org/officeDocument/2006/customXml" ds:itemID="{746B8E81-8FAB-4A58-B63D-21E04AEDC701}"/>
</file>

<file path=customXml/itemProps4.xml><?xml version="1.0" encoding="utf-8"?>
<ds:datastoreItem xmlns:ds="http://schemas.openxmlformats.org/officeDocument/2006/customXml" ds:itemID="{3D8FBB3F-9A3B-4981-9952-348990BA1972}"/>
</file>

<file path=docProps/app.xml><?xml version="1.0" encoding="utf-8"?>
<Properties xmlns="http://schemas.openxmlformats.org/officeDocument/2006/extended-properties" xmlns:vt="http://schemas.openxmlformats.org/officeDocument/2006/docPropsVTypes">
  <Template>Normal.dotm</Template>
  <TotalTime>0</TotalTime>
  <Pages>34</Pages>
  <Words>13735</Words>
  <Characters>78292</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91844</CharactersWithSpaces>
  <SharedDoc>false</SharedDoc>
  <HLinks>
    <vt:vector size="12" baseType="variant">
      <vt:variant>
        <vt:i4>5111900</vt:i4>
      </vt:variant>
      <vt:variant>
        <vt:i4>3</vt:i4>
      </vt:variant>
      <vt:variant>
        <vt:i4>0</vt:i4>
      </vt:variant>
      <vt:variant>
        <vt:i4>5</vt:i4>
      </vt:variant>
      <vt:variant>
        <vt:lpwstr>https://tgldcdp-tg-org-au.ezproxy.library.sydney.edu.au/viewTopic?etgAccess=true&amp;guidelinePage=Antibiotic&amp;topicfile=bartonella-infections&amp;guidelinename=auto&amp;sectionId=r_abg16-c21-ref1</vt:lpwstr>
      </vt:variant>
      <vt:variant>
        <vt:lpwstr>r_abg16-c21-ref1</vt:lpwstr>
      </vt:variant>
      <vt:variant>
        <vt:i4>983120</vt:i4>
      </vt:variant>
      <vt:variant>
        <vt:i4>0</vt:i4>
      </vt:variant>
      <vt:variant>
        <vt:i4>0</vt:i4>
      </vt:variant>
      <vt:variant>
        <vt:i4>5</vt:i4>
      </vt:variant>
      <vt:variant>
        <vt:lpwstr>https://bnf.nice.org.uk/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2025-03-03T02:46:00Z</dcterms:created>
  <dcterms:modified xsi:type="dcterms:W3CDTF">2025-03-03T02:46:00Z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0x0101007FED174C5281F747A8037A05221D6DBD</vt:lpwstr>
  </property>
</Properties>
</file>