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580C" w14:textId="77777777" w:rsidR="0042496B" w:rsidRPr="0042496B" w:rsidRDefault="0042496B" w:rsidP="0042496B">
      <w:pPr>
        <w:rPr>
          <w:color w:val="FF0000"/>
        </w:rPr>
      </w:pPr>
      <w:bookmarkStart w:id="0" w:name="_Toc177559100"/>
      <w:r w:rsidRPr="0042496B">
        <w:rPr>
          <w:color w:val="FF0000"/>
        </w:rPr>
        <w:t>Changes have been made to this item. Details of the corrigendum are at the end of this</w:t>
      </w:r>
    </w:p>
    <w:p w14:paraId="6DABC7FD" w14:textId="0D20894C" w:rsidR="000651F4" w:rsidRPr="0042496B" w:rsidRDefault="0042496B" w:rsidP="0042496B">
      <w:pPr>
        <w:rPr>
          <w:color w:val="FF0000"/>
        </w:rPr>
      </w:pPr>
      <w:r w:rsidRPr="0042496B">
        <w:rPr>
          <w:color w:val="FF0000"/>
        </w:rPr>
        <w:t>document.</w:t>
      </w:r>
    </w:p>
    <w:p w14:paraId="23A9EB50" w14:textId="5B2676E3" w:rsidR="004E1A6E" w:rsidRPr="00B942CB" w:rsidRDefault="002E7D29" w:rsidP="004E1A6E">
      <w:pPr>
        <w:pStyle w:val="1-MainHeading"/>
        <w:rPr>
          <w:rFonts w:ascii="Calibri" w:eastAsia="Times New Roman" w:hAnsi="Calibri" w:cs="Arial"/>
          <w:b w:val="0"/>
          <w:spacing w:val="0"/>
          <w:kern w:val="0"/>
          <w:sz w:val="24"/>
          <w:szCs w:val="24"/>
        </w:rPr>
      </w:pPr>
      <w:r>
        <w:t>5</w:t>
      </w:r>
      <w:r w:rsidR="00433044" w:rsidRPr="0098262F">
        <w:t>.</w:t>
      </w:r>
      <w:r>
        <w:t>16</w:t>
      </w:r>
      <w:r w:rsidR="00163F66" w:rsidRPr="0098262F">
        <w:tab/>
      </w:r>
      <w:r w:rsidR="004E1A6E">
        <w:t>PALOVAROTENE</w:t>
      </w:r>
      <w:r w:rsidR="00163F66" w:rsidRPr="0098262F">
        <w:br/>
      </w:r>
      <w:r w:rsidR="004E1A6E">
        <w:t>Capsule 1 mg</w:t>
      </w:r>
      <w:r w:rsidR="00EE2BF4">
        <w:t>,</w:t>
      </w:r>
      <w:r w:rsidR="004E1A6E">
        <w:br/>
        <w:t>Capsule 1.5 mg</w:t>
      </w:r>
      <w:r w:rsidR="00163F66" w:rsidRPr="0098262F">
        <w:t>,</w:t>
      </w:r>
      <w:r w:rsidR="004E1A6E">
        <w:br/>
        <w:t>Capsule 2.5 mg</w:t>
      </w:r>
      <w:r w:rsidR="00EE2BF4">
        <w:t>,</w:t>
      </w:r>
      <w:r w:rsidR="004E1A6E">
        <w:br/>
        <w:t>Capsule 5 mg,</w:t>
      </w:r>
      <w:r w:rsidR="004E1A6E">
        <w:br/>
        <w:t>Capsule 10 mg,</w:t>
      </w:r>
      <w:r w:rsidR="00163F66" w:rsidRPr="0098262F">
        <w:br/>
      </w:r>
      <w:r w:rsidR="004E1A6E">
        <w:t>Sohonos</w:t>
      </w:r>
      <w:r w:rsidR="00B60939" w:rsidRPr="0098262F">
        <w:rPr>
          <w:vertAlign w:val="superscript"/>
        </w:rPr>
        <w:t>®</w:t>
      </w:r>
      <w:r w:rsidR="004A6040" w:rsidRPr="0098262F">
        <w:t>,</w:t>
      </w:r>
      <w:r w:rsidR="004A6040" w:rsidRPr="0098262F">
        <w:br/>
      </w:r>
      <w:r w:rsidR="004E1A6E">
        <w:t xml:space="preserve">IPSEN PTY </w:t>
      </w:r>
      <w:r w:rsidR="004E1A6E" w:rsidRPr="00B942CB">
        <w:t>LTD</w:t>
      </w:r>
      <w:r w:rsidR="00B60939" w:rsidRPr="00B942CB">
        <w:t>.</w:t>
      </w:r>
      <w:bookmarkEnd w:id="0"/>
      <w:r w:rsidR="00F73E08" w:rsidRPr="00B942CB">
        <w:t xml:space="preserve"> </w:t>
      </w:r>
    </w:p>
    <w:p w14:paraId="11C00795" w14:textId="3DFB6D23" w:rsidR="00B50DB8" w:rsidRPr="0098262F" w:rsidRDefault="00B50DB8" w:rsidP="004A6040">
      <w:pPr>
        <w:pStyle w:val="2-SectionHeading"/>
      </w:pPr>
      <w:bookmarkStart w:id="1" w:name="_Toc177559102"/>
      <w:r w:rsidRPr="0098262F">
        <w:t xml:space="preserve">Purpose of </w:t>
      </w:r>
      <w:r w:rsidR="00CD7193" w:rsidRPr="0098262F">
        <w:t>s</w:t>
      </w:r>
      <w:r w:rsidR="00BB3A45" w:rsidRPr="0098262F">
        <w:t>ubmission</w:t>
      </w:r>
      <w:bookmarkEnd w:id="1"/>
    </w:p>
    <w:p w14:paraId="19414AA1" w14:textId="1546421E" w:rsidR="002C2775" w:rsidRPr="0098262F" w:rsidRDefault="007170DA" w:rsidP="004E1A6E">
      <w:pPr>
        <w:pStyle w:val="3-BodyText"/>
      </w:pPr>
      <w:r w:rsidRPr="0098262F">
        <w:t xml:space="preserve">The </w:t>
      </w:r>
      <w:r w:rsidR="004E1A6E">
        <w:t>Category 1</w:t>
      </w:r>
      <w:r w:rsidR="003C7C15" w:rsidRPr="0098262F">
        <w:t xml:space="preserve"> </w:t>
      </w:r>
      <w:r w:rsidRPr="0098262F">
        <w:t xml:space="preserve">submission requested </w:t>
      </w:r>
      <w:r w:rsidR="004E1A6E">
        <w:t xml:space="preserve">a General Schedule Authority Required (Written) listing for chronic treatment of </w:t>
      </w:r>
      <w:r w:rsidR="00B942CB" w:rsidRPr="00B942CB">
        <w:t xml:space="preserve">Fibrodysplasia ossificans progressiva </w:t>
      </w:r>
      <w:r w:rsidR="00B942CB">
        <w:t>(</w:t>
      </w:r>
      <w:r w:rsidR="004E1A6E">
        <w:t>FOP</w:t>
      </w:r>
      <w:r w:rsidR="00B942CB">
        <w:t>)</w:t>
      </w:r>
      <w:r w:rsidR="004E1A6E">
        <w:t xml:space="preserve"> and an Authority Required (STREAMLINED) listing for flare-up treatment of FOP.</w:t>
      </w:r>
    </w:p>
    <w:p w14:paraId="4E9FBCB5" w14:textId="2901368C" w:rsidR="00C2778B" w:rsidRPr="00FE687C" w:rsidRDefault="005750C5" w:rsidP="004E18E9">
      <w:pPr>
        <w:pStyle w:val="3-BodyText"/>
      </w:pPr>
      <w:r w:rsidRPr="0098262F">
        <w:t xml:space="preserve">Listing was requested on the basis of a </w:t>
      </w:r>
      <w:r w:rsidR="004E1A6E">
        <w:t>cost-utility analysis versus standard of care (SoC).</w:t>
      </w:r>
      <w:r w:rsidR="00372A61" w:rsidRPr="00372A61">
        <w:rPr>
          <w:color w:val="0066FF"/>
        </w:rPr>
        <w:t xml:space="preserve"> </w:t>
      </w:r>
    </w:p>
    <w:p w14:paraId="74A79081" w14:textId="59A264AA" w:rsidR="00FE687C" w:rsidRPr="00374460" w:rsidRDefault="00FE687C" w:rsidP="00FB3692">
      <w:pPr>
        <w:pStyle w:val="3-BodyText"/>
      </w:pPr>
      <w:r w:rsidRPr="00E21EB5">
        <w:t xml:space="preserve">The submission made a claim of palovarotene for the rule of rescue. </w:t>
      </w:r>
    </w:p>
    <w:p w14:paraId="3718DE61" w14:textId="6055EF3B" w:rsidR="008B1757" w:rsidRPr="0098262F" w:rsidRDefault="00696EF9" w:rsidP="004A6040">
      <w:pPr>
        <w:pStyle w:val="TableFigureHeading"/>
        <w:rPr>
          <w:rStyle w:val="CommentReference"/>
          <w:b/>
          <w:szCs w:val="24"/>
        </w:rPr>
      </w:pPr>
      <w:r w:rsidRPr="0098262F">
        <w:t xml:space="preserve">Table </w:t>
      </w:r>
      <w:r w:rsidR="002A4328">
        <w:fldChar w:fldCharType="begin" w:fldLock="1"/>
      </w:r>
      <w:r w:rsidR="002A4328">
        <w:instrText xml:space="preserve"> SEQ Table \* ARABIC </w:instrText>
      </w:r>
      <w:r w:rsidR="002A4328">
        <w:fldChar w:fldCharType="separate"/>
      </w:r>
      <w:r w:rsidR="0043347F">
        <w:rPr>
          <w:noProof/>
        </w:rPr>
        <w:t>1</w:t>
      </w:r>
      <w:r w:rsidR="002A4328">
        <w:rPr>
          <w:noProof/>
        </w:rPr>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721"/>
      </w:tblGrid>
      <w:tr w:rsidR="004E1A6E" w:rsidRPr="00F92243" w14:paraId="5446088F" w14:textId="77777777" w:rsidTr="005D6917">
        <w:tc>
          <w:tcPr>
            <w:tcW w:w="1435" w:type="dxa"/>
            <w:vAlign w:val="center"/>
          </w:tcPr>
          <w:p w14:paraId="3F354066" w14:textId="77777777" w:rsidR="004E1A6E" w:rsidRPr="00F92243" w:rsidRDefault="004E1A6E" w:rsidP="00374460">
            <w:pPr>
              <w:pStyle w:val="In-tableHeading"/>
            </w:pPr>
            <w:r w:rsidRPr="00F92243">
              <w:t>Component</w:t>
            </w:r>
          </w:p>
        </w:tc>
        <w:tc>
          <w:tcPr>
            <w:tcW w:w="7721" w:type="dxa"/>
            <w:vAlign w:val="center"/>
          </w:tcPr>
          <w:p w14:paraId="78F46EA8" w14:textId="77777777" w:rsidR="004E1A6E" w:rsidRPr="00F92243" w:rsidRDefault="004E1A6E" w:rsidP="00374460">
            <w:pPr>
              <w:pStyle w:val="In-tableHeading"/>
            </w:pPr>
            <w:r w:rsidRPr="00F92243">
              <w:t>Description</w:t>
            </w:r>
          </w:p>
        </w:tc>
      </w:tr>
      <w:tr w:rsidR="004E1A6E" w:rsidRPr="00F92243" w14:paraId="79ADAD7A" w14:textId="77777777" w:rsidTr="005D6917">
        <w:tc>
          <w:tcPr>
            <w:tcW w:w="1435" w:type="dxa"/>
            <w:vAlign w:val="center"/>
          </w:tcPr>
          <w:p w14:paraId="1DC33496" w14:textId="77777777" w:rsidR="004E1A6E" w:rsidRPr="00F92243" w:rsidRDefault="004E1A6E" w:rsidP="00A8482B">
            <w:pPr>
              <w:pStyle w:val="TableText0"/>
              <w:jc w:val="left"/>
            </w:pPr>
            <w:r w:rsidRPr="00F92243">
              <w:t>Population</w:t>
            </w:r>
          </w:p>
        </w:tc>
        <w:tc>
          <w:tcPr>
            <w:tcW w:w="7721" w:type="dxa"/>
            <w:vAlign w:val="center"/>
          </w:tcPr>
          <w:p w14:paraId="64C521C7" w14:textId="0D3F847F" w:rsidR="004E1A6E" w:rsidRPr="00F92243" w:rsidRDefault="004E1A6E" w:rsidP="00374460">
            <w:pPr>
              <w:pStyle w:val="TableText0"/>
              <w:jc w:val="left"/>
            </w:pPr>
            <w:r w:rsidRPr="00F92243">
              <w:t>Patients with FOP aged ≥</w:t>
            </w:r>
            <w:r w:rsidR="00DE625F">
              <w:t>8</w:t>
            </w:r>
            <w:r w:rsidRPr="00F92243">
              <w:t xml:space="preserve"> years for females and ≥10 years for males</w:t>
            </w:r>
          </w:p>
        </w:tc>
      </w:tr>
      <w:tr w:rsidR="004E1A6E" w:rsidRPr="00F92243" w14:paraId="70EDB8BB" w14:textId="77777777" w:rsidTr="005D6917">
        <w:tc>
          <w:tcPr>
            <w:tcW w:w="1435" w:type="dxa"/>
            <w:vAlign w:val="center"/>
          </w:tcPr>
          <w:p w14:paraId="16E50786" w14:textId="77777777" w:rsidR="004E1A6E" w:rsidRPr="00F92243" w:rsidRDefault="004E1A6E" w:rsidP="00A8482B">
            <w:pPr>
              <w:pStyle w:val="TableText0"/>
              <w:jc w:val="left"/>
            </w:pPr>
            <w:r w:rsidRPr="00F92243">
              <w:t>Intervention</w:t>
            </w:r>
          </w:p>
        </w:tc>
        <w:tc>
          <w:tcPr>
            <w:tcW w:w="7721" w:type="dxa"/>
            <w:vAlign w:val="center"/>
          </w:tcPr>
          <w:p w14:paraId="6B5E703A" w14:textId="77777777" w:rsidR="004E1A6E" w:rsidRPr="00F92243" w:rsidRDefault="004E1A6E" w:rsidP="00374460">
            <w:pPr>
              <w:pStyle w:val="TableText0"/>
              <w:jc w:val="left"/>
            </w:pPr>
            <w:r w:rsidRPr="00F92243">
              <w:t>PVO: presented as a hard capsule for oral administration and comprises a chronic treatment regimen which can be adjusted in the event of flare-up symptoms (i.e., flare-up treatment)</w:t>
            </w:r>
          </w:p>
          <w:p w14:paraId="21044507" w14:textId="607FA9C6" w:rsidR="004E1A6E" w:rsidRPr="00F92243" w:rsidRDefault="004E1A6E" w:rsidP="00B46A90">
            <w:pPr>
              <w:pStyle w:val="TableText0"/>
              <w:numPr>
                <w:ilvl w:val="0"/>
                <w:numId w:val="7"/>
              </w:numPr>
              <w:ind w:left="201" w:hanging="201"/>
              <w:jc w:val="left"/>
            </w:pPr>
            <w:r w:rsidRPr="00F92243">
              <w:t>Chronic treatment: 5 mg once daily for patients ≥14 years. Weight-adjusted for children &lt;14 years</w:t>
            </w:r>
          </w:p>
          <w:p w14:paraId="3BD8DCDC" w14:textId="78E592A5" w:rsidR="004E1A6E" w:rsidRPr="00F92243" w:rsidRDefault="004E1A6E" w:rsidP="00B46A90">
            <w:pPr>
              <w:pStyle w:val="TableText0"/>
              <w:numPr>
                <w:ilvl w:val="0"/>
                <w:numId w:val="7"/>
              </w:numPr>
              <w:ind w:left="201" w:hanging="201"/>
              <w:jc w:val="left"/>
            </w:pPr>
            <w:r w:rsidRPr="00F92243">
              <w:t>Flare-up treatment: 20 mg once daily for 4 weeks, followed by 10 mg once daily for 8 weeks, even if symptoms resolve, for patients ≥14 years. Weight-adjusted for children &lt;14 years.</w:t>
            </w:r>
          </w:p>
          <w:p w14:paraId="099DAA0F" w14:textId="514FECC6" w:rsidR="004E1A6E" w:rsidRDefault="004E1A6E" w:rsidP="00B46A90">
            <w:pPr>
              <w:pStyle w:val="TableText0"/>
              <w:numPr>
                <w:ilvl w:val="0"/>
                <w:numId w:val="14"/>
              </w:numPr>
              <w:ind w:left="484" w:hanging="283"/>
              <w:jc w:val="left"/>
            </w:pPr>
            <w:r w:rsidRPr="00F92243">
              <w:t xml:space="preserve">Treatment may be extended in 4-week intervals until the flare-up symptoms resolve. </w:t>
            </w:r>
          </w:p>
          <w:p w14:paraId="0091B587" w14:textId="77777777" w:rsidR="004E1A6E" w:rsidRPr="00F92243" w:rsidRDefault="004E1A6E" w:rsidP="00B46A90">
            <w:pPr>
              <w:pStyle w:val="TableText0"/>
              <w:numPr>
                <w:ilvl w:val="0"/>
                <w:numId w:val="14"/>
              </w:numPr>
              <w:ind w:left="484" w:hanging="283"/>
              <w:jc w:val="left"/>
            </w:pPr>
            <w:r w:rsidRPr="00F92243">
              <w:t>Treatment restarted (i.e., 12-week regimen) if the patient experiences another flare-up during flare-up treatment.</w:t>
            </w:r>
          </w:p>
        </w:tc>
      </w:tr>
      <w:tr w:rsidR="004E1A6E" w:rsidRPr="00F92243" w14:paraId="39F2E66D" w14:textId="77777777" w:rsidTr="005D6917">
        <w:tc>
          <w:tcPr>
            <w:tcW w:w="1435" w:type="dxa"/>
            <w:vAlign w:val="center"/>
          </w:tcPr>
          <w:p w14:paraId="6AD4E314" w14:textId="77777777" w:rsidR="004E1A6E" w:rsidRPr="00F92243" w:rsidRDefault="004E1A6E" w:rsidP="00A8482B">
            <w:pPr>
              <w:pStyle w:val="TableText0"/>
              <w:jc w:val="left"/>
            </w:pPr>
            <w:r w:rsidRPr="00F92243">
              <w:t>Comparator</w:t>
            </w:r>
          </w:p>
        </w:tc>
        <w:tc>
          <w:tcPr>
            <w:tcW w:w="7721" w:type="dxa"/>
            <w:vAlign w:val="center"/>
          </w:tcPr>
          <w:p w14:paraId="04187952" w14:textId="77777777" w:rsidR="004E1A6E" w:rsidRPr="00F92243" w:rsidRDefault="004E1A6E" w:rsidP="00374460">
            <w:pPr>
              <w:pStyle w:val="TableText0"/>
              <w:jc w:val="left"/>
            </w:pPr>
            <w:r w:rsidRPr="00F92243">
              <w:t>SoC comprising symptomatic treatment of flare-ups</w:t>
            </w:r>
          </w:p>
        </w:tc>
      </w:tr>
      <w:tr w:rsidR="004E1A6E" w:rsidRPr="00F92243" w14:paraId="1A2396E5" w14:textId="77777777" w:rsidTr="005D6917">
        <w:tc>
          <w:tcPr>
            <w:tcW w:w="1435" w:type="dxa"/>
            <w:vAlign w:val="center"/>
          </w:tcPr>
          <w:p w14:paraId="367EC0CF" w14:textId="77777777" w:rsidR="004E1A6E" w:rsidRPr="00F92243" w:rsidRDefault="004E1A6E" w:rsidP="00A8482B">
            <w:pPr>
              <w:pStyle w:val="TableText0"/>
              <w:jc w:val="left"/>
            </w:pPr>
            <w:r w:rsidRPr="00F92243">
              <w:t>Outcomes</w:t>
            </w:r>
          </w:p>
        </w:tc>
        <w:tc>
          <w:tcPr>
            <w:tcW w:w="7721" w:type="dxa"/>
            <w:vAlign w:val="center"/>
          </w:tcPr>
          <w:p w14:paraId="37B79D8A" w14:textId="77777777" w:rsidR="004E1A6E" w:rsidRPr="00F92243" w:rsidRDefault="004E1A6E" w:rsidP="00374460">
            <w:pPr>
              <w:pStyle w:val="TableText0"/>
              <w:jc w:val="left"/>
            </w:pPr>
            <w:r w:rsidRPr="00F92243">
              <w:t>Annualised change in new HO volume</w:t>
            </w:r>
          </w:p>
        </w:tc>
      </w:tr>
      <w:tr w:rsidR="004E1A6E" w:rsidRPr="00F92243" w14:paraId="4FE9587B" w14:textId="77777777" w:rsidTr="005D6917">
        <w:tc>
          <w:tcPr>
            <w:tcW w:w="1435" w:type="dxa"/>
            <w:vAlign w:val="center"/>
          </w:tcPr>
          <w:p w14:paraId="626087E9" w14:textId="77777777" w:rsidR="004E1A6E" w:rsidRPr="00F92243" w:rsidRDefault="004E1A6E" w:rsidP="00A8482B">
            <w:pPr>
              <w:pStyle w:val="TableText0"/>
              <w:jc w:val="left"/>
            </w:pPr>
            <w:r w:rsidRPr="00F92243">
              <w:t>Clinical claim</w:t>
            </w:r>
          </w:p>
        </w:tc>
        <w:tc>
          <w:tcPr>
            <w:tcW w:w="7721" w:type="dxa"/>
            <w:vAlign w:val="center"/>
          </w:tcPr>
          <w:p w14:paraId="2C4AE2BE" w14:textId="77777777" w:rsidR="004E1A6E" w:rsidRPr="00F92243" w:rsidRDefault="004E1A6E" w:rsidP="00374460">
            <w:pPr>
              <w:pStyle w:val="TableText0"/>
              <w:jc w:val="left"/>
            </w:pPr>
            <w:r w:rsidRPr="00F92243">
              <w:t>PVO demonstrates superior efficacy and inferior safety to SoC</w:t>
            </w:r>
          </w:p>
        </w:tc>
      </w:tr>
    </w:tbl>
    <w:p w14:paraId="45F44F22" w14:textId="77777777" w:rsidR="004E1A6E" w:rsidRDefault="004E1A6E" w:rsidP="004E1A6E">
      <w:pPr>
        <w:pStyle w:val="FooterTableFigure"/>
      </w:pPr>
      <w:r w:rsidRPr="0098262F">
        <w:t xml:space="preserve">Source: </w:t>
      </w:r>
      <w:r>
        <w:t>Table 1.1-1, p13 of the submission.</w:t>
      </w:r>
    </w:p>
    <w:p w14:paraId="135FFC9D" w14:textId="4B2433C9" w:rsidR="004E1A6E" w:rsidRPr="005D6917" w:rsidRDefault="004E1A6E" w:rsidP="004A6040">
      <w:pPr>
        <w:pStyle w:val="FooterTableFigure"/>
      </w:pPr>
      <w:r w:rsidRPr="0003623A">
        <w:t>FOP = Fibrodysplasia ossificans progressiva; HO = Heterotopic ossification</w:t>
      </w:r>
      <w:r>
        <w:t xml:space="preserve">; </w:t>
      </w:r>
      <w:r w:rsidRPr="0003623A">
        <w:t xml:space="preserve">PVO = Palovarotene; SoC = Standard of care; </w:t>
      </w:r>
    </w:p>
    <w:p w14:paraId="6B4AB6C2" w14:textId="72BA3224" w:rsidR="005C25FF" w:rsidRPr="0098262F" w:rsidRDefault="005C25FF" w:rsidP="004A6040">
      <w:pPr>
        <w:pStyle w:val="2-SectionHeading"/>
      </w:pPr>
      <w:bookmarkStart w:id="2" w:name="_Toc177559103"/>
      <w:r w:rsidRPr="0098262F">
        <w:t>Background</w:t>
      </w:r>
      <w:bookmarkEnd w:id="2"/>
    </w:p>
    <w:p w14:paraId="2C521D6D" w14:textId="78CF03EE" w:rsidR="005C25FF" w:rsidRPr="0098262F" w:rsidRDefault="005C25FF" w:rsidP="004A6040">
      <w:pPr>
        <w:pStyle w:val="4-SubsectionHeading"/>
      </w:pPr>
      <w:bookmarkStart w:id="3" w:name="_Toc22897638"/>
      <w:bookmarkStart w:id="4" w:name="_Toc177559104"/>
      <w:r w:rsidRPr="0098262F">
        <w:t>Registration status</w:t>
      </w:r>
      <w:bookmarkEnd w:id="3"/>
      <w:bookmarkEnd w:id="4"/>
    </w:p>
    <w:p w14:paraId="2E562608" w14:textId="748B1174" w:rsidR="004E1A6E" w:rsidRDefault="004E1A6E" w:rsidP="004E1A6E">
      <w:pPr>
        <w:pStyle w:val="3-BodyText"/>
      </w:pPr>
      <w:bookmarkStart w:id="5" w:name="_Ref176750540"/>
      <w:r>
        <w:t>Palovarotene</w:t>
      </w:r>
      <w:r w:rsidRPr="0098262F">
        <w:t xml:space="preserve"> was </w:t>
      </w:r>
      <w:r w:rsidRPr="00D01E11">
        <w:t>registered on the ARTG on 28 November 2023</w:t>
      </w:r>
      <w:r>
        <w:t xml:space="preserve"> </w:t>
      </w:r>
      <w:r w:rsidRPr="0098262F">
        <w:t xml:space="preserve">for the following indication: </w:t>
      </w:r>
      <w:r>
        <w:t>“</w:t>
      </w:r>
      <w:r w:rsidRPr="00D01E11">
        <w:t>to reduce the formation of heterotopic ossification</w:t>
      </w:r>
      <w:r>
        <w:t xml:space="preserve"> [HO]</w:t>
      </w:r>
      <w:r w:rsidRPr="00D01E11">
        <w:t xml:space="preserve"> in adults and </w:t>
      </w:r>
      <w:r w:rsidRPr="00D01E11">
        <w:lastRenderedPageBreak/>
        <w:t>children aged 8 years and above for females and 10 years and above for males with fibrodysplasia ossificans progressiva (FOP)</w:t>
      </w:r>
      <w:r>
        <w:t>”.</w:t>
      </w:r>
      <w:bookmarkEnd w:id="5"/>
    </w:p>
    <w:p w14:paraId="223C29FA" w14:textId="689988DA" w:rsidR="00CB132C" w:rsidRPr="00E21EB5" w:rsidRDefault="00CB132C" w:rsidP="004E1A6E">
      <w:pPr>
        <w:pStyle w:val="3-BodyText"/>
      </w:pPr>
      <w:r w:rsidRPr="00E21EB5">
        <w:t xml:space="preserve">The ESC noted that the U.S. Food and Drug Administration (FDA) approved palovarotene for FOP in August 2023, however the </w:t>
      </w:r>
      <w:r w:rsidR="00AF6DBE" w:rsidRPr="00E21EB5">
        <w:t>European Medicines Agency (</w:t>
      </w:r>
      <w:r w:rsidRPr="00E21EB5">
        <w:t>EMA</w:t>
      </w:r>
      <w:r w:rsidR="00AF6DBE" w:rsidRPr="00E21EB5">
        <w:t>)</w:t>
      </w:r>
      <w:r w:rsidRPr="00E21EB5">
        <w:t xml:space="preserve"> rejected </w:t>
      </w:r>
      <w:r w:rsidR="00AF6DBE" w:rsidRPr="00E21EB5">
        <w:t>marketing authorisation for palovarotene</w:t>
      </w:r>
      <w:r w:rsidR="004B71C9" w:rsidRPr="00E21EB5">
        <w:t>,</w:t>
      </w:r>
      <w:r w:rsidR="00AF6DBE" w:rsidRPr="00E21EB5">
        <w:t xml:space="preserve"> </w:t>
      </w:r>
      <w:r w:rsidR="004B71C9" w:rsidRPr="00E21EB5">
        <w:t>stating</w:t>
      </w:r>
      <w:r w:rsidR="00AF6DBE" w:rsidRPr="00E21EB5">
        <w:t xml:space="preserve"> that “no firm conclusions could be drawn on the benefits of the medicine, as the applicant’s conclusion was based on a post-hoc analysis which was neither scientifically nor clinically justified and pre-specified study objectives were not met. In addition, results from other studies and the limited long-term clinical data available did not support efficacy. Regarding safety, the risk of premature physeal closure (a disruption to the areas of new bone growth in the end of long bones, which keeps them from growing normally), which is a known risk with retinoid treatment in growing patients, could not adequately be mitigated with the risk minimisation measures proposed by the company”. </w:t>
      </w:r>
    </w:p>
    <w:p w14:paraId="64D6718A" w14:textId="538D9209" w:rsidR="004B71C9" w:rsidRDefault="004B71C9" w:rsidP="004E1A6E">
      <w:pPr>
        <w:pStyle w:val="3-BodyText"/>
      </w:pPr>
      <w:r w:rsidRPr="00E21EB5">
        <w:t>The ESC considered that the risk-benefit profile for palovarotene appears marginal, but noted that the TGA Advisory Committee on Medicines (ACM) considered the risk-benefit profile supported use in the context of a</w:t>
      </w:r>
      <w:r w:rsidR="00317B7C" w:rsidRPr="00E21EB5">
        <w:t xml:space="preserve"> very</w:t>
      </w:r>
      <w:r w:rsidRPr="00E21EB5">
        <w:t xml:space="preserve"> rare, life-limiting condition with no effective treatments available. </w:t>
      </w:r>
    </w:p>
    <w:p w14:paraId="17DB0DD5" w14:textId="1417A4A2" w:rsidR="00E21EB5" w:rsidRDefault="00E21EB5" w:rsidP="00942D8C">
      <w:pPr>
        <w:spacing w:before="240"/>
        <w:ind w:firstLine="709"/>
      </w:pPr>
      <w:bookmarkStart w:id="6" w:name="_Hlk76375324"/>
      <w:r w:rsidRPr="00C33D30">
        <w:rPr>
          <w:rFonts w:asciiTheme="minorHAnsi" w:hAnsiTheme="minorHAnsi"/>
          <w:i/>
        </w:rPr>
        <w:t>For more detail on PBAC’s view, see section 7 PBAC outcome.</w:t>
      </w:r>
      <w:bookmarkEnd w:id="6"/>
    </w:p>
    <w:p w14:paraId="4B497120" w14:textId="0277A197" w:rsidR="004E1A6E" w:rsidRPr="0098262F" w:rsidRDefault="00B50DB8" w:rsidP="00D11687">
      <w:pPr>
        <w:pStyle w:val="2-SectionHeading"/>
      </w:pPr>
      <w:bookmarkStart w:id="7" w:name="_Toc107902078"/>
      <w:bookmarkStart w:id="8" w:name="_Toc177559105"/>
      <w:bookmarkEnd w:id="7"/>
      <w:r w:rsidRPr="00D11687">
        <w:t>Requested listing</w:t>
      </w:r>
      <w:bookmarkEnd w:id="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850"/>
        <w:gridCol w:w="851"/>
        <w:gridCol w:w="850"/>
        <w:gridCol w:w="1646"/>
      </w:tblGrid>
      <w:tr w:rsidR="004E1A6E" w:rsidRPr="0098262F" w14:paraId="121EC879" w14:textId="77777777" w:rsidTr="00250216">
        <w:trPr>
          <w:cantSplit/>
          <w:trHeight w:val="20"/>
        </w:trPr>
        <w:tc>
          <w:tcPr>
            <w:tcW w:w="2410" w:type="dxa"/>
            <w:vAlign w:val="center"/>
          </w:tcPr>
          <w:p w14:paraId="5B85C01A" w14:textId="77777777" w:rsidR="004E1A6E" w:rsidRPr="0098262F" w:rsidRDefault="004E1A6E" w:rsidP="0032717D">
            <w:pPr>
              <w:keepLines/>
              <w:rPr>
                <w:rFonts w:ascii="Arial Narrow" w:hAnsi="Arial Narrow"/>
                <w:b/>
                <w:bCs/>
                <w:sz w:val="20"/>
                <w:szCs w:val="20"/>
              </w:rPr>
            </w:pPr>
            <w:r w:rsidRPr="0098262F">
              <w:rPr>
                <w:rFonts w:ascii="Arial Narrow" w:hAnsi="Arial Narrow"/>
                <w:b/>
                <w:bCs/>
                <w:sz w:val="20"/>
                <w:szCs w:val="20"/>
              </w:rPr>
              <w:t>MEDICINAL PRODUCT</w:t>
            </w:r>
          </w:p>
          <w:p w14:paraId="3527795E" w14:textId="77777777" w:rsidR="004E1A6E" w:rsidRPr="0098262F" w:rsidRDefault="004E1A6E" w:rsidP="0032717D">
            <w:pPr>
              <w:keepLines/>
              <w:rPr>
                <w:rFonts w:ascii="Arial Narrow" w:hAnsi="Arial Narrow"/>
                <w:b/>
                <w:sz w:val="20"/>
                <w:szCs w:val="20"/>
              </w:rPr>
            </w:pPr>
            <w:r w:rsidRPr="0098262F">
              <w:rPr>
                <w:rFonts w:ascii="Arial Narrow" w:hAnsi="Arial Narrow"/>
                <w:b/>
                <w:bCs/>
                <w:sz w:val="20"/>
                <w:szCs w:val="20"/>
              </w:rPr>
              <w:t>medicinal product pack</w:t>
            </w:r>
          </w:p>
        </w:tc>
        <w:tc>
          <w:tcPr>
            <w:tcW w:w="2410" w:type="dxa"/>
            <w:vAlign w:val="center"/>
          </w:tcPr>
          <w:p w14:paraId="4667CF68" w14:textId="77777777" w:rsidR="004E1A6E" w:rsidRPr="00EB5A98" w:rsidRDefault="004E1A6E" w:rsidP="0032717D">
            <w:pPr>
              <w:pStyle w:val="TableText0"/>
              <w:keepNext w:val="0"/>
              <w:rPr>
                <w:b/>
                <w:bCs w:val="0"/>
                <w:szCs w:val="20"/>
              </w:rPr>
            </w:pPr>
            <w:r w:rsidRPr="00EB5A98">
              <w:rPr>
                <w:b/>
                <w:bCs w:val="0"/>
                <w:snapToGrid w:val="0"/>
              </w:rPr>
              <w:t xml:space="preserve">Dispensed Price for Max. Qty </w:t>
            </w:r>
          </w:p>
        </w:tc>
        <w:tc>
          <w:tcPr>
            <w:tcW w:w="850" w:type="dxa"/>
            <w:vAlign w:val="center"/>
          </w:tcPr>
          <w:p w14:paraId="178CB4D5" w14:textId="77777777" w:rsidR="004E1A6E" w:rsidRPr="0098262F" w:rsidRDefault="004E1A6E" w:rsidP="0032717D">
            <w:pPr>
              <w:keepLines/>
              <w:jc w:val="center"/>
              <w:rPr>
                <w:rFonts w:ascii="Arial Narrow" w:hAnsi="Arial Narrow"/>
                <w:b/>
                <w:sz w:val="20"/>
                <w:szCs w:val="20"/>
              </w:rPr>
            </w:pPr>
            <w:r w:rsidRPr="0098262F">
              <w:rPr>
                <w:rFonts w:ascii="Arial Narrow" w:hAnsi="Arial Narrow"/>
                <w:b/>
                <w:sz w:val="20"/>
                <w:szCs w:val="20"/>
              </w:rPr>
              <w:t>Max. qty packs</w:t>
            </w:r>
          </w:p>
        </w:tc>
        <w:tc>
          <w:tcPr>
            <w:tcW w:w="851" w:type="dxa"/>
            <w:vAlign w:val="center"/>
          </w:tcPr>
          <w:p w14:paraId="0C020003" w14:textId="77777777" w:rsidR="004E1A6E" w:rsidRPr="0098262F" w:rsidRDefault="004E1A6E" w:rsidP="0032717D">
            <w:pPr>
              <w:keepLines/>
              <w:jc w:val="center"/>
              <w:rPr>
                <w:rFonts w:ascii="Arial Narrow" w:hAnsi="Arial Narrow"/>
                <w:b/>
                <w:sz w:val="20"/>
                <w:szCs w:val="20"/>
              </w:rPr>
            </w:pPr>
            <w:r w:rsidRPr="0098262F">
              <w:rPr>
                <w:rFonts w:ascii="Arial Narrow" w:hAnsi="Arial Narrow"/>
                <w:b/>
                <w:sz w:val="20"/>
                <w:szCs w:val="20"/>
              </w:rPr>
              <w:t>Max. qty units</w:t>
            </w:r>
          </w:p>
        </w:tc>
        <w:tc>
          <w:tcPr>
            <w:tcW w:w="850" w:type="dxa"/>
            <w:vAlign w:val="center"/>
          </w:tcPr>
          <w:p w14:paraId="43C72225" w14:textId="77777777" w:rsidR="004E1A6E" w:rsidRPr="0098262F" w:rsidRDefault="004E1A6E" w:rsidP="0032717D">
            <w:pPr>
              <w:keepLines/>
              <w:jc w:val="center"/>
              <w:rPr>
                <w:rFonts w:ascii="Arial Narrow" w:hAnsi="Arial Narrow"/>
                <w:b/>
                <w:sz w:val="20"/>
                <w:szCs w:val="20"/>
              </w:rPr>
            </w:pPr>
            <w:r w:rsidRPr="0098262F">
              <w:rPr>
                <w:rFonts w:ascii="Arial Narrow" w:hAnsi="Arial Narrow"/>
                <w:b/>
                <w:sz w:val="20"/>
                <w:szCs w:val="20"/>
              </w:rPr>
              <w:t>№.of</w:t>
            </w:r>
          </w:p>
          <w:p w14:paraId="4975C1FA" w14:textId="77777777" w:rsidR="004E1A6E" w:rsidRPr="0098262F" w:rsidRDefault="004E1A6E" w:rsidP="0032717D">
            <w:pPr>
              <w:keepLines/>
              <w:jc w:val="center"/>
              <w:rPr>
                <w:rFonts w:ascii="Arial Narrow" w:hAnsi="Arial Narrow"/>
                <w:b/>
                <w:sz w:val="20"/>
                <w:szCs w:val="20"/>
              </w:rPr>
            </w:pPr>
            <w:r w:rsidRPr="0098262F">
              <w:rPr>
                <w:rFonts w:ascii="Arial Narrow" w:hAnsi="Arial Narrow"/>
                <w:b/>
                <w:sz w:val="20"/>
                <w:szCs w:val="20"/>
              </w:rPr>
              <w:t>Rpts</w:t>
            </w:r>
          </w:p>
        </w:tc>
        <w:tc>
          <w:tcPr>
            <w:tcW w:w="1646" w:type="dxa"/>
            <w:vAlign w:val="center"/>
          </w:tcPr>
          <w:p w14:paraId="459F7A2C" w14:textId="77777777" w:rsidR="004E1A6E" w:rsidRPr="0098262F" w:rsidRDefault="004E1A6E" w:rsidP="0032717D">
            <w:pPr>
              <w:keepLines/>
              <w:rPr>
                <w:rFonts w:ascii="Arial Narrow" w:hAnsi="Arial Narrow"/>
                <w:b/>
                <w:sz w:val="20"/>
                <w:szCs w:val="20"/>
              </w:rPr>
            </w:pPr>
            <w:r w:rsidRPr="0098262F">
              <w:rPr>
                <w:rFonts w:ascii="Arial Narrow" w:hAnsi="Arial Narrow"/>
                <w:b/>
                <w:sz w:val="20"/>
                <w:szCs w:val="20"/>
              </w:rPr>
              <w:t>Available brands</w:t>
            </w:r>
          </w:p>
        </w:tc>
      </w:tr>
      <w:tr w:rsidR="004E1A6E" w:rsidRPr="0098262F" w14:paraId="3509B9C4" w14:textId="77777777" w:rsidTr="00250216">
        <w:trPr>
          <w:cantSplit/>
          <w:trHeight w:val="20"/>
        </w:trPr>
        <w:tc>
          <w:tcPr>
            <w:tcW w:w="9017" w:type="dxa"/>
            <w:gridSpan w:val="6"/>
            <w:vAlign w:val="center"/>
          </w:tcPr>
          <w:p w14:paraId="41FD7F4E" w14:textId="77777777" w:rsidR="004E1A6E" w:rsidRPr="0098262F" w:rsidRDefault="004E1A6E" w:rsidP="0032717D">
            <w:pPr>
              <w:pStyle w:val="TableText0"/>
              <w:keepNext w:val="0"/>
              <w:jc w:val="left"/>
              <w:rPr>
                <w:rFonts w:cs="Arial"/>
                <w:szCs w:val="20"/>
              </w:rPr>
            </w:pPr>
            <w:r>
              <w:t>Palovarotene (Chronic treatment)</w:t>
            </w:r>
            <w:r w:rsidRPr="0098262F">
              <w:rPr>
                <w:rFonts w:cs="Arial"/>
                <w:color w:val="0066FF"/>
                <w:szCs w:val="20"/>
              </w:rPr>
              <w:t xml:space="preserve"> </w:t>
            </w:r>
          </w:p>
        </w:tc>
      </w:tr>
      <w:tr w:rsidR="004E1A6E" w:rsidRPr="0098262F" w14:paraId="1B26C3F7" w14:textId="77777777" w:rsidTr="00250216">
        <w:trPr>
          <w:cantSplit/>
          <w:trHeight w:val="20"/>
        </w:trPr>
        <w:tc>
          <w:tcPr>
            <w:tcW w:w="2410" w:type="dxa"/>
            <w:vAlign w:val="center"/>
          </w:tcPr>
          <w:p w14:paraId="5128534B" w14:textId="77777777" w:rsidR="004E1A6E" w:rsidRPr="0098262F" w:rsidRDefault="004E1A6E" w:rsidP="0032717D">
            <w:pPr>
              <w:keepLines/>
              <w:rPr>
                <w:rFonts w:ascii="Arial Narrow" w:hAnsi="Arial Narrow"/>
                <w:color w:val="0066FF"/>
                <w:sz w:val="20"/>
                <w:szCs w:val="20"/>
              </w:rPr>
            </w:pPr>
            <w:r w:rsidRPr="00D01E11">
              <w:rPr>
                <w:rFonts w:ascii="Arial Narrow" w:eastAsiaTheme="majorEastAsia" w:hAnsi="Arial Narrow" w:cstheme="majorBidi"/>
                <w:bCs/>
                <w:sz w:val="20"/>
              </w:rPr>
              <w:t>Palovarotene 1 mg capsule</w:t>
            </w:r>
          </w:p>
        </w:tc>
        <w:tc>
          <w:tcPr>
            <w:tcW w:w="2410" w:type="dxa"/>
          </w:tcPr>
          <w:p w14:paraId="13103BD7" w14:textId="77777777" w:rsidR="004E1A6E" w:rsidRPr="0098262F" w:rsidRDefault="004E1A6E" w:rsidP="0032717D">
            <w:pPr>
              <w:pStyle w:val="TableText0"/>
              <w:keepNext w:val="0"/>
            </w:pPr>
            <w:r w:rsidRPr="00A02CAD">
              <w:t>$10,153.00</w:t>
            </w:r>
            <w:r w:rsidRPr="00A02CAD" w:rsidDel="00A02CAD">
              <w:t xml:space="preserve"> </w:t>
            </w:r>
            <w:r>
              <w:t>(</w:t>
            </w:r>
            <w:r w:rsidRPr="0098262F">
              <w:t>published price</w:t>
            </w:r>
            <w:r>
              <w:t>)</w:t>
            </w:r>
          </w:p>
          <w:p w14:paraId="70D4678B" w14:textId="6F5D6D17" w:rsidR="004E1A6E" w:rsidRPr="0098262F" w:rsidRDefault="004E1A6E" w:rsidP="0032717D">
            <w:pPr>
              <w:pStyle w:val="TableText0"/>
              <w:keepNext w:val="0"/>
              <w:rPr>
                <w:szCs w:val="20"/>
              </w:rPr>
            </w:pPr>
            <w:r w:rsidRPr="00A02CAD">
              <w:t>$</w:t>
            </w:r>
            <w:r w:rsidR="00BD51C6">
              <w:rPr>
                <w:rFonts w:hint="eastAsia"/>
                <w:color w:val="000000"/>
                <w:w w:val="18"/>
                <w:shd w:val="solid" w:color="000000" w:fill="000000"/>
                <w:fitText w:val="80" w:id="-761524480"/>
                <w14:textFill>
                  <w14:solidFill>
                    <w14:srgbClr w14:val="000000">
                      <w14:alpha w14:val="100000"/>
                    </w14:srgbClr>
                  </w14:solidFill>
                </w14:textFill>
              </w:rPr>
              <w:t xml:space="preserve">　</w:t>
            </w:r>
            <w:r w:rsidR="00BD51C6">
              <w:rPr>
                <w:color w:val="000000"/>
                <w:w w:val="18"/>
                <w:shd w:val="solid" w:color="000000" w:fill="000000"/>
                <w:fitText w:val="80" w:id="-761524480"/>
                <w14:textFill>
                  <w14:solidFill>
                    <w14:srgbClr w14:val="000000">
                      <w14:alpha w14:val="100000"/>
                    </w14:srgbClr>
                  </w14:solidFill>
                </w14:textFill>
              </w:rPr>
              <w:t>|</w:t>
            </w:r>
            <w:r w:rsidR="00BD51C6">
              <w:rPr>
                <w:rFonts w:hint="eastAsia"/>
                <w:color w:val="000000"/>
                <w:spacing w:val="1"/>
                <w:w w:val="18"/>
                <w:shd w:val="solid" w:color="000000" w:fill="000000"/>
                <w:fitText w:val="80" w:id="-761524480"/>
                <w14:textFill>
                  <w14:solidFill>
                    <w14:srgbClr w14:val="000000">
                      <w14:alpha w14:val="100000"/>
                    </w14:srgbClr>
                  </w14:solidFill>
                </w14:textFill>
              </w:rPr>
              <w:t xml:space="preserve">　</w:t>
            </w:r>
            <w:r w:rsidRPr="00A02CAD" w:rsidDel="00A02CAD">
              <w:t xml:space="preserve"> </w:t>
            </w:r>
            <w:r>
              <w:t>(effective price)</w:t>
            </w:r>
          </w:p>
        </w:tc>
        <w:tc>
          <w:tcPr>
            <w:tcW w:w="850" w:type="dxa"/>
            <w:vAlign w:val="center"/>
          </w:tcPr>
          <w:p w14:paraId="1F95216E"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37303C06"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507B7B75" w14:textId="77777777" w:rsidR="004E1A6E" w:rsidRPr="0098262F" w:rsidRDefault="004E1A6E" w:rsidP="0032717D">
            <w:pPr>
              <w:keepLines/>
              <w:jc w:val="center"/>
              <w:rPr>
                <w:rFonts w:ascii="Arial Narrow" w:hAnsi="Arial Narrow"/>
                <w:sz w:val="20"/>
                <w:szCs w:val="20"/>
              </w:rPr>
            </w:pPr>
            <w:r>
              <w:rPr>
                <w:rFonts w:ascii="Arial Narrow" w:hAnsi="Arial Narrow"/>
                <w:sz w:val="20"/>
              </w:rPr>
              <w:t>5</w:t>
            </w:r>
          </w:p>
        </w:tc>
        <w:tc>
          <w:tcPr>
            <w:tcW w:w="1646" w:type="dxa"/>
            <w:vMerge w:val="restart"/>
            <w:vAlign w:val="center"/>
          </w:tcPr>
          <w:p w14:paraId="2C3C2A12" w14:textId="77777777" w:rsidR="004E1A6E" w:rsidRPr="0098262F" w:rsidRDefault="004E1A6E" w:rsidP="0032717D">
            <w:pPr>
              <w:keepLines/>
              <w:jc w:val="center"/>
              <w:rPr>
                <w:rFonts w:ascii="Arial Narrow" w:hAnsi="Arial Narrow"/>
                <w:color w:val="0066FF"/>
                <w:sz w:val="20"/>
                <w:szCs w:val="20"/>
              </w:rPr>
            </w:pPr>
            <w:r w:rsidRPr="00D01E11">
              <w:rPr>
                <w:rFonts w:ascii="Arial Narrow" w:hAnsi="Arial Narrow"/>
                <w:sz w:val="20"/>
                <w:szCs w:val="20"/>
              </w:rPr>
              <w:t>SOHONOS</w:t>
            </w:r>
          </w:p>
        </w:tc>
      </w:tr>
      <w:tr w:rsidR="004E1A6E" w:rsidRPr="0098262F" w14:paraId="03DCA189" w14:textId="77777777" w:rsidTr="00250216">
        <w:trPr>
          <w:cantSplit/>
          <w:trHeight w:val="20"/>
        </w:trPr>
        <w:tc>
          <w:tcPr>
            <w:tcW w:w="2410" w:type="dxa"/>
            <w:vAlign w:val="center"/>
          </w:tcPr>
          <w:p w14:paraId="3938A2E3" w14:textId="77777777" w:rsidR="004E1A6E" w:rsidRPr="00D01E11" w:rsidRDefault="004E1A6E" w:rsidP="0032717D">
            <w:pPr>
              <w:keepLines/>
              <w:rPr>
                <w:rFonts w:ascii="Arial Narrow" w:hAnsi="Arial Narrow"/>
                <w:color w:val="000000" w:themeColor="text1"/>
                <w:sz w:val="20"/>
                <w:szCs w:val="20"/>
              </w:rPr>
            </w:pPr>
            <w:r w:rsidRPr="00D01E11">
              <w:rPr>
                <w:rFonts w:ascii="Arial Narrow" w:hAnsi="Arial Narrow"/>
                <w:color w:val="000000" w:themeColor="text1"/>
                <w:sz w:val="20"/>
                <w:szCs w:val="20"/>
              </w:rPr>
              <w:t>Palovarotene 1.5 mg capsule</w:t>
            </w:r>
          </w:p>
        </w:tc>
        <w:tc>
          <w:tcPr>
            <w:tcW w:w="2410" w:type="dxa"/>
          </w:tcPr>
          <w:p w14:paraId="4CCDB53B" w14:textId="77777777" w:rsidR="004E1A6E" w:rsidRPr="0098262F" w:rsidRDefault="004E1A6E" w:rsidP="0032717D">
            <w:pPr>
              <w:pStyle w:val="TableText0"/>
              <w:keepNext w:val="0"/>
            </w:pPr>
            <w:r w:rsidRPr="00A02CAD">
              <w:t>$15,148.20</w:t>
            </w:r>
            <w:r w:rsidRPr="00A02CAD" w:rsidDel="00A02CAD">
              <w:t xml:space="preserve"> </w:t>
            </w:r>
            <w:r>
              <w:t>(</w:t>
            </w:r>
            <w:r w:rsidRPr="0098262F">
              <w:t>published price</w:t>
            </w:r>
            <w:r>
              <w:t>)</w:t>
            </w:r>
          </w:p>
          <w:p w14:paraId="0AAE7F50" w14:textId="1AB4F0BB" w:rsidR="004E1A6E" w:rsidRPr="0098262F" w:rsidRDefault="004E1A6E" w:rsidP="0032717D">
            <w:pPr>
              <w:pStyle w:val="TableText0"/>
              <w:keepNext w:val="0"/>
              <w:rPr>
                <w:szCs w:val="20"/>
              </w:rPr>
            </w:pPr>
            <w:r w:rsidRPr="00A02CAD">
              <w:t>$</w:t>
            </w:r>
            <w:r w:rsidR="00BD51C6">
              <w:rPr>
                <w:rFonts w:hint="eastAsia"/>
                <w:color w:val="000000"/>
                <w:w w:val="18"/>
                <w:shd w:val="solid" w:color="000000" w:fill="000000"/>
                <w:fitText w:val="80" w:id="-761524479"/>
                <w14:textFill>
                  <w14:solidFill>
                    <w14:srgbClr w14:val="000000">
                      <w14:alpha w14:val="100000"/>
                    </w14:srgbClr>
                  </w14:solidFill>
                </w14:textFill>
              </w:rPr>
              <w:t xml:space="preserve">　</w:t>
            </w:r>
            <w:r w:rsidR="00BD51C6">
              <w:rPr>
                <w:color w:val="000000"/>
                <w:w w:val="18"/>
                <w:shd w:val="solid" w:color="000000" w:fill="000000"/>
                <w:fitText w:val="80" w:id="-761524479"/>
                <w14:textFill>
                  <w14:solidFill>
                    <w14:srgbClr w14:val="000000">
                      <w14:alpha w14:val="100000"/>
                    </w14:srgbClr>
                  </w14:solidFill>
                </w14:textFill>
              </w:rPr>
              <w:t>|</w:t>
            </w:r>
            <w:r w:rsidR="00BD51C6">
              <w:rPr>
                <w:rFonts w:hint="eastAsia"/>
                <w:color w:val="000000"/>
                <w:spacing w:val="1"/>
                <w:w w:val="18"/>
                <w:shd w:val="solid" w:color="000000" w:fill="000000"/>
                <w:fitText w:val="80" w:id="-761524479"/>
                <w14:textFill>
                  <w14:solidFill>
                    <w14:srgbClr w14:val="000000">
                      <w14:alpha w14:val="100000"/>
                    </w14:srgbClr>
                  </w14:solidFill>
                </w14:textFill>
              </w:rPr>
              <w:t xml:space="preserve">　</w:t>
            </w:r>
            <w:r w:rsidRPr="00A02CAD" w:rsidDel="00A02CAD">
              <w:t xml:space="preserve"> </w:t>
            </w:r>
            <w:r>
              <w:t>(</w:t>
            </w:r>
            <w:r w:rsidRPr="0098262F">
              <w:t>effective price</w:t>
            </w:r>
            <w:r>
              <w:t>)</w:t>
            </w:r>
          </w:p>
        </w:tc>
        <w:tc>
          <w:tcPr>
            <w:tcW w:w="850" w:type="dxa"/>
            <w:vAlign w:val="center"/>
          </w:tcPr>
          <w:p w14:paraId="6356E299"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173FECD0"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0A6CAA41" w14:textId="77777777" w:rsidR="004E1A6E" w:rsidRPr="0098262F" w:rsidRDefault="004E1A6E" w:rsidP="0032717D">
            <w:pPr>
              <w:keepLines/>
              <w:jc w:val="center"/>
              <w:rPr>
                <w:rFonts w:ascii="Arial Narrow" w:hAnsi="Arial Narrow"/>
                <w:sz w:val="20"/>
                <w:szCs w:val="20"/>
              </w:rPr>
            </w:pPr>
            <w:r>
              <w:rPr>
                <w:rFonts w:ascii="Arial Narrow" w:hAnsi="Arial Narrow"/>
                <w:sz w:val="20"/>
              </w:rPr>
              <w:t>5</w:t>
            </w:r>
          </w:p>
        </w:tc>
        <w:tc>
          <w:tcPr>
            <w:tcW w:w="1646" w:type="dxa"/>
            <w:vMerge/>
            <w:vAlign w:val="center"/>
          </w:tcPr>
          <w:p w14:paraId="05CC260E" w14:textId="77777777" w:rsidR="004E1A6E" w:rsidRPr="0098262F" w:rsidRDefault="004E1A6E" w:rsidP="0032717D">
            <w:pPr>
              <w:keepLines/>
              <w:rPr>
                <w:rFonts w:ascii="Arial Narrow" w:hAnsi="Arial Narrow"/>
                <w:color w:val="0066FF"/>
                <w:sz w:val="20"/>
                <w:szCs w:val="20"/>
              </w:rPr>
            </w:pPr>
          </w:p>
        </w:tc>
      </w:tr>
      <w:tr w:rsidR="004E1A6E" w:rsidRPr="0098262F" w14:paraId="0AA1CB8F" w14:textId="77777777" w:rsidTr="00250216">
        <w:trPr>
          <w:cantSplit/>
          <w:trHeight w:val="20"/>
        </w:trPr>
        <w:tc>
          <w:tcPr>
            <w:tcW w:w="2410" w:type="dxa"/>
            <w:vAlign w:val="center"/>
          </w:tcPr>
          <w:p w14:paraId="422DABF5"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hAnsi="Arial Narrow"/>
                <w:color w:val="000000" w:themeColor="text1"/>
                <w:sz w:val="20"/>
                <w:szCs w:val="20"/>
              </w:rPr>
              <w:t>Palovarotene 2.5 mg capsule</w:t>
            </w:r>
          </w:p>
        </w:tc>
        <w:tc>
          <w:tcPr>
            <w:tcW w:w="2410" w:type="dxa"/>
            <w:vAlign w:val="center"/>
          </w:tcPr>
          <w:p w14:paraId="6D2AAFC4" w14:textId="77777777" w:rsidR="004E1A6E" w:rsidRDefault="004E1A6E" w:rsidP="0032717D">
            <w:pPr>
              <w:keepLines/>
              <w:jc w:val="center"/>
              <w:rPr>
                <w:rFonts w:ascii="Arial Narrow" w:hAnsi="Arial Narrow"/>
                <w:sz w:val="20"/>
                <w:szCs w:val="20"/>
              </w:rPr>
            </w:pPr>
            <w:r w:rsidRPr="00A02CAD">
              <w:rPr>
                <w:rFonts w:ascii="Arial Narrow" w:hAnsi="Arial Narrow"/>
                <w:sz w:val="20"/>
                <w:szCs w:val="20"/>
              </w:rPr>
              <w:t>$25,138.60</w:t>
            </w:r>
            <w:r w:rsidRPr="00A02CAD" w:rsidDel="00A02CAD">
              <w:rPr>
                <w:rFonts w:ascii="Arial Narrow" w:hAnsi="Arial Narrow"/>
                <w:sz w:val="20"/>
                <w:szCs w:val="20"/>
              </w:rPr>
              <w:t xml:space="preserve"> </w:t>
            </w:r>
            <w:r>
              <w:rPr>
                <w:rFonts w:ascii="Arial Narrow" w:hAnsi="Arial Narrow"/>
                <w:sz w:val="20"/>
                <w:szCs w:val="20"/>
              </w:rPr>
              <w:t>(published price)</w:t>
            </w:r>
          </w:p>
          <w:p w14:paraId="19A5E346" w14:textId="4CC6E08C" w:rsidR="004E1A6E" w:rsidRPr="0098262F" w:rsidRDefault="004E1A6E" w:rsidP="0032717D">
            <w:pPr>
              <w:keepLines/>
              <w:jc w:val="center"/>
              <w:rPr>
                <w:rFonts w:ascii="Arial Narrow" w:hAnsi="Arial Narrow"/>
                <w:sz w:val="20"/>
                <w:szCs w:val="20"/>
              </w:rPr>
            </w:pPr>
            <w:r w:rsidRPr="00A02CAD">
              <w:rPr>
                <w:rFonts w:ascii="Arial Narrow" w:hAnsi="Arial Narrow"/>
                <w:sz w:val="20"/>
                <w:szCs w:val="20"/>
              </w:rPr>
              <w:t>$</w:t>
            </w:r>
            <w:r w:rsidR="00BD51C6">
              <w:rPr>
                <w:rFonts w:ascii="Arial Narrow" w:hAnsi="Arial Narrow" w:hint="eastAsia"/>
                <w:color w:val="000000"/>
                <w:w w:val="18"/>
                <w:sz w:val="20"/>
                <w:szCs w:val="20"/>
                <w:shd w:val="solid" w:color="000000" w:fill="000000"/>
                <w:fitText w:val="80" w:id="-761524478"/>
                <w14:textFill>
                  <w14:solidFill>
                    <w14:srgbClr w14:val="000000">
                      <w14:alpha w14:val="100000"/>
                    </w14:srgbClr>
                  </w14:solidFill>
                </w14:textFill>
              </w:rPr>
              <w:t xml:space="preserve">　</w:t>
            </w:r>
            <w:r w:rsidR="00BD51C6">
              <w:rPr>
                <w:rFonts w:ascii="Arial Narrow" w:hAnsi="Arial Narrow"/>
                <w:color w:val="000000"/>
                <w:w w:val="18"/>
                <w:sz w:val="20"/>
                <w:szCs w:val="20"/>
                <w:shd w:val="solid" w:color="000000" w:fill="000000"/>
                <w:fitText w:val="80" w:id="-761524478"/>
                <w14:textFill>
                  <w14:solidFill>
                    <w14:srgbClr w14:val="000000">
                      <w14:alpha w14:val="100000"/>
                    </w14:srgbClr>
                  </w14:solidFill>
                </w14:textFill>
              </w:rPr>
              <w:t>|</w:t>
            </w:r>
            <w:r w:rsidR="00BD51C6">
              <w:rPr>
                <w:rFonts w:ascii="Arial Narrow" w:hAnsi="Arial Narrow" w:hint="eastAsia"/>
                <w:color w:val="000000"/>
                <w:spacing w:val="1"/>
                <w:w w:val="18"/>
                <w:sz w:val="20"/>
                <w:szCs w:val="20"/>
                <w:shd w:val="solid" w:color="000000" w:fill="000000"/>
                <w:fitText w:val="80" w:id="-761524478"/>
                <w14:textFill>
                  <w14:solidFill>
                    <w14:srgbClr w14:val="000000">
                      <w14:alpha w14:val="100000"/>
                    </w14:srgbClr>
                  </w14:solidFill>
                </w14:textFill>
              </w:rPr>
              <w:t xml:space="preserve">　</w:t>
            </w:r>
            <w:r w:rsidRPr="00A02CAD" w:rsidDel="00A02CAD">
              <w:rPr>
                <w:rFonts w:ascii="Arial Narrow" w:hAnsi="Arial Narrow"/>
                <w:sz w:val="20"/>
                <w:szCs w:val="20"/>
              </w:rPr>
              <w:t xml:space="preserve"> </w:t>
            </w:r>
            <w:r>
              <w:rPr>
                <w:rFonts w:ascii="Arial Narrow" w:hAnsi="Arial Narrow"/>
                <w:sz w:val="20"/>
                <w:szCs w:val="20"/>
              </w:rPr>
              <w:t>(effective price)</w:t>
            </w:r>
          </w:p>
        </w:tc>
        <w:tc>
          <w:tcPr>
            <w:tcW w:w="850" w:type="dxa"/>
            <w:vAlign w:val="center"/>
          </w:tcPr>
          <w:p w14:paraId="0C0CABA8"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5D21FA7C"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7B93588F" w14:textId="77777777" w:rsidR="004E1A6E" w:rsidRPr="0098262F" w:rsidRDefault="004E1A6E" w:rsidP="0032717D">
            <w:pPr>
              <w:keepLines/>
              <w:jc w:val="center"/>
              <w:rPr>
                <w:rFonts w:ascii="Arial Narrow" w:hAnsi="Arial Narrow"/>
                <w:sz w:val="20"/>
                <w:szCs w:val="20"/>
              </w:rPr>
            </w:pPr>
            <w:r>
              <w:rPr>
                <w:rFonts w:ascii="Arial Narrow" w:hAnsi="Arial Narrow"/>
                <w:sz w:val="20"/>
                <w:szCs w:val="20"/>
              </w:rPr>
              <w:t>5</w:t>
            </w:r>
          </w:p>
        </w:tc>
        <w:tc>
          <w:tcPr>
            <w:tcW w:w="1646" w:type="dxa"/>
            <w:vMerge/>
            <w:vAlign w:val="center"/>
          </w:tcPr>
          <w:p w14:paraId="5EB96D45" w14:textId="77777777" w:rsidR="004E1A6E" w:rsidRPr="0098262F" w:rsidRDefault="004E1A6E" w:rsidP="0032717D">
            <w:pPr>
              <w:keepLines/>
              <w:jc w:val="center"/>
              <w:rPr>
                <w:rFonts w:ascii="Arial Narrow" w:hAnsi="Arial Narrow"/>
                <w:sz w:val="20"/>
                <w:szCs w:val="20"/>
              </w:rPr>
            </w:pPr>
          </w:p>
        </w:tc>
      </w:tr>
      <w:tr w:rsidR="004E1A6E" w:rsidRPr="0098262F" w14:paraId="4A3081CA" w14:textId="77777777" w:rsidTr="00250216">
        <w:trPr>
          <w:cantSplit/>
          <w:trHeight w:val="20"/>
        </w:trPr>
        <w:tc>
          <w:tcPr>
            <w:tcW w:w="2410" w:type="dxa"/>
            <w:vAlign w:val="center"/>
          </w:tcPr>
          <w:p w14:paraId="7C0AD81B"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hAnsi="Arial Narrow"/>
                <w:color w:val="000000" w:themeColor="text1"/>
                <w:sz w:val="20"/>
                <w:szCs w:val="20"/>
              </w:rPr>
              <w:t>Palovarotene 5 mg capsule</w:t>
            </w:r>
          </w:p>
        </w:tc>
        <w:tc>
          <w:tcPr>
            <w:tcW w:w="2410" w:type="dxa"/>
            <w:vAlign w:val="center"/>
          </w:tcPr>
          <w:p w14:paraId="471175A0" w14:textId="77777777" w:rsidR="004E1A6E" w:rsidRDefault="004E1A6E" w:rsidP="0032717D">
            <w:pPr>
              <w:keepLines/>
              <w:jc w:val="center"/>
              <w:rPr>
                <w:rFonts w:ascii="Arial Narrow" w:hAnsi="Arial Narrow"/>
                <w:sz w:val="20"/>
                <w:szCs w:val="20"/>
              </w:rPr>
            </w:pPr>
            <w:r w:rsidRPr="00A02CAD">
              <w:rPr>
                <w:rFonts w:ascii="Arial Narrow" w:hAnsi="Arial Narrow"/>
                <w:sz w:val="20"/>
                <w:szCs w:val="20"/>
              </w:rPr>
              <w:t>$50,114.60</w:t>
            </w:r>
            <w:r w:rsidRPr="00A02CAD" w:rsidDel="00A02CAD">
              <w:rPr>
                <w:rFonts w:ascii="Arial Narrow" w:hAnsi="Arial Narrow"/>
                <w:sz w:val="20"/>
                <w:szCs w:val="20"/>
              </w:rPr>
              <w:t xml:space="preserve"> </w:t>
            </w:r>
            <w:r>
              <w:rPr>
                <w:rFonts w:ascii="Arial Narrow" w:hAnsi="Arial Narrow"/>
                <w:sz w:val="20"/>
                <w:szCs w:val="20"/>
              </w:rPr>
              <w:t>(published price)</w:t>
            </w:r>
          </w:p>
          <w:p w14:paraId="03DA51AC" w14:textId="67F23A04" w:rsidR="004E1A6E" w:rsidRPr="0098262F" w:rsidRDefault="004E1A6E" w:rsidP="0032717D">
            <w:pPr>
              <w:keepLines/>
              <w:jc w:val="center"/>
              <w:rPr>
                <w:rFonts w:ascii="Arial Narrow" w:hAnsi="Arial Narrow"/>
                <w:sz w:val="20"/>
                <w:szCs w:val="20"/>
              </w:rPr>
            </w:pPr>
            <w:r w:rsidRPr="00A02CAD">
              <w:rPr>
                <w:rFonts w:ascii="Arial Narrow" w:hAnsi="Arial Narrow"/>
                <w:sz w:val="20"/>
                <w:szCs w:val="20"/>
              </w:rPr>
              <w:t>$</w:t>
            </w:r>
            <w:r w:rsidR="00BD51C6">
              <w:rPr>
                <w:rFonts w:ascii="Arial Narrow" w:hAnsi="Arial Narrow" w:hint="eastAsia"/>
                <w:color w:val="000000"/>
                <w:w w:val="18"/>
                <w:sz w:val="20"/>
                <w:szCs w:val="20"/>
                <w:shd w:val="solid" w:color="000000" w:fill="000000"/>
                <w:fitText w:val="80" w:id="-761524477"/>
                <w14:textFill>
                  <w14:solidFill>
                    <w14:srgbClr w14:val="000000">
                      <w14:alpha w14:val="100000"/>
                    </w14:srgbClr>
                  </w14:solidFill>
                </w14:textFill>
              </w:rPr>
              <w:t xml:space="preserve">　</w:t>
            </w:r>
            <w:r w:rsidR="00BD51C6">
              <w:rPr>
                <w:rFonts w:ascii="Arial Narrow" w:hAnsi="Arial Narrow"/>
                <w:color w:val="000000"/>
                <w:w w:val="18"/>
                <w:sz w:val="20"/>
                <w:szCs w:val="20"/>
                <w:shd w:val="solid" w:color="000000" w:fill="000000"/>
                <w:fitText w:val="80" w:id="-761524477"/>
                <w14:textFill>
                  <w14:solidFill>
                    <w14:srgbClr w14:val="000000">
                      <w14:alpha w14:val="100000"/>
                    </w14:srgbClr>
                  </w14:solidFill>
                </w14:textFill>
              </w:rPr>
              <w:t>|</w:t>
            </w:r>
            <w:r w:rsidR="00BD51C6">
              <w:rPr>
                <w:rFonts w:ascii="Arial Narrow" w:hAnsi="Arial Narrow" w:hint="eastAsia"/>
                <w:color w:val="000000"/>
                <w:spacing w:val="1"/>
                <w:w w:val="18"/>
                <w:sz w:val="20"/>
                <w:szCs w:val="20"/>
                <w:shd w:val="solid" w:color="000000" w:fill="000000"/>
                <w:fitText w:val="80" w:id="-761524477"/>
                <w14:textFill>
                  <w14:solidFill>
                    <w14:srgbClr w14:val="000000">
                      <w14:alpha w14:val="100000"/>
                    </w14:srgbClr>
                  </w14:solidFill>
                </w14:textFill>
              </w:rPr>
              <w:t xml:space="preserve">　</w:t>
            </w:r>
            <w:r w:rsidRPr="00A02CAD" w:rsidDel="00A02CAD">
              <w:rPr>
                <w:rFonts w:ascii="Arial Narrow" w:hAnsi="Arial Narrow"/>
                <w:sz w:val="20"/>
                <w:szCs w:val="20"/>
              </w:rPr>
              <w:t xml:space="preserve"> </w:t>
            </w:r>
            <w:r>
              <w:rPr>
                <w:rFonts w:ascii="Arial Narrow" w:hAnsi="Arial Narrow"/>
                <w:sz w:val="20"/>
                <w:szCs w:val="20"/>
              </w:rPr>
              <w:t>(effective price)</w:t>
            </w:r>
          </w:p>
        </w:tc>
        <w:tc>
          <w:tcPr>
            <w:tcW w:w="850" w:type="dxa"/>
            <w:vAlign w:val="center"/>
          </w:tcPr>
          <w:p w14:paraId="697BDF17"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502A6A9E"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06491382" w14:textId="77777777" w:rsidR="004E1A6E" w:rsidRPr="0098262F" w:rsidRDefault="004E1A6E" w:rsidP="0032717D">
            <w:pPr>
              <w:keepLines/>
              <w:jc w:val="center"/>
              <w:rPr>
                <w:rFonts w:ascii="Arial Narrow" w:hAnsi="Arial Narrow"/>
                <w:sz w:val="20"/>
                <w:szCs w:val="20"/>
              </w:rPr>
            </w:pPr>
            <w:r>
              <w:rPr>
                <w:rFonts w:ascii="Arial Narrow" w:hAnsi="Arial Narrow"/>
                <w:sz w:val="20"/>
                <w:szCs w:val="20"/>
              </w:rPr>
              <w:t>5</w:t>
            </w:r>
          </w:p>
        </w:tc>
        <w:tc>
          <w:tcPr>
            <w:tcW w:w="1646" w:type="dxa"/>
            <w:vMerge/>
            <w:vAlign w:val="center"/>
          </w:tcPr>
          <w:p w14:paraId="3C7E091D" w14:textId="77777777" w:rsidR="004E1A6E" w:rsidRPr="0098262F" w:rsidRDefault="004E1A6E" w:rsidP="0032717D">
            <w:pPr>
              <w:keepLines/>
              <w:jc w:val="center"/>
              <w:rPr>
                <w:rFonts w:ascii="Arial Narrow" w:hAnsi="Arial Narrow"/>
                <w:sz w:val="20"/>
                <w:szCs w:val="20"/>
              </w:rPr>
            </w:pPr>
          </w:p>
        </w:tc>
      </w:tr>
      <w:tr w:rsidR="004E1A6E" w:rsidRPr="0098262F" w14:paraId="2EDFA60D" w14:textId="77777777" w:rsidTr="00250216">
        <w:trPr>
          <w:cantSplit/>
          <w:trHeight w:val="20"/>
        </w:trPr>
        <w:tc>
          <w:tcPr>
            <w:tcW w:w="9017" w:type="dxa"/>
            <w:gridSpan w:val="6"/>
            <w:vAlign w:val="center"/>
          </w:tcPr>
          <w:p w14:paraId="41EFFD92" w14:textId="77777777" w:rsidR="004E1A6E" w:rsidRPr="0098262F" w:rsidRDefault="004E1A6E" w:rsidP="0032717D">
            <w:pPr>
              <w:keepLines/>
              <w:jc w:val="left"/>
              <w:rPr>
                <w:rFonts w:ascii="Arial Narrow" w:hAnsi="Arial Narrow"/>
                <w:sz w:val="20"/>
                <w:szCs w:val="20"/>
              </w:rPr>
            </w:pPr>
            <w:r>
              <w:rPr>
                <w:rFonts w:ascii="Arial Narrow" w:hAnsi="Arial Narrow"/>
                <w:color w:val="000000" w:themeColor="text1"/>
                <w:sz w:val="20"/>
                <w:szCs w:val="20"/>
              </w:rPr>
              <w:t>Palovarotene (Flare-up treatment)</w:t>
            </w:r>
          </w:p>
        </w:tc>
      </w:tr>
      <w:tr w:rsidR="004E1A6E" w:rsidRPr="0098262F" w14:paraId="15B5B511" w14:textId="77777777" w:rsidTr="00250216">
        <w:trPr>
          <w:cantSplit/>
          <w:trHeight w:val="20"/>
        </w:trPr>
        <w:tc>
          <w:tcPr>
            <w:tcW w:w="2410" w:type="dxa"/>
            <w:vAlign w:val="center"/>
          </w:tcPr>
          <w:p w14:paraId="54F21CA9"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eastAsiaTheme="majorEastAsia" w:hAnsi="Arial Narrow" w:cstheme="majorBidi"/>
                <w:bCs/>
                <w:sz w:val="20"/>
              </w:rPr>
              <w:t>Palovarotene 1 mg capsule</w:t>
            </w:r>
          </w:p>
        </w:tc>
        <w:tc>
          <w:tcPr>
            <w:tcW w:w="2410" w:type="dxa"/>
          </w:tcPr>
          <w:p w14:paraId="6742545C" w14:textId="77777777" w:rsidR="004E1A6E" w:rsidRPr="0098262F" w:rsidRDefault="004E1A6E" w:rsidP="0032717D">
            <w:pPr>
              <w:pStyle w:val="TableText0"/>
              <w:keepNext w:val="0"/>
            </w:pPr>
            <w:r w:rsidRPr="00A02CAD">
              <w:t>$10,153.00</w:t>
            </w:r>
            <w:r w:rsidRPr="00A02CAD" w:rsidDel="00A02CAD">
              <w:t xml:space="preserve"> </w:t>
            </w:r>
            <w:r>
              <w:t>(</w:t>
            </w:r>
            <w:r w:rsidRPr="0098262F">
              <w:t>published price</w:t>
            </w:r>
            <w:r>
              <w:t>)</w:t>
            </w:r>
          </w:p>
          <w:p w14:paraId="76AB4CDF" w14:textId="67074D40" w:rsidR="004E1A6E" w:rsidRPr="0098262F" w:rsidRDefault="004E1A6E" w:rsidP="0032717D">
            <w:pPr>
              <w:pStyle w:val="TableText0"/>
              <w:keepNext w:val="0"/>
              <w:rPr>
                <w:szCs w:val="20"/>
              </w:rPr>
            </w:pPr>
            <w:r w:rsidRPr="00A02CAD">
              <w:t>$</w:t>
            </w:r>
            <w:r w:rsidR="00BD51C6">
              <w:rPr>
                <w:rFonts w:hint="eastAsia"/>
                <w:color w:val="000000"/>
                <w:w w:val="18"/>
                <w:shd w:val="solid" w:color="000000" w:fill="000000"/>
                <w:fitText w:val="80" w:id="-761524476"/>
                <w14:textFill>
                  <w14:solidFill>
                    <w14:srgbClr w14:val="000000">
                      <w14:alpha w14:val="100000"/>
                    </w14:srgbClr>
                  </w14:solidFill>
                </w14:textFill>
              </w:rPr>
              <w:t xml:space="preserve">　</w:t>
            </w:r>
            <w:r w:rsidR="00BD51C6">
              <w:rPr>
                <w:color w:val="000000"/>
                <w:w w:val="18"/>
                <w:shd w:val="solid" w:color="000000" w:fill="000000"/>
                <w:fitText w:val="80" w:id="-761524476"/>
                <w14:textFill>
                  <w14:solidFill>
                    <w14:srgbClr w14:val="000000">
                      <w14:alpha w14:val="100000"/>
                    </w14:srgbClr>
                  </w14:solidFill>
                </w14:textFill>
              </w:rPr>
              <w:t>|</w:t>
            </w:r>
            <w:r w:rsidR="00BD51C6">
              <w:rPr>
                <w:rFonts w:hint="eastAsia"/>
                <w:color w:val="000000"/>
                <w:spacing w:val="1"/>
                <w:w w:val="18"/>
                <w:shd w:val="solid" w:color="000000" w:fill="000000"/>
                <w:fitText w:val="80" w:id="-761524476"/>
                <w14:textFill>
                  <w14:solidFill>
                    <w14:srgbClr w14:val="000000">
                      <w14:alpha w14:val="100000"/>
                    </w14:srgbClr>
                  </w14:solidFill>
                </w14:textFill>
              </w:rPr>
              <w:t xml:space="preserve">　</w:t>
            </w:r>
            <w:r w:rsidRPr="00A02CAD" w:rsidDel="00A02CAD">
              <w:t xml:space="preserve"> </w:t>
            </w:r>
            <w:r>
              <w:t>(effective price)</w:t>
            </w:r>
          </w:p>
        </w:tc>
        <w:tc>
          <w:tcPr>
            <w:tcW w:w="850" w:type="dxa"/>
            <w:vAlign w:val="center"/>
          </w:tcPr>
          <w:p w14:paraId="24B10618"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36437C98"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560F9DB2" w14:textId="77777777" w:rsidR="004E1A6E" w:rsidRPr="0098262F" w:rsidRDefault="004E1A6E" w:rsidP="0032717D">
            <w:pPr>
              <w:keepLines/>
              <w:jc w:val="center"/>
              <w:rPr>
                <w:rFonts w:ascii="Arial Narrow" w:hAnsi="Arial Narrow"/>
                <w:sz w:val="20"/>
                <w:szCs w:val="20"/>
              </w:rPr>
            </w:pPr>
            <w:r>
              <w:rPr>
                <w:rFonts w:ascii="Arial Narrow" w:hAnsi="Arial Narrow"/>
                <w:sz w:val="20"/>
              </w:rPr>
              <w:t>2</w:t>
            </w:r>
          </w:p>
        </w:tc>
        <w:tc>
          <w:tcPr>
            <w:tcW w:w="1646" w:type="dxa"/>
            <w:vMerge w:val="restart"/>
            <w:vAlign w:val="center"/>
          </w:tcPr>
          <w:p w14:paraId="3021A4A2" w14:textId="77777777" w:rsidR="004E1A6E" w:rsidRPr="0098262F" w:rsidRDefault="004E1A6E" w:rsidP="0032717D">
            <w:pPr>
              <w:keepLines/>
              <w:jc w:val="center"/>
              <w:rPr>
                <w:rFonts w:ascii="Arial Narrow" w:hAnsi="Arial Narrow"/>
                <w:sz w:val="20"/>
                <w:szCs w:val="20"/>
              </w:rPr>
            </w:pPr>
            <w:r w:rsidRPr="00D01E11">
              <w:rPr>
                <w:rFonts w:ascii="Arial Narrow" w:hAnsi="Arial Narrow"/>
                <w:sz w:val="20"/>
                <w:szCs w:val="20"/>
              </w:rPr>
              <w:t>SOHONOS</w:t>
            </w:r>
          </w:p>
        </w:tc>
      </w:tr>
      <w:tr w:rsidR="004E1A6E" w:rsidRPr="0098262F" w14:paraId="65321088" w14:textId="77777777" w:rsidTr="00250216">
        <w:trPr>
          <w:cantSplit/>
          <w:trHeight w:val="20"/>
        </w:trPr>
        <w:tc>
          <w:tcPr>
            <w:tcW w:w="2410" w:type="dxa"/>
            <w:vAlign w:val="center"/>
          </w:tcPr>
          <w:p w14:paraId="76F01B53"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hAnsi="Arial Narrow"/>
                <w:color w:val="000000" w:themeColor="text1"/>
                <w:sz w:val="20"/>
                <w:szCs w:val="20"/>
              </w:rPr>
              <w:t>Palovarotene 1.5 mg capsule</w:t>
            </w:r>
          </w:p>
        </w:tc>
        <w:tc>
          <w:tcPr>
            <w:tcW w:w="2410" w:type="dxa"/>
          </w:tcPr>
          <w:p w14:paraId="74552A4C" w14:textId="77777777" w:rsidR="004E1A6E" w:rsidRPr="0098262F" w:rsidRDefault="004E1A6E" w:rsidP="0032717D">
            <w:pPr>
              <w:pStyle w:val="TableText0"/>
              <w:keepNext w:val="0"/>
            </w:pPr>
            <w:r w:rsidRPr="00A02CAD">
              <w:t>$15,148.20</w:t>
            </w:r>
            <w:r w:rsidRPr="00A02CAD" w:rsidDel="00A02CAD">
              <w:t xml:space="preserve"> </w:t>
            </w:r>
            <w:r>
              <w:t>(</w:t>
            </w:r>
            <w:r w:rsidRPr="0098262F">
              <w:t>published price</w:t>
            </w:r>
            <w:r>
              <w:t>)</w:t>
            </w:r>
          </w:p>
          <w:p w14:paraId="02449C13" w14:textId="51A88111" w:rsidR="004E1A6E" w:rsidRPr="0098262F" w:rsidRDefault="004E1A6E" w:rsidP="0032717D">
            <w:pPr>
              <w:pStyle w:val="TableText0"/>
              <w:keepNext w:val="0"/>
              <w:rPr>
                <w:szCs w:val="20"/>
              </w:rPr>
            </w:pPr>
            <w:r w:rsidRPr="00A02CAD">
              <w:t>$</w:t>
            </w:r>
            <w:r w:rsidR="00BD51C6">
              <w:rPr>
                <w:rFonts w:hint="eastAsia"/>
                <w:color w:val="000000"/>
                <w:w w:val="18"/>
                <w:shd w:val="solid" w:color="000000" w:fill="000000"/>
                <w:fitText w:val="80" w:id="-761524475"/>
                <w14:textFill>
                  <w14:solidFill>
                    <w14:srgbClr w14:val="000000">
                      <w14:alpha w14:val="100000"/>
                    </w14:srgbClr>
                  </w14:solidFill>
                </w14:textFill>
              </w:rPr>
              <w:t xml:space="preserve">　</w:t>
            </w:r>
            <w:r w:rsidR="00BD51C6">
              <w:rPr>
                <w:color w:val="000000"/>
                <w:w w:val="18"/>
                <w:shd w:val="solid" w:color="000000" w:fill="000000"/>
                <w:fitText w:val="80" w:id="-761524475"/>
                <w14:textFill>
                  <w14:solidFill>
                    <w14:srgbClr w14:val="000000">
                      <w14:alpha w14:val="100000"/>
                    </w14:srgbClr>
                  </w14:solidFill>
                </w14:textFill>
              </w:rPr>
              <w:t>|</w:t>
            </w:r>
            <w:r w:rsidR="00BD51C6">
              <w:rPr>
                <w:rFonts w:hint="eastAsia"/>
                <w:color w:val="000000"/>
                <w:spacing w:val="1"/>
                <w:w w:val="18"/>
                <w:shd w:val="solid" w:color="000000" w:fill="000000"/>
                <w:fitText w:val="80" w:id="-761524475"/>
                <w14:textFill>
                  <w14:solidFill>
                    <w14:srgbClr w14:val="000000">
                      <w14:alpha w14:val="100000"/>
                    </w14:srgbClr>
                  </w14:solidFill>
                </w14:textFill>
              </w:rPr>
              <w:t xml:space="preserve">　</w:t>
            </w:r>
            <w:r w:rsidRPr="00A02CAD" w:rsidDel="00A02CAD">
              <w:t xml:space="preserve"> </w:t>
            </w:r>
            <w:r>
              <w:t>(</w:t>
            </w:r>
            <w:r w:rsidRPr="0098262F">
              <w:t>effective price</w:t>
            </w:r>
            <w:r>
              <w:t>)</w:t>
            </w:r>
          </w:p>
        </w:tc>
        <w:tc>
          <w:tcPr>
            <w:tcW w:w="850" w:type="dxa"/>
            <w:vAlign w:val="center"/>
          </w:tcPr>
          <w:p w14:paraId="1D243F20"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12966747"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2F04BF33" w14:textId="77777777" w:rsidR="004E1A6E" w:rsidRPr="0098262F" w:rsidRDefault="004E1A6E" w:rsidP="0032717D">
            <w:pPr>
              <w:keepLines/>
              <w:jc w:val="center"/>
              <w:rPr>
                <w:rFonts w:ascii="Arial Narrow" w:hAnsi="Arial Narrow"/>
                <w:sz w:val="20"/>
                <w:szCs w:val="20"/>
              </w:rPr>
            </w:pPr>
            <w:r>
              <w:rPr>
                <w:rFonts w:ascii="Arial Narrow" w:hAnsi="Arial Narrow"/>
                <w:sz w:val="20"/>
              </w:rPr>
              <w:t>2</w:t>
            </w:r>
          </w:p>
        </w:tc>
        <w:tc>
          <w:tcPr>
            <w:tcW w:w="1646" w:type="dxa"/>
            <w:vMerge/>
            <w:vAlign w:val="center"/>
          </w:tcPr>
          <w:p w14:paraId="6427C80A" w14:textId="77777777" w:rsidR="004E1A6E" w:rsidRPr="0098262F" w:rsidRDefault="004E1A6E" w:rsidP="0032717D">
            <w:pPr>
              <w:keepLines/>
              <w:jc w:val="center"/>
              <w:rPr>
                <w:rFonts w:ascii="Arial Narrow" w:hAnsi="Arial Narrow"/>
                <w:sz w:val="20"/>
                <w:szCs w:val="20"/>
              </w:rPr>
            </w:pPr>
          </w:p>
        </w:tc>
      </w:tr>
      <w:tr w:rsidR="004E1A6E" w:rsidRPr="0098262F" w14:paraId="0EBD36E4" w14:textId="77777777" w:rsidTr="00250216">
        <w:trPr>
          <w:cantSplit/>
          <w:trHeight w:val="20"/>
        </w:trPr>
        <w:tc>
          <w:tcPr>
            <w:tcW w:w="2410" w:type="dxa"/>
            <w:vAlign w:val="center"/>
          </w:tcPr>
          <w:p w14:paraId="4CB116A2"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hAnsi="Arial Narrow"/>
                <w:color w:val="000000" w:themeColor="text1"/>
                <w:sz w:val="20"/>
                <w:szCs w:val="20"/>
              </w:rPr>
              <w:t>Palovarotene 2.5 mg capsule</w:t>
            </w:r>
          </w:p>
        </w:tc>
        <w:tc>
          <w:tcPr>
            <w:tcW w:w="2410" w:type="dxa"/>
            <w:vAlign w:val="center"/>
          </w:tcPr>
          <w:p w14:paraId="40BE2DE7" w14:textId="77777777" w:rsidR="004E1A6E" w:rsidRDefault="004E1A6E" w:rsidP="0032717D">
            <w:pPr>
              <w:keepLines/>
              <w:jc w:val="center"/>
              <w:rPr>
                <w:rFonts w:ascii="Arial Narrow" w:hAnsi="Arial Narrow"/>
                <w:sz w:val="20"/>
                <w:szCs w:val="20"/>
              </w:rPr>
            </w:pPr>
            <w:r w:rsidRPr="00A02CAD">
              <w:rPr>
                <w:rFonts w:ascii="Arial Narrow" w:hAnsi="Arial Narrow"/>
                <w:sz w:val="20"/>
                <w:szCs w:val="20"/>
              </w:rPr>
              <w:t>$25,138.60</w:t>
            </w:r>
            <w:r w:rsidRPr="00A02CAD" w:rsidDel="00A02CAD">
              <w:rPr>
                <w:rFonts w:ascii="Arial Narrow" w:hAnsi="Arial Narrow"/>
                <w:sz w:val="20"/>
                <w:szCs w:val="20"/>
              </w:rPr>
              <w:t xml:space="preserve"> </w:t>
            </w:r>
            <w:r>
              <w:rPr>
                <w:rFonts w:ascii="Arial Narrow" w:hAnsi="Arial Narrow"/>
                <w:sz w:val="20"/>
                <w:szCs w:val="20"/>
              </w:rPr>
              <w:t>(published price)</w:t>
            </w:r>
          </w:p>
          <w:p w14:paraId="5AF3C3B8" w14:textId="6A07FE46" w:rsidR="004E1A6E" w:rsidRPr="0098262F" w:rsidRDefault="004E1A6E" w:rsidP="0032717D">
            <w:pPr>
              <w:keepLines/>
              <w:jc w:val="center"/>
              <w:rPr>
                <w:rFonts w:ascii="Arial Narrow" w:hAnsi="Arial Narrow"/>
                <w:sz w:val="20"/>
                <w:szCs w:val="20"/>
              </w:rPr>
            </w:pPr>
            <w:r w:rsidRPr="00A02CAD">
              <w:rPr>
                <w:rFonts w:ascii="Arial Narrow" w:hAnsi="Arial Narrow"/>
                <w:sz w:val="20"/>
                <w:szCs w:val="20"/>
              </w:rPr>
              <w:t>$</w:t>
            </w:r>
            <w:r w:rsidR="00BD51C6">
              <w:rPr>
                <w:rFonts w:ascii="Arial Narrow" w:hAnsi="Arial Narrow" w:hint="eastAsia"/>
                <w:color w:val="000000"/>
                <w:w w:val="18"/>
                <w:sz w:val="20"/>
                <w:szCs w:val="20"/>
                <w:shd w:val="solid" w:color="000000" w:fill="000000"/>
                <w:fitText w:val="80" w:id="-761524474"/>
                <w14:textFill>
                  <w14:solidFill>
                    <w14:srgbClr w14:val="000000">
                      <w14:alpha w14:val="100000"/>
                    </w14:srgbClr>
                  </w14:solidFill>
                </w14:textFill>
              </w:rPr>
              <w:t xml:space="preserve">　</w:t>
            </w:r>
            <w:r w:rsidR="00BD51C6">
              <w:rPr>
                <w:rFonts w:ascii="Arial Narrow" w:hAnsi="Arial Narrow"/>
                <w:color w:val="000000"/>
                <w:w w:val="18"/>
                <w:sz w:val="20"/>
                <w:szCs w:val="20"/>
                <w:shd w:val="solid" w:color="000000" w:fill="000000"/>
                <w:fitText w:val="80" w:id="-761524474"/>
                <w14:textFill>
                  <w14:solidFill>
                    <w14:srgbClr w14:val="000000">
                      <w14:alpha w14:val="100000"/>
                    </w14:srgbClr>
                  </w14:solidFill>
                </w14:textFill>
              </w:rPr>
              <w:t>|</w:t>
            </w:r>
            <w:r w:rsidR="00BD51C6">
              <w:rPr>
                <w:rFonts w:ascii="Arial Narrow" w:hAnsi="Arial Narrow" w:hint="eastAsia"/>
                <w:color w:val="000000"/>
                <w:spacing w:val="1"/>
                <w:w w:val="18"/>
                <w:sz w:val="20"/>
                <w:szCs w:val="20"/>
                <w:shd w:val="solid" w:color="000000" w:fill="000000"/>
                <w:fitText w:val="80" w:id="-761524474"/>
                <w14:textFill>
                  <w14:solidFill>
                    <w14:srgbClr w14:val="000000">
                      <w14:alpha w14:val="100000"/>
                    </w14:srgbClr>
                  </w14:solidFill>
                </w14:textFill>
              </w:rPr>
              <w:t xml:space="preserve">　</w:t>
            </w:r>
            <w:r w:rsidRPr="00A02CAD" w:rsidDel="00A02CAD">
              <w:rPr>
                <w:rFonts w:ascii="Arial Narrow" w:hAnsi="Arial Narrow"/>
                <w:sz w:val="20"/>
                <w:szCs w:val="20"/>
              </w:rPr>
              <w:t xml:space="preserve"> </w:t>
            </w:r>
            <w:r>
              <w:rPr>
                <w:rFonts w:ascii="Arial Narrow" w:hAnsi="Arial Narrow"/>
                <w:sz w:val="20"/>
                <w:szCs w:val="20"/>
              </w:rPr>
              <w:t>(effective price)</w:t>
            </w:r>
          </w:p>
        </w:tc>
        <w:tc>
          <w:tcPr>
            <w:tcW w:w="850" w:type="dxa"/>
            <w:vAlign w:val="center"/>
          </w:tcPr>
          <w:p w14:paraId="54A84AA6"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5744B638"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020F5C1D" w14:textId="77777777" w:rsidR="004E1A6E" w:rsidRPr="0098262F" w:rsidRDefault="004E1A6E" w:rsidP="0032717D">
            <w:pPr>
              <w:keepLines/>
              <w:jc w:val="center"/>
              <w:rPr>
                <w:rFonts w:ascii="Arial Narrow" w:hAnsi="Arial Narrow"/>
                <w:sz w:val="20"/>
                <w:szCs w:val="20"/>
              </w:rPr>
            </w:pPr>
            <w:r>
              <w:rPr>
                <w:rFonts w:ascii="Arial Narrow" w:hAnsi="Arial Narrow"/>
                <w:sz w:val="20"/>
              </w:rPr>
              <w:t>2</w:t>
            </w:r>
          </w:p>
        </w:tc>
        <w:tc>
          <w:tcPr>
            <w:tcW w:w="1646" w:type="dxa"/>
            <w:vMerge/>
            <w:vAlign w:val="center"/>
          </w:tcPr>
          <w:p w14:paraId="224D68E1" w14:textId="77777777" w:rsidR="004E1A6E" w:rsidRPr="0098262F" w:rsidRDefault="004E1A6E" w:rsidP="0032717D">
            <w:pPr>
              <w:keepLines/>
              <w:jc w:val="center"/>
              <w:rPr>
                <w:rFonts w:ascii="Arial Narrow" w:hAnsi="Arial Narrow"/>
                <w:sz w:val="20"/>
                <w:szCs w:val="20"/>
              </w:rPr>
            </w:pPr>
          </w:p>
        </w:tc>
      </w:tr>
      <w:tr w:rsidR="004E1A6E" w:rsidRPr="0098262F" w14:paraId="7AF1BD7F" w14:textId="77777777" w:rsidTr="00250216">
        <w:trPr>
          <w:cantSplit/>
          <w:trHeight w:val="20"/>
        </w:trPr>
        <w:tc>
          <w:tcPr>
            <w:tcW w:w="2410" w:type="dxa"/>
            <w:vAlign w:val="center"/>
          </w:tcPr>
          <w:p w14:paraId="0BEF8752" w14:textId="77777777" w:rsidR="004E1A6E" w:rsidRPr="00D01E11" w:rsidRDefault="004E1A6E" w:rsidP="0032717D">
            <w:pPr>
              <w:keepLines/>
              <w:tabs>
                <w:tab w:val="left" w:pos="1077"/>
              </w:tabs>
              <w:rPr>
                <w:rFonts w:ascii="Arial Narrow" w:hAnsi="Arial Narrow"/>
                <w:color w:val="000000" w:themeColor="text1"/>
                <w:sz w:val="20"/>
                <w:szCs w:val="20"/>
              </w:rPr>
            </w:pPr>
            <w:r w:rsidRPr="00D01E11">
              <w:rPr>
                <w:rFonts w:ascii="Arial Narrow" w:hAnsi="Arial Narrow"/>
                <w:color w:val="000000" w:themeColor="text1"/>
                <w:sz w:val="20"/>
                <w:szCs w:val="20"/>
              </w:rPr>
              <w:t>Palovarotene 5 mg capsule</w:t>
            </w:r>
          </w:p>
        </w:tc>
        <w:tc>
          <w:tcPr>
            <w:tcW w:w="2410" w:type="dxa"/>
            <w:vAlign w:val="center"/>
          </w:tcPr>
          <w:p w14:paraId="7F271AFE" w14:textId="77777777" w:rsidR="004E1A6E" w:rsidRDefault="004E1A6E" w:rsidP="0032717D">
            <w:pPr>
              <w:keepLines/>
              <w:jc w:val="center"/>
              <w:rPr>
                <w:rFonts w:ascii="Arial Narrow" w:hAnsi="Arial Narrow"/>
                <w:sz w:val="20"/>
                <w:szCs w:val="20"/>
              </w:rPr>
            </w:pPr>
            <w:r w:rsidRPr="00A02CAD">
              <w:rPr>
                <w:rFonts w:ascii="Arial Narrow" w:hAnsi="Arial Narrow"/>
                <w:sz w:val="20"/>
                <w:szCs w:val="20"/>
              </w:rPr>
              <w:t>$50,114.60</w:t>
            </w:r>
            <w:r w:rsidRPr="00A02CAD" w:rsidDel="00A02CAD">
              <w:rPr>
                <w:rFonts w:ascii="Arial Narrow" w:hAnsi="Arial Narrow"/>
                <w:sz w:val="20"/>
                <w:szCs w:val="20"/>
              </w:rPr>
              <w:t xml:space="preserve"> </w:t>
            </w:r>
            <w:r>
              <w:rPr>
                <w:rFonts w:ascii="Arial Narrow" w:hAnsi="Arial Narrow"/>
                <w:sz w:val="20"/>
                <w:szCs w:val="20"/>
              </w:rPr>
              <w:t>(published price)</w:t>
            </w:r>
          </w:p>
          <w:p w14:paraId="1A438A0C" w14:textId="0470EFB1" w:rsidR="004E1A6E" w:rsidRPr="0098262F" w:rsidRDefault="004E1A6E" w:rsidP="0032717D">
            <w:pPr>
              <w:keepLines/>
              <w:jc w:val="center"/>
              <w:rPr>
                <w:rFonts w:ascii="Arial Narrow" w:hAnsi="Arial Narrow"/>
                <w:sz w:val="20"/>
                <w:szCs w:val="20"/>
              </w:rPr>
            </w:pPr>
            <w:r w:rsidRPr="00A02CAD">
              <w:rPr>
                <w:rFonts w:ascii="Arial Narrow" w:hAnsi="Arial Narrow"/>
                <w:sz w:val="20"/>
                <w:szCs w:val="20"/>
              </w:rPr>
              <w:t>$</w:t>
            </w:r>
            <w:r w:rsidR="00BD51C6">
              <w:rPr>
                <w:rFonts w:ascii="Arial Narrow" w:hAnsi="Arial Narrow" w:hint="eastAsia"/>
                <w:color w:val="000000"/>
                <w:w w:val="18"/>
                <w:sz w:val="20"/>
                <w:szCs w:val="20"/>
                <w:shd w:val="solid" w:color="000000" w:fill="000000"/>
                <w:fitText w:val="80" w:id="-761524473"/>
                <w14:textFill>
                  <w14:solidFill>
                    <w14:srgbClr w14:val="000000">
                      <w14:alpha w14:val="100000"/>
                    </w14:srgbClr>
                  </w14:solidFill>
                </w14:textFill>
              </w:rPr>
              <w:t xml:space="preserve">　</w:t>
            </w:r>
            <w:r w:rsidR="00BD51C6">
              <w:rPr>
                <w:rFonts w:ascii="Arial Narrow" w:hAnsi="Arial Narrow"/>
                <w:color w:val="000000"/>
                <w:w w:val="18"/>
                <w:sz w:val="20"/>
                <w:szCs w:val="20"/>
                <w:shd w:val="solid" w:color="000000" w:fill="000000"/>
                <w:fitText w:val="80" w:id="-761524473"/>
                <w14:textFill>
                  <w14:solidFill>
                    <w14:srgbClr w14:val="000000">
                      <w14:alpha w14:val="100000"/>
                    </w14:srgbClr>
                  </w14:solidFill>
                </w14:textFill>
              </w:rPr>
              <w:t>|</w:t>
            </w:r>
            <w:r w:rsidR="00BD51C6">
              <w:rPr>
                <w:rFonts w:ascii="Arial Narrow" w:hAnsi="Arial Narrow" w:hint="eastAsia"/>
                <w:color w:val="000000"/>
                <w:spacing w:val="1"/>
                <w:w w:val="18"/>
                <w:sz w:val="20"/>
                <w:szCs w:val="20"/>
                <w:shd w:val="solid" w:color="000000" w:fill="000000"/>
                <w:fitText w:val="80" w:id="-761524473"/>
                <w14:textFill>
                  <w14:solidFill>
                    <w14:srgbClr w14:val="000000">
                      <w14:alpha w14:val="100000"/>
                    </w14:srgbClr>
                  </w14:solidFill>
                </w14:textFill>
              </w:rPr>
              <w:t xml:space="preserve">　</w:t>
            </w:r>
            <w:r w:rsidRPr="00A02CAD" w:rsidDel="00A02CAD">
              <w:rPr>
                <w:rFonts w:ascii="Arial Narrow" w:hAnsi="Arial Narrow"/>
                <w:sz w:val="20"/>
                <w:szCs w:val="20"/>
              </w:rPr>
              <w:t xml:space="preserve"> </w:t>
            </w:r>
            <w:r>
              <w:rPr>
                <w:rFonts w:ascii="Arial Narrow" w:hAnsi="Arial Narrow"/>
                <w:sz w:val="20"/>
                <w:szCs w:val="20"/>
              </w:rPr>
              <w:t>(effective price)</w:t>
            </w:r>
          </w:p>
        </w:tc>
        <w:tc>
          <w:tcPr>
            <w:tcW w:w="850" w:type="dxa"/>
            <w:vAlign w:val="center"/>
          </w:tcPr>
          <w:p w14:paraId="2C13A6EF" w14:textId="77777777" w:rsidR="004E1A6E" w:rsidRPr="0098262F" w:rsidRDefault="004E1A6E" w:rsidP="0032717D">
            <w:pPr>
              <w:keepLines/>
              <w:jc w:val="center"/>
              <w:rPr>
                <w:rFonts w:ascii="Arial Narrow" w:hAnsi="Arial Narrow"/>
                <w:sz w:val="20"/>
                <w:szCs w:val="20"/>
              </w:rPr>
            </w:pPr>
            <w:r>
              <w:rPr>
                <w:rFonts w:ascii="Arial Narrow" w:hAnsi="Arial Narrow"/>
                <w:sz w:val="20"/>
              </w:rPr>
              <w:t>1^</w:t>
            </w:r>
          </w:p>
        </w:tc>
        <w:tc>
          <w:tcPr>
            <w:tcW w:w="851" w:type="dxa"/>
            <w:vAlign w:val="center"/>
          </w:tcPr>
          <w:p w14:paraId="08F7D7A0" w14:textId="77777777" w:rsidR="004E1A6E" w:rsidRPr="0098262F" w:rsidRDefault="004E1A6E" w:rsidP="0032717D">
            <w:pPr>
              <w:keepLines/>
              <w:jc w:val="center"/>
              <w:rPr>
                <w:rFonts w:ascii="Arial Narrow" w:hAnsi="Arial Narrow"/>
                <w:sz w:val="20"/>
                <w:szCs w:val="20"/>
              </w:rPr>
            </w:pPr>
            <w:r>
              <w:rPr>
                <w:rFonts w:ascii="Arial Narrow" w:hAnsi="Arial Narrow"/>
                <w:sz w:val="20"/>
              </w:rPr>
              <w:t>28^</w:t>
            </w:r>
          </w:p>
        </w:tc>
        <w:tc>
          <w:tcPr>
            <w:tcW w:w="850" w:type="dxa"/>
            <w:vAlign w:val="center"/>
          </w:tcPr>
          <w:p w14:paraId="2717BC77" w14:textId="77777777" w:rsidR="004E1A6E" w:rsidRPr="0098262F" w:rsidRDefault="004E1A6E" w:rsidP="0032717D">
            <w:pPr>
              <w:keepLines/>
              <w:jc w:val="center"/>
              <w:rPr>
                <w:rFonts w:ascii="Arial Narrow" w:hAnsi="Arial Narrow"/>
                <w:sz w:val="20"/>
                <w:szCs w:val="20"/>
              </w:rPr>
            </w:pPr>
            <w:r>
              <w:rPr>
                <w:rFonts w:ascii="Arial Narrow" w:hAnsi="Arial Narrow"/>
                <w:sz w:val="20"/>
              </w:rPr>
              <w:t>2</w:t>
            </w:r>
          </w:p>
        </w:tc>
        <w:tc>
          <w:tcPr>
            <w:tcW w:w="1646" w:type="dxa"/>
            <w:vMerge/>
            <w:vAlign w:val="center"/>
          </w:tcPr>
          <w:p w14:paraId="54A5E291" w14:textId="77777777" w:rsidR="004E1A6E" w:rsidRPr="0098262F" w:rsidRDefault="004E1A6E" w:rsidP="0032717D">
            <w:pPr>
              <w:keepLines/>
              <w:jc w:val="center"/>
              <w:rPr>
                <w:rFonts w:ascii="Arial Narrow" w:hAnsi="Arial Narrow"/>
                <w:sz w:val="20"/>
                <w:szCs w:val="20"/>
              </w:rPr>
            </w:pPr>
          </w:p>
        </w:tc>
      </w:tr>
      <w:tr w:rsidR="004E1A6E" w:rsidRPr="0098262F" w14:paraId="5BC06D01" w14:textId="77777777" w:rsidTr="00250216">
        <w:trPr>
          <w:cantSplit/>
          <w:trHeight w:val="20"/>
        </w:trPr>
        <w:tc>
          <w:tcPr>
            <w:tcW w:w="2410" w:type="dxa"/>
            <w:vAlign w:val="center"/>
          </w:tcPr>
          <w:p w14:paraId="26FFB5C3" w14:textId="77777777" w:rsidR="004E1A6E" w:rsidRPr="00D01E11" w:rsidRDefault="004E1A6E" w:rsidP="0032717D">
            <w:pPr>
              <w:keepLines/>
              <w:tabs>
                <w:tab w:val="left" w:pos="1077"/>
              </w:tabs>
              <w:rPr>
                <w:rFonts w:ascii="Arial Narrow" w:hAnsi="Arial Narrow"/>
                <w:color w:val="000000" w:themeColor="text1"/>
                <w:sz w:val="20"/>
                <w:szCs w:val="20"/>
              </w:rPr>
            </w:pPr>
            <w:r>
              <w:rPr>
                <w:rFonts w:ascii="Arial Narrow" w:hAnsi="Arial Narrow"/>
                <w:color w:val="000000" w:themeColor="text1"/>
                <w:sz w:val="20"/>
                <w:szCs w:val="20"/>
              </w:rPr>
              <w:t>Palovarotene 10 mg capsule</w:t>
            </w:r>
          </w:p>
        </w:tc>
        <w:tc>
          <w:tcPr>
            <w:tcW w:w="2410" w:type="dxa"/>
            <w:vAlign w:val="center"/>
          </w:tcPr>
          <w:p w14:paraId="3AECC0A6" w14:textId="77777777" w:rsidR="004E1A6E" w:rsidRDefault="004E1A6E" w:rsidP="0032717D">
            <w:pPr>
              <w:keepLines/>
              <w:jc w:val="center"/>
              <w:rPr>
                <w:rFonts w:ascii="Arial Narrow" w:hAnsi="Arial Narrow"/>
                <w:sz w:val="20"/>
                <w:szCs w:val="20"/>
              </w:rPr>
            </w:pPr>
            <w:r w:rsidRPr="00A02CAD">
              <w:rPr>
                <w:rFonts w:ascii="Arial Narrow" w:hAnsi="Arial Narrow"/>
                <w:sz w:val="20"/>
                <w:szCs w:val="20"/>
              </w:rPr>
              <w:t>$100,066.60</w:t>
            </w:r>
            <w:r w:rsidRPr="00A02CAD" w:rsidDel="00A02CAD">
              <w:rPr>
                <w:rFonts w:ascii="Arial Narrow" w:hAnsi="Arial Narrow"/>
                <w:sz w:val="20"/>
                <w:szCs w:val="20"/>
              </w:rPr>
              <w:t xml:space="preserve"> </w:t>
            </w:r>
            <w:r>
              <w:rPr>
                <w:rFonts w:ascii="Arial Narrow" w:hAnsi="Arial Narrow"/>
                <w:sz w:val="20"/>
                <w:szCs w:val="20"/>
              </w:rPr>
              <w:t>(published price)</w:t>
            </w:r>
          </w:p>
          <w:p w14:paraId="27A76CBC" w14:textId="719FDC65" w:rsidR="004E1A6E" w:rsidRDefault="004E1A6E" w:rsidP="0032717D">
            <w:pPr>
              <w:keepLines/>
              <w:jc w:val="center"/>
              <w:rPr>
                <w:rFonts w:ascii="Arial Narrow" w:hAnsi="Arial Narrow"/>
                <w:sz w:val="20"/>
                <w:szCs w:val="20"/>
              </w:rPr>
            </w:pPr>
            <w:r w:rsidRPr="00A02CAD">
              <w:rPr>
                <w:rFonts w:ascii="Arial Narrow" w:hAnsi="Arial Narrow"/>
                <w:sz w:val="20"/>
                <w:szCs w:val="20"/>
              </w:rPr>
              <w:t>$</w:t>
            </w:r>
            <w:r w:rsidR="00BD51C6">
              <w:rPr>
                <w:rFonts w:ascii="Arial Narrow" w:hAnsi="Arial Narrow" w:hint="eastAsia"/>
                <w:color w:val="000000"/>
                <w:w w:val="18"/>
                <w:sz w:val="20"/>
                <w:szCs w:val="20"/>
                <w:shd w:val="solid" w:color="000000" w:fill="000000"/>
                <w:fitText w:val="80" w:id="-761524472"/>
                <w14:textFill>
                  <w14:solidFill>
                    <w14:srgbClr w14:val="000000">
                      <w14:alpha w14:val="100000"/>
                    </w14:srgbClr>
                  </w14:solidFill>
                </w14:textFill>
              </w:rPr>
              <w:t xml:space="preserve">　</w:t>
            </w:r>
            <w:r w:rsidR="00BD51C6">
              <w:rPr>
                <w:rFonts w:ascii="Arial Narrow" w:hAnsi="Arial Narrow"/>
                <w:color w:val="000000"/>
                <w:w w:val="18"/>
                <w:sz w:val="20"/>
                <w:szCs w:val="20"/>
                <w:shd w:val="solid" w:color="000000" w:fill="000000"/>
                <w:fitText w:val="80" w:id="-761524472"/>
                <w14:textFill>
                  <w14:solidFill>
                    <w14:srgbClr w14:val="000000">
                      <w14:alpha w14:val="100000"/>
                    </w14:srgbClr>
                  </w14:solidFill>
                </w14:textFill>
              </w:rPr>
              <w:t>|</w:t>
            </w:r>
            <w:r w:rsidR="00BD51C6">
              <w:rPr>
                <w:rFonts w:ascii="Arial Narrow" w:hAnsi="Arial Narrow" w:hint="eastAsia"/>
                <w:color w:val="000000"/>
                <w:spacing w:val="1"/>
                <w:w w:val="18"/>
                <w:sz w:val="20"/>
                <w:szCs w:val="20"/>
                <w:shd w:val="solid" w:color="000000" w:fill="000000"/>
                <w:fitText w:val="80" w:id="-761524472"/>
                <w14:textFill>
                  <w14:solidFill>
                    <w14:srgbClr w14:val="000000">
                      <w14:alpha w14:val="100000"/>
                    </w14:srgbClr>
                  </w14:solidFill>
                </w14:textFill>
              </w:rPr>
              <w:t xml:space="preserve">　</w:t>
            </w:r>
            <w:r w:rsidRPr="00A02CAD" w:rsidDel="00A02CAD">
              <w:rPr>
                <w:rFonts w:ascii="Arial Narrow" w:hAnsi="Arial Narrow"/>
                <w:sz w:val="20"/>
                <w:szCs w:val="20"/>
              </w:rPr>
              <w:t xml:space="preserve"> </w:t>
            </w:r>
            <w:r>
              <w:rPr>
                <w:rFonts w:ascii="Arial Narrow" w:hAnsi="Arial Narrow"/>
                <w:sz w:val="20"/>
                <w:szCs w:val="20"/>
              </w:rPr>
              <w:t>(effective price)</w:t>
            </w:r>
          </w:p>
        </w:tc>
        <w:tc>
          <w:tcPr>
            <w:tcW w:w="850" w:type="dxa"/>
            <w:vAlign w:val="center"/>
          </w:tcPr>
          <w:p w14:paraId="5D032643" w14:textId="77777777" w:rsidR="004E1A6E" w:rsidRDefault="004E1A6E" w:rsidP="0032717D">
            <w:pPr>
              <w:keepLines/>
              <w:jc w:val="center"/>
              <w:rPr>
                <w:rFonts w:ascii="Arial Narrow" w:hAnsi="Arial Narrow"/>
                <w:sz w:val="20"/>
              </w:rPr>
            </w:pPr>
            <w:r>
              <w:rPr>
                <w:rFonts w:ascii="Arial Narrow" w:hAnsi="Arial Narrow"/>
                <w:sz w:val="20"/>
              </w:rPr>
              <w:t>1^</w:t>
            </w:r>
          </w:p>
        </w:tc>
        <w:tc>
          <w:tcPr>
            <w:tcW w:w="851" w:type="dxa"/>
            <w:vAlign w:val="center"/>
          </w:tcPr>
          <w:p w14:paraId="5CDFBA7F" w14:textId="77777777" w:rsidR="004E1A6E" w:rsidRDefault="004E1A6E" w:rsidP="0032717D">
            <w:pPr>
              <w:keepLines/>
              <w:jc w:val="center"/>
              <w:rPr>
                <w:rFonts w:ascii="Arial Narrow" w:hAnsi="Arial Narrow"/>
                <w:sz w:val="20"/>
              </w:rPr>
            </w:pPr>
            <w:r>
              <w:rPr>
                <w:rFonts w:ascii="Arial Narrow" w:hAnsi="Arial Narrow"/>
                <w:sz w:val="20"/>
              </w:rPr>
              <w:t>28^</w:t>
            </w:r>
          </w:p>
        </w:tc>
        <w:tc>
          <w:tcPr>
            <w:tcW w:w="850" w:type="dxa"/>
            <w:vAlign w:val="center"/>
          </w:tcPr>
          <w:p w14:paraId="0E027208" w14:textId="77777777" w:rsidR="004E1A6E" w:rsidRDefault="004E1A6E" w:rsidP="0032717D">
            <w:pPr>
              <w:keepLines/>
              <w:jc w:val="center"/>
              <w:rPr>
                <w:rFonts w:ascii="Arial Narrow" w:hAnsi="Arial Narrow"/>
                <w:sz w:val="20"/>
                <w:szCs w:val="20"/>
              </w:rPr>
            </w:pPr>
            <w:r>
              <w:rPr>
                <w:rFonts w:ascii="Arial Narrow" w:hAnsi="Arial Narrow"/>
                <w:sz w:val="20"/>
              </w:rPr>
              <w:t>2</w:t>
            </w:r>
          </w:p>
        </w:tc>
        <w:tc>
          <w:tcPr>
            <w:tcW w:w="1646" w:type="dxa"/>
            <w:vMerge/>
            <w:vAlign w:val="center"/>
          </w:tcPr>
          <w:p w14:paraId="0EDD52DC" w14:textId="77777777" w:rsidR="004E1A6E" w:rsidRPr="0098262F" w:rsidRDefault="004E1A6E" w:rsidP="0032717D">
            <w:pPr>
              <w:keepLines/>
              <w:jc w:val="center"/>
              <w:rPr>
                <w:rFonts w:ascii="Arial Narrow" w:hAnsi="Arial Narrow"/>
                <w:sz w:val="20"/>
                <w:szCs w:val="20"/>
              </w:rPr>
            </w:pPr>
          </w:p>
        </w:tc>
      </w:tr>
    </w:tbl>
    <w:p w14:paraId="0022AA37" w14:textId="46E38242" w:rsidR="004E1A6E" w:rsidRDefault="004E1A6E" w:rsidP="0032717D">
      <w:pPr>
        <w:pStyle w:val="TableFooter"/>
        <w:keepLines/>
      </w:pPr>
      <w:r w:rsidRPr="0098262F">
        <w:t>Source</w:t>
      </w:r>
      <w:r>
        <w:t>: Table 1.4-1,</w:t>
      </w:r>
      <w:r w:rsidR="005D6917">
        <w:t xml:space="preserve"> </w:t>
      </w:r>
      <w:r>
        <w:t xml:space="preserve">pp51-52 of the submission. </w:t>
      </w:r>
    </w:p>
    <w:p w14:paraId="16561FE3" w14:textId="77777777" w:rsidR="004E1A6E" w:rsidRDefault="004E1A6E" w:rsidP="0032717D">
      <w:pPr>
        <w:pStyle w:val="TableFooter"/>
        <w:keepLines/>
      </w:pPr>
      <w:r>
        <w:t>*at the time of written authority application, prescribers should request the appropriate number of packs based on the patients age and weight to provide sufficient drug for up to one month of treatment</w:t>
      </w:r>
    </w:p>
    <w:p w14:paraId="01120609" w14:textId="77777777" w:rsidR="004E1A6E" w:rsidRDefault="004E1A6E" w:rsidP="00007A87">
      <w:pPr>
        <w:pStyle w:val="TableFooter"/>
        <w:keepLines/>
        <w:spacing w:after="120"/>
      </w:pPr>
      <w:r>
        <w:lastRenderedPageBreak/>
        <w:t xml:space="preserve">^at the time of telephone authority application, prescribers should request the appropriate number of packs based on the patients age and weight to provide sufficient drug for the stages of flare-up treatment. Flare-up treatment consists of four weeks at a high dose followed by eight weeks at a lower dose. Treatment may continue beyond 12 weeks in four weekly intervals if symptoms persist. Treatment may be restarted if the patient experiences another flare-up during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4E1A6E" w:rsidRPr="0098262F" w14:paraId="25FA43F8" w14:textId="77777777" w:rsidTr="00DD7AAC">
        <w:trPr>
          <w:trHeight w:val="20"/>
        </w:trPr>
        <w:tc>
          <w:tcPr>
            <w:tcW w:w="5000" w:type="pct"/>
          </w:tcPr>
          <w:p w14:paraId="465E2D3C" w14:textId="77777777" w:rsidR="004E1A6E" w:rsidRPr="0098262F" w:rsidRDefault="004E1A6E" w:rsidP="00DD7AAC">
            <w:pPr>
              <w:pStyle w:val="TableText0"/>
              <w:jc w:val="left"/>
            </w:pPr>
            <w:r w:rsidRPr="0098262F">
              <w:t>Category / Program: General Schedule</w:t>
            </w:r>
          </w:p>
        </w:tc>
      </w:tr>
      <w:tr w:rsidR="004E1A6E" w:rsidRPr="0098262F" w14:paraId="78C0CBA4" w14:textId="77777777" w:rsidTr="00DD7AAC">
        <w:trPr>
          <w:trHeight w:val="20"/>
        </w:trPr>
        <w:tc>
          <w:tcPr>
            <w:tcW w:w="5000" w:type="pct"/>
          </w:tcPr>
          <w:p w14:paraId="0D0E4D86" w14:textId="77777777" w:rsidR="004E1A6E" w:rsidRPr="0098262F" w:rsidRDefault="004E1A6E" w:rsidP="00DD7AAC">
            <w:pPr>
              <w:pStyle w:val="TableText0"/>
              <w:jc w:val="left"/>
              <w:rPr>
                <w:b/>
              </w:rPr>
            </w:pPr>
            <w:r w:rsidRPr="0098262F">
              <w:rPr>
                <w:b/>
              </w:rPr>
              <w:t xml:space="preserve">Prescriber type: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Medical Practitioners</w:t>
            </w:r>
          </w:p>
        </w:tc>
      </w:tr>
      <w:tr w:rsidR="004E1A6E" w:rsidRPr="0098262F" w14:paraId="2720A5FA" w14:textId="77777777" w:rsidTr="00DD7AAC">
        <w:trPr>
          <w:trHeight w:val="20"/>
        </w:trPr>
        <w:tc>
          <w:tcPr>
            <w:tcW w:w="5000" w:type="pct"/>
            <w:vAlign w:val="center"/>
          </w:tcPr>
          <w:p w14:paraId="17515B1A" w14:textId="2108E875" w:rsidR="004E1A6E" w:rsidRPr="0098262F" w:rsidRDefault="004E1A6E" w:rsidP="00DD7AAC">
            <w:pPr>
              <w:pStyle w:val="TableText0"/>
              <w:jc w:val="left"/>
            </w:pPr>
            <w:r w:rsidRPr="0098262F">
              <w:rPr>
                <w:b/>
              </w:rPr>
              <w:t xml:space="preserve">Restriction type: </w:t>
            </w:r>
            <w:r w:rsidRPr="0098262F">
              <w:rPr>
                <w:color w:val="0066FF"/>
              </w:rPr>
              <w:t xml:space="preserv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 xml:space="preserve">Authority Required (in writing only via post/HPOS upload)  </w:t>
            </w:r>
          </w:p>
        </w:tc>
      </w:tr>
      <w:tr w:rsidR="004E1A6E" w:rsidRPr="0098262F" w14:paraId="1CB77AC7" w14:textId="77777777" w:rsidTr="00DD7AAC">
        <w:trPr>
          <w:trHeight w:val="20"/>
        </w:trPr>
        <w:tc>
          <w:tcPr>
            <w:tcW w:w="5000" w:type="pct"/>
          </w:tcPr>
          <w:p w14:paraId="3EC4BDF0" w14:textId="77777777" w:rsidR="004E1A6E" w:rsidRPr="0098262F" w:rsidRDefault="004E1A6E" w:rsidP="00DD7AAC">
            <w:pPr>
              <w:pStyle w:val="TableText0"/>
              <w:jc w:val="left"/>
              <w:rPr>
                <w:b/>
              </w:rPr>
            </w:pPr>
            <w:r w:rsidRPr="0098262F">
              <w:rPr>
                <w:b/>
              </w:rPr>
              <w:t xml:space="preserve">Condition: </w:t>
            </w:r>
            <w:r w:rsidRPr="00D01E11">
              <w:t>Fibrodysplasia ossificans progressive (FOP)</w:t>
            </w:r>
          </w:p>
        </w:tc>
      </w:tr>
      <w:tr w:rsidR="004E1A6E" w:rsidRPr="0098262F" w14:paraId="53F3AA47" w14:textId="77777777" w:rsidTr="00DD7AAC">
        <w:trPr>
          <w:trHeight w:val="20"/>
        </w:trPr>
        <w:tc>
          <w:tcPr>
            <w:tcW w:w="5000" w:type="pct"/>
            <w:hideMark/>
          </w:tcPr>
          <w:p w14:paraId="45EDEEEC" w14:textId="77777777" w:rsidR="004E1A6E" w:rsidRPr="0098262F" w:rsidRDefault="004E1A6E" w:rsidP="00DD7AAC">
            <w:pPr>
              <w:pStyle w:val="TableText0"/>
              <w:jc w:val="left"/>
            </w:pPr>
            <w:r w:rsidRPr="0098262F">
              <w:rPr>
                <w:b/>
              </w:rPr>
              <w:t>Indication:</w:t>
            </w:r>
            <w:r w:rsidRPr="0098262F">
              <w:t xml:space="preserve"> </w:t>
            </w:r>
            <w:r w:rsidRPr="00D01E11">
              <w:t>Fibrodysplasia ossificans progressive (FOP)</w:t>
            </w:r>
          </w:p>
        </w:tc>
      </w:tr>
      <w:tr w:rsidR="00B20A17" w:rsidRPr="0098262F" w14:paraId="5E0B5DED" w14:textId="77777777" w:rsidTr="00DD7AAC">
        <w:trPr>
          <w:trHeight w:val="20"/>
        </w:trPr>
        <w:tc>
          <w:tcPr>
            <w:tcW w:w="5000" w:type="pct"/>
          </w:tcPr>
          <w:p w14:paraId="0E93FADB" w14:textId="77777777" w:rsidR="00B20A17" w:rsidRPr="0098262F" w:rsidRDefault="00B20A17" w:rsidP="00DD7AAC">
            <w:pPr>
              <w:pStyle w:val="TableText0"/>
              <w:jc w:val="left"/>
              <w:rPr>
                <w:b/>
              </w:rPr>
            </w:pPr>
          </w:p>
        </w:tc>
      </w:tr>
      <w:tr w:rsidR="004E1A6E" w:rsidRPr="0098262F" w14:paraId="12E0291B" w14:textId="77777777" w:rsidTr="00DD7AAC">
        <w:trPr>
          <w:trHeight w:val="20"/>
        </w:trPr>
        <w:tc>
          <w:tcPr>
            <w:tcW w:w="5000" w:type="pct"/>
            <w:hideMark/>
          </w:tcPr>
          <w:p w14:paraId="45D837C4" w14:textId="653290B1" w:rsidR="004E1A6E" w:rsidRPr="0098262F" w:rsidRDefault="004E1A6E" w:rsidP="00DD7AAC">
            <w:pPr>
              <w:pStyle w:val="TableText0"/>
              <w:jc w:val="left"/>
            </w:pPr>
            <w:r w:rsidRPr="00B20A17">
              <w:rPr>
                <w:b/>
                <w:bCs w:val="0"/>
              </w:rPr>
              <w:t>Treatment Phase:</w:t>
            </w:r>
            <w:r w:rsidRPr="0098262F">
              <w:t xml:space="preserve"> </w:t>
            </w:r>
            <w:r w:rsidR="00F747D8">
              <w:t>C</w:t>
            </w:r>
            <w:r>
              <w:t>hronic phase</w:t>
            </w:r>
          </w:p>
        </w:tc>
      </w:tr>
      <w:tr w:rsidR="004E1A6E" w:rsidRPr="0098262F" w14:paraId="55562479" w14:textId="77777777" w:rsidTr="00DD7AAC">
        <w:trPr>
          <w:trHeight w:val="20"/>
        </w:trPr>
        <w:tc>
          <w:tcPr>
            <w:tcW w:w="5000" w:type="pct"/>
            <w:hideMark/>
          </w:tcPr>
          <w:p w14:paraId="3C95AE8D" w14:textId="3802830D" w:rsidR="004E1A6E" w:rsidRPr="0098262F" w:rsidRDefault="004E1A6E" w:rsidP="00DD7AAC">
            <w:pPr>
              <w:pStyle w:val="TableText0"/>
              <w:jc w:val="left"/>
            </w:pPr>
            <w:r w:rsidRPr="00B20A17">
              <w:rPr>
                <w:b/>
                <w:bCs w:val="0"/>
              </w:rPr>
              <w:t>Clinical criteria:</w:t>
            </w:r>
            <w:r w:rsidR="00B20A17" w:rsidRPr="00D01E11">
              <w:t xml:space="preserve"> The condition must be FOP, confirmed by genetic testing</w:t>
            </w:r>
          </w:p>
        </w:tc>
      </w:tr>
      <w:tr w:rsidR="004E1A6E" w:rsidRPr="0098262F" w14:paraId="49E276C5" w14:textId="77777777" w:rsidTr="00DD7AAC">
        <w:trPr>
          <w:trHeight w:val="20"/>
        </w:trPr>
        <w:tc>
          <w:tcPr>
            <w:tcW w:w="5000" w:type="pct"/>
            <w:hideMark/>
          </w:tcPr>
          <w:p w14:paraId="5D4C0ED9" w14:textId="554EF03E" w:rsidR="004E1A6E" w:rsidRPr="0098262F" w:rsidRDefault="004E1A6E" w:rsidP="00DD7AAC">
            <w:pPr>
              <w:pStyle w:val="TableText0"/>
              <w:jc w:val="left"/>
            </w:pPr>
            <w:r w:rsidRPr="00B20A17">
              <w:rPr>
                <w:b/>
                <w:bCs w:val="0"/>
              </w:rPr>
              <w:t>Treatment criteria:</w:t>
            </w:r>
            <w:r w:rsidR="00B20A17" w:rsidRPr="00D01E11">
              <w:t xml:space="preserve"> Must be treated by a specialist medical practitioner experienced in the diagnosis and management of FOP; or in consultation with a specialist medical practitioner experienced in the diagnosis and management of FOP</w:t>
            </w:r>
            <w:r w:rsidR="00B20A17">
              <w:t>.</w:t>
            </w:r>
          </w:p>
        </w:tc>
      </w:tr>
      <w:tr w:rsidR="004E1A6E" w:rsidRPr="0098262F" w14:paraId="543E5174" w14:textId="77777777" w:rsidTr="00DD7AAC">
        <w:trPr>
          <w:trHeight w:val="20"/>
        </w:trPr>
        <w:tc>
          <w:tcPr>
            <w:tcW w:w="5000" w:type="pct"/>
            <w:hideMark/>
          </w:tcPr>
          <w:p w14:paraId="48DCA8A3" w14:textId="290508EF" w:rsidR="004E1A6E" w:rsidRPr="0098262F" w:rsidRDefault="004E1A6E" w:rsidP="00DD7AAC">
            <w:pPr>
              <w:pStyle w:val="TableText0"/>
              <w:jc w:val="left"/>
            </w:pPr>
            <w:r w:rsidRPr="00B20A17">
              <w:rPr>
                <w:b/>
                <w:bCs w:val="0"/>
              </w:rPr>
              <w:t>Population criteria:</w:t>
            </w:r>
            <w:r w:rsidR="00B20A17">
              <w:t xml:space="preserve"> </w:t>
            </w:r>
            <w:r w:rsidR="00B20A17" w:rsidRPr="00D01E11">
              <w:t>Patient must be a female aged 8 years and above or a male aged 10 years and above</w:t>
            </w:r>
          </w:p>
        </w:tc>
      </w:tr>
      <w:tr w:rsidR="004E1A6E" w:rsidRPr="0098262F" w14:paraId="68202250" w14:textId="77777777" w:rsidTr="00DD7AAC">
        <w:trPr>
          <w:trHeight w:val="20"/>
        </w:trPr>
        <w:tc>
          <w:tcPr>
            <w:tcW w:w="5000" w:type="pct"/>
            <w:hideMark/>
          </w:tcPr>
          <w:p w14:paraId="4B5106A2" w14:textId="77777777" w:rsidR="004E1A6E" w:rsidRDefault="004E1A6E" w:rsidP="00DD7AAC">
            <w:pPr>
              <w:pStyle w:val="TableText0"/>
              <w:jc w:val="left"/>
            </w:pPr>
            <w:r w:rsidRPr="0098262F">
              <w:rPr>
                <w:b/>
              </w:rPr>
              <w:t xml:space="preserve">Prescribing Instructions: </w:t>
            </w:r>
            <w:r>
              <w:t xml:space="preserve"> </w:t>
            </w:r>
            <w:r w:rsidRPr="00D01E11">
              <w:t>The prescriber should select the appropriate combination of packs for provide for four weeks of treatment at the recommended dose for chronic treatment of the patient based on their age and weight, according to the specified dosage in the approved Product Information (PI).</w:t>
            </w:r>
          </w:p>
          <w:p w14:paraId="7E7855F5" w14:textId="77777777" w:rsidR="004E1A6E" w:rsidRDefault="004E1A6E" w:rsidP="00561983">
            <w:pPr>
              <w:pStyle w:val="TableText0"/>
            </w:pPr>
          </w:p>
          <w:p w14:paraId="6986816D" w14:textId="77777777" w:rsidR="004E1A6E" w:rsidRPr="0098262F" w:rsidRDefault="004E1A6E" w:rsidP="00DD7AAC">
            <w:pPr>
              <w:pStyle w:val="TableText0"/>
              <w:jc w:val="left"/>
            </w:pPr>
            <w:r w:rsidRPr="00D01E11">
              <w:t>Genetic testing constitutes testing for a pathogenic mutation of the Activin A receptor type I (ACVR1) gene.</w:t>
            </w:r>
          </w:p>
        </w:tc>
      </w:tr>
      <w:tr w:rsidR="00B20A17" w:rsidRPr="0098262F" w14:paraId="1BE05244" w14:textId="77777777" w:rsidTr="00DD7AAC">
        <w:trPr>
          <w:trHeight w:val="20"/>
        </w:trPr>
        <w:tc>
          <w:tcPr>
            <w:tcW w:w="5000" w:type="pct"/>
          </w:tcPr>
          <w:p w14:paraId="32B9C5A6" w14:textId="77777777" w:rsidR="00B20A17" w:rsidRPr="0098262F" w:rsidRDefault="00B20A17" w:rsidP="00DD7AAC">
            <w:pPr>
              <w:pStyle w:val="TableText0"/>
              <w:jc w:val="left"/>
              <w:rPr>
                <w:b/>
              </w:rPr>
            </w:pPr>
          </w:p>
        </w:tc>
      </w:tr>
      <w:tr w:rsidR="00135F47" w:rsidRPr="0098262F" w14:paraId="7859828A" w14:textId="77777777" w:rsidTr="00862D73">
        <w:trPr>
          <w:trHeight w:val="20"/>
        </w:trPr>
        <w:tc>
          <w:tcPr>
            <w:tcW w:w="5000" w:type="pct"/>
          </w:tcPr>
          <w:p w14:paraId="5C606041" w14:textId="77777777" w:rsidR="00135F47" w:rsidRPr="0098262F" w:rsidRDefault="00135F47" w:rsidP="00862D73">
            <w:pPr>
              <w:pStyle w:val="TableText0"/>
              <w:jc w:val="left"/>
              <w:rPr>
                <w:b/>
              </w:rPr>
            </w:pPr>
            <w:r w:rsidRPr="0098262F">
              <w:rPr>
                <w:b/>
              </w:rPr>
              <w:t xml:space="preserve">Prescriber type: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Medical Practitioners</w:t>
            </w:r>
          </w:p>
        </w:tc>
      </w:tr>
      <w:tr w:rsidR="00135F47" w:rsidRPr="0098262F" w14:paraId="058532ED" w14:textId="77777777" w:rsidTr="00862D73">
        <w:trPr>
          <w:trHeight w:val="20"/>
        </w:trPr>
        <w:tc>
          <w:tcPr>
            <w:tcW w:w="5000" w:type="pct"/>
            <w:vAlign w:val="center"/>
          </w:tcPr>
          <w:p w14:paraId="1CF1DBAD" w14:textId="548FAD81" w:rsidR="00135F47" w:rsidRPr="0098262F" w:rsidRDefault="00135F47" w:rsidP="00862D73">
            <w:pPr>
              <w:pStyle w:val="TableText0"/>
              <w:jc w:val="left"/>
            </w:pPr>
            <w:r w:rsidRPr="0098262F">
              <w:rPr>
                <w:b/>
              </w:rPr>
              <w:t xml:space="preserve">Restriction type: </w:t>
            </w:r>
            <w:r w:rsidRPr="0098262F">
              <w:rPr>
                <w:color w:val="0066FF"/>
              </w:rPr>
              <w:t xml:space="preserv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98262F">
              <w:t>Authority Required (</w:t>
            </w:r>
            <w:r>
              <w:t>Streamlined</w:t>
            </w:r>
            <w:r w:rsidRPr="0098262F">
              <w:t xml:space="preserve">)  </w:t>
            </w:r>
          </w:p>
        </w:tc>
      </w:tr>
      <w:tr w:rsidR="00135F47" w:rsidRPr="0098262F" w14:paraId="1A77D6CC" w14:textId="77777777" w:rsidTr="00862D73">
        <w:trPr>
          <w:trHeight w:val="20"/>
        </w:trPr>
        <w:tc>
          <w:tcPr>
            <w:tcW w:w="5000" w:type="pct"/>
          </w:tcPr>
          <w:p w14:paraId="61FF4E9D" w14:textId="77777777" w:rsidR="00135F47" w:rsidRPr="0098262F" w:rsidRDefault="00135F47" w:rsidP="00862D73">
            <w:pPr>
              <w:pStyle w:val="TableText0"/>
              <w:jc w:val="left"/>
              <w:rPr>
                <w:b/>
              </w:rPr>
            </w:pPr>
            <w:r w:rsidRPr="0098262F">
              <w:rPr>
                <w:b/>
              </w:rPr>
              <w:t xml:space="preserve">Condition: </w:t>
            </w:r>
            <w:r w:rsidRPr="00D01E11">
              <w:t>Fibrodysplasia ossificans progressive (FOP)</w:t>
            </w:r>
          </w:p>
        </w:tc>
      </w:tr>
      <w:tr w:rsidR="00135F47" w:rsidRPr="0098262F" w14:paraId="5222B82C" w14:textId="77777777" w:rsidTr="00862D73">
        <w:trPr>
          <w:trHeight w:val="20"/>
        </w:trPr>
        <w:tc>
          <w:tcPr>
            <w:tcW w:w="5000" w:type="pct"/>
            <w:hideMark/>
          </w:tcPr>
          <w:p w14:paraId="027809F5" w14:textId="77777777" w:rsidR="00135F47" w:rsidRPr="0098262F" w:rsidRDefault="00135F47" w:rsidP="00862D73">
            <w:pPr>
              <w:pStyle w:val="TableText0"/>
              <w:jc w:val="left"/>
            </w:pPr>
            <w:r w:rsidRPr="0098262F">
              <w:rPr>
                <w:b/>
              </w:rPr>
              <w:t>Indication:</w:t>
            </w:r>
            <w:r w:rsidRPr="0098262F">
              <w:t xml:space="preserve"> </w:t>
            </w:r>
            <w:r w:rsidRPr="00D01E11">
              <w:t>Fibrodysplasia ossificans progressive (FOP)</w:t>
            </w:r>
          </w:p>
        </w:tc>
      </w:tr>
      <w:tr w:rsidR="004E1A6E" w:rsidRPr="0098262F" w14:paraId="000DC8E4" w14:textId="77777777" w:rsidTr="00DD7AAC">
        <w:trPr>
          <w:trHeight w:val="20"/>
        </w:trPr>
        <w:tc>
          <w:tcPr>
            <w:tcW w:w="5000" w:type="pct"/>
          </w:tcPr>
          <w:p w14:paraId="33D15099" w14:textId="77777777" w:rsidR="004E1A6E" w:rsidRPr="00D01E11" w:rsidRDefault="004E1A6E" w:rsidP="00DD7AAC">
            <w:pPr>
              <w:pStyle w:val="TableText0"/>
              <w:jc w:val="left"/>
            </w:pPr>
            <w:r w:rsidRPr="00D01E11">
              <w:rPr>
                <w:b/>
              </w:rPr>
              <w:t>Treatment phase:</w:t>
            </w:r>
            <w:r>
              <w:rPr>
                <w:b/>
              </w:rPr>
              <w:t xml:space="preserve"> </w:t>
            </w:r>
            <w:r>
              <w:t>Flare-up treatment</w:t>
            </w:r>
          </w:p>
        </w:tc>
      </w:tr>
      <w:tr w:rsidR="004E1A6E" w:rsidRPr="0098262F" w14:paraId="5CF52DE2" w14:textId="77777777" w:rsidTr="00DD7AAC">
        <w:trPr>
          <w:trHeight w:val="20"/>
        </w:trPr>
        <w:tc>
          <w:tcPr>
            <w:tcW w:w="5000" w:type="pct"/>
          </w:tcPr>
          <w:p w14:paraId="2BE074FF" w14:textId="0626298B" w:rsidR="004E1A6E" w:rsidRPr="00B20A17" w:rsidRDefault="004E1A6E" w:rsidP="00DD7AAC">
            <w:pPr>
              <w:pStyle w:val="TableText0"/>
              <w:jc w:val="left"/>
              <w:rPr>
                <w:b/>
                <w:bCs w:val="0"/>
              </w:rPr>
            </w:pPr>
            <w:r w:rsidRPr="00B20A17">
              <w:rPr>
                <w:b/>
                <w:bCs w:val="0"/>
              </w:rPr>
              <w:t>Clinical criteria</w:t>
            </w:r>
            <w:r w:rsidR="00B20A17" w:rsidRPr="00B20A17">
              <w:rPr>
                <w:b/>
                <w:bCs w:val="0"/>
              </w:rPr>
              <w:t xml:space="preserve">: </w:t>
            </w:r>
          </w:p>
        </w:tc>
      </w:tr>
      <w:tr w:rsidR="004E1A6E" w:rsidRPr="0098262F" w14:paraId="7CF594BE" w14:textId="77777777" w:rsidTr="00DD7AAC">
        <w:trPr>
          <w:trHeight w:val="20"/>
        </w:trPr>
        <w:tc>
          <w:tcPr>
            <w:tcW w:w="5000" w:type="pct"/>
          </w:tcPr>
          <w:p w14:paraId="44EE1703" w14:textId="7D3E2CF0" w:rsidR="004E1A6E" w:rsidRPr="00D01E11" w:rsidRDefault="004E1A6E" w:rsidP="00DD7AAC">
            <w:pPr>
              <w:pStyle w:val="TableText0"/>
              <w:jc w:val="left"/>
            </w:pPr>
            <w:r w:rsidRPr="00D01E11">
              <w:t>Patient must have previously received PBS-subsidised treatment with this drug for this condition</w:t>
            </w:r>
            <w:r w:rsidR="00B20A17">
              <w:t>.</w:t>
            </w:r>
          </w:p>
        </w:tc>
      </w:tr>
      <w:tr w:rsidR="004E1A6E" w:rsidRPr="0098262F" w14:paraId="79D838BA" w14:textId="77777777" w:rsidTr="00DD7AAC">
        <w:trPr>
          <w:trHeight w:val="20"/>
        </w:trPr>
        <w:tc>
          <w:tcPr>
            <w:tcW w:w="5000" w:type="pct"/>
          </w:tcPr>
          <w:p w14:paraId="7458483D" w14:textId="77777777" w:rsidR="004E1A6E" w:rsidRPr="00D01E11" w:rsidRDefault="004E1A6E" w:rsidP="00DD7AAC">
            <w:pPr>
              <w:pStyle w:val="TableText0"/>
              <w:jc w:val="left"/>
            </w:pPr>
            <w:r>
              <w:t>AND</w:t>
            </w:r>
          </w:p>
        </w:tc>
      </w:tr>
      <w:tr w:rsidR="004E1A6E" w:rsidRPr="0098262F" w14:paraId="3BBD40E9" w14:textId="77777777" w:rsidTr="00DD7AAC">
        <w:trPr>
          <w:trHeight w:val="20"/>
        </w:trPr>
        <w:tc>
          <w:tcPr>
            <w:tcW w:w="5000" w:type="pct"/>
          </w:tcPr>
          <w:p w14:paraId="0DE59622" w14:textId="39C6086E" w:rsidR="004E1A6E" w:rsidRPr="00D01E11" w:rsidRDefault="004E1A6E" w:rsidP="00DD7AAC">
            <w:pPr>
              <w:pStyle w:val="TableText0"/>
              <w:jc w:val="left"/>
            </w:pPr>
            <w:r w:rsidRPr="00D01E11">
              <w:t>Patient must be experiencing symptoms indicative of a FOP flareup or a substantially high-risk traumatic event likely to lead to a flare-up event</w:t>
            </w:r>
            <w:r w:rsidR="00B20A17">
              <w:t>.</w:t>
            </w:r>
          </w:p>
        </w:tc>
      </w:tr>
      <w:tr w:rsidR="004E1A6E" w:rsidRPr="0098262F" w14:paraId="7365CF56" w14:textId="77777777" w:rsidTr="00DD7AAC">
        <w:trPr>
          <w:trHeight w:val="20"/>
        </w:trPr>
        <w:tc>
          <w:tcPr>
            <w:tcW w:w="5000" w:type="pct"/>
          </w:tcPr>
          <w:p w14:paraId="66700B13" w14:textId="3D27C53A" w:rsidR="004E1A6E" w:rsidRPr="00B20A17" w:rsidRDefault="004E1A6E" w:rsidP="00DD7AAC">
            <w:pPr>
              <w:pStyle w:val="TableText0"/>
              <w:jc w:val="left"/>
              <w:rPr>
                <w:b/>
                <w:bCs w:val="0"/>
              </w:rPr>
            </w:pPr>
            <w:r w:rsidRPr="00B20A17">
              <w:rPr>
                <w:b/>
                <w:bCs w:val="0"/>
              </w:rPr>
              <w:t>Treatment criteria</w:t>
            </w:r>
            <w:r w:rsidR="00B20A17">
              <w:rPr>
                <w:b/>
                <w:bCs w:val="0"/>
              </w:rPr>
              <w:t xml:space="preserve">: </w:t>
            </w:r>
            <w:r w:rsidR="00B20A17" w:rsidRPr="00D01E11">
              <w:t>Must be treated by a specialist medical practitioner experienced in the diagnosis and management of FOP; or in consultation with a specialist medical practitioner experienced in the diagnosis and management of FOP</w:t>
            </w:r>
            <w:r w:rsidR="00B20A17">
              <w:t>.</w:t>
            </w:r>
          </w:p>
        </w:tc>
      </w:tr>
      <w:tr w:rsidR="004E1A6E" w:rsidRPr="0098262F" w14:paraId="50109575" w14:textId="77777777" w:rsidTr="00DD7AAC">
        <w:trPr>
          <w:trHeight w:val="20"/>
        </w:trPr>
        <w:tc>
          <w:tcPr>
            <w:tcW w:w="5000" w:type="pct"/>
          </w:tcPr>
          <w:p w14:paraId="0862C447" w14:textId="7B13AED9" w:rsidR="004E1A6E" w:rsidRPr="00D01E11" w:rsidRDefault="004E1A6E" w:rsidP="00DD7AAC">
            <w:pPr>
              <w:pStyle w:val="TableText0"/>
              <w:jc w:val="left"/>
            </w:pPr>
            <w:r w:rsidRPr="00B20A17">
              <w:rPr>
                <w:b/>
                <w:bCs w:val="0"/>
              </w:rPr>
              <w:t>Population criteria</w:t>
            </w:r>
            <w:r w:rsidR="00B20A17" w:rsidRPr="00B20A17">
              <w:rPr>
                <w:b/>
                <w:bCs w:val="0"/>
              </w:rPr>
              <w:t>:</w:t>
            </w:r>
            <w:r w:rsidR="00B20A17" w:rsidRPr="00D01E11">
              <w:t xml:space="preserve"> Patient must be a female aged 8 years and above or a male aged 10 years and above</w:t>
            </w:r>
            <w:r w:rsidR="00B20A17">
              <w:t>.</w:t>
            </w:r>
          </w:p>
        </w:tc>
      </w:tr>
      <w:tr w:rsidR="004E1A6E" w:rsidRPr="0098262F" w14:paraId="2E712F37" w14:textId="77777777" w:rsidTr="00DD7AAC">
        <w:trPr>
          <w:trHeight w:val="20"/>
        </w:trPr>
        <w:tc>
          <w:tcPr>
            <w:tcW w:w="5000" w:type="pct"/>
          </w:tcPr>
          <w:p w14:paraId="19B77787" w14:textId="77777777" w:rsidR="004E1A6E" w:rsidRPr="00D01E11" w:rsidRDefault="004E1A6E" w:rsidP="00DD7AAC">
            <w:pPr>
              <w:pStyle w:val="TableText0"/>
              <w:jc w:val="left"/>
            </w:pPr>
            <w:r w:rsidRPr="00D01E11">
              <w:rPr>
                <w:b/>
              </w:rPr>
              <w:t>Prescribing Instructions:</w:t>
            </w:r>
            <w:r>
              <w:t xml:space="preserve"> </w:t>
            </w:r>
            <w:r w:rsidRPr="00D01E11">
              <w:t>Flare-up treatment should begin at the onset of the first symptom indicative of a FOP flare-up or substantial high-risk traumatic event likely to lead to a flare-up. Symptoms of a FOP flareup typically include but are not limited to localised pain, soft tissue swelling/inflammation, redness, warmth, decreased joint range of motion, and stiffness. Examples of a high risk substantial traumatic event include surgery, intramuscular immunisation, mandibular blocks for dental work, muscle fatigue, blunt muscle trauma from bumps, bruises, falls, or influenza-like viral illnesses.</w:t>
            </w:r>
          </w:p>
        </w:tc>
      </w:tr>
      <w:tr w:rsidR="004E1A6E" w:rsidRPr="0098262F" w14:paraId="754BA752" w14:textId="77777777" w:rsidTr="00DD7AAC">
        <w:trPr>
          <w:trHeight w:val="20"/>
        </w:trPr>
        <w:tc>
          <w:tcPr>
            <w:tcW w:w="5000" w:type="pct"/>
          </w:tcPr>
          <w:p w14:paraId="472D1B29" w14:textId="77777777" w:rsidR="004E1A6E" w:rsidRDefault="004E1A6E" w:rsidP="00DD7AAC">
            <w:pPr>
              <w:pStyle w:val="TableText0"/>
              <w:jc w:val="left"/>
            </w:pPr>
            <w:r w:rsidRPr="00D01E11">
              <w:rPr>
                <w:b/>
              </w:rPr>
              <w:t>Administrative advice:</w:t>
            </w:r>
            <w:r>
              <w:t xml:space="preserve"> The prescriber should select the appropriate combination of packs such that the maximum quantity together with two repeats provides 12 weeks of treatment at the recommended dose for flare-up treatment of the patient based on their age and weight or in the presence of persistent flare-up symptoms to extend treatment in 4-week intervals.</w:t>
            </w:r>
          </w:p>
          <w:p w14:paraId="2877C6FE" w14:textId="77777777" w:rsidR="004E1A6E" w:rsidRDefault="004E1A6E" w:rsidP="00561983">
            <w:pPr>
              <w:pStyle w:val="TableText0"/>
            </w:pPr>
          </w:p>
          <w:p w14:paraId="1619C29C" w14:textId="5FE5BD53" w:rsidR="004E1A6E" w:rsidRPr="00D01E11" w:rsidRDefault="004E1A6E" w:rsidP="00DD7AAC">
            <w:pPr>
              <w:pStyle w:val="TableText0"/>
              <w:jc w:val="left"/>
            </w:pPr>
            <w:r>
              <w:t>If the patient experiences another flare-up (i.e., new flare-up location or marked worsening of the original flare-up) at any time during flare-up treatment, the flare-up 12-week treatment should be restarted</w:t>
            </w:r>
            <w:r w:rsidR="00B20A17">
              <w:t>.</w:t>
            </w:r>
          </w:p>
        </w:tc>
      </w:tr>
    </w:tbl>
    <w:p w14:paraId="725EEE05" w14:textId="339FDA78" w:rsidR="004E1A6E" w:rsidRPr="004B71C9" w:rsidRDefault="004E1A6E" w:rsidP="004E1A6E">
      <w:pPr>
        <w:pStyle w:val="FooterTableFigure"/>
      </w:pPr>
      <w:r w:rsidRPr="0098262F">
        <w:t xml:space="preserve">Source: </w:t>
      </w:r>
      <w:r w:rsidRPr="004B71C9">
        <w:t>Tables 1.4.2 and 1.4.3, pp53 and 55 of the submission.</w:t>
      </w:r>
      <w:r w:rsidR="00357D33">
        <w:t xml:space="preserve"> </w:t>
      </w:r>
    </w:p>
    <w:p w14:paraId="078EC6DF" w14:textId="0C678E60" w:rsidR="00910837" w:rsidRPr="004B71C9" w:rsidRDefault="004E1A6E" w:rsidP="00F747D8">
      <w:pPr>
        <w:pStyle w:val="3-BodyText"/>
        <w:rPr>
          <w:i/>
          <w:iCs/>
        </w:rPr>
      </w:pPr>
      <w:r w:rsidRPr="004B71C9">
        <w:t xml:space="preserve">A special pricing arrangement </w:t>
      </w:r>
      <w:r w:rsidR="004B71C9">
        <w:t>wa</w:t>
      </w:r>
      <w:r w:rsidRPr="004B71C9">
        <w:t>s requested for palovarotene.</w:t>
      </w:r>
      <w:r w:rsidR="004B71C9">
        <w:t xml:space="preserve"> </w:t>
      </w:r>
      <w:r w:rsidR="00910837" w:rsidRPr="004B71C9">
        <w:t xml:space="preserve">The pricing of the different doses reflected an effective AEMP </w:t>
      </w:r>
      <w:r w:rsidR="009417E2" w:rsidRPr="004B71C9">
        <w:t>of $</w:t>
      </w:r>
      <w:r w:rsidR="00BD51C6" w:rsidRPr="00EA196D">
        <w:rPr>
          <w:color w:val="000000"/>
          <w:w w:val="15"/>
          <w:shd w:val="solid" w:color="000000" w:fill="000000"/>
          <w:fitText w:val="-20" w:id="-761524471"/>
          <w14:textFill>
            <w14:solidFill>
              <w14:srgbClr w14:val="000000">
                <w14:alpha w14:val="100000"/>
              </w14:srgbClr>
            </w14:solidFill>
          </w14:textFill>
        </w:rPr>
        <w:t xml:space="preserve">|  </w:t>
      </w:r>
      <w:r w:rsidR="00BD51C6" w:rsidRPr="00EA196D">
        <w:rPr>
          <w:color w:val="000000"/>
          <w:spacing w:val="-69"/>
          <w:w w:val="15"/>
          <w:shd w:val="solid" w:color="000000" w:fill="000000"/>
          <w:fitText w:val="-20" w:id="-761524471"/>
          <w14:textFill>
            <w14:solidFill>
              <w14:srgbClr w14:val="000000">
                <w14:alpha w14:val="100000"/>
              </w14:srgbClr>
            </w14:solidFill>
          </w14:textFill>
        </w:rPr>
        <w:t>|</w:t>
      </w:r>
      <w:r w:rsidR="009417E2" w:rsidRPr="004B71C9">
        <w:t xml:space="preserve"> </w:t>
      </w:r>
      <w:r w:rsidR="00910837" w:rsidRPr="004B71C9">
        <w:t>per mg</w:t>
      </w:r>
      <w:r w:rsidR="009417E2" w:rsidRPr="004B71C9">
        <w:t>.</w:t>
      </w:r>
      <w:r w:rsidR="00910837" w:rsidRPr="004B71C9">
        <w:t xml:space="preserve"> </w:t>
      </w:r>
    </w:p>
    <w:p w14:paraId="67C4E318" w14:textId="150F2B6C" w:rsidR="00DD7AAC" w:rsidRPr="00F747D8" w:rsidRDefault="004E1A6E" w:rsidP="00F747D8">
      <w:pPr>
        <w:pStyle w:val="3-BodyText"/>
        <w:rPr>
          <w:i/>
          <w:iCs/>
        </w:rPr>
      </w:pPr>
      <w:r w:rsidRPr="004E1A6E">
        <w:lastRenderedPageBreak/>
        <w:t>The submission noted that the proposed restriction allows patients to be treated for flare-ups initially for 12 weeks, with the possibility of extending treatment in 4-week intervals if symptoms persist. This aligns with the TGA-recommended flare-up dosing regimen for palovarotene. In MOVE, the median and mean treatment duration for a flare-up cycle was 84 days (i.e., 12 weeks) and 110 days (approx. 16 weeks), respectively. This suggested that 50% of the time, patients require</w:t>
      </w:r>
      <w:r w:rsidR="00135F47">
        <w:t>d</w:t>
      </w:r>
      <w:r w:rsidRPr="004E1A6E">
        <w:t xml:space="preserve"> more tha</w:t>
      </w:r>
      <w:r w:rsidR="00B942CB">
        <w:t>n</w:t>
      </w:r>
      <w:r w:rsidRPr="004E1A6E">
        <w:t xml:space="preserve"> 12</w:t>
      </w:r>
      <w:r w:rsidR="00007A87">
        <w:t> </w:t>
      </w:r>
      <w:r w:rsidRPr="004E1A6E">
        <w:t xml:space="preserve">weeks of medication to resolve symptoms of a flare-up. </w:t>
      </w:r>
      <w:r w:rsidR="00135F47">
        <w:t>If this is reflective of clinical practice t</w:t>
      </w:r>
      <w:r w:rsidRPr="00CC0F14">
        <w:t xml:space="preserve">he elements of listing may have insufficient repeats to provide treatment for the entire flare-up duration for </w:t>
      </w:r>
      <w:r w:rsidR="004B71C9">
        <w:t>many</w:t>
      </w:r>
      <w:r w:rsidR="004B71C9" w:rsidRPr="00CC0F14">
        <w:t xml:space="preserve"> </w:t>
      </w:r>
      <w:r w:rsidRPr="00CC0F14">
        <w:t xml:space="preserve">patients. </w:t>
      </w:r>
      <w:r w:rsidR="00135F47">
        <w:t>The PBAC noted that input from a clinician experienced in treating FOP patients with palovarotene (at the sponsor hearing) indicated that patients would initially be treated at an increased (high or medium) flare dose for 4 weeks, followed by tapering of the dose. The clinician also noted that the dose used is individualised to patients.</w:t>
      </w:r>
    </w:p>
    <w:p w14:paraId="30781B84" w14:textId="4085BF86" w:rsidR="00F747D8" w:rsidRPr="00DD7AAC" w:rsidRDefault="00F747D8" w:rsidP="00F747D8">
      <w:pPr>
        <w:pStyle w:val="3-BodyText"/>
        <w:rPr>
          <w:i/>
          <w:iCs/>
        </w:rPr>
      </w:pPr>
      <w:r>
        <w:t xml:space="preserve">The DUSC considered it may be necessary to more accurately define what constitutes a flare-up given the substantial difference in costs between acute and chronic treatment. </w:t>
      </w:r>
      <w:r w:rsidR="00FC01BF">
        <w:t>The pre-PBAC response highlighted the definition of a flare up was provided in a prescribing instruction.</w:t>
      </w:r>
    </w:p>
    <w:p w14:paraId="1EDED0F5" w14:textId="611D33D2" w:rsidR="004E1A6E" w:rsidRPr="00CC0F14" w:rsidRDefault="004E1A6E" w:rsidP="00F747D8">
      <w:pPr>
        <w:pStyle w:val="3-BodyText"/>
      </w:pPr>
      <w:r w:rsidRPr="00CC0F14">
        <w:t xml:space="preserve">The requested restriction is consistent with the TGA product information and consistent with the MOVE study. Specifically, the restriction is most reflective of the subgroup analysis of MOVE patients with matching minimum ages. </w:t>
      </w:r>
      <w:r w:rsidR="004B71C9" w:rsidRPr="00E21EB5">
        <w:t xml:space="preserve">The </w:t>
      </w:r>
      <w:r w:rsidR="00135F47">
        <w:t xml:space="preserve">PBAC agreed with the </w:t>
      </w:r>
      <w:r w:rsidR="004B71C9" w:rsidRPr="00E21EB5">
        <w:t xml:space="preserve">ESC </w:t>
      </w:r>
      <w:r w:rsidR="00135F47">
        <w:t>that</w:t>
      </w:r>
      <w:r w:rsidR="00135F47" w:rsidRPr="00E21EB5">
        <w:t xml:space="preserve"> </w:t>
      </w:r>
      <w:r w:rsidR="004B71C9" w:rsidRPr="00E21EB5">
        <w:t>this was appropriate.</w:t>
      </w:r>
    </w:p>
    <w:p w14:paraId="7DA1CD4F" w14:textId="55F0620B" w:rsidR="004E1A6E" w:rsidRPr="004E1A6E" w:rsidRDefault="004E1A6E" w:rsidP="00F747D8">
      <w:pPr>
        <w:pStyle w:val="3-BodyText"/>
        <w:rPr>
          <w:i/>
          <w:iCs/>
        </w:rPr>
      </w:pPr>
      <w:r>
        <w:t xml:space="preserve">The submission </w:t>
      </w:r>
      <w:r w:rsidR="00B3258F">
        <w:t xml:space="preserve">noted </w:t>
      </w:r>
      <w:r>
        <w:t>that g</w:t>
      </w:r>
      <w:r w:rsidRPr="00D01E11">
        <w:t xml:space="preserve">enetic testing is already conducted as part of the diagnosis of FOP in Australia. As genetic testing occurs for the purpose of diagnosis rather than for the purposes of accessing a treatment, </w:t>
      </w:r>
      <w:r>
        <w:t>the submission argued that a</w:t>
      </w:r>
      <w:r w:rsidRPr="00D01E11">
        <w:t xml:space="preserve"> codependent submission is not expected to be required. </w:t>
      </w:r>
      <w:r w:rsidR="00FE687C" w:rsidRPr="00E21EB5">
        <w:t xml:space="preserve">The ESC </w:t>
      </w:r>
      <w:r w:rsidR="00B3258F">
        <w:t xml:space="preserve">and PBAC </w:t>
      </w:r>
      <w:r w:rsidR="00FE687C" w:rsidRPr="00E21EB5">
        <w:t xml:space="preserve">agreed with the submission that </w:t>
      </w:r>
      <w:r w:rsidR="001D7C16" w:rsidRPr="00E21EB5">
        <w:t>it</w:t>
      </w:r>
      <w:r w:rsidR="00FE687C" w:rsidRPr="00E21EB5">
        <w:t xml:space="preserve"> was reasonable to assume that testing already occurs for the purpose of diagnosis and noted that testing may currently be claimed under MBS items for genetic testing for neuromuscular disorders (items 73422-73428). </w:t>
      </w:r>
    </w:p>
    <w:p w14:paraId="1F2AF774" w14:textId="449DECFE" w:rsidR="00910837" w:rsidRPr="00FC01BF" w:rsidRDefault="004E1A6E" w:rsidP="00007A87">
      <w:pPr>
        <w:pStyle w:val="3-BodyText"/>
      </w:pPr>
      <w:r w:rsidRPr="00CC0F14">
        <w:t>There w</w:t>
      </w:r>
      <w:r w:rsidR="00311590" w:rsidRPr="00CC0F14">
        <w:t>ere</w:t>
      </w:r>
      <w:r w:rsidRPr="00CC0F14">
        <w:t xml:space="preserve"> no monitoring or discontinuation criteria in the proposed restriction, and no guidance as to what constitutes a clinical response, making it difficult to judge </w:t>
      </w:r>
      <w:r w:rsidR="00AE5D5A" w:rsidRPr="00CC0F14">
        <w:t xml:space="preserve">the </w:t>
      </w:r>
      <w:r w:rsidRPr="00CC0F14">
        <w:t xml:space="preserve">value of continuing </w:t>
      </w:r>
      <w:r w:rsidR="00910837" w:rsidRPr="00CC0F14">
        <w:t>treatment</w:t>
      </w:r>
      <w:r w:rsidRPr="00CC0F14">
        <w:t xml:space="preserve">. </w:t>
      </w:r>
      <w:r w:rsidR="001D7C16" w:rsidRPr="00E21EB5">
        <w:t>The ESC considered that it would be preferable for the restrictions to include some monitoring requirements</w:t>
      </w:r>
      <w:r w:rsidR="00317B7C" w:rsidRPr="00E21EB5">
        <w:t xml:space="preserve"> to confirm benefit from ongoing treatment</w:t>
      </w:r>
      <w:r w:rsidR="001D7C16" w:rsidRPr="00E21EB5">
        <w:t xml:space="preserve">, but acknowledged the </w:t>
      </w:r>
      <w:r w:rsidR="006F2B31">
        <w:t>Pre-Sub-Committee Response (</w:t>
      </w:r>
      <w:r w:rsidR="003C6D2C" w:rsidRPr="00E21EB5">
        <w:t>PSCR</w:t>
      </w:r>
      <w:r w:rsidR="003C6D2C">
        <w:t>)</w:t>
      </w:r>
      <w:r w:rsidR="003C6D2C" w:rsidRPr="00E21EB5">
        <w:t xml:space="preserve"> comments</w:t>
      </w:r>
      <w:r w:rsidR="001D7C16" w:rsidRPr="00E21EB5">
        <w:t xml:space="preserve"> that FOP does not lend itself to a typical ‘response’ definition with which to assess</w:t>
      </w:r>
      <w:r w:rsidR="005E6AB8" w:rsidRPr="00E21EB5">
        <w:t xml:space="preserve"> the</w:t>
      </w:r>
      <w:r w:rsidR="001D7C16" w:rsidRPr="00E21EB5">
        <w:t xml:space="preserve"> </w:t>
      </w:r>
      <w:r w:rsidR="005E6AB8" w:rsidRPr="00E21EB5">
        <w:t xml:space="preserve">treatment </w:t>
      </w:r>
      <w:r w:rsidR="001D7C16" w:rsidRPr="00E21EB5">
        <w:t>benefit</w:t>
      </w:r>
      <w:r w:rsidR="005E6AB8" w:rsidRPr="00E21EB5">
        <w:t xml:space="preserve">. This is </w:t>
      </w:r>
      <w:r w:rsidR="00317B7C" w:rsidRPr="00E21EB5">
        <w:t>due to periods of flare ups</w:t>
      </w:r>
      <w:r w:rsidR="005E6AB8" w:rsidRPr="00E21EB5">
        <w:t xml:space="preserve">, because changes in HO volume and functioning (e.g. CAJIS) are only observed over the longer term, </w:t>
      </w:r>
      <w:r w:rsidR="001D7C16" w:rsidRPr="00E21EB5">
        <w:t>and</w:t>
      </w:r>
      <w:r w:rsidR="005E6AB8" w:rsidRPr="00E21EB5">
        <w:t xml:space="preserve"> because</w:t>
      </w:r>
      <w:r w:rsidR="001D7C16" w:rsidRPr="00E21EB5">
        <w:t xml:space="preserve"> the primary outcome in the clinical trial</w:t>
      </w:r>
      <w:r w:rsidR="005E6AB8" w:rsidRPr="00E21EB5">
        <w:t xml:space="preserve"> (HO)</w:t>
      </w:r>
      <w:r w:rsidR="001D7C16" w:rsidRPr="00E21EB5">
        <w:t xml:space="preserve"> is not practical to measure in clinical practice. The ESC noted that the ACM was of the view that radiological evaluation for HO and </w:t>
      </w:r>
      <w:r w:rsidR="00636D86" w:rsidRPr="00FC01BF">
        <w:rPr>
          <w:color w:val="000000" w:themeColor="text1"/>
        </w:rPr>
        <w:t>premature physeal closure (</w:t>
      </w:r>
      <w:r w:rsidR="001D7C16" w:rsidRPr="00E21EB5">
        <w:t>PPC</w:t>
      </w:r>
      <w:r w:rsidR="00636D86" w:rsidRPr="00E21EB5">
        <w:t>)</w:t>
      </w:r>
      <w:r w:rsidR="001D7C16" w:rsidRPr="00E21EB5">
        <w:t xml:space="preserve"> would be used when considered appropriate rather than routinely as cumulative WBCT and X-ray exposure risks are a consideration.</w:t>
      </w:r>
      <w:r w:rsidR="001D7C16" w:rsidRPr="00FC01BF">
        <w:rPr>
          <w:i/>
          <w:iCs/>
        </w:rPr>
        <w:t xml:space="preserve"> </w:t>
      </w:r>
    </w:p>
    <w:p w14:paraId="065BEF6C" w14:textId="4D5E2A9C" w:rsidR="00E21EB5" w:rsidRPr="00CC0F14" w:rsidRDefault="00E21EB5" w:rsidP="00007A87">
      <w:pPr>
        <w:pStyle w:val="3-BodyText"/>
        <w:numPr>
          <w:ilvl w:val="0"/>
          <w:numId w:val="0"/>
        </w:numPr>
        <w:ind w:left="720"/>
      </w:pPr>
      <w:r w:rsidRPr="00FC01BF">
        <w:rPr>
          <w:i/>
        </w:rPr>
        <w:t>For more detail on PBAC’s view, see section 7 PBAC outcome.</w:t>
      </w:r>
    </w:p>
    <w:p w14:paraId="7075B85C" w14:textId="62A47B7B" w:rsidR="00B50DB8" w:rsidRPr="0098262F" w:rsidDel="00195452" w:rsidRDefault="00203181" w:rsidP="004E18E9">
      <w:pPr>
        <w:pStyle w:val="2-SectionHeading"/>
      </w:pPr>
      <w:bookmarkStart w:id="9" w:name="_Toc177559106"/>
      <w:r w:rsidRPr="0098262F" w:rsidDel="00195452">
        <w:lastRenderedPageBreak/>
        <w:t xml:space="preserve">Population and </w:t>
      </w:r>
      <w:r w:rsidR="008E0D3C" w:rsidRPr="0098262F" w:rsidDel="00195452">
        <w:t>d</w:t>
      </w:r>
      <w:r w:rsidRPr="0098262F" w:rsidDel="00195452">
        <w:t>isease</w:t>
      </w:r>
      <w:bookmarkEnd w:id="9"/>
    </w:p>
    <w:p w14:paraId="746EE93E" w14:textId="77777777" w:rsidR="004E1A6E" w:rsidRDefault="004E1A6E" w:rsidP="00007A87">
      <w:pPr>
        <w:pStyle w:val="3-BodyText"/>
      </w:pPr>
      <w:r w:rsidRPr="0003623A">
        <w:t xml:space="preserve">FOP is an ultra-rare genetic disease characterised by congenital skeletal malformations, resulting in severe disability and premature death (Kaplan 2010; </w:t>
      </w:r>
      <w:proofErr w:type="spellStart"/>
      <w:r w:rsidRPr="0003623A">
        <w:t>Pignolo</w:t>
      </w:r>
      <w:proofErr w:type="spellEnd"/>
      <w:r w:rsidRPr="0003623A">
        <w:t xml:space="preserve"> 2011). The pathogenesis of FOP is driven by HO, a process defined as the formation of </w:t>
      </w:r>
      <w:proofErr w:type="spellStart"/>
      <w:r w:rsidRPr="0003623A">
        <w:t>extraskeletal</w:t>
      </w:r>
      <w:proofErr w:type="spellEnd"/>
      <w:r w:rsidRPr="0003623A">
        <w:t xml:space="preserve"> bone in the non-skeletal tissues such as muscles and joint capsules (</w:t>
      </w:r>
      <w:proofErr w:type="spellStart"/>
      <w:r w:rsidRPr="0003623A">
        <w:t>Diolintzi</w:t>
      </w:r>
      <w:proofErr w:type="spellEnd"/>
      <w:r w:rsidRPr="0003623A">
        <w:t xml:space="preserve"> 2024; Meyers 2019). </w:t>
      </w:r>
    </w:p>
    <w:p w14:paraId="7F446B70" w14:textId="77777777" w:rsidR="004E1A6E" w:rsidRDefault="004E1A6E" w:rsidP="00007A87">
      <w:pPr>
        <w:pStyle w:val="3-BodyText"/>
      </w:pPr>
      <w:r w:rsidRPr="0003623A">
        <w:t xml:space="preserve">FOP is caused by a gain-of-function mutation in the </w:t>
      </w:r>
      <w:r w:rsidRPr="004E1A6E">
        <w:rPr>
          <w:i/>
          <w:iCs/>
        </w:rPr>
        <w:t xml:space="preserve">ACVR1 </w:t>
      </w:r>
      <w:r w:rsidRPr="0003623A">
        <w:t xml:space="preserve">gene which encodes the ALK2 receptor, a bone morphogenetic protein (BMP) type I receptor. The most common mutation in patients with FOP is the </w:t>
      </w:r>
      <w:r w:rsidRPr="004E1A6E">
        <w:rPr>
          <w:i/>
          <w:iCs/>
        </w:rPr>
        <w:t>ACVR1</w:t>
      </w:r>
      <w:r w:rsidRPr="004E1A6E">
        <w:rPr>
          <w:vertAlign w:val="superscript"/>
        </w:rPr>
        <w:t>R206H</w:t>
      </w:r>
      <w:r w:rsidRPr="0003623A">
        <w:t xml:space="preserve"> pathogenic variant (also referred to as the R206H mutation)</w:t>
      </w:r>
      <w:r>
        <w:t xml:space="preserve">. The R206H mutation </w:t>
      </w:r>
      <w:r w:rsidRPr="0003623A">
        <w:t xml:space="preserve">occurs in approximately 97% of patients </w:t>
      </w:r>
      <w:r>
        <w:t>(Zhang 2013)</w:t>
      </w:r>
      <w:r w:rsidRPr="0003623A">
        <w:t xml:space="preserve">. There are 15 other pathogenic mutations of the </w:t>
      </w:r>
      <w:r w:rsidRPr="004E1A6E">
        <w:rPr>
          <w:i/>
          <w:iCs/>
        </w:rPr>
        <w:t>ACVR1</w:t>
      </w:r>
      <w:r w:rsidRPr="0003623A">
        <w:t xml:space="preserve"> gene which occur in approximately 3% of FOP patients </w:t>
      </w:r>
      <w:r>
        <w:t>(Qi 2017; Rauner 2019).</w:t>
      </w:r>
    </w:p>
    <w:p w14:paraId="63DA94BB" w14:textId="23D16238" w:rsidR="004E1A6E" w:rsidRDefault="004E1A6E" w:rsidP="00007A87">
      <w:pPr>
        <w:pStyle w:val="3-BodyText"/>
      </w:pPr>
      <w:r w:rsidRPr="0003623A">
        <w:t xml:space="preserve">All identified </w:t>
      </w:r>
      <w:r w:rsidRPr="004E1A6E">
        <w:rPr>
          <w:i/>
          <w:iCs/>
        </w:rPr>
        <w:t>ACVR1</w:t>
      </w:r>
      <w:r w:rsidRPr="0003623A">
        <w:t xml:space="preserve"> mutations in FOP patients result in the dysregulation of the normal BMP</w:t>
      </w:r>
      <w:r w:rsidR="00B942CB">
        <w:rPr>
          <w:rFonts w:cs="Calibri"/>
        </w:rPr>
        <w:t>-</w:t>
      </w:r>
      <w:r w:rsidRPr="0003623A">
        <w:t>dependent signalling pathway, which is the key regulator of bone development and homeostasis in chondrocytes and osteoblasts</w:t>
      </w:r>
      <w:r>
        <w:t xml:space="preserve"> (Ventura 2021)</w:t>
      </w:r>
      <w:r w:rsidRPr="0003623A">
        <w:t xml:space="preserve">. </w:t>
      </w:r>
      <w:r>
        <w:t>The</w:t>
      </w:r>
      <w:r w:rsidRPr="0003623A">
        <w:t xml:space="preserve"> gain-of-function mutation in the </w:t>
      </w:r>
      <w:r w:rsidRPr="004E1A6E">
        <w:rPr>
          <w:i/>
          <w:iCs/>
        </w:rPr>
        <w:t>ACVR1/</w:t>
      </w:r>
      <w:r w:rsidRPr="0003623A">
        <w:t>ALK2 receptor results in abnormal signalling with activin A</w:t>
      </w:r>
      <w:r>
        <w:t xml:space="preserve">. </w:t>
      </w:r>
      <w:r w:rsidRPr="0003623A">
        <w:t xml:space="preserve">Binding of activin A to the mutated </w:t>
      </w:r>
      <w:r w:rsidRPr="004E1A6E">
        <w:rPr>
          <w:i/>
          <w:iCs/>
        </w:rPr>
        <w:t>ACVR1/</w:t>
      </w:r>
      <w:r w:rsidRPr="0003623A">
        <w:t>ALK2 receptor mimics the binding and signalling of BMP ligands and ultimately causes bone growth</w:t>
      </w:r>
      <w:r>
        <w:t xml:space="preserve">. </w:t>
      </w:r>
      <w:r w:rsidRPr="0003623A">
        <w:t>Binding of BMP ligands to the mutated receptor can also lead to hyperactive responses. Altogether, these changes promote overactive BMP signalling and HO formation, resulting in soft and connective tissue being transformed into bone</w:t>
      </w:r>
      <w:r>
        <w:t xml:space="preserve"> (Felix-</w:t>
      </w:r>
      <w:proofErr w:type="spellStart"/>
      <w:r>
        <w:t>Ilemhenbhio</w:t>
      </w:r>
      <w:proofErr w:type="spellEnd"/>
      <w:r>
        <w:t xml:space="preserve"> 2022; Kaplan 2009; Towler and Shore 2022; Ventura 2021)</w:t>
      </w:r>
      <w:r w:rsidR="00B942CB">
        <w:t>.</w:t>
      </w:r>
      <w:r>
        <w:t xml:space="preserve"> </w:t>
      </w:r>
    </w:p>
    <w:p w14:paraId="1CA3A5D3" w14:textId="1E1D4486" w:rsidR="004E1A6E" w:rsidRDefault="004E1A6E" w:rsidP="00007A87">
      <w:pPr>
        <w:pStyle w:val="3-BodyText"/>
      </w:pPr>
      <w:r w:rsidRPr="0003623A">
        <w:t xml:space="preserve">Common clinical features of </w:t>
      </w:r>
      <w:r>
        <w:t>FOP are as follows:</w:t>
      </w:r>
    </w:p>
    <w:p w14:paraId="4D1D45D3" w14:textId="7D3C7874" w:rsidR="004E1A6E" w:rsidRDefault="004E1A6E" w:rsidP="00B46A90">
      <w:pPr>
        <w:pStyle w:val="ListParagraph"/>
        <w:numPr>
          <w:ilvl w:val="0"/>
          <w:numId w:val="9"/>
        </w:numPr>
        <w:spacing w:before="120"/>
        <w:ind w:left="993" w:hanging="284"/>
        <w:jc w:val="both"/>
      </w:pPr>
      <w:r w:rsidRPr="0003623A">
        <w:t>FOP is clinically defined in 97% of cases by malformations of the great toes and progression of HO in a characteristic anatomical pattern</w:t>
      </w:r>
      <w:r w:rsidR="005E6AB8">
        <w:t>.</w:t>
      </w:r>
      <w:r w:rsidRPr="0003623A">
        <w:t xml:space="preserve"> </w:t>
      </w:r>
    </w:p>
    <w:p w14:paraId="770C9600" w14:textId="32CC1FCE" w:rsidR="004E1A6E" w:rsidRDefault="004E1A6E" w:rsidP="00B46A90">
      <w:pPr>
        <w:pStyle w:val="ListParagraph"/>
        <w:numPr>
          <w:ilvl w:val="0"/>
          <w:numId w:val="9"/>
        </w:numPr>
        <w:spacing w:before="120"/>
        <w:ind w:left="993" w:hanging="284"/>
        <w:jc w:val="both"/>
      </w:pPr>
      <w:r w:rsidRPr="0003623A">
        <w:t>Other typical clinical features observed in FOP patients are shortened malformed thumbs, clinodactyly, short broad femoral necks and proximal medial tibial</w:t>
      </w:r>
      <w:r w:rsidR="00953BA1">
        <w:t xml:space="preserve"> osteochondromas</w:t>
      </w:r>
      <w:r w:rsidR="005E6AB8">
        <w:t>.</w:t>
      </w:r>
    </w:p>
    <w:p w14:paraId="38E382D9" w14:textId="7A2643AD" w:rsidR="004E1A6E" w:rsidRDefault="004E1A6E" w:rsidP="00B46A90">
      <w:pPr>
        <w:pStyle w:val="ListParagraph"/>
        <w:numPr>
          <w:ilvl w:val="0"/>
          <w:numId w:val="9"/>
        </w:numPr>
        <w:spacing w:before="120"/>
        <w:ind w:left="993" w:hanging="284"/>
        <w:jc w:val="both"/>
      </w:pPr>
      <w:r>
        <w:t>A</w:t>
      </w:r>
      <w:r w:rsidRPr="0003623A">
        <w:t xml:space="preserve">pproximately 65% of patients develop spinal deformities, including scoliosis, kyphosis and thoracic lordosis. Spinal deformities may lead to rapid immobility and </w:t>
      </w:r>
      <w:r w:rsidRPr="00DC0F80">
        <w:t xml:space="preserve">thoracic insufficiency syndrome </w:t>
      </w:r>
      <w:r>
        <w:t>(</w:t>
      </w:r>
      <w:r w:rsidRPr="0003623A">
        <w:t>TIS</w:t>
      </w:r>
      <w:r>
        <w:t>)</w:t>
      </w:r>
      <w:r w:rsidRPr="0003623A">
        <w:t xml:space="preserve"> which is the most common cause of death in FOP</w:t>
      </w:r>
      <w:r w:rsidR="005E6AB8">
        <w:t>.</w:t>
      </w:r>
      <w:r w:rsidRPr="0003623A">
        <w:t xml:space="preserve"> </w:t>
      </w:r>
    </w:p>
    <w:p w14:paraId="0B1F9A9F" w14:textId="6B7D58C4" w:rsidR="004E1A6E" w:rsidRDefault="004E1A6E" w:rsidP="00B46A90">
      <w:pPr>
        <w:pStyle w:val="ListParagraph"/>
        <w:numPr>
          <w:ilvl w:val="0"/>
          <w:numId w:val="9"/>
        </w:numPr>
        <w:spacing w:before="120"/>
        <w:ind w:left="993" w:hanging="284"/>
        <w:jc w:val="both"/>
      </w:pPr>
      <w:r w:rsidRPr="0003623A">
        <w:t>Other features that contribute to TIS include costovertebral malformations with orthotopic ankylosis of the costovertebral joints and HO of intercostal muscles, paravertebral muscles and aponeuroses</w:t>
      </w:r>
      <w:r w:rsidR="005E6AB8">
        <w:t>.</w:t>
      </w:r>
      <w:r w:rsidRPr="0003623A">
        <w:t xml:space="preserve"> </w:t>
      </w:r>
    </w:p>
    <w:p w14:paraId="567B8CCB" w14:textId="28FF3E48" w:rsidR="004E1A6E" w:rsidRDefault="004E1A6E" w:rsidP="00B46A90">
      <w:pPr>
        <w:pStyle w:val="ListParagraph"/>
        <w:numPr>
          <w:ilvl w:val="0"/>
          <w:numId w:val="9"/>
        </w:numPr>
        <w:spacing w:before="120"/>
        <w:ind w:left="993" w:hanging="284"/>
        <w:jc w:val="both"/>
      </w:pPr>
      <w:r w:rsidRPr="0003623A">
        <w:t>Patients may also experience ankylosis of the jaw which may lead to severe weight loss</w:t>
      </w:r>
      <w:r w:rsidR="005E6AB8">
        <w:t>.</w:t>
      </w:r>
      <w:r w:rsidRPr="0003623A">
        <w:t xml:space="preserve"> </w:t>
      </w:r>
    </w:p>
    <w:p w14:paraId="5CD52914" w14:textId="63052280" w:rsidR="004E1A6E" w:rsidRDefault="004E1A6E" w:rsidP="00B46A90">
      <w:pPr>
        <w:pStyle w:val="ListParagraph"/>
        <w:numPr>
          <w:ilvl w:val="0"/>
          <w:numId w:val="9"/>
        </w:numPr>
        <w:spacing w:before="120"/>
        <w:ind w:left="993" w:hanging="284"/>
        <w:jc w:val="both"/>
      </w:pPr>
      <w:r w:rsidRPr="0003623A">
        <w:lastRenderedPageBreak/>
        <w:t>Approximately 3% of patients develop atypical FOP which is characterised by additional or missing common clinical features such as mild or no toe deformities</w:t>
      </w:r>
      <w:r w:rsidR="005E6AB8">
        <w:t>.</w:t>
      </w:r>
    </w:p>
    <w:p w14:paraId="2C26F281" w14:textId="2ACB8DB1" w:rsidR="004E1A6E" w:rsidRPr="004E1A6E" w:rsidDel="00195452" w:rsidRDefault="004E1A6E" w:rsidP="00B46A90">
      <w:pPr>
        <w:pStyle w:val="ListParagraph"/>
        <w:numPr>
          <w:ilvl w:val="0"/>
          <w:numId w:val="9"/>
        </w:numPr>
        <w:spacing w:before="120"/>
        <w:ind w:left="993" w:hanging="284"/>
        <w:jc w:val="both"/>
      </w:pPr>
      <w:r w:rsidRPr="0003623A">
        <w:t>In all patients with FOP, the diaphragm, tongue, and extra-ocular muscles are spared from HO. Cardiac muscle and smooth muscle are also spared in FOP</w:t>
      </w:r>
      <w:r w:rsidR="00B942CB">
        <w:t>.</w:t>
      </w:r>
      <w:r w:rsidRPr="0003623A">
        <w:t xml:space="preserve"> </w:t>
      </w:r>
    </w:p>
    <w:p w14:paraId="5695F605" w14:textId="30956F54" w:rsidR="00910837" w:rsidRDefault="004E1A6E" w:rsidP="00007A87">
      <w:pPr>
        <w:pStyle w:val="3-BodyText"/>
      </w:pPr>
      <w:r w:rsidRPr="0003623A">
        <w:t xml:space="preserve">HO progressively restricts movement leading to cumulative disability and severe physical </w:t>
      </w:r>
      <w:r w:rsidRPr="00B942CB">
        <w:t>impairments</w:t>
      </w:r>
      <w:r w:rsidR="00B942CB" w:rsidRPr="00B942CB">
        <w:t>.</w:t>
      </w:r>
      <w:r w:rsidR="005E6AB8">
        <w:t xml:space="preserve"> </w:t>
      </w:r>
      <w:r w:rsidRPr="0003623A">
        <w:t xml:space="preserve">Patients are typically confined to a wheelchair by their third decade of life and require lifelong assistance in performing activities of daily living (Cohen 1993; Connor and Evans, 1982; Nakahara 2019; </w:t>
      </w:r>
      <w:proofErr w:type="spellStart"/>
      <w:r w:rsidRPr="0003623A">
        <w:t>Pignolo</w:t>
      </w:r>
      <w:proofErr w:type="spellEnd"/>
      <w:r w:rsidRPr="0003623A">
        <w:t xml:space="preserve"> 2022; </w:t>
      </w:r>
      <w:proofErr w:type="spellStart"/>
      <w:r w:rsidRPr="0003623A">
        <w:t>Pignolo</w:t>
      </w:r>
      <w:proofErr w:type="spellEnd"/>
      <w:r w:rsidRPr="0003623A">
        <w:t xml:space="preserve"> 2018). Other severe physical impairments include ankylosis of the jaw which typically occurs in the late stages of FOP and lead</w:t>
      </w:r>
      <w:r w:rsidR="005E6AB8">
        <w:t>s</w:t>
      </w:r>
      <w:r w:rsidRPr="0003623A">
        <w:t xml:space="preserve"> to difficulties in eating and speaking (</w:t>
      </w:r>
      <w:proofErr w:type="spellStart"/>
      <w:r w:rsidRPr="0003623A">
        <w:t>Pignolo</w:t>
      </w:r>
      <w:proofErr w:type="spellEnd"/>
      <w:r w:rsidRPr="0003623A">
        <w:t xml:space="preserve"> and Kaplan, 2018). In addition to the severe physical impairments, patients can present with other symptoms attributed to HO, with the most common being auditory complaints (e.g., hearing loss), poor sleep quality, difficulty breathing, rash, abdominal pain, headaches, flank pain, menstrual abnormalities and heart palpitations (</w:t>
      </w:r>
      <w:proofErr w:type="spellStart"/>
      <w:r w:rsidRPr="0003623A">
        <w:t>Pignolo</w:t>
      </w:r>
      <w:proofErr w:type="spellEnd"/>
      <w:r w:rsidRPr="0003623A">
        <w:t xml:space="preserve"> 2020). Patients with FOP have a shortened lifespan owing to complications related to HO accumulation including TIS, pneumonia and traumatic falls (Connor 2014; Kaplan </w:t>
      </w:r>
      <w:r w:rsidRPr="00B942CB">
        <w:t>2010)</w:t>
      </w:r>
      <w:r w:rsidR="00B942CB" w:rsidRPr="00B942CB">
        <w:t>.</w:t>
      </w:r>
    </w:p>
    <w:p w14:paraId="056A08C2" w14:textId="1B3E64A8" w:rsidR="00910837" w:rsidRDefault="00910837" w:rsidP="00007A87">
      <w:pPr>
        <w:pStyle w:val="3-BodyText"/>
      </w:pPr>
      <w:r w:rsidRPr="00550E93">
        <w:t>Palovarotene is a retinoid acid receptor gamma (RAR</w:t>
      </w:r>
      <w:r w:rsidRPr="00550E93">
        <w:sym w:font="Symbol" w:char="F067"/>
      </w:r>
      <w:r w:rsidRPr="00550E93">
        <w:t xml:space="preserve">)-selective agonist which activates the retinoid signalling pathway. Activation of the retinoid signalling pathway reduces the phosphorylation of SMAD 1/5/8 transduction proteins, resulting in the dampening of overactive BMP signalling caused by the mutated </w:t>
      </w:r>
      <w:r w:rsidRPr="00910837">
        <w:rPr>
          <w:i/>
          <w:iCs/>
        </w:rPr>
        <w:t>ACVR1</w:t>
      </w:r>
      <w:r w:rsidRPr="00550E93">
        <w:t>/ALK2 receptor. This in turn reduces HO formation and allows stem cells to develop into soft tissue rather than bone (</w:t>
      </w:r>
      <w:proofErr w:type="spellStart"/>
      <w:r w:rsidRPr="00550E93">
        <w:t>Brasil</w:t>
      </w:r>
      <w:proofErr w:type="spellEnd"/>
      <w:r w:rsidRPr="00550E93">
        <w:t xml:space="preserve"> 2022, Felix-</w:t>
      </w:r>
      <w:proofErr w:type="spellStart"/>
      <w:r w:rsidRPr="00550E93">
        <w:t>Ilemhenbhio</w:t>
      </w:r>
      <w:proofErr w:type="spellEnd"/>
      <w:r w:rsidRPr="00550E93">
        <w:t xml:space="preserve"> 2022; Rauner 2019).</w:t>
      </w:r>
    </w:p>
    <w:p w14:paraId="28178653" w14:textId="6DCA991B" w:rsidR="00910837" w:rsidRPr="00B942CB" w:rsidRDefault="00910837" w:rsidP="00007A87">
      <w:pPr>
        <w:pStyle w:val="3-BodyText"/>
      </w:pPr>
      <w:r w:rsidRPr="00550E93">
        <w:t xml:space="preserve">The anatomical therapeutic chemical (ATC) classification code for palovarotene is M09AX11. </w:t>
      </w:r>
      <w:r>
        <w:t>P</w:t>
      </w:r>
      <w:r w:rsidRPr="00550E93">
        <w:t>alovarotene is categorised as a drug for disorders of the musculoskeletal system</w:t>
      </w:r>
      <w:r w:rsidR="005D6917">
        <w:t>.</w:t>
      </w:r>
    </w:p>
    <w:p w14:paraId="11FCAAEE" w14:textId="66F49C1E" w:rsidR="007627BE" w:rsidRDefault="00A80B6F" w:rsidP="00007A87">
      <w:pPr>
        <w:pStyle w:val="3-BodyText"/>
        <w:rPr>
          <w:color w:val="000000" w:themeColor="text1"/>
        </w:rPr>
      </w:pPr>
      <w:r>
        <w:rPr>
          <w:color w:val="000000" w:themeColor="text1"/>
        </w:rPr>
        <w:t>There were no</w:t>
      </w:r>
      <w:r w:rsidR="004E1A6E" w:rsidRPr="00CC0F14">
        <w:rPr>
          <w:color w:val="000000" w:themeColor="text1"/>
        </w:rPr>
        <w:t xml:space="preserve"> active treatment</w:t>
      </w:r>
      <w:r>
        <w:rPr>
          <w:color w:val="000000" w:themeColor="text1"/>
        </w:rPr>
        <w:t>s</w:t>
      </w:r>
      <w:r w:rsidR="004E1A6E" w:rsidRPr="00CC0F14">
        <w:rPr>
          <w:color w:val="000000" w:themeColor="text1"/>
        </w:rPr>
        <w:t xml:space="preserve"> for FOP</w:t>
      </w:r>
      <w:r>
        <w:rPr>
          <w:color w:val="000000" w:themeColor="text1"/>
        </w:rPr>
        <w:t xml:space="preserve"> available on the PBS at the time of this submission</w:t>
      </w:r>
      <w:r w:rsidR="004E1A6E" w:rsidRPr="00CC0F14">
        <w:rPr>
          <w:color w:val="000000" w:themeColor="text1"/>
        </w:rPr>
        <w:t xml:space="preserve">. </w:t>
      </w:r>
      <w:r>
        <w:rPr>
          <w:color w:val="000000" w:themeColor="text1"/>
        </w:rPr>
        <w:t>Palo</w:t>
      </w:r>
      <w:r w:rsidR="006440C5">
        <w:rPr>
          <w:color w:val="000000" w:themeColor="text1"/>
        </w:rPr>
        <w:t>v</w:t>
      </w:r>
      <w:r>
        <w:rPr>
          <w:color w:val="000000" w:themeColor="text1"/>
        </w:rPr>
        <w:t>ar</w:t>
      </w:r>
      <w:r w:rsidR="006440C5">
        <w:rPr>
          <w:color w:val="000000" w:themeColor="text1"/>
        </w:rPr>
        <w:t>o</w:t>
      </w:r>
      <w:r>
        <w:rPr>
          <w:color w:val="000000" w:themeColor="text1"/>
        </w:rPr>
        <w:t>tene t</w:t>
      </w:r>
      <w:r w:rsidR="004E1A6E" w:rsidRPr="00CC0F14">
        <w:rPr>
          <w:color w:val="000000" w:themeColor="text1"/>
        </w:rPr>
        <w:t xml:space="preserve">reatment would be initiated as soon as </w:t>
      </w:r>
      <w:r w:rsidR="006E0772" w:rsidRPr="00CC0F14">
        <w:rPr>
          <w:color w:val="000000" w:themeColor="text1"/>
        </w:rPr>
        <w:t xml:space="preserve">the </w:t>
      </w:r>
      <w:r w:rsidR="004E1A6E" w:rsidRPr="00CC0F14">
        <w:rPr>
          <w:color w:val="000000" w:themeColor="text1"/>
        </w:rPr>
        <w:t xml:space="preserve">patient meets minimum age criteria and would be expected to continue indefinitely. </w:t>
      </w:r>
    </w:p>
    <w:p w14:paraId="2A1357C8" w14:textId="5051DAE8" w:rsidR="00E21EB5" w:rsidRPr="00CC0F14" w:rsidDel="00195452" w:rsidRDefault="00E21EB5" w:rsidP="00007A87">
      <w:pPr>
        <w:spacing w:before="120" w:after="120"/>
        <w:ind w:firstLine="709"/>
      </w:pPr>
      <w:r w:rsidRPr="00C33D30">
        <w:rPr>
          <w:rFonts w:asciiTheme="minorHAnsi" w:hAnsiTheme="minorHAnsi"/>
          <w:i/>
        </w:rPr>
        <w:t>For more detail on PBAC’s view, see section 7 PBAC outcome.</w:t>
      </w:r>
    </w:p>
    <w:p w14:paraId="51E5AE96" w14:textId="136A63B1" w:rsidR="00B50DB8" w:rsidRPr="0098262F" w:rsidRDefault="00B50DB8" w:rsidP="004E18E9">
      <w:pPr>
        <w:pStyle w:val="2-SectionHeading"/>
      </w:pPr>
      <w:bookmarkStart w:id="10" w:name="_Toc177559107"/>
      <w:r w:rsidRPr="0098262F">
        <w:t>Comparator</w:t>
      </w:r>
      <w:bookmarkEnd w:id="10"/>
    </w:p>
    <w:p w14:paraId="3020F20D" w14:textId="23E8DFA7" w:rsidR="004E1A6E" w:rsidRPr="004E1A6E" w:rsidRDefault="004E1A6E" w:rsidP="00D41D8D">
      <w:pPr>
        <w:pStyle w:val="3-BodyText"/>
      </w:pPr>
      <w:r w:rsidRPr="0098262F">
        <w:t xml:space="preserve">The submission nominated </w:t>
      </w:r>
      <w:r w:rsidR="00B942CB">
        <w:t>standard of care (</w:t>
      </w:r>
      <w:r>
        <w:t>SoC</w:t>
      </w:r>
      <w:r w:rsidR="00B942CB">
        <w:t>)</w:t>
      </w:r>
      <w:r w:rsidRPr="0098262F">
        <w:t xml:space="preserve"> as the main comparator. The main argument provided in support of this nomination </w:t>
      </w:r>
      <w:r>
        <w:t xml:space="preserve">was that </w:t>
      </w:r>
      <w:r w:rsidRPr="00D01E11">
        <w:t>there are no</w:t>
      </w:r>
      <w:r>
        <w:t xml:space="preserve"> other</w:t>
      </w:r>
      <w:r w:rsidRPr="00D01E11">
        <w:t xml:space="preserve"> disease-modifying treatments for FOP. SoC includes symptomatic treatments that alleviate inflammation and pain during flare-ups</w:t>
      </w:r>
      <w:r>
        <w:t>.</w:t>
      </w:r>
      <w:r w:rsidR="009417E2">
        <w:t xml:space="preserve"> </w:t>
      </w:r>
      <w:r w:rsidRPr="00CC0F14">
        <w:t>Overall</w:t>
      </w:r>
      <w:r w:rsidRPr="00E21EB5">
        <w:t xml:space="preserve">, </w:t>
      </w:r>
      <w:r w:rsidR="002D7FBD" w:rsidRPr="00E21EB5">
        <w:t>the ESC</w:t>
      </w:r>
      <w:r w:rsidR="000D4169">
        <w:t xml:space="preserve"> and the PBAC</w:t>
      </w:r>
      <w:r w:rsidR="002D7FBD" w:rsidRPr="00E21EB5">
        <w:t xml:space="preserve"> agreed with the commentary that </w:t>
      </w:r>
      <w:r w:rsidRPr="00E21EB5">
        <w:t>this was reasonable.</w:t>
      </w:r>
      <w:r w:rsidRPr="009417E2">
        <w:rPr>
          <w:i/>
          <w:iCs/>
        </w:rPr>
        <w:t xml:space="preserve"> </w:t>
      </w:r>
    </w:p>
    <w:p w14:paraId="1DE24444" w14:textId="5A9DBE54" w:rsidR="00DD7AAC" w:rsidRDefault="004E1A6E" w:rsidP="00DD7AAC">
      <w:pPr>
        <w:pStyle w:val="3-BodyText"/>
      </w:pPr>
      <w:r>
        <w:t>Current SoC is focused on anti-inflammatory medications to alleviate pain and inflammation associated with flare-ups. The</w:t>
      </w:r>
      <w:r w:rsidR="00AC7B88">
        <w:t xml:space="preserve"> </w:t>
      </w:r>
      <w:r w:rsidR="00AC7B88" w:rsidRPr="00AC7B88">
        <w:t>International Clinical Council (ICC</w:t>
      </w:r>
      <w:r w:rsidR="00AC7B88">
        <w:t xml:space="preserve"> 2022</w:t>
      </w:r>
      <w:r w:rsidR="00AC7B88" w:rsidRPr="00AC7B88">
        <w:t>)</w:t>
      </w:r>
      <w:r>
        <w:t xml:space="preserve"> treatment guidelines recommend symptomatic treatment with corticosteroids </w:t>
      </w:r>
      <w:r>
        <w:lastRenderedPageBreak/>
        <w:t>(prednisone or prednisolone), NSAIDs (ibuprofen or indomethacin/</w:t>
      </w:r>
      <w:proofErr w:type="spellStart"/>
      <w:r>
        <w:t>indometacin</w:t>
      </w:r>
      <w:proofErr w:type="spellEnd"/>
      <w:r>
        <w:t>) and COX-2 inhibitors (celecoxib). The submission noted that these are considered class I medications that are widely used to control symptoms of acute flare-ups in FOP (swelling and pain), or chronic arthropathy, with generally minimal side effects. Prednisone is recommended for acute flare-ups within 24 hours of onset, with a maximum treatment duration of 4 days due to safety concerns including accelerated HO, osteoporosis, and Cushing’s disease. If the flare-up responds to prednisone and recurs after treatment is discontinued, a repeat 4-day course with a subsequent 10</w:t>
      </w:r>
      <w:r w:rsidR="00185CE7">
        <w:noBreakHyphen/>
      </w:r>
      <w:r>
        <w:t xml:space="preserve">day taper can be considered. When prednisone is discontinued or a flare-up persists for more than 48 hours, symptomatic treatment with an NSAID or COX-2 inhibitor </w:t>
      </w:r>
      <w:r w:rsidR="00E445FC">
        <w:t xml:space="preserve">is </w:t>
      </w:r>
      <w:r>
        <w:t xml:space="preserve">recommended. </w:t>
      </w:r>
    </w:p>
    <w:p w14:paraId="53935D7A" w14:textId="1D2C7459" w:rsidR="00DD7AAC" w:rsidRDefault="00DD7AAC" w:rsidP="00DD7AAC">
      <w:pPr>
        <w:pStyle w:val="3-BodyText"/>
      </w:pPr>
      <w:r>
        <w:t>The submission noted that corticosteroids prednisone and prednisolone and the NSAID ibuprofen have unrestricted PBS listings. Ibuprofen and indomethacin also have restricted PBS listings for chronic arthropathies with an inflammatory component. Celecoxib has a restricted PBS listing for osteoarthritis and rheumatoid arthritis and is not subsidised for acute pain or soft tissue injury.</w:t>
      </w:r>
    </w:p>
    <w:p w14:paraId="064CA1A6" w14:textId="42C34CFE" w:rsidR="004E1A6E" w:rsidRDefault="004E1A6E" w:rsidP="004E1A6E">
      <w:pPr>
        <w:pStyle w:val="3-BodyText"/>
      </w:pPr>
      <w:r>
        <w:t>The submission also considered that other</w:t>
      </w:r>
      <w:r w:rsidRPr="00D01E11">
        <w:t xml:space="preserve"> medicines may be used for symptomatic relief of flare-ups such as leukotriene inhibitors (montelukast), mast cell stabili</w:t>
      </w:r>
      <w:r w:rsidR="004F7EEE">
        <w:t>s</w:t>
      </w:r>
      <w:r w:rsidRPr="00D01E11">
        <w:t>ers (cromolyn), bisphosphonates (pamidronate, zoledronate) and specific tyrosine kinase inhibitors (imatinib); however, these medications are considered class II and are defined as those with a theoretical application in FOP, are approved for the treatment of other disorders and recommended to be used with caution at the physician’s discre</w:t>
      </w:r>
      <w:r>
        <w:t>tion</w:t>
      </w:r>
      <w:r w:rsidR="00AC7B88">
        <w:t xml:space="preserve"> (ICC 2022)</w:t>
      </w:r>
      <w:r>
        <w:t>.</w:t>
      </w:r>
    </w:p>
    <w:p w14:paraId="62A901EE" w14:textId="36C437C1" w:rsidR="004E1A6E" w:rsidRPr="00CC0F14" w:rsidRDefault="004E1A6E" w:rsidP="004E1A6E">
      <w:pPr>
        <w:pStyle w:val="3-BodyText"/>
      </w:pPr>
      <w:r w:rsidRPr="00CC0F14">
        <w:t xml:space="preserve">Most patients </w:t>
      </w:r>
      <w:r w:rsidR="004F7EEE" w:rsidRPr="00CC0F14">
        <w:t>received</w:t>
      </w:r>
      <w:r w:rsidRPr="00CC0F14">
        <w:t xml:space="preserve"> systemic corticosteroids in the MOVE study and the comparator </w:t>
      </w:r>
      <w:r w:rsidR="007357A1" w:rsidRPr="00CC0F14">
        <w:t>natural history study (</w:t>
      </w:r>
      <w:r w:rsidRPr="00CC0F14">
        <w:t>NHS</w:t>
      </w:r>
      <w:r w:rsidR="007357A1" w:rsidRPr="00CC0F14">
        <w:t>)</w:t>
      </w:r>
      <w:r w:rsidRPr="00CC0F14">
        <w:t>, as this is considered the SoC for the treatment of flare-ups. Anti-inflammatory and anti-rheumatic products were also taken by approximately half of patients in both treatment arms. As anticipated with the mucocutaneous effects of palovarotene, patients in MOVE used topical dermatologic preparations including steroids and systemic/topical antibiotics.</w:t>
      </w:r>
    </w:p>
    <w:p w14:paraId="68162072" w14:textId="171351DF" w:rsidR="004E1A6E" w:rsidRPr="00E21EB5" w:rsidRDefault="004E1A6E" w:rsidP="004E1A6E">
      <w:pPr>
        <w:pStyle w:val="3-BodyText"/>
      </w:pPr>
      <w:r w:rsidRPr="00CC0F14">
        <w:t xml:space="preserve">During the evaluation, </w:t>
      </w:r>
      <w:r w:rsidR="00D42DBD" w:rsidRPr="00CC0F14">
        <w:t xml:space="preserve">a paper </w:t>
      </w:r>
      <w:r w:rsidR="00D42DBD" w:rsidRPr="00CC0F14">
        <w:rPr>
          <w:rFonts w:cs="Calibri"/>
        </w:rPr>
        <w:t>was identified (</w:t>
      </w:r>
      <w:r w:rsidRPr="00CC0F14">
        <w:rPr>
          <w:rFonts w:cs="Calibri"/>
        </w:rPr>
        <w:t>Shaikh 2023</w:t>
      </w:r>
      <w:r w:rsidRPr="00CC0F14">
        <w:rPr>
          <w:rStyle w:val="FootnoteReference"/>
          <w:rFonts w:cs="Calibri"/>
        </w:rPr>
        <w:footnoteReference w:id="2"/>
      </w:r>
      <w:r w:rsidR="00D42DBD" w:rsidRPr="00CC0F14">
        <w:rPr>
          <w:rFonts w:cs="Calibri"/>
        </w:rPr>
        <w:t>)</w:t>
      </w:r>
      <w:r w:rsidRPr="00CC0F14">
        <w:rPr>
          <w:rFonts w:cs="Calibri"/>
        </w:rPr>
        <w:t xml:space="preserve"> that reviewed new disease modifying therapies for FOP. These include: INCB000928, </w:t>
      </w:r>
      <w:proofErr w:type="spellStart"/>
      <w:r w:rsidRPr="00CC0F14">
        <w:rPr>
          <w:rFonts w:cs="Calibri"/>
        </w:rPr>
        <w:t>caretosmab</w:t>
      </w:r>
      <w:proofErr w:type="spellEnd"/>
      <w:r w:rsidRPr="00CC0F14">
        <w:rPr>
          <w:rFonts w:cs="Calibri"/>
        </w:rPr>
        <w:t xml:space="preserve">, IPN60130, KER-047, BX9250. </w:t>
      </w:r>
      <w:r w:rsidR="000D4169">
        <w:rPr>
          <w:rFonts w:cs="Calibri"/>
        </w:rPr>
        <w:t>H</w:t>
      </w:r>
      <w:r w:rsidR="000D4169" w:rsidRPr="00CC0F14">
        <w:rPr>
          <w:rFonts w:cs="Calibri"/>
        </w:rPr>
        <w:t>owever,</w:t>
      </w:r>
      <w:r w:rsidR="000D4169">
        <w:rPr>
          <w:rFonts w:cs="Calibri"/>
        </w:rPr>
        <w:t xml:space="preserve"> n</w:t>
      </w:r>
      <w:r w:rsidRPr="00CC0F14">
        <w:rPr>
          <w:rFonts w:cs="Calibri"/>
        </w:rPr>
        <w:t xml:space="preserve">one of these </w:t>
      </w:r>
      <w:r w:rsidR="000D4169">
        <w:rPr>
          <w:rFonts w:cs="Calibri"/>
        </w:rPr>
        <w:t>we</w:t>
      </w:r>
      <w:r w:rsidRPr="00CC0F14">
        <w:rPr>
          <w:rFonts w:cs="Calibri"/>
        </w:rPr>
        <w:t>re on the market</w:t>
      </w:r>
      <w:r w:rsidR="000D4169">
        <w:rPr>
          <w:rFonts w:cs="Calibri"/>
        </w:rPr>
        <w:t xml:space="preserve"> at the time of this submission and were not assessed as </w:t>
      </w:r>
      <w:r w:rsidR="003C6D2C">
        <w:rPr>
          <w:rFonts w:cs="Calibri"/>
        </w:rPr>
        <w:t>near-term</w:t>
      </w:r>
      <w:r w:rsidR="000D4169">
        <w:rPr>
          <w:rFonts w:cs="Calibri"/>
        </w:rPr>
        <w:t xml:space="preserve"> comparators</w:t>
      </w:r>
      <w:r w:rsidR="007F6BC3">
        <w:rPr>
          <w:rFonts w:cs="Calibri"/>
        </w:rPr>
        <w:t>.</w:t>
      </w:r>
    </w:p>
    <w:p w14:paraId="52727D68" w14:textId="715128B2" w:rsidR="00E21EB5" w:rsidRPr="00CC0F14" w:rsidRDefault="00E21EB5" w:rsidP="00551FDB">
      <w:pPr>
        <w:spacing w:before="120" w:after="120"/>
        <w:ind w:firstLine="709"/>
      </w:pPr>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numPr>
          <w:ilvl w:val="0"/>
          <w:numId w:val="1"/>
        </w:numPr>
      </w:pPr>
      <w:bookmarkStart w:id="11" w:name="_Toc177559108"/>
      <w:bookmarkStart w:id="12" w:name="_Toc22897640"/>
      <w:r w:rsidRPr="0098262F">
        <w:lastRenderedPageBreak/>
        <w:t>Consideration of the evidence</w:t>
      </w:r>
      <w:bookmarkEnd w:id="11"/>
    </w:p>
    <w:p w14:paraId="60ED1D9A" w14:textId="77777777" w:rsidR="00E21EB5" w:rsidRPr="006E1229" w:rsidRDefault="00E21EB5" w:rsidP="00B5263B">
      <w:pPr>
        <w:pStyle w:val="4-SubsectionHeading"/>
      </w:pPr>
      <w:bookmarkStart w:id="13" w:name="_Hlk76375935"/>
      <w:bookmarkStart w:id="14" w:name="_Toc177559109"/>
      <w:r w:rsidRPr="006E1229">
        <w:t>Sponsor hearing</w:t>
      </w:r>
    </w:p>
    <w:p w14:paraId="03958746" w14:textId="7905E805" w:rsidR="00E21EB5" w:rsidRPr="00836F75" w:rsidRDefault="00E21EB5" w:rsidP="00544827">
      <w:pPr>
        <w:pStyle w:val="3-BodyText"/>
        <w:rPr>
          <w:snapToGrid w:val="0"/>
        </w:rPr>
      </w:pPr>
      <w:bookmarkStart w:id="15" w:name="_Hlk76382586"/>
      <w:r w:rsidRPr="00836F75">
        <w:rPr>
          <w:snapToGrid w:val="0"/>
        </w:rPr>
        <w:t>The sponsor requested a hearing for this item. The clinician discussed the natural history of the disease</w:t>
      </w:r>
      <w:r w:rsidR="00B5263B">
        <w:rPr>
          <w:snapToGrid w:val="0"/>
        </w:rPr>
        <w:t xml:space="preserve"> and experience in treating patients with FOP</w:t>
      </w:r>
      <w:r w:rsidRPr="00836F75">
        <w:rPr>
          <w:snapToGrid w:val="0"/>
        </w:rPr>
        <w:t xml:space="preserve">, </w:t>
      </w:r>
      <w:r w:rsidR="00B5263B">
        <w:rPr>
          <w:snapToGrid w:val="0"/>
        </w:rPr>
        <w:t xml:space="preserve">noting that patients experience significant functional impairment </w:t>
      </w:r>
      <w:r w:rsidR="00E90037">
        <w:rPr>
          <w:snapToGrid w:val="0"/>
        </w:rPr>
        <w:t xml:space="preserve">that is directly </w:t>
      </w:r>
      <w:r w:rsidR="00B5263B">
        <w:rPr>
          <w:snapToGrid w:val="0"/>
        </w:rPr>
        <w:t xml:space="preserve">related to the locations of growth of new bone. New bone in legs </w:t>
      </w:r>
      <w:r w:rsidR="007D3544">
        <w:rPr>
          <w:snapToGrid w:val="0"/>
        </w:rPr>
        <w:t xml:space="preserve">and arms </w:t>
      </w:r>
      <w:r w:rsidR="00B5263B">
        <w:rPr>
          <w:snapToGrid w:val="0"/>
        </w:rPr>
        <w:t xml:space="preserve">results in loss of </w:t>
      </w:r>
      <w:r w:rsidR="007D3544">
        <w:rPr>
          <w:snapToGrid w:val="0"/>
        </w:rPr>
        <w:t>mobility and</w:t>
      </w:r>
      <w:r w:rsidR="00B5263B">
        <w:rPr>
          <w:snapToGrid w:val="0"/>
        </w:rPr>
        <w:t xml:space="preserve"> </w:t>
      </w:r>
      <w:r w:rsidR="00E90037">
        <w:rPr>
          <w:snapToGrid w:val="0"/>
        </w:rPr>
        <w:t xml:space="preserve">reduced capacity for self-care. New bone growth in the jaw can result in severe issues with airway management and new bone in the chest wall can result in </w:t>
      </w:r>
      <w:r w:rsidR="007D3544">
        <w:rPr>
          <w:snapToGrid w:val="0"/>
        </w:rPr>
        <w:t xml:space="preserve">cardiorespiratory failure. As such, the clinician noted that HO is very likely causally related to mortality, </w:t>
      </w:r>
      <w:r w:rsidR="007F6BC3">
        <w:rPr>
          <w:snapToGrid w:val="0"/>
        </w:rPr>
        <w:t>al</w:t>
      </w:r>
      <w:r w:rsidR="007D3544">
        <w:rPr>
          <w:snapToGrid w:val="0"/>
        </w:rPr>
        <w:t>though this was not demonstrated in the clinical trial. The clinician stated that</w:t>
      </w:r>
      <w:r w:rsidR="007F6BC3">
        <w:rPr>
          <w:snapToGrid w:val="0"/>
        </w:rPr>
        <w:t>,</w:t>
      </w:r>
      <w:r w:rsidR="007D3544">
        <w:rPr>
          <w:snapToGrid w:val="0"/>
        </w:rPr>
        <w:t xml:space="preserve"> as FOP is a progressive disease</w:t>
      </w:r>
      <w:r w:rsidR="007F6BC3">
        <w:rPr>
          <w:snapToGrid w:val="0"/>
        </w:rPr>
        <w:t>,</w:t>
      </w:r>
      <w:r w:rsidR="007D3544">
        <w:rPr>
          <w:snapToGrid w:val="0"/>
        </w:rPr>
        <w:t xml:space="preserve"> it is difficult to know whether a patient is benefiting from treatment, but most patients tolerate treatment well and are likely to continue</w:t>
      </w:r>
      <w:r w:rsidR="00D7631C">
        <w:rPr>
          <w:snapToGrid w:val="0"/>
        </w:rPr>
        <w:t xml:space="preserve"> </w:t>
      </w:r>
      <w:r w:rsidR="007D3544">
        <w:rPr>
          <w:snapToGrid w:val="0"/>
        </w:rPr>
        <w:t>on chronic treatment and receive additional dosing for flares</w:t>
      </w:r>
      <w:r w:rsidR="00D7631C">
        <w:rPr>
          <w:snapToGrid w:val="0"/>
        </w:rPr>
        <w:t xml:space="preserve">, </w:t>
      </w:r>
      <w:r w:rsidR="0074445F">
        <w:rPr>
          <w:snapToGrid w:val="0"/>
        </w:rPr>
        <w:t>where</w:t>
      </w:r>
      <w:r w:rsidR="00D7631C">
        <w:rPr>
          <w:snapToGrid w:val="0"/>
        </w:rPr>
        <w:t xml:space="preserve"> dosing is individualised for the patient. The clinician noted that results from the MOVE trial indicated that the ability to respond rapidly to flares was significant in prevention of new bone growth. </w:t>
      </w:r>
      <w:r w:rsidR="006C0435" w:rsidRPr="006C0435">
        <w:rPr>
          <w:snapToGrid w:val="0"/>
        </w:rPr>
        <w:t>The clinician indicated that patients would initially be treated at an increased (high or medium) flare dose for 4 weeks, followed by tapering of the dose. The clinician also noted that the dose used is individualised to patients.</w:t>
      </w:r>
      <w:r w:rsidR="006C0435">
        <w:rPr>
          <w:snapToGrid w:val="0"/>
        </w:rPr>
        <w:t xml:space="preserve"> </w:t>
      </w:r>
      <w:r w:rsidR="00D7631C">
        <w:rPr>
          <w:snapToGrid w:val="0"/>
        </w:rPr>
        <w:t>The clinician noted that low dose CT scanning was achievable for most patients and that assessment of physical function was also useful in monitoring progression in the longer term</w:t>
      </w:r>
      <w:r w:rsidR="007D3544">
        <w:rPr>
          <w:snapToGrid w:val="0"/>
        </w:rPr>
        <w:t xml:space="preserve">. </w:t>
      </w:r>
      <w:r w:rsidR="00D7631C">
        <w:rPr>
          <w:snapToGrid w:val="0"/>
        </w:rPr>
        <w:t>The clinician noted that patients require a high level of care</w:t>
      </w:r>
      <w:r w:rsidR="0074445F">
        <w:rPr>
          <w:snapToGrid w:val="0"/>
        </w:rPr>
        <w:t xml:space="preserve"> </w:t>
      </w:r>
      <w:r w:rsidR="007F6BC3">
        <w:rPr>
          <w:snapToGrid w:val="0"/>
        </w:rPr>
        <w:t>which is associated with</w:t>
      </w:r>
      <w:r w:rsidR="0074445F">
        <w:rPr>
          <w:snapToGrid w:val="0"/>
        </w:rPr>
        <w:t xml:space="preserve"> high costs</w:t>
      </w:r>
      <w:r w:rsidR="00D7631C">
        <w:rPr>
          <w:snapToGrid w:val="0"/>
        </w:rPr>
        <w:t xml:space="preserve">, </w:t>
      </w:r>
      <w:r w:rsidR="0074445F">
        <w:rPr>
          <w:snapToGrid w:val="0"/>
        </w:rPr>
        <w:t>as</w:t>
      </w:r>
      <w:r w:rsidR="00D7631C">
        <w:rPr>
          <w:snapToGrid w:val="0"/>
        </w:rPr>
        <w:t xml:space="preserve"> many patients </w:t>
      </w:r>
      <w:r w:rsidR="0074445F">
        <w:rPr>
          <w:snapToGrid w:val="0"/>
        </w:rPr>
        <w:t xml:space="preserve">are restricted to a wheelchair and unable to transfer without assistance. </w:t>
      </w:r>
      <w:r w:rsidRPr="00836F75">
        <w:rPr>
          <w:snapToGrid w:val="0"/>
        </w:rPr>
        <w:t>The PBAC considered that the hearing was informative as it provided a clinical perspective on treating</w:t>
      </w:r>
      <w:r w:rsidR="0074445F">
        <w:rPr>
          <w:snapToGrid w:val="0"/>
        </w:rPr>
        <w:t xml:space="preserve"> and monitoring</w:t>
      </w:r>
      <w:r w:rsidRPr="00836F75">
        <w:rPr>
          <w:snapToGrid w:val="0"/>
        </w:rPr>
        <w:t xml:space="preserve"> this uncommon disease.</w:t>
      </w:r>
    </w:p>
    <w:bookmarkEnd w:id="15"/>
    <w:p w14:paraId="56258222" w14:textId="77777777" w:rsidR="00E21EB5" w:rsidRPr="006E1229" w:rsidRDefault="00E21EB5" w:rsidP="00B5263B">
      <w:pPr>
        <w:pStyle w:val="4-SubsectionHeading"/>
      </w:pPr>
      <w:r w:rsidRPr="006E1229">
        <w:t>Consumer comments</w:t>
      </w:r>
    </w:p>
    <w:p w14:paraId="5563F9A2" w14:textId="4FBA0426" w:rsidR="0074445F" w:rsidRDefault="00E21EB5" w:rsidP="00551FDB">
      <w:pPr>
        <w:pStyle w:val="3-BodyText"/>
        <w:rPr>
          <w:snapToGrid w:val="0"/>
        </w:rPr>
      </w:pPr>
      <w:bookmarkStart w:id="16" w:name="_Hlk76382618"/>
      <w:r w:rsidRPr="00836F75">
        <w:rPr>
          <w:snapToGrid w:val="0"/>
        </w:rPr>
        <w:t xml:space="preserve">The PBAC noted and welcomed the input from </w:t>
      </w:r>
      <w:r w:rsidR="005006AC">
        <w:rPr>
          <w:snapToGrid w:val="0"/>
        </w:rPr>
        <w:t>2</w:t>
      </w:r>
      <w:r w:rsidR="005006AC" w:rsidRPr="00836F75">
        <w:rPr>
          <w:snapToGrid w:val="0"/>
        </w:rPr>
        <w:t xml:space="preserve"> </w:t>
      </w:r>
      <w:r w:rsidRPr="00836F75">
        <w:rPr>
          <w:snapToGrid w:val="0"/>
        </w:rPr>
        <w:t>organisations (</w:t>
      </w:r>
      <w:r w:rsidR="0074445F">
        <w:rPr>
          <w:snapToGrid w:val="0"/>
        </w:rPr>
        <w:t>FOP Australia and International FOP Association</w:t>
      </w:r>
      <w:r w:rsidRPr="00836F75">
        <w:rPr>
          <w:snapToGrid w:val="0"/>
        </w:rPr>
        <w:t xml:space="preserve">) via the Consumer Comments facility on the PBS website. </w:t>
      </w:r>
      <w:r w:rsidR="0074445F">
        <w:rPr>
          <w:snapToGrid w:val="0"/>
        </w:rPr>
        <w:t xml:space="preserve">The PBAC noted that the comments from FOP Australia reflected input from 12 individuals including people living with FOP, their friends and family members. </w:t>
      </w:r>
      <w:r w:rsidRPr="00836F75">
        <w:rPr>
          <w:snapToGrid w:val="0"/>
        </w:rPr>
        <w:t xml:space="preserve">The comments </w:t>
      </w:r>
      <w:r w:rsidR="0097609B">
        <w:rPr>
          <w:snapToGrid w:val="0"/>
        </w:rPr>
        <w:t xml:space="preserve">described the experience of living with FOP, </w:t>
      </w:r>
      <w:r w:rsidR="00183066">
        <w:rPr>
          <w:snapToGrid w:val="0"/>
        </w:rPr>
        <w:t xml:space="preserve">and </w:t>
      </w:r>
      <w:r w:rsidR="0097609B">
        <w:rPr>
          <w:snapToGrid w:val="0"/>
        </w:rPr>
        <w:t>the challenges and priorities</w:t>
      </w:r>
      <w:r w:rsidR="00183066">
        <w:rPr>
          <w:snapToGrid w:val="0"/>
        </w:rPr>
        <w:t xml:space="preserve"> for people with FOP and their families</w:t>
      </w:r>
      <w:r w:rsidR="0097609B">
        <w:rPr>
          <w:snapToGrid w:val="0"/>
        </w:rPr>
        <w:t>. FOP Australia summarised the key messages</w:t>
      </w:r>
      <w:r w:rsidR="00B50EF1">
        <w:rPr>
          <w:snapToGrid w:val="0"/>
        </w:rPr>
        <w:t xml:space="preserve"> from the input</w:t>
      </w:r>
      <w:r w:rsidR="0097609B">
        <w:rPr>
          <w:snapToGrid w:val="0"/>
        </w:rPr>
        <w:t>:</w:t>
      </w:r>
    </w:p>
    <w:p w14:paraId="28D6EC95" w14:textId="1FE6F0FE"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t>Living with FOP means living with the constant threat of unpredictable bone growth, causing</w:t>
      </w:r>
      <w:r>
        <w:rPr>
          <w:rFonts w:asciiTheme="minorHAnsi" w:hAnsiTheme="minorHAnsi"/>
          <w:bCs/>
          <w:snapToGrid w:val="0"/>
        </w:rPr>
        <w:t xml:space="preserve"> </w:t>
      </w:r>
      <w:r w:rsidRPr="0074445F">
        <w:rPr>
          <w:rFonts w:asciiTheme="minorHAnsi" w:hAnsiTheme="minorHAnsi"/>
          <w:bCs/>
          <w:snapToGrid w:val="0"/>
        </w:rPr>
        <w:t>progressive and painful loss of independence and mobility. Every individual patient’s progression and cumulative functional restrictions is different. The bone growth of FOP leads to a wide range of</w:t>
      </w:r>
      <w:r>
        <w:rPr>
          <w:rFonts w:asciiTheme="minorHAnsi" w:hAnsiTheme="minorHAnsi"/>
          <w:bCs/>
          <w:snapToGrid w:val="0"/>
        </w:rPr>
        <w:t xml:space="preserve"> </w:t>
      </w:r>
      <w:r w:rsidRPr="0074445F">
        <w:rPr>
          <w:rFonts w:asciiTheme="minorHAnsi" w:hAnsiTheme="minorHAnsi"/>
          <w:bCs/>
          <w:snapToGrid w:val="0"/>
        </w:rPr>
        <w:t>complications, including death.</w:t>
      </w:r>
    </w:p>
    <w:p w14:paraId="0018A6FA" w14:textId="78BE14AA"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t>Anything that can reduce or delay any amount of bone growth is of huge value to patients, including</w:t>
      </w:r>
      <w:r>
        <w:rPr>
          <w:rFonts w:asciiTheme="minorHAnsi" w:hAnsiTheme="minorHAnsi"/>
          <w:bCs/>
          <w:snapToGrid w:val="0"/>
        </w:rPr>
        <w:t xml:space="preserve"> </w:t>
      </w:r>
      <w:r w:rsidRPr="0074445F">
        <w:rPr>
          <w:rFonts w:asciiTheme="minorHAnsi" w:hAnsiTheme="minorHAnsi"/>
          <w:bCs/>
          <w:snapToGrid w:val="0"/>
        </w:rPr>
        <w:t>those at advanced stages, as even tiny amounts of bone can be extremely functionally significant.</w:t>
      </w:r>
    </w:p>
    <w:p w14:paraId="38ABC618" w14:textId="7BFA1878"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lastRenderedPageBreak/>
        <w:t>Many people with FOP are in situations where they would choose to accept significant risk of side effects. This includes patients who have been on palovarotene, including those who have experienced</w:t>
      </w:r>
      <w:r>
        <w:rPr>
          <w:rFonts w:asciiTheme="minorHAnsi" w:hAnsiTheme="minorHAnsi"/>
          <w:bCs/>
          <w:snapToGrid w:val="0"/>
        </w:rPr>
        <w:t xml:space="preserve"> </w:t>
      </w:r>
      <w:r w:rsidRPr="0074445F">
        <w:rPr>
          <w:rFonts w:asciiTheme="minorHAnsi" w:hAnsiTheme="minorHAnsi"/>
          <w:bCs/>
          <w:snapToGrid w:val="0"/>
        </w:rPr>
        <w:t>side effects, and chosen to continue.</w:t>
      </w:r>
    </w:p>
    <w:p w14:paraId="072B3042" w14:textId="3A35BF5E"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t>Having the potential to choose a therapy, or not, would be a life-changing shift in how people with FOP can engage with medical care. Living with FOP includes constantly adapting to physical limitations and psychological challenges, with a struggle to retain any sense of control and bodily autonomy. A</w:t>
      </w:r>
      <w:r>
        <w:rPr>
          <w:rFonts w:asciiTheme="minorHAnsi" w:hAnsiTheme="minorHAnsi"/>
          <w:bCs/>
          <w:snapToGrid w:val="0"/>
        </w:rPr>
        <w:t xml:space="preserve"> </w:t>
      </w:r>
      <w:r w:rsidRPr="0074445F">
        <w:rPr>
          <w:rFonts w:asciiTheme="minorHAnsi" w:hAnsiTheme="minorHAnsi"/>
          <w:bCs/>
          <w:snapToGrid w:val="0"/>
        </w:rPr>
        <w:t>PBS-listing of palovarotene would provide people with FOP with the dignity of having some choice.</w:t>
      </w:r>
    </w:p>
    <w:p w14:paraId="41EF51B5" w14:textId="65C7275C"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t>The practical barriers that people seeking care for FOP in Australia face compound the challenges inherent to the disease itself</w:t>
      </w:r>
      <w:r w:rsidR="001D66BA">
        <w:rPr>
          <w:rFonts w:asciiTheme="minorHAnsi" w:hAnsiTheme="minorHAnsi"/>
          <w:bCs/>
          <w:snapToGrid w:val="0"/>
        </w:rPr>
        <w:t>.</w:t>
      </w:r>
      <w:r w:rsidRPr="0074445F">
        <w:rPr>
          <w:rFonts w:asciiTheme="minorHAnsi" w:hAnsiTheme="minorHAnsi"/>
          <w:bCs/>
          <w:snapToGrid w:val="0"/>
        </w:rPr>
        <w:t xml:space="preserve"> This complicates all aspects of diagnosis and monitoring. Although having a potential treatment doesn’t directly alleviate these challenges, it would positively influence how patients and clinicians can engage in treatment decisions. Having access to an oral treatment</w:t>
      </w:r>
      <w:r>
        <w:rPr>
          <w:rFonts w:asciiTheme="minorHAnsi" w:hAnsiTheme="minorHAnsi"/>
          <w:bCs/>
          <w:snapToGrid w:val="0"/>
        </w:rPr>
        <w:t xml:space="preserve"> </w:t>
      </w:r>
      <w:r w:rsidRPr="0074445F">
        <w:rPr>
          <w:rFonts w:asciiTheme="minorHAnsi" w:hAnsiTheme="minorHAnsi"/>
          <w:bCs/>
          <w:snapToGrid w:val="0"/>
        </w:rPr>
        <w:t>that can be administered at home is of practical significance to people with FOP.</w:t>
      </w:r>
    </w:p>
    <w:p w14:paraId="73E78B70" w14:textId="124EB755" w:rsidR="0074445F" w:rsidRPr="0074445F" w:rsidRDefault="0074445F" w:rsidP="00B46A90">
      <w:pPr>
        <w:widowControl w:val="0"/>
        <w:numPr>
          <w:ilvl w:val="2"/>
          <w:numId w:val="18"/>
        </w:numPr>
        <w:spacing w:before="120" w:after="120"/>
        <w:ind w:left="1134" w:hanging="357"/>
        <w:rPr>
          <w:rFonts w:asciiTheme="minorHAnsi" w:hAnsiTheme="minorHAnsi"/>
          <w:bCs/>
          <w:snapToGrid w:val="0"/>
        </w:rPr>
      </w:pPr>
      <w:r w:rsidRPr="0074445F">
        <w:rPr>
          <w:rFonts w:asciiTheme="minorHAnsi" w:hAnsiTheme="minorHAnsi"/>
          <w:bCs/>
          <w:snapToGrid w:val="0"/>
        </w:rPr>
        <w:t>The progressive disability caused by FOP takes a huge toll physically, socially, psychologically and financially on people with FOP and their families (including those who become carers). Any treatment</w:t>
      </w:r>
      <w:r>
        <w:rPr>
          <w:rFonts w:asciiTheme="minorHAnsi" w:hAnsiTheme="minorHAnsi"/>
          <w:bCs/>
          <w:snapToGrid w:val="0"/>
        </w:rPr>
        <w:t xml:space="preserve"> </w:t>
      </w:r>
      <w:r w:rsidRPr="0074445F">
        <w:rPr>
          <w:rFonts w:asciiTheme="minorHAnsi" w:hAnsiTheme="minorHAnsi"/>
          <w:bCs/>
          <w:snapToGrid w:val="0"/>
        </w:rPr>
        <w:t>that reduces any amount of bone growth would reduce each of these impacts.</w:t>
      </w:r>
    </w:p>
    <w:p w14:paraId="76578162" w14:textId="15D0FDD8" w:rsidR="001D66BA" w:rsidRDefault="004E7021" w:rsidP="00551FDB">
      <w:pPr>
        <w:pStyle w:val="3-BodyText"/>
        <w:rPr>
          <w:snapToGrid w:val="0"/>
        </w:rPr>
      </w:pPr>
      <w:bookmarkStart w:id="17" w:name="_Hlk97141415"/>
      <w:r>
        <w:rPr>
          <w:snapToGrid w:val="0"/>
        </w:rPr>
        <w:t xml:space="preserve">The PBAC noted that </w:t>
      </w:r>
      <w:r w:rsidR="001D66BA">
        <w:rPr>
          <w:snapToGrid w:val="0"/>
        </w:rPr>
        <w:t xml:space="preserve">FOP Australia also provided </w:t>
      </w:r>
      <w:r w:rsidR="00E34E44">
        <w:rPr>
          <w:snapToGrid w:val="0"/>
        </w:rPr>
        <w:t xml:space="preserve">examples of the impact of FOP using </w:t>
      </w:r>
      <w:r w:rsidR="001D66BA">
        <w:rPr>
          <w:snapToGrid w:val="0"/>
        </w:rPr>
        <w:t>case studies with photos</w:t>
      </w:r>
      <w:r>
        <w:rPr>
          <w:snapToGrid w:val="0"/>
        </w:rPr>
        <w:t xml:space="preserve"> and patient details</w:t>
      </w:r>
      <w:r w:rsidR="001D66BA">
        <w:rPr>
          <w:snapToGrid w:val="0"/>
        </w:rPr>
        <w:t xml:space="preserve"> </w:t>
      </w:r>
      <w:r w:rsidR="00E34E44">
        <w:rPr>
          <w:snapToGrid w:val="0"/>
        </w:rPr>
        <w:t>of</w:t>
      </w:r>
      <w:r w:rsidR="001D66BA">
        <w:rPr>
          <w:snapToGrid w:val="0"/>
        </w:rPr>
        <w:t xml:space="preserve"> disease progression over time</w:t>
      </w:r>
      <w:r>
        <w:rPr>
          <w:snapToGrid w:val="0"/>
        </w:rPr>
        <w:t xml:space="preserve">. </w:t>
      </w:r>
      <w:r w:rsidR="00183066">
        <w:rPr>
          <w:snapToGrid w:val="0"/>
        </w:rPr>
        <w:t>The examples described the sudden loss of mobility due to joint fusion, deaths resulting from thoracic involvement and falls, and flares resulting in deformities.</w:t>
      </w:r>
    </w:p>
    <w:p w14:paraId="186CB8EA" w14:textId="2AC3458D" w:rsidR="004E7021" w:rsidRDefault="004E7021" w:rsidP="00551FDB">
      <w:pPr>
        <w:pStyle w:val="3-BodyText"/>
        <w:rPr>
          <w:snapToGrid w:val="0"/>
        </w:rPr>
      </w:pPr>
      <w:r>
        <w:rPr>
          <w:snapToGrid w:val="0"/>
        </w:rPr>
        <w:t xml:space="preserve">The PBAC noted that input from International FOP Association was also in support of providing patients with </w:t>
      </w:r>
      <w:r w:rsidR="00B70435">
        <w:rPr>
          <w:snapToGrid w:val="0"/>
        </w:rPr>
        <w:t xml:space="preserve">funded </w:t>
      </w:r>
      <w:r>
        <w:rPr>
          <w:snapToGrid w:val="0"/>
        </w:rPr>
        <w:t xml:space="preserve">access to palovarotene treatment. </w:t>
      </w:r>
      <w:r w:rsidR="00280195">
        <w:rPr>
          <w:snapToGrid w:val="0"/>
        </w:rPr>
        <w:t xml:space="preserve">The input described the </w:t>
      </w:r>
      <w:r w:rsidR="00280195" w:rsidRPr="00280195">
        <w:rPr>
          <w:rFonts w:eastAsia="Times New Roman"/>
          <w:snapToGrid w:val="0"/>
        </w:rPr>
        <w:t>path and timing of FOP</w:t>
      </w:r>
      <w:r w:rsidR="00280195" w:rsidRPr="00280195">
        <w:rPr>
          <w:rFonts w:eastAsia="Times New Roman" w:hint="eastAsia"/>
          <w:snapToGrid w:val="0"/>
        </w:rPr>
        <w:t>’</w:t>
      </w:r>
      <w:r w:rsidR="00280195" w:rsidRPr="00280195">
        <w:rPr>
          <w:rFonts w:eastAsia="Times New Roman"/>
          <w:snapToGrid w:val="0"/>
        </w:rPr>
        <w:t xml:space="preserve">s progression </w:t>
      </w:r>
      <w:r w:rsidR="00280195">
        <w:rPr>
          <w:snapToGrid w:val="0"/>
        </w:rPr>
        <w:t>a</w:t>
      </w:r>
      <w:r w:rsidR="00280195" w:rsidRPr="00280195">
        <w:rPr>
          <w:rFonts w:eastAsia="Times New Roman"/>
          <w:snapToGrid w:val="0"/>
        </w:rPr>
        <w:t>s variable and unpredictable for each individual</w:t>
      </w:r>
      <w:r w:rsidR="00DB6756">
        <w:rPr>
          <w:snapToGrid w:val="0"/>
        </w:rPr>
        <w:t xml:space="preserve"> and noted that there is a critical need for interventions to slow the progression of FOP</w:t>
      </w:r>
      <w:r w:rsidR="00E34E44">
        <w:rPr>
          <w:snapToGrid w:val="0"/>
        </w:rPr>
        <w:t xml:space="preserve"> to reduce daily anxieties and improve health outcomes. </w:t>
      </w:r>
    </w:p>
    <w:bookmarkEnd w:id="13"/>
    <w:bookmarkEnd w:id="16"/>
    <w:bookmarkEnd w:id="17"/>
    <w:p w14:paraId="17DE34DC" w14:textId="4E407BD0" w:rsidR="007F1017" w:rsidRPr="00605C37" w:rsidRDefault="00B60939" w:rsidP="00605C37">
      <w:pPr>
        <w:pStyle w:val="4-SubsectionHeading"/>
      </w:pPr>
      <w:r w:rsidRPr="0098262F">
        <w:t xml:space="preserve">Clinical </w:t>
      </w:r>
      <w:r w:rsidR="00D5243B" w:rsidRPr="0098262F">
        <w:t>studies</w:t>
      </w:r>
      <w:bookmarkEnd w:id="12"/>
      <w:bookmarkEnd w:id="14"/>
    </w:p>
    <w:p w14:paraId="773A2C5E" w14:textId="77777777" w:rsidR="007357A1" w:rsidRPr="007357A1" w:rsidRDefault="007357A1" w:rsidP="007357A1">
      <w:pPr>
        <w:pStyle w:val="3-BodyText"/>
        <w:rPr>
          <w:color w:val="000000" w:themeColor="text1"/>
        </w:rPr>
      </w:pPr>
      <w:r w:rsidRPr="007357A1">
        <w:rPr>
          <w:color w:val="000000" w:themeColor="text1"/>
        </w:rPr>
        <w:t>The pivotal evidence for palovarotene was based on a comparison of:</w:t>
      </w:r>
    </w:p>
    <w:p w14:paraId="0DC50624" w14:textId="27795BF9" w:rsidR="007357A1" w:rsidRPr="007357A1" w:rsidRDefault="007357A1" w:rsidP="00B46A90">
      <w:pPr>
        <w:pStyle w:val="3-BodyText"/>
        <w:numPr>
          <w:ilvl w:val="0"/>
          <w:numId w:val="8"/>
        </w:numPr>
        <w:ind w:left="993" w:hanging="284"/>
        <w:rPr>
          <w:color w:val="000000" w:themeColor="text1"/>
        </w:rPr>
      </w:pPr>
      <w:r w:rsidRPr="007357A1">
        <w:rPr>
          <w:color w:val="000000" w:themeColor="text1"/>
        </w:rPr>
        <w:t xml:space="preserve">The phase 3, single-arm, open-label clinical study MOVE (N=107), a </w:t>
      </w:r>
      <w:r w:rsidR="003C6D2C" w:rsidRPr="007357A1">
        <w:rPr>
          <w:color w:val="000000" w:themeColor="text1"/>
        </w:rPr>
        <w:t>24-month</w:t>
      </w:r>
      <w:r w:rsidRPr="007357A1">
        <w:rPr>
          <w:color w:val="000000" w:themeColor="text1"/>
        </w:rPr>
        <w:t xml:space="preserve"> study of FOP patients treated with palovarotene </w:t>
      </w:r>
      <w:r w:rsidR="00131D8A">
        <w:rPr>
          <w:color w:val="000000" w:themeColor="text1"/>
        </w:rPr>
        <w:t>which</w:t>
      </w:r>
      <w:r w:rsidR="00131D8A" w:rsidRPr="007357A1">
        <w:rPr>
          <w:color w:val="000000" w:themeColor="text1"/>
        </w:rPr>
        <w:t xml:space="preserve"> </w:t>
      </w:r>
      <w:r w:rsidRPr="007357A1">
        <w:rPr>
          <w:color w:val="000000" w:themeColor="text1"/>
        </w:rPr>
        <w:t xml:space="preserve">also included a </w:t>
      </w:r>
      <w:r w:rsidR="000D7140" w:rsidRPr="007357A1">
        <w:rPr>
          <w:color w:val="000000" w:themeColor="text1"/>
        </w:rPr>
        <w:t>24</w:t>
      </w:r>
      <w:r w:rsidR="000D7140">
        <w:rPr>
          <w:color w:val="000000" w:themeColor="text1"/>
        </w:rPr>
        <w:t> </w:t>
      </w:r>
      <w:r w:rsidRPr="007357A1">
        <w:rPr>
          <w:color w:val="000000" w:themeColor="text1"/>
        </w:rPr>
        <w:t>month extension period; with</w:t>
      </w:r>
    </w:p>
    <w:p w14:paraId="5A894D72" w14:textId="77777777" w:rsidR="007357A1" w:rsidRPr="007357A1" w:rsidRDefault="007357A1" w:rsidP="00B46A90">
      <w:pPr>
        <w:pStyle w:val="3-BodyText"/>
        <w:numPr>
          <w:ilvl w:val="0"/>
          <w:numId w:val="8"/>
        </w:numPr>
        <w:ind w:left="993" w:hanging="284"/>
        <w:rPr>
          <w:color w:val="000000" w:themeColor="text1"/>
        </w:rPr>
      </w:pPr>
      <w:r w:rsidRPr="007357A1">
        <w:rPr>
          <w:color w:val="000000" w:themeColor="text1"/>
        </w:rPr>
        <w:t xml:space="preserve">The NHS (PVO-1A-001, </w:t>
      </w:r>
      <w:proofErr w:type="spellStart"/>
      <w:r w:rsidRPr="007357A1">
        <w:rPr>
          <w:color w:val="000000" w:themeColor="text1"/>
        </w:rPr>
        <w:t>Pignolo</w:t>
      </w:r>
      <w:proofErr w:type="spellEnd"/>
      <w:r w:rsidRPr="007357A1">
        <w:rPr>
          <w:color w:val="000000" w:themeColor="text1"/>
        </w:rPr>
        <w:t xml:space="preserve"> 2019, 2022: N=114), a prospective, non-interventional, longitudinal study which assessed the natural history of patients with FOP over 36 months.</w:t>
      </w:r>
    </w:p>
    <w:p w14:paraId="4FF3D64E" w14:textId="17B41CED" w:rsidR="007357A1" w:rsidRPr="00CC0F14" w:rsidRDefault="003102D6" w:rsidP="007357A1">
      <w:pPr>
        <w:pStyle w:val="3-BodyText"/>
        <w:rPr>
          <w:color w:val="000000" w:themeColor="text1"/>
        </w:rPr>
      </w:pPr>
      <w:r w:rsidRPr="00CC0F14">
        <w:rPr>
          <w:color w:val="000000" w:themeColor="text1"/>
        </w:rPr>
        <w:t>Although</w:t>
      </w:r>
      <w:r w:rsidR="007357A1" w:rsidRPr="00CC0F14">
        <w:rPr>
          <w:color w:val="000000" w:themeColor="text1"/>
        </w:rPr>
        <w:t xml:space="preserve"> treatment durations for MOVE </w:t>
      </w:r>
      <w:r w:rsidRPr="00CC0F14">
        <w:rPr>
          <w:color w:val="000000" w:themeColor="text1"/>
        </w:rPr>
        <w:t xml:space="preserve">were intended to be 24 months, with a </w:t>
      </w:r>
      <w:r w:rsidR="003C6D2C" w:rsidRPr="00CC0F14">
        <w:rPr>
          <w:color w:val="000000" w:themeColor="text1"/>
        </w:rPr>
        <w:t>24</w:t>
      </w:r>
      <w:r w:rsidR="003C6D2C">
        <w:rPr>
          <w:color w:val="000000" w:themeColor="text1"/>
        </w:rPr>
        <w:t>-month</w:t>
      </w:r>
      <w:r w:rsidRPr="00CC0F14">
        <w:rPr>
          <w:color w:val="000000" w:themeColor="text1"/>
        </w:rPr>
        <w:t xml:space="preserve"> extension period</w:t>
      </w:r>
      <w:r w:rsidR="007357A1" w:rsidRPr="00CC0F14">
        <w:rPr>
          <w:color w:val="000000" w:themeColor="text1"/>
        </w:rPr>
        <w:t xml:space="preserve">, the efficacy data presented in the submission was based on </w:t>
      </w:r>
      <w:r w:rsidR="007357A1" w:rsidRPr="00CC0F14">
        <w:rPr>
          <w:color w:val="000000" w:themeColor="text1"/>
        </w:rPr>
        <w:lastRenderedPageBreak/>
        <w:t xml:space="preserve">18 months of study duration, or the study duration prior to the pausing of the study due to meeting the futility threshold. </w:t>
      </w:r>
    </w:p>
    <w:p w14:paraId="6DCA8289" w14:textId="12B888EF" w:rsidR="00BF0F23" w:rsidRDefault="007357A1" w:rsidP="00BF0F23">
      <w:pPr>
        <w:pStyle w:val="3-BodyText"/>
        <w:rPr>
          <w:color w:val="000000" w:themeColor="text1"/>
        </w:rPr>
      </w:pPr>
      <w:r w:rsidRPr="007357A1">
        <w:rPr>
          <w:color w:val="000000" w:themeColor="text1"/>
        </w:rPr>
        <w:t xml:space="preserve">A clinical claim of superior efficacy </w:t>
      </w:r>
      <w:r w:rsidR="00D93944">
        <w:rPr>
          <w:color w:val="000000" w:themeColor="text1"/>
        </w:rPr>
        <w:t>wa</w:t>
      </w:r>
      <w:r w:rsidRPr="007357A1">
        <w:rPr>
          <w:color w:val="000000" w:themeColor="text1"/>
        </w:rPr>
        <w:t xml:space="preserve">s presented for palovarotene (MOVE) versus SoC (NHS) based on a </w:t>
      </w:r>
      <w:r w:rsidRPr="007357A1">
        <w:rPr>
          <w:i/>
          <w:iCs/>
          <w:color w:val="000000" w:themeColor="text1"/>
        </w:rPr>
        <w:t>post−hoc</w:t>
      </w:r>
      <w:r w:rsidRPr="007357A1">
        <w:rPr>
          <w:color w:val="000000" w:themeColor="text1"/>
        </w:rPr>
        <w:t xml:space="preserve"> analysis conducted for the primary outcome of the annualised change in new HO volume</w:t>
      </w:r>
      <w:r w:rsidR="00F21246">
        <w:rPr>
          <w:color w:val="000000" w:themeColor="text1"/>
        </w:rPr>
        <w:t>.</w:t>
      </w:r>
      <w:r w:rsidRPr="007357A1">
        <w:rPr>
          <w:color w:val="000000" w:themeColor="text1"/>
        </w:rPr>
        <w:t xml:space="preserve"> Since the NHS only enrolled patients with the </w:t>
      </w:r>
      <w:r w:rsidRPr="004F7EEE">
        <w:rPr>
          <w:i/>
          <w:iCs/>
          <w:color w:val="000000" w:themeColor="text1"/>
        </w:rPr>
        <w:t>ACVR1</w:t>
      </w:r>
      <w:r w:rsidRPr="007357A1">
        <w:rPr>
          <w:color w:val="000000" w:themeColor="text1"/>
          <w:vertAlign w:val="superscript"/>
        </w:rPr>
        <w:t>R206H</w:t>
      </w:r>
      <w:r w:rsidRPr="007357A1">
        <w:rPr>
          <w:color w:val="000000" w:themeColor="text1"/>
        </w:rPr>
        <w:t xml:space="preserve"> mutation, efficacy was assessed in a matched population of those with the </w:t>
      </w:r>
      <w:r w:rsidRPr="004F7EEE">
        <w:rPr>
          <w:i/>
          <w:iCs/>
          <w:color w:val="000000" w:themeColor="text1"/>
        </w:rPr>
        <w:t>ACVR1</w:t>
      </w:r>
      <w:r w:rsidRPr="007357A1">
        <w:rPr>
          <w:color w:val="000000" w:themeColor="text1"/>
          <w:vertAlign w:val="superscript"/>
        </w:rPr>
        <w:t>R206H</w:t>
      </w:r>
      <w:r w:rsidRPr="007357A1">
        <w:rPr>
          <w:color w:val="000000" w:themeColor="text1"/>
        </w:rPr>
        <w:t xml:space="preserve"> mutation which included 99/107 patients (92.5%) in MOVE and all patients in the NHS (114/114, 100%).</w:t>
      </w:r>
    </w:p>
    <w:p w14:paraId="7BD03853" w14:textId="75AFD18E" w:rsidR="00BF0F23" w:rsidRPr="00BF0F23" w:rsidRDefault="00BF0F23" w:rsidP="00BF0F23">
      <w:pPr>
        <w:pStyle w:val="3-BodyText"/>
        <w:rPr>
          <w:color w:val="000000" w:themeColor="text1"/>
        </w:rPr>
      </w:pPr>
      <w:r w:rsidRPr="00BF0F23">
        <w:rPr>
          <w:color w:val="000000" w:themeColor="text1"/>
        </w:rPr>
        <w:t xml:space="preserve">On 4 December 2019, the FDA instituted a partial clinical hold on the dosing of </w:t>
      </w:r>
      <w:r w:rsidR="00C40E8E">
        <w:rPr>
          <w:color w:val="000000" w:themeColor="text1"/>
        </w:rPr>
        <w:t>palovarotene</w:t>
      </w:r>
      <w:r w:rsidR="00C40E8E" w:rsidRPr="00BF0F23">
        <w:rPr>
          <w:color w:val="000000" w:themeColor="text1"/>
        </w:rPr>
        <w:t xml:space="preserve"> </w:t>
      </w:r>
      <w:r w:rsidRPr="00BF0F23">
        <w:rPr>
          <w:color w:val="000000" w:themeColor="text1"/>
        </w:rPr>
        <w:t xml:space="preserve">in patients &lt;14 years of age due to the risk of </w:t>
      </w:r>
      <w:r w:rsidR="004F7EEE" w:rsidRPr="004F7EEE">
        <w:rPr>
          <w:color w:val="000000" w:themeColor="text1"/>
        </w:rPr>
        <w:t>PPC</w:t>
      </w:r>
      <w:r w:rsidRPr="00BF0F23">
        <w:rPr>
          <w:color w:val="000000" w:themeColor="text1"/>
        </w:rPr>
        <w:t xml:space="preserve">. Due to these risks the submission proposed minimum age criteria for initiating palovarotene (see </w:t>
      </w:r>
      <w:r w:rsidR="004F7EEE">
        <w:rPr>
          <w:color w:val="000000" w:themeColor="text1"/>
        </w:rPr>
        <w:t xml:space="preserve">paragraph </w:t>
      </w:r>
      <w:r w:rsidR="004F7EEE">
        <w:rPr>
          <w:color w:val="000000" w:themeColor="text1"/>
        </w:rPr>
        <w:fldChar w:fldCharType="begin" w:fldLock="1"/>
      </w:r>
      <w:r w:rsidR="004F7EEE">
        <w:rPr>
          <w:color w:val="000000" w:themeColor="text1"/>
        </w:rPr>
        <w:instrText xml:space="preserve"> REF _Ref176750540 \r \h </w:instrText>
      </w:r>
      <w:r w:rsidR="004F7EEE">
        <w:rPr>
          <w:color w:val="000000" w:themeColor="text1"/>
        </w:rPr>
      </w:r>
      <w:r w:rsidR="004F7EEE">
        <w:rPr>
          <w:color w:val="000000" w:themeColor="text1"/>
        </w:rPr>
        <w:fldChar w:fldCharType="separate"/>
      </w:r>
      <w:r w:rsidR="0043347F">
        <w:rPr>
          <w:color w:val="000000" w:themeColor="text1"/>
        </w:rPr>
        <w:t>2.1</w:t>
      </w:r>
      <w:r w:rsidR="004F7EEE">
        <w:rPr>
          <w:color w:val="000000" w:themeColor="text1"/>
        </w:rPr>
        <w:fldChar w:fldCharType="end"/>
      </w:r>
      <w:r w:rsidRPr="00BF0F23">
        <w:rPr>
          <w:color w:val="000000" w:themeColor="text1"/>
        </w:rPr>
        <w:t>).</w:t>
      </w:r>
    </w:p>
    <w:p w14:paraId="5758D0B0" w14:textId="6192D6CE" w:rsidR="007357A1" w:rsidRPr="00605C37" w:rsidRDefault="007357A1" w:rsidP="00605C37">
      <w:pPr>
        <w:pStyle w:val="3-BodyText"/>
        <w:rPr>
          <w:color w:val="0066FF"/>
        </w:rPr>
      </w:pPr>
      <w:r w:rsidRPr="007357A1">
        <w:rPr>
          <w:color w:val="000000" w:themeColor="text1"/>
        </w:rPr>
        <w:t>The clinical claim is also based on a subgroup analysis of females ≥8 years and males ≥10 years, to reflect the requested PBS restriction</w:t>
      </w:r>
      <w:r w:rsidRPr="007357A1">
        <w:rPr>
          <w:color w:val="0066FF"/>
        </w:rPr>
        <w:t xml:space="preserve">. </w:t>
      </w:r>
    </w:p>
    <w:p w14:paraId="2B59ABAC" w14:textId="66EE4BE8" w:rsidR="00862502" w:rsidRPr="0098262F" w:rsidRDefault="00A73134" w:rsidP="002E4F02">
      <w:pPr>
        <w:pStyle w:val="3-BodyText"/>
      </w:pPr>
      <w:r w:rsidRPr="0098262F">
        <w:t xml:space="preserve">Details of the </w:t>
      </w:r>
      <w:r w:rsidR="00605C37">
        <w:t>studies</w:t>
      </w:r>
      <w:r w:rsidRPr="0098262F">
        <w:t xml:space="preserve"> presented in the submission are provided in </w:t>
      </w:r>
      <w:r w:rsidR="00696EF9" w:rsidRPr="0098262F">
        <w:fldChar w:fldCharType="begin" w:fldLock="1"/>
      </w:r>
      <w:r w:rsidR="00696EF9" w:rsidRPr="0098262F">
        <w:instrText xml:space="preserve"> REF _Ref104803956 \h </w:instrText>
      </w:r>
      <w:r w:rsidR="00696EF9" w:rsidRPr="0098262F">
        <w:fldChar w:fldCharType="separate"/>
      </w:r>
      <w:r w:rsidR="0043347F" w:rsidRPr="0098262F">
        <w:t xml:space="preserve">Table </w:t>
      </w:r>
      <w:r w:rsidR="0043347F">
        <w:rPr>
          <w:noProof/>
        </w:rPr>
        <w:t>2</w:t>
      </w:r>
      <w:r w:rsidR="00696EF9" w:rsidRPr="0098262F">
        <w:fldChar w:fldCharType="end"/>
      </w:r>
      <w:r w:rsidRPr="0098262F">
        <w:t>.</w:t>
      </w:r>
      <w:r w:rsidR="00BC591F" w:rsidRPr="0098262F">
        <w:t xml:space="preserve"> </w:t>
      </w:r>
    </w:p>
    <w:p w14:paraId="7DE3A286" w14:textId="59B15DB0" w:rsidR="008E0D3C" w:rsidRPr="0098262F" w:rsidRDefault="00696EF9" w:rsidP="002E4F02">
      <w:pPr>
        <w:pStyle w:val="TableFigureHeading"/>
        <w:rPr>
          <w:rStyle w:val="CommentReference"/>
          <w:b/>
          <w:szCs w:val="24"/>
        </w:rPr>
      </w:pPr>
      <w:bookmarkStart w:id="18" w:name="_Ref104803956"/>
      <w:r w:rsidRPr="0098262F">
        <w:t xml:space="preserve">Table </w:t>
      </w:r>
      <w:r w:rsidR="002A4328">
        <w:fldChar w:fldCharType="begin" w:fldLock="1"/>
      </w:r>
      <w:r w:rsidR="002A4328">
        <w:instrText xml:space="preserve"> SEQ Table \* ARABIC </w:instrText>
      </w:r>
      <w:r w:rsidR="002A4328">
        <w:fldChar w:fldCharType="separate"/>
      </w:r>
      <w:r w:rsidR="0043347F">
        <w:rPr>
          <w:noProof/>
        </w:rPr>
        <w:t>2</w:t>
      </w:r>
      <w:r w:rsidR="002A4328">
        <w:rPr>
          <w:noProof/>
        </w:rPr>
        <w:fldChar w:fldCharType="end"/>
      </w:r>
      <w:bookmarkEnd w:id="18"/>
      <w:r w:rsidRPr="0098262F">
        <w:t>:</w:t>
      </w:r>
      <w:r w:rsidR="00BC591F" w:rsidRPr="0098262F">
        <w:rPr>
          <w:rStyle w:val="CommentReference"/>
          <w:b/>
          <w:szCs w:val="24"/>
        </w:rPr>
        <w:t xml:space="preserve"> </w:t>
      </w:r>
      <w:r w:rsidR="00605C37">
        <w:rPr>
          <w:rStyle w:val="CommentReference"/>
          <w:b/>
          <w:szCs w:val="24"/>
        </w:rPr>
        <w:t>Studies</w:t>
      </w:r>
      <w:r w:rsidR="008E0D3C" w:rsidRPr="0098262F">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605C37" w:rsidRPr="00605C37" w14:paraId="2F9721CB" w14:textId="77777777" w:rsidTr="00AC00CD">
        <w:trPr>
          <w:tblHeader/>
        </w:trPr>
        <w:tc>
          <w:tcPr>
            <w:tcW w:w="796" w:type="pct"/>
            <w:vAlign w:val="center"/>
          </w:tcPr>
          <w:p w14:paraId="48E713EE" w14:textId="77777777" w:rsidR="00605C37" w:rsidRPr="00A8482B" w:rsidRDefault="00605C37" w:rsidP="00A8482B">
            <w:pPr>
              <w:pStyle w:val="TableText0"/>
              <w:jc w:val="left"/>
              <w:rPr>
                <w:b/>
                <w:bCs w:val="0"/>
              </w:rPr>
            </w:pPr>
            <w:r w:rsidRPr="00A8482B">
              <w:rPr>
                <w:b/>
                <w:bCs w:val="0"/>
              </w:rPr>
              <w:t>Trial ID</w:t>
            </w:r>
          </w:p>
        </w:tc>
        <w:tc>
          <w:tcPr>
            <w:tcW w:w="3027" w:type="pct"/>
            <w:vAlign w:val="center"/>
          </w:tcPr>
          <w:p w14:paraId="63F47A0F" w14:textId="77777777" w:rsidR="00605C37" w:rsidRPr="00605C37" w:rsidRDefault="00605C37" w:rsidP="00374460">
            <w:pPr>
              <w:pStyle w:val="In-tableHeading"/>
            </w:pPr>
            <w:r w:rsidRPr="00605C37">
              <w:t>Protocol title/ Publication title</w:t>
            </w:r>
          </w:p>
        </w:tc>
        <w:tc>
          <w:tcPr>
            <w:tcW w:w="1177" w:type="pct"/>
            <w:vAlign w:val="center"/>
          </w:tcPr>
          <w:p w14:paraId="34FB812B" w14:textId="77777777" w:rsidR="00605C37" w:rsidRPr="00605C37" w:rsidRDefault="00605C37" w:rsidP="00374460">
            <w:pPr>
              <w:pStyle w:val="In-tableHeading"/>
            </w:pPr>
            <w:r w:rsidRPr="00605C37">
              <w:t>Publication citation</w:t>
            </w:r>
          </w:p>
        </w:tc>
      </w:tr>
      <w:tr w:rsidR="00605C37" w:rsidRPr="00BE5A28" w14:paraId="4F99B9FF" w14:textId="77777777" w:rsidTr="004F7EEE">
        <w:tc>
          <w:tcPr>
            <w:tcW w:w="796" w:type="pct"/>
            <w:vMerge w:val="restart"/>
            <w:vAlign w:val="center"/>
          </w:tcPr>
          <w:p w14:paraId="53F8340C" w14:textId="77777777" w:rsidR="00605C37" w:rsidRPr="00BE5A28" w:rsidRDefault="00605C37" w:rsidP="00A8482B">
            <w:pPr>
              <w:pStyle w:val="TableText0"/>
              <w:jc w:val="left"/>
            </w:pPr>
            <w:r w:rsidRPr="00BE5A28">
              <w:t>MOVE (PVO-1A-301)</w:t>
            </w:r>
          </w:p>
          <w:p w14:paraId="73F19F40" w14:textId="77777777" w:rsidR="00605C37" w:rsidRPr="00BE5A28" w:rsidRDefault="00605C37" w:rsidP="00A8482B">
            <w:pPr>
              <w:pStyle w:val="TableText0"/>
              <w:jc w:val="left"/>
            </w:pPr>
            <w:r w:rsidRPr="00BE5A28">
              <w:t>NCT03312634</w:t>
            </w:r>
          </w:p>
        </w:tc>
        <w:tc>
          <w:tcPr>
            <w:tcW w:w="3027" w:type="pct"/>
            <w:tcBorders>
              <w:bottom w:val="nil"/>
            </w:tcBorders>
          </w:tcPr>
          <w:p w14:paraId="177753DD" w14:textId="77777777" w:rsidR="00605C37" w:rsidRPr="001E62D4" w:rsidRDefault="00605C37" w:rsidP="004F7EEE">
            <w:pPr>
              <w:pStyle w:val="TableText0"/>
              <w:jc w:val="left"/>
            </w:pPr>
            <w:r w:rsidRPr="001E62D4">
              <w:t>A Phase 3, Efficacy and Safety Study of Oral Palovarotene for the Treatment of Fibrodysplasia Ossificans Progressiva (FOP)</w:t>
            </w:r>
          </w:p>
          <w:p w14:paraId="57D8F144" w14:textId="77777777" w:rsidR="00605C37" w:rsidRPr="001E62D4" w:rsidRDefault="00605C37" w:rsidP="004F7EEE">
            <w:pPr>
              <w:pStyle w:val="TableText0"/>
              <w:jc w:val="left"/>
            </w:pPr>
            <w:r w:rsidRPr="001E62D4">
              <w:t>Interim clinical study report</w:t>
            </w:r>
          </w:p>
          <w:p w14:paraId="38ACAF72" w14:textId="77777777" w:rsidR="00605C37" w:rsidRPr="00BE5A28" w:rsidRDefault="00605C37" w:rsidP="004F7EEE">
            <w:pPr>
              <w:pStyle w:val="TableText0"/>
              <w:jc w:val="left"/>
            </w:pPr>
          </w:p>
        </w:tc>
        <w:tc>
          <w:tcPr>
            <w:tcW w:w="1177" w:type="pct"/>
            <w:tcBorders>
              <w:bottom w:val="nil"/>
            </w:tcBorders>
          </w:tcPr>
          <w:p w14:paraId="53D377E9" w14:textId="77777777" w:rsidR="00605C37" w:rsidRPr="00BE5A28" w:rsidRDefault="00605C37" w:rsidP="004F7EEE">
            <w:pPr>
              <w:pStyle w:val="TableText0"/>
              <w:jc w:val="left"/>
            </w:pPr>
            <w:r w:rsidRPr="00BE5A28">
              <w:t>Interim CSR Report: 4 April 2022</w:t>
            </w:r>
          </w:p>
          <w:p w14:paraId="72AC1B21" w14:textId="77777777" w:rsidR="00605C37" w:rsidRPr="00BE5A28" w:rsidRDefault="00605C37" w:rsidP="004F7EEE">
            <w:pPr>
              <w:pStyle w:val="TableText0"/>
              <w:jc w:val="left"/>
            </w:pPr>
            <w:r w:rsidRPr="00BE5A28">
              <w:t>Final CSR report 4 August 2023</w:t>
            </w:r>
          </w:p>
        </w:tc>
      </w:tr>
      <w:tr w:rsidR="00605C37" w:rsidRPr="00BE5A28" w14:paraId="57314B7B" w14:textId="77777777" w:rsidTr="004F7EEE">
        <w:tc>
          <w:tcPr>
            <w:tcW w:w="796" w:type="pct"/>
            <w:vMerge/>
            <w:tcBorders>
              <w:bottom w:val="single" w:sz="4" w:space="0" w:color="auto"/>
            </w:tcBorders>
            <w:vAlign w:val="center"/>
          </w:tcPr>
          <w:p w14:paraId="578152F6" w14:textId="77777777" w:rsidR="00605C37" w:rsidRPr="00BE5A28" w:rsidRDefault="00605C37" w:rsidP="00A8482B">
            <w:pPr>
              <w:pStyle w:val="TableText0"/>
              <w:jc w:val="left"/>
            </w:pPr>
          </w:p>
        </w:tc>
        <w:tc>
          <w:tcPr>
            <w:tcW w:w="3027" w:type="pct"/>
            <w:tcBorders>
              <w:top w:val="nil"/>
              <w:bottom w:val="single" w:sz="4" w:space="0" w:color="auto"/>
            </w:tcBorders>
          </w:tcPr>
          <w:p w14:paraId="175893B7" w14:textId="77777777" w:rsidR="00605C37" w:rsidRPr="00BE5A28" w:rsidRDefault="00605C37" w:rsidP="004F7EEE">
            <w:pPr>
              <w:pStyle w:val="TableText0"/>
              <w:jc w:val="left"/>
            </w:pPr>
            <w:proofErr w:type="spellStart"/>
            <w:r w:rsidRPr="00BE5A28">
              <w:t>Pignolo</w:t>
            </w:r>
            <w:proofErr w:type="spellEnd"/>
            <w:r w:rsidRPr="00BE5A28">
              <w:t xml:space="preserve"> RJ, Hsiao EC, Al </w:t>
            </w:r>
            <w:proofErr w:type="spellStart"/>
            <w:r w:rsidRPr="00BE5A28">
              <w:t>Mukaddam</w:t>
            </w:r>
            <w:proofErr w:type="spellEnd"/>
            <w:r w:rsidRPr="00BE5A28">
              <w:t xml:space="preserve"> M, </w:t>
            </w:r>
            <w:proofErr w:type="spellStart"/>
            <w:r w:rsidRPr="00BE5A28">
              <w:t>Baujat</w:t>
            </w:r>
            <w:proofErr w:type="spellEnd"/>
            <w:r w:rsidRPr="00BE5A28">
              <w:t xml:space="preserve"> G, Berglund SK, Brown MA, Cheung AM, De </w:t>
            </w:r>
            <w:proofErr w:type="spellStart"/>
            <w:r w:rsidRPr="00BE5A28">
              <w:t>Cunto</w:t>
            </w:r>
            <w:proofErr w:type="spellEnd"/>
            <w:r w:rsidRPr="00BE5A28">
              <w:t xml:space="preserve"> C, Delai P, Haga N, </w:t>
            </w:r>
            <w:proofErr w:type="spellStart"/>
            <w:r w:rsidRPr="00BE5A28">
              <w:t>Kannu</w:t>
            </w:r>
            <w:proofErr w:type="spellEnd"/>
            <w:r w:rsidRPr="00BE5A28">
              <w:t xml:space="preserve"> P, Keen R, Le Quan Sang KH, Mancilla EE, Marino R, Strahs A, Kaplan FS. Reduction of New Heterotopic Ossification (HO) in the Open-Label, Phase 3 MOVE Trial of Palovarotene for Fibrodysplasia Ossificans Progressiva (FOP). </w:t>
            </w:r>
          </w:p>
        </w:tc>
        <w:tc>
          <w:tcPr>
            <w:tcW w:w="1177" w:type="pct"/>
            <w:tcBorders>
              <w:top w:val="nil"/>
              <w:bottom w:val="single" w:sz="4" w:space="0" w:color="auto"/>
            </w:tcBorders>
          </w:tcPr>
          <w:p w14:paraId="3C279FFC" w14:textId="77777777" w:rsidR="00605C37" w:rsidRPr="00BE5A28" w:rsidRDefault="00605C37" w:rsidP="004F7EEE">
            <w:pPr>
              <w:pStyle w:val="TableText0"/>
              <w:jc w:val="left"/>
            </w:pPr>
            <w:r w:rsidRPr="00BE5A28">
              <w:t>Journal of Bone and Mineral Research 2023; 38, 381-394.</w:t>
            </w:r>
          </w:p>
        </w:tc>
      </w:tr>
      <w:tr w:rsidR="00605C37" w:rsidRPr="00BE5A28" w14:paraId="69E1EA1B" w14:textId="77777777" w:rsidTr="00AC00CD">
        <w:tc>
          <w:tcPr>
            <w:tcW w:w="5000" w:type="pct"/>
            <w:gridSpan w:val="3"/>
            <w:tcBorders>
              <w:top w:val="single" w:sz="4" w:space="0" w:color="auto"/>
              <w:bottom w:val="single" w:sz="4" w:space="0" w:color="auto"/>
            </w:tcBorders>
            <w:vAlign w:val="center"/>
          </w:tcPr>
          <w:p w14:paraId="19298BB9" w14:textId="77777777" w:rsidR="00605C37" w:rsidRPr="00BE5A28" w:rsidRDefault="00605C37" w:rsidP="00A8482B">
            <w:pPr>
              <w:pStyle w:val="TableText0"/>
              <w:jc w:val="left"/>
            </w:pPr>
            <w:r w:rsidRPr="00BE5A28">
              <w:t>Natural history study</w:t>
            </w:r>
          </w:p>
        </w:tc>
      </w:tr>
      <w:tr w:rsidR="00605C37" w:rsidRPr="00BE5A28" w14:paraId="7C290CD9" w14:textId="77777777" w:rsidTr="004F7EEE">
        <w:tc>
          <w:tcPr>
            <w:tcW w:w="796" w:type="pct"/>
            <w:vMerge w:val="restart"/>
            <w:tcBorders>
              <w:top w:val="single" w:sz="4" w:space="0" w:color="auto"/>
            </w:tcBorders>
            <w:vAlign w:val="center"/>
          </w:tcPr>
          <w:p w14:paraId="1ADF0CF7" w14:textId="77777777" w:rsidR="00605C37" w:rsidRPr="00BE5A28" w:rsidRDefault="00605C37" w:rsidP="00A8482B">
            <w:pPr>
              <w:pStyle w:val="TableText0"/>
              <w:jc w:val="left"/>
            </w:pPr>
            <w:r w:rsidRPr="00BE5A28">
              <w:t>NHS (PVO-1A-001)</w:t>
            </w:r>
          </w:p>
          <w:p w14:paraId="7A011C92" w14:textId="77777777" w:rsidR="00605C37" w:rsidRPr="00BE5A28" w:rsidRDefault="00605C37" w:rsidP="00A8482B">
            <w:pPr>
              <w:pStyle w:val="TableText0"/>
              <w:jc w:val="left"/>
            </w:pPr>
            <w:r w:rsidRPr="00BE5A28">
              <w:t>NCT02322255</w:t>
            </w:r>
          </w:p>
        </w:tc>
        <w:tc>
          <w:tcPr>
            <w:tcW w:w="3027" w:type="pct"/>
            <w:tcBorders>
              <w:top w:val="single" w:sz="4" w:space="0" w:color="auto"/>
              <w:bottom w:val="nil"/>
            </w:tcBorders>
          </w:tcPr>
          <w:p w14:paraId="17B1F9C3" w14:textId="77777777" w:rsidR="00605C37" w:rsidRPr="00BE5A28" w:rsidRDefault="00605C37" w:rsidP="004F7EEE">
            <w:pPr>
              <w:pStyle w:val="TableText0"/>
              <w:jc w:val="left"/>
            </w:pPr>
            <w:r w:rsidRPr="00BE5A28">
              <w:t>A Natural History, Non-Interventional, Two-Part Study in Subjects with Fibrodysplasia Ossificans Progressiva (FOP)</w:t>
            </w:r>
          </w:p>
        </w:tc>
        <w:tc>
          <w:tcPr>
            <w:tcW w:w="1177" w:type="pct"/>
            <w:tcBorders>
              <w:top w:val="single" w:sz="4" w:space="0" w:color="auto"/>
              <w:bottom w:val="nil"/>
            </w:tcBorders>
          </w:tcPr>
          <w:p w14:paraId="21C776E6" w14:textId="77777777" w:rsidR="00605C37" w:rsidRPr="00BE5A28" w:rsidRDefault="00605C37" w:rsidP="004F7EEE">
            <w:pPr>
              <w:pStyle w:val="TableText0"/>
              <w:jc w:val="left"/>
            </w:pPr>
            <w:r w:rsidRPr="00BE5A28">
              <w:t>CSR report: 21 March 2022</w:t>
            </w:r>
          </w:p>
        </w:tc>
      </w:tr>
      <w:tr w:rsidR="00605C37" w:rsidRPr="00BE5A28" w14:paraId="25C837F1" w14:textId="77777777" w:rsidTr="004F7EEE">
        <w:tc>
          <w:tcPr>
            <w:tcW w:w="796" w:type="pct"/>
            <w:vMerge/>
            <w:vAlign w:val="center"/>
          </w:tcPr>
          <w:p w14:paraId="4DDEE2FB" w14:textId="77777777" w:rsidR="00605C37" w:rsidRPr="00BE5A28" w:rsidRDefault="00605C37" w:rsidP="00A8482B">
            <w:pPr>
              <w:pStyle w:val="TableText0"/>
              <w:jc w:val="left"/>
            </w:pPr>
          </w:p>
        </w:tc>
        <w:tc>
          <w:tcPr>
            <w:tcW w:w="3027" w:type="pct"/>
            <w:tcBorders>
              <w:bottom w:val="nil"/>
            </w:tcBorders>
          </w:tcPr>
          <w:p w14:paraId="7AB6A4A7" w14:textId="2EBB6BAA" w:rsidR="00605C37" w:rsidRPr="00BE5A28" w:rsidRDefault="00605C37" w:rsidP="004F7EEE">
            <w:pPr>
              <w:pStyle w:val="TableText0"/>
              <w:jc w:val="left"/>
            </w:pPr>
            <w:r w:rsidRPr="00BE5A28">
              <w:t xml:space="preserve">Robert J. Pignolo1, Geneviève </w:t>
            </w:r>
            <w:proofErr w:type="spellStart"/>
            <w:r w:rsidRPr="00BE5A28">
              <w:t>Baujat</w:t>
            </w:r>
            <w:proofErr w:type="spellEnd"/>
            <w:r w:rsidRPr="00BE5A28">
              <w:t xml:space="preserve">, Matthew A. Brown3, Carmen De </w:t>
            </w:r>
            <w:proofErr w:type="spellStart"/>
            <w:r w:rsidRPr="00BE5A28">
              <w:t>Cunto</w:t>
            </w:r>
            <w:proofErr w:type="spellEnd"/>
            <w:r w:rsidRPr="00BE5A28">
              <w:t xml:space="preserve">, Maja DiRocco, Edward C. Hsiao, Richard Keen, Mona Al </w:t>
            </w:r>
            <w:proofErr w:type="spellStart"/>
            <w:r w:rsidRPr="00BE5A28">
              <w:t>Mukaddam</w:t>
            </w:r>
            <w:proofErr w:type="spellEnd"/>
            <w:r w:rsidRPr="00BE5A28">
              <w:t>, Kim-Hanh Le Quan Sang, Amy Wilson, Barbara White,</w:t>
            </w:r>
            <w:r w:rsidR="005D6917">
              <w:t xml:space="preserve"> </w:t>
            </w:r>
            <w:r w:rsidRPr="00BE5A28">
              <w:t>Donna R. Grogan and Frederick S. Kaplan. Natural history of fibrodysplasia ossificans progressiva: cross-sectional analysis of annotated baseline phenotypes.</w:t>
            </w:r>
          </w:p>
        </w:tc>
        <w:tc>
          <w:tcPr>
            <w:tcW w:w="1177" w:type="pct"/>
            <w:tcBorders>
              <w:bottom w:val="nil"/>
            </w:tcBorders>
          </w:tcPr>
          <w:p w14:paraId="4BD782F8" w14:textId="77777777" w:rsidR="00605C37" w:rsidRPr="00BE5A28" w:rsidRDefault="00605C37" w:rsidP="004F7EEE">
            <w:pPr>
              <w:pStyle w:val="TableText0"/>
              <w:jc w:val="left"/>
            </w:pPr>
            <w:proofErr w:type="spellStart"/>
            <w:r w:rsidRPr="00BE5A28">
              <w:t>Orphanet</w:t>
            </w:r>
            <w:proofErr w:type="spellEnd"/>
            <w:r w:rsidRPr="00BE5A28">
              <w:t xml:space="preserve"> Journal of Rare Diseases 2019; 14, 98</w:t>
            </w:r>
          </w:p>
        </w:tc>
      </w:tr>
      <w:tr w:rsidR="00605C37" w:rsidRPr="00BE5A28" w14:paraId="14D6BA4D" w14:textId="77777777" w:rsidTr="004F7EEE">
        <w:tc>
          <w:tcPr>
            <w:tcW w:w="796" w:type="pct"/>
            <w:vMerge/>
            <w:tcBorders>
              <w:bottom w:val="single" w:sz="4" w:space="0" w:color="auto"/>
            </w:tcBorders>
            <w:vAlign w:val="center"/>
          </w:tcPr>
          <w:p w14:paraId="0D16D5D8" w14:textId="77777777" w:rsidR="00605C37" w:rsidRPr="00BE5A28" w:rsidRDefault="00605C37" w:rsidP="00A8482B">
            <w:pPr>
              <w:pStyle w:val="TableText0"/>
              <w:jc w:val="left"/>
            </w:pPr>
          </w:p>
        </w:tc>
        <w:tc>
          <w:tcPr>
            <w:tcW w:w="3027" w:type="pct"/>
            <w:tcBorders>
              <w:top w:val="nil"/>
              <w:bottom w:val="single" w:sz="4" w:space="0" w:color="auto"/>
            </w:tcBorders>
          </w:tcPr>
          <w:p w14:paraId="40168946" w14:textId="77777777" w:rsidR="00605C37" w:rsidRPr="00BE5A28" w:rsidRDefault="00605C37" w:rsidP="004F7EEE">
            <w:pPr>
              <w:pStyle w:val="TableText0"/>
              <w:jc w:val="left"/>
            </w:pPr>
            <w:r w:rsidRPr="00BE5A28">
              <w:t xml:space="preserve">Robert J. </w:t>
            </w:r>
            <w:proofErr w:type="spellStart"/>
            <w:r w:rsidRPr="00BE5A28">
              <w:t>Pignolo</w:t>
            </w:r>
            <w:proofErr w:type="spellEnd"/>
            <w:r w:rsidRPr="00BE5A28">
              <w:t xml:space="preserve">, Genevieve </w:t>
            </w:r>
            <w:proofErr w:type="spellStart"/>
            <w:r w:rsidRPr="00BE5A28">
              <w:t>Baujat</w:t>
            </w:r>
            <w:proofErr w:type="spellEnd"/>
            <w:r w:rsidRPr="00BE5A28">
              <w:t xml:space="preserve">, Matthew A. Brown, Carmen De </w:t>
            </w:r>
            <w:proofErr w:type="spellStart"/>
            <w:r w:rsidRPr="00BE5A28">
              <w:t>Cunto</w:t>
            </w:r>
            <w:proofErr w:type="spellEnd"/>
            <w:r w:rsidRPr="00BE5A28">
              <w:t xml:space="preserve">, Edward C. Hsiao, Richard Keen, Mona Al </w:t>
            </w:r>
            <w:proofErr w:type="spellStart"/>
            <w:r w:rsidRPr="00BE5A28">
              <w:t>Mukaddam</w:t>
            </w:r>
            <w:proofErr w:type="spellEnd"/>
            <w:r w:rsidRPr="00BE5A28">
              <w:t xml:space="preserve">, Kim-Hanh Le Quan Sang, Amy Wilson, Rose Marino, Andrew Strahs, Frederick S. Kaplan The natural history of fibrodysplasia ossificans progressiva: A prospective, global 36-month study. </w:t>
            </w:r>
          </w:p>
        </w:tc>
        <w:tc>
          <w:tcPr>
            <w:tcW w:w="1177" w:type="pct"/>
            <w:tcBorders>
              <w:top w:val="nil"/>
              <w:bottom w:val="single" w:sz="4" w:space="0" w:color="auto"/>
            </w:tcBorders>
          </w:tcPr>
          <w:p w14:paraId="3B9D190C" w14:textId="77777777" w:rsidR="00605C37" w:rsidRPr="00BE5A28" w:rsidRDefault="00605C37" w:rsidP="004F7EEE">
            <w:pPr>
              <w:pStyle w:val="TableText0"/>
              <w:jc w:val="left"/>
              <w:rPr>
                <w:i/>
              </w:rPr>
            </w:pPr>
            <w:r w:rsidRPr="00BE5A28">
              <w:t>Genet Med 2022; 24, 2422-2433.</w:t>
            </w:r>
          </w:p>
        </w:tc>
      </w:tr>
    </w:tbl>
    <w:p w14:paraId="0CB5E6C1" w14:textId="77777777" w:rsidR="00605C37" w:rsidRPr="00BE5A28" w:rsidRDefault="00605C37" w:rsidP="00605C37">
      <w:pPr>
        <w:pStyle w:val="FooterTableFigure"/>
        <w:rPr>
          <w:sz w:val="20"/>
        </w:rPr>
      </w:pPr>
      <w:r w:rsidRPr="00BE5A28">
        <w:t>Source: Table 2.2-5, p73</w:t>
      </w:r>
      <w:r w:rsidRPr="00BE5A28">
        <w:rPr>
          <w:b/>
          <w:bCs/>
        </w:rPr>
        <w:t xml:space="preserve"> </w:t>
      </w:r>
      <w:r w:rsidRPr="00BE5A28">
        <w:t>of the submission.</w:t>
      </w:r>
    </w:p>
    <w:p w14:paraId="3C175F42" w14:textId="0C9C4225" w:rsidR="00327838" w:rsidRPr="00327838" w:rsidRDefault="00327838" w:rsidP="00327838">
      <w:pPr>
        <w:pStyle w:val="3-BodyText"/>
        <w:rPr>
          <w:i/>
          <w:iCs/>
          <w:color w:val="000000" w:themeColor="text1"/>
        </w:rPr>
      </w:pPr>
      <w:r>
        <w:rPr>
          <w:color w:val="000000" w:themeColor="text1"/>
        </w:rPr>
        <w:fldChar w:fldCharType="begin" w:fldLock="1"/>
      </w:r>
      <w:r>
        <w:rPr>
          <w:i/>
          <w:iCs/>
          <w:color w:val="000000" w:themeColor="text1"/>
        </w:rPr>
        <w:instrText xml:space="preserve"> REF _Ref176519888 \h </w:instrText>
      </w:r>
      <w:r>
        <w:rPr>
          <w:color w:val="000000" w:themeColor="text1"/>
        </w:rPr>
      </w:r>
      <w:r>
        <w:rPr>
          <w:color w:val="000000" w:themeColor="text1"/>
        </w:rPr>
        <w:fldChar w:fldCharType="separate"/>
      </w:r>
      <w:r w:rsidR="0043347F" w:rsidRPr="0098262F">
        <w:t xml:space="preserve">Table </w:t>
      </w:r>
      <w:r w:rsidR="0043347F">
        <w:rPr>
          <w:noProof/>
        </w:rPr>
        <w:t>3</w:t>
      </w:r>
      <w:r>
        <w:rPr>
          <w:color w:val="000000" w:themeColor="text1"/>
        </w:rPr>
        <w:fldChar w:fldCharType="end"/>
      </w:r>
      <w:r>
        <w:rPr>
          <w:color w:val="000000" w:themeColor="text1"/>
        </w:rPr>
        <w:t xml:space="preserve"> presents the key features of the included evidence.</w:t>
      </w:r>
    </w:p>
    <w:p w14:paraId="42858E0B" w14:textId="3036F47B" w:rsidR="00327838" w:rsidRPr="00BE5A28" w:rsidRDefault="00327838" w:rsidP="000D7A6E">
      <w:pPr>
        <w:pStyle w:val="Caption"/>
        <w:rPr>
          <w:rStyle w:val="CommentReference"/>
          <w:rFonts w:eastAsiaTheme="majorEastAsia" w:cstheme="majorBidi"/>
          <w:b/>
          <w:szCs w:val="24"/>
        </w:rPr>
      </w:pPr>
      <w:bookmarkStart w:id="19" w:name="_Ref176519888"/>
      <w:r w:rsidRPr="0098262F">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3</w:t>
      </w:r>
      <w:r w:rsidR="002A4328">
        <w:rPr>
          <w:noProof/>
        </w:rPr>
        <w:fldChar w:fldCharType="end"/>
      </w:r>
      <w:bookmarkEnd w:id="19"/>
      <w:r w:rsidRPr="0098262F">
        <w:t>:</w:t>
      </w:r>
      <w:r w:rsidRPr="0098262F">
        <w:rPr>
          <w:rStyle w:val="CommentReference"/>
          <w:b/>
          <w:szCs w:val="24"/>
        </w:rPr>
        <w:t xml:space="preserve"> </w:t>
      </w:r>
      <w:r w:rsidRPr="0098262F">
        <w:t xml:space="preserve">The key features of the </w:t>
      </w:r>
      <w:r>
        <w:t>included studies</w:t>
      </w:r>
      <w:r w:rsidRPr="009826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568"/>
        <w:gridCol w:w="1558"/>
        <w:gridCol w:w="1134"/>
        <w:gridCol w:w="1843"/>
        <w:gridCol w:w="1843"/>
        <w:gridCol w:w="1367"/>
      </w:tblGrid>
      <w:tr w:rsidR="003F2743" w:rsidRPr="00550E93" w14:paraId="0F8A1483" w14:textId="77777777" w:rsidTr="00E532A6">
        <w:trPr>
          <w:cantSplit/>
          <w:tblHeader/>
        </w:trPr>
        <w:tc>
          <w:tcPr>
            <w:tcW w:w="390" w:type="pct"/>
            <w:shd w:val="clear" w:color="auto" w:fill="auto"/>
            <w:vAlign w:val="center"/>
          </w:tcPr>
          <w:p w14:paraId="5868C866" w14:textId="77777777" w:rsidR="003F2743" w:rsidRPr="00550E93" w:rsidRDefault="003F2743" w:rsidP="000D7A6E">
            <w:pPr>
              <w:pStyle w:val="In-tableHeading"/>
            </w:pPr>
            <w:r w:rsidRPr="00550E93">
              <w:t>Trial</w:t>
            </w:r>
          </w:p>
        </w:tc>
        <w:tc>
          <w:tcPr>
            <w:tcW w:w="315" w:type="pct"/>
            <w:shd w:val="clear" w:color="auto" w:fill="auto"/>
            <w:vAlign w:val="center"/>
          </w:tcPr>
          <w:p w14:paraId="46DCCBDE" w14:textId="77777777" w:rsidR="003F2743" w:rsidRPr="00550E93" w:rsidRDefault="003F2743" w:rsidP="000D7A6E">
            <w:pPr>
              <w:pStyle w:val="In-tableHeading"/>
            </w:pPr>
            <w:r w:rsidRPr="00550E93">
              <w:t>N</w:t>
            </w:r>
          </w:p>
        </w:tc>
        <w:tc>
          <w:tcPr>
            <w:tcW w:w="864" w:type="pct"/>
            <w:shd w:val="clear" w:color="auto" w:fill="auto"/>
            <w:vAlign w:val="center"/>
          </w:tcPr>
          <w:p w14:paraId="1F85E32F" w14:textId="77777777" w:rsidR="003F2743" w:rsidRPr="00550E93" w:rsidRDefault="003F2743" w:rsidP="000D7A6E">
            <w:pPr>
              <w:pStyle w:val="In-tableHeading"/>
            </w:pPr>
            <w:r w:rsidRPr="00550E93">
              <w:t>Design, duration</w:t>
            </w:r>
          </w:p>
        </w:tc>
        <w:tc>
          <w:tcPr>
            <w:tcW w:w="629" w:type="pct"/>
            <w:shd w:val="clear" w:color="auto" w:fill="auto"/>
            <w:vAlign w:val="center"/>
          </w:tcPr>
          <w:p w14:paraId="6E694C40" w14:textId="77777777" w:rsidR="003F2743" w:rsidRPr="00550E93" w:rsidRDefault="003F2743" w:rsidP="000D7A6E">
            <w:pPr>
              <w:pStyle w:val="In-tableHeading"/>
            </w:pPr>
            <w:r w:rsidRPr="00550E93">
              <w:t>Risk of bias</w:t>
            </w:r>
          </w:p>
        </w:tc>
        <w:tc>
          <w:tcPr>
            <w:tcW w:w="1022" w:type="pct"/>
            <w:shd w:val="clear" w:color="auto" w:fill="auto"/>
            <w:vAlign w:val="center"/>
          </w:tcPr>
          <w:p w14:paraId="589F2CB5" w14:textId="77777777" w:rsidR="003F2743" w:rsidRPr="00550E93" w:rsidRDefault="003F2743" w:rsidP="000D7A6E">
            <w:pPr>
              <w:pStyle w:val="In-tableHeading"/>
            </w:pPr>
            <w:r w:rsidRPr="00550E93">
              <w:t>Patient population</w:t>
            </w:r>
          </w:p>
        </w:tc>
        <w:tc>
          <w:tcPr>
            <w:tcW w:w="1022" w:type="pct"/>
            <w:shd w:val="clear" w:color="auto" w:fill="auto"/>
            <w:vAlign w:val="center"/>
          </w:tcPr>
          <w:p w14:paraId="6D830686" w14:textId="77777777" w:rsidR="003F2743" w:rsidRPr="00550E93" w:rsidRDefault="003F2743" w:rsidP="000D7A6E">
            <w:pPr>
              <w:pStyle w:val="In-tableHeading"/>
            </w:pPr>
            <w:r w:rsidRPr="00550E93">
              <w:t>Outcomes</w:t>
            </w:r>
          </w:p>
        </w:tc>
        <w:tc>
          <w:tcPr>
            <w:tcW w:w="758" w:type="pct"/>
            <w:shd w:val="clear" w:color="auto" w:fill="auto"/>
            <w:vAlign w:val="center"/>
          </w:tcPr>
          <w:p w14:paraId="569E3CA9" w14:textId="77777777" w:rsidR="003F2743" w:rsidRPr="00550E93" w:rsidRDefault="003F2743" w:rsidP="000D7A6E">
            <w:pPr>
              <w:pStyle w:val="In-tableHeading"/>
            </w:pPr>
            <w:r w:rsidRPr="00550E93">
              <w:t>Use in modelled evaluation</w:t>
            </w:r>
          </w:p>
        </w:tc>
      </w:tr>
      <w:tr w:rsidR="003F2743" w:rsidRPr="00550E93" w14:paraId="520D192F" w14:textId="77777777" w:rsidTr="00E532A6">
        <w:trPr>
          <w:cantSplit/>
        </w:trPr>
        <w:tc>
          <w:tcPr>
            <w:tcW w:w="5000" w:type="pct"/>
            <w:gridSpan w:val="7"/>
            <w:shd w:val="clear" w:color="auto" w:fill="auto"/>
            <w:vAlign w:val="center"/>
          </w:tcPr>
          <w:p w14:paraId="3F419565" w14:textId="77777777" w:rsidR="003F2743" w:rsidRPr="00550E93" w:rsidRDefault="003F2743" w:rsidP="000D7A6E">
            <w:pPr>
              <w:pStyle w:val="In-tableHeading"/>
            </w:pPr>
            <w:r w:rsidRPr="00550E93">
              <w:t>Pre-specified comparison of single arm study (MOVE) and NHS</w:t>
            </w:r>
          </w:p>
        </w:tc>
      </w:tr>
      <w:tr w:rsidR="003F2743" w:rsidRPr="00550E93" w14:paraId="507106AE" w14:textId="77777777" w:rsidTr="00E532A6">
        <w:trPr>
          <w:cantSplit/>
          <w:trHeight w:val="339"/>
        </w:trPr>
        <w:tc>
          <w:tcPr>
            <w:tcW w:w="390" w:type="pct"/>
            <w:shd w:val="clear" w:color="auto" w:fill="auto"/>
            <w:vAlign w:val="center"/>
          </w:tcPr>
          <w:p w14:paraId="5B8C0394" w14:textId="77777777" w:rsidR="003F2743" w:rsidRPr="00550E93" w:rsidRDefault="003F2743" w:rsidP="000D7A6E">
            <w:pPr>
              <w:pStyle w:val="TableText0"/>
              <w:jc w:val="left"/>
            </w:pPr>
            <w:r w:rsidRPr="00550E93">
              <w:t>MOVE</w:t>
            </w:r>
          </w:p>
        </w:tc>
        <w:tc>
          <w:tcPr>
            <w:tcW w:w="315" w:type="pct"/>
            <w:shd w:val="clear" w:color="auto" w:fill="auto"/>
            <w:vAlign w:val="center"/>
          </w:tcPr>
          <w:p w14:paraId="25722700" w14:textId="77777777" w:rsidR="003F2743" w:rsidRPr="00550E93" w:rsidRDefault="003F2743" w:rsidP="000D7A6E">
            <w:pPr>
              <w:pStyle w:val="TableText0"/>
              <w:rPr>
                <w:vertAlign w:val="superscript"/>
              </w:rPr>
            </w:pPr>
            <w:r w:rsidRPr="00550E93">
              <w:t>107</w:t>
            </w:r>
            <w:r w:rsidRPr="00550E93">
              <w:rPr>
                <w:vertAlign w:val="superscript"/>
              </w:rPr>
              <w:t>a</w:t>
            </w:r>
          </w:p>
        </w:tc>
        <w:tc>
          <w:tcPr>
            <w:tcW w:w="864" w:type="pct"/>
            <w:shd w:val="clear" w:color="auto" w:fill="auto"/>
            <w:vAlign w:val="center"/>
          </w:tcPr>
          <w:p w14:paraId="274EE37F" w14:textId="77777777" w:rsidR="003F2743" w:rsidRPr="00550E93" w:rsidRDefault="003F2743" w:rsidP="000D7A6E">
            <w:pPr>
              <w:pStyle w:val="TableText0"/>
            </w:pPr>
            <w:r w:rsidRPr="00550E93">
              <w:t>SAS, 18</w:t>
            </w:r>
            <w:r w:rsidRPr="00550E93">
              <w:rPr>
                <w:vertAlign w:val="superscript"/>
              </w:rPr>
              <w:t>c</w:t>
            </w:r>
            <w:r w:rsidRPr="00550E93">
              <w:t xml:space="preserve"> months</w:t>
            </w:r>
          </w:p>
        </w:tc>
        <w:tc>
          <w:tcPr>
            <w:tcW w:w="629" w:type="pct"/>
            <w:vMerge w:val="restart"/>
            <w:shd w:val="clear" w:color="auto" w:fill="auto"/>
            <w:vAlign w:val="center"/>
          </w:tcPr>
          <w:p w14:paraId="187A5754" w14:textId="77777777" w:rsidR="003F2743" w:rsidRPr="00550E93" w:rsidRDefault="003F2743" w:rsidP="000D7A6E">
            <w:pPr>
              <w:pStyle w:val="TableText0"/>
            </w:pPr>
            <w:r w:rsidRPr="00550E93">
              <w:t>High</w:t>
            </w:r>
          </w:p>
        </w:tc>
        <w:tc>
          <w:tcPr>
            <w:tcW w:w="1022" w:type="pct"/>
            <w:vMerge w:val="restart"/>
            <w:shd w:val="clear" w:color="auto" w:fill="auto"/>
            <w:vAlign w:val="center"/>
          </w:tcPr>
          <w:p w14:paraId="28750357" w14:textId="77777777" w:rsidR="003F2743" w:rsidRPr="00550E93" w:rsidRDefault="003F2743" w:rsidP="000D7A6E">
            <w:pPr>
              <w:pStyle w:val="TableText0"/>
            </w:pPr>
            <w:r w:rsidRPr="00550E93">
              <w:t>FOP patients</w:t>
            </w:r>
          </w:p>
        </w:tc>
        <w:tc>
          <w:tcPr>
            <w:tcW w:w="1022" w:type="pct"/>
            <w:vMerge w:val="restart"/>
            <w:shd w:val="clear" w:color="auto" w:fill="auto"/>
            <w:vAlign w:val="center"/>
          </w:tcPr>
          <w:p w14:paraId="2C0DE192" w14:textId="77777777" w:rsidR="003F2743" w:rsidRPr="00550E93" w:rsidRDefault="003F2743" w:rsidP="000D7A6E">
            <w:pPr>
              <w:pStyle w:val="TableText0"/>
            </w:pPr>
            <w:r w:rsidRPr="00550E93">
              <w:t>Annualised new HO, CAJIS, FOP-PFQ, PROMIS</w:t>
            </w:r>
          </w:p>
        </w:tc>
        <w:tc>
          <w:tcPr>
            <w:tcW w:w="758" w:type="pct"/>
            <w:vMerge w:val="restart"/>
            <w:shd w:val="clear" w:color="auto" w:fill="auto"/>
            <w:vAlign w:val="center"/>
          </w:tcPr>
          <w:p w14:paraId="2B936406" w14:textId="77777777" w:rsidR="003F2743" w:rsidRPr="00550E93" w:rsidRDefault="003F2743" w:rsidP="000D7A6E">
            <w:pPr>
              <w:pStyle w:val="TableText0"/>
            </w:pPr>
            <w:r w:rsidRPr="00550E93">
              <w:t>Yes</w:t>
            </w:r>
          </w:p>
        </w:tc>
      </w:tr>
      <w:tr w:rsidR="003F2743" w:rsidRPr="00550E93" w14:paraId="0E31CB8F" w14:textId="77777777" w:rsidTr="00E532A6">
        <w:trPr>
          <w:cantSplit/>
          <w:trHeight w:val="339"/>
        </w:trPr>
        <w:tc>
          <w:tcPr>
            <w:tcW w:w="390" w:type="pct"/>
            <w:shd w:val="clear" w:color="auto" w:fill="auto"/>
            <w:vAlign w:val="center"/>
          </w:tcPr>
          <w:p w14:paraId="1B1A2C83" w14:textId="77777777" w:rsidR="003F2743" w:rsidRPr="00550E93" w:rsidRDefault="003F2743" w:rsidP="000D7A6E">
            <w:pPr>
              <w:pStyle w:val="TableText0"/>
              <w:jc w:val="left"/>
            </w:pPr>
            <w:r w:rsidRPr="00550E93">
              <w:t>NHS</w:t>
            </w:r>
          </w:p>
        </w:tc>
        <w:tc>
          <w:tcPr>
            <w:tcW w:w="315" w:type="pct"/>
            <w:shd w:val="clear" w:color="auto" w:fill="auto"/>
            <w:vAlign w:val="center"/>
          </w:tcPr>
          <w:p w14:paraId="562A5543" w14:textId="77777777" w:rsidR="003F2743" w:rsidRPr="00550E93" w:rsidRDefault="003F2743" w:rsidP="000D7A6E">
            <w:pPr>
              <w:pStyle w:val="TableText0"/>
              <w:rPr>
                <w:vertAlign w:val="superscript"/>
              </w:rPr>
            </w:pPr>
            <w:r w:rsidRPr="00550E93">
              <w:t>114</w:t>
            </w:r>
            <w:r w:rsidRPr="00550E93">
              <w:rPr>
                <w:vertAlign w:val="superscript"/>
              </w:rPr>
              <w:t>b</w:t>
            </w:r>
          </w:p>
        </w:tc>
        <w:tc>
          <w:tcPr>
            <w:tcW w:w="864" w:type="pct"/>
            <w:shd w:val="clear" w:color="auto" w:fill="auto"/>
            <w:vAlign w:val="center"/>
          </w:tcPr>
          <w:p w14:paraId="3115C39B" w14:textId="77777777" w:rsidR="003F2743" w:rsidRPr="00550E93" w:rsidRDefault="003F2743" w:rsidP="000D7A6E">
            <w:pPr>
              <w:pStyle w:val="TableText0"/>
            </w:pPr>
            <w:r w:rsidRPr="00550E93">
              <w:t>PL, 36 months</w:t>
            </w:r>
          </w:p>
        </w:tc>
        <w:tc>
          <w:tcPr>
            <w:tcW w:w="629" w:type="pct"/>
            <w:vMerge/>
            <w:shd w:val="clear" w:color="auto" w:fill="auto"/>
            <w:vAlign w:val="center"/>
          </w:tcPr>
          <w:p w14:paraId="2AFDEA1A" w14:textId="77777777" w:rsidR="003F2743" w:rsidRPr="00550E93" w:rsidRDefault="003F2743" w:rsidP="000D7A6E">
            <w:pPr>
              <w:pStyle w:val="TableText0"/>
            </w:pPr>
          </w:p>
        </w:tc>
        <w:tc>
          <w:tcPr>
            <w:tcW w:w="1022" w:type="pct"/>
            <w:vMerge/>
            <w:shd w:val="clear" w:color="auto" w:fill="auto"/>
            <w:vAlign w:val="center"/>
          </w:tcPr>
          <w:p w14:paraId="6A0AA449" w14:textId="77777777" w:rsidR="003F2743" w:rsidRPr="00550E93" w:rsidRDefault="003F2743" w:rsidP="000D7A6E">
            <w:pPr>
              <w:pStyle w:val="TableText0"/>
            </w:pPr>
          </w:p>
        </w:tc>
        <w:tc>
          <w:tcPr>
            <w:tcW w:w="1022" w:type="pct"/>
            <w:vMerge/>
            <w:shd w:val="clear" w:color="auto" w:fill="auto"/>
            <w:vAlign w:val="center"/>
          </w:tcPr>
          <w:p w14:paraId="354D713E" w14:textId="77777777" w:rsidR="003F2743" w:rsidRPr="00550E93" w:rsidRDefault="003F2743" w:rsidP="000D7A6E">
            <w:pPr>
              <w:pStyle w:val="TableText0"/>
            </w:pPr>
          </w:p>
        </w:tc>
        <w:tc>
          <w:tcPr>
            <w:tcW w:w="758" w:type="pct"/>
            <w:vMerge/>
            <w:shd w:val="clear" w:color="auto" w:fill="auto"/>
            <w:vAlign w:val="center"/>
          </w:tcPr>
          <w:p w14:paraId="76FE2080" w14:textId="77777777" w:rsidR="003F2743" w:rsidRPr="00550E93" w:rsidRDefault="003F2743" w:rsidP="000D7A6E">
            <w:pPr>
              <w:pStyle w:val="TableText0"/>
            </w:pPr>
          </w:p>
        </w:tc>
      </w:tr>
      <w:tr w:rsidR="003F2743" w:rsidRPr="00CE0FAC" w14:paraId="654C3CAA" w14:textId="77777777" w:rsidTr="00E532A6">
        <w:trPr>
          <w:cantSplit/>
        </w:trPr>
        <w:tc>
          <w:tcPr>
            <w:tcW w:w="5000" w:type="pct"/>
            <w:gridSpan w:val="7"/>
            <w:shd w:val="clear" w:color="auto" w:fill="auto"/>
            <w:vAlign w:val="center"/>
          </w:tcPr>
          <w:p w14:paraId="275AE692" w14:textId="77777777" w:rsidR="003F2743" w:rsidRPr="00CE0FAC" w:rsidRDefault="003F2743" w:rsidP="000D7A6E">
            <w:pPr>
              <w:pStyle w:val="TableText0"/>
              <w:jc w:val="left"/>
              <w:rPr>
                <w:b/>
                <w:bCs w:val="0"/>
              </w:rPr>
            </w:pPr>
            <w:r w:rsidRPr="00CE0FAC">
              <w:rPr>
                <w:b/>
                <w:bCs w:val="0"/>
                <w:i/>
                <w:iCs/>
              </w:rPr>
              <w:t>Post-hoc</w:t>
            </w:r>
            <w:r w:rsidRPr="00CE0FAC">
              <w:rPr>
                <w:b/>
                <w:bCs w:val="0"/>
              </w:rPr>
              <w:t xml:space="preserve"> subgroup analysis: adults and children aged ≥ 8 years for females and ≥ 10 years for males</w:t>
            </w:r>
          </w:p>
        </w:tc>
      </w:tr>
      <w:tr w:rsidR="003F2743" w:rsidRPr="00550E93" w14:paraId="00DB8AC7" w14:textId="77777777" w:rsidTr="00E532A6">
        <w:trPr>
          <w:cantSplit/>
          <w:trHeight w:val="454"/>
        </w:trPr>
        <w:tc>
          <w:tcPr>
            <w:tcW w:w="390" w:type="pct"/>
            <w:shd w:val="clear" w:color="auto" w:fill="auto"/>
            <w:vAlign w:val="center"/>
          </w:tcPr>
          <w:p w14:paraId="38C0267E" w14:textId="77777777" w:rsidR="003F2743" w:rsidRPr="00550E93" w:rsidRDefault="003F2743" w:rsidP="000D7A6E">
            <w:pPr>
              <w:pStyle w:val="TableText0"/>
              <w:jc w:val="left"/>
            </w:pPr>
            <w:r w:rsidRPr="00550E93">
              <w:t>MOVE</w:t>
            </w:r>
          </w:p>
        </w:tc>
        <w:tc>
          <w:tcPr>
            <w:tcW w:w="315" w:type="pct"/>
            <w:shd w:val="clear" w:color="auto" w:fill="auto"/>
            <w:vAlign w:val="center"/>
          </w:tcPr>
          <w:p w14:paraId="3E91765B" w14:textId="77777777" w:rsidR="003F2743" w:rsidRPr="00550E93" w:rsidRDefault="003F2743" w:rsidP="000D7A6E">
            <w:pPr>
              <w:pStyle w:val="TableText0"/>
            </w:pPr>
            <w:r w:rsidRPr="00550E93">
              <w:t>77</w:t>
            </w:r>
          </w:p>
        </w:tc>
        <w:tc>
          <w:tcPr>
            <w:tcW w:w="864" w:type="pct"/>
            <w:shd w:val="clear" w:color="auto" w:fill="auto"/>
            <w:vAlign w:val="center"/>
          </w:tcPr>
          <w:p w14:paraId="6D765EF1" w14:textId="77777777" w:rsidR="003F2743" w:rsidRPr="00550E93" w:rsidRDefault="003F2743" w:rsidP="000D7A6E">
            <w:pPr>
              <w:pStyle w:val="TableText0"/>
            </w:pPr>
            <w:r w:rsidRPr="00550E93">
              <w:t>SAS, 18 months</w:t>
            </w:r>
          </w:p>
        </w:tc>
        <w:tc>
          <w:tcPr>
            <w:tcW w:w="629" w:type="pct"/>
            <w:vMerge w:val="restart"/>
            <w:shd w:val="clear" w:color="auto" w:fill="auto"/>
            <w:vAlign w:val="center"/>
          </w:tcPr>
          <w:p w14:paraId="7125343E" w14:textId="77777777" w:rsidR="003F2743" w:rsidRPr="00550E93" w:rsidRDefault="003F2743" w:rsidP="000D7A6E">
            <w:pPr>
              <w:pStyle w:val="TableText0"/>
            </w:pPr>
            <w:r w:rsidRPr="00550E93">
              <w:t>High</w:t>
            </w:r>
          </w:p>
        </w:tc>
        <w:tc>
          <w:tcPr>
            <w:tcW w:w="1022" w:type="pct"/>
            <w:vMerge w:val="restart"/>
            <w:shd w:val="clear" w:color="auto" w:fill="auto"/>
            <w:vAlign w:val="center"/>
          </w:tcPr>
          <w:p w14:paraId="3B520F8E" w14:textId="77777777" w:rsidR="003F2743" w:rsidRPr="00550E93" w:rsidRDefault="003F2743" w:rsidP="000D7A6E">
            <w:pPr>
              <w:pStyle w:val="TableText0"/>
            </w:pPr>
            <w:r w:rsidRPr="00550E93">
              <w:t>FOP patients -adults and children aged ≥ 8 years for females and ≥ 10 years for males</w:t>
            </w:r>
          </w:p>
        </w:tc>
        <w:tc>
          <w:tcPr>
            <w:tcW w:w="1022" w:type="pct"/>
            <w:vMerge w:val="restart"/>
            <w:shd w:val="clear" w:color="auto" w:fill="auto"/>
            <w:vAlign w:val="center"/>
          </w:tcPr>
          <w:p w14:paraId="562B9D1E" w14:textId="77777777" w:rsidR="003F2743" w:rsidRPr="00550E93" w:rsidRDefault="003F2743" w:rsidP="000D7A6E">
            <w:pPr>
              <w:pStyle w:val="TableText0"/>
            </w:pPr>
            <w:r w:rsidRPr="00550E93">
              <w:t>Annualised new HO</w:t>
            </w:r>
          </w:p>
        </w:tc>
        <w:tc>
          <w:tcPr>
            <w:tcW w:w="758" w:type="pct"/>
            <w:vMerge w:val="restart"/>
            <w:shd w:val="clear" w:color="auto" w:fill="auto"/>
            <w:vAlign w:val="center"/>
          </w:tcPr>
          <w:p w14:paraId="62375C44" w14:textId="77777777" w:rsidR="003F2743" w:rsidRPr="00550E93" w:rsidRDefault="003F2743" w:rsidP="000D7A6E">
            <w:pPr>
              <w:pStyle w:val="TableText0"/>
            </w:pPr>
            <w:r w:rsidRPr="00550E93">
              <w:t>Yes</w:t>
            </w:r>
          </w:p>
        </w:tc>
      </w:tr>
      <w:tr w:rsidR="003F2743" w:rsidRPr="00550E93" w14:paraId="12F25FDE" w14:textId="77777777" w:rsidTr="00E532A6">
        <w:trPr>
          <w:cantSplit/>
          <w:trHeight w:val="454"/>
        </w:trPr>
        <w:tc>
          <w:tcPr>
            <w:tcW w:w="390" w:type="pct"/>
            <w:shd w:val="clear" w:color="auto" w:fill="auto"/>
            <w:vAlign w:val="center"/>
          </w:tcPr>
          <w:p w14:paraId="0167A141" w14:textId="77777777" w:rsidR="003F2743" w:rsidRPr="00550E93" w:rsidRDefault="003F2743" w:rsidP="000D7A6E">
            <w:pPr>
              <w:pStyle w:val="TableText0"/>
              <w:jc w:val="left"/>
            </w:pPr>
            <w:r w:rsidRPr="00550E93">
              <w:t>NHS</w:t>
            </w:r>
          </w:p>
        </w:tc>
        <w:tc>
          <w:tcPr>
            <w:tcW w:w="315" w:type="pct"/>
            <w:shd w:val="clear" w:color="auto" w:fill="auto"/>
            <w:vAlign w:val="center"/>
          </w:tcPr>
          <w:p w14:paraId="7FA1ED7D" w14:textId="77777777" w:rsidR="003F2743" w:rsidRPr="00550E93" w:rsidRDefault="003F2743" w:rsidP="000D7A6E">
            <w:pPr>
              <w:pStyle w:val="TableText0"/>
            </w:pPr>
            <w:r w:rsidRPr="00550E93">
              <w:t>79</w:t>
            </w:r>
          </w:p>
        </w:tc>
        <w:tc>
          <w:tcPr>
            <w:tcW w:w="864" w:type="pct"/>
            <w:shd w:val="clear" w:color="auto" w:fill="auto"/>
            <w:vAlign w:val="center"/>
          </w:tcPr>
          <w:p w14:paraId="0220C691" w14:textId="77777777" w:rsidR="003F2743" w:rsidRPr="00550E93" w:rsidRDefault="003F2743" w:rsidP="000D7A6E">
            <w:pPr>
              <w:pStyle w:val="TableText0"/>
            </w:pPr>
            <w:r w:rsidRPr="00550E93">
              <w:t>PL, 36 months</w:t>
            </w:r>
          </w:p>
        </w:tc>
        <w:tc>
          <w:tcPr>
            <w:tcW w:w="629" w:type="pct"/>
            <w:vMerge/>
            <w:shd w:val="clear" w:color="auto" w:fill="auto"/>
            <w:vAlign w:val="center"/>
          </w:tcPr>
          <w:p w14:paraId="3E6E4DEA" w14:textId="77777777" w:rsidR="003F2743" w:rsidRPr="00550E93" w:rsidRDefault="003F2743" w:rsidP="000D7A6E">
            <w:pPr>
              <w:pStyle w:val="TableText0"/>
            </w:pPr>
          </w:p>
        </w:tc>
        <w:tc>
          <w:tcPr>
            <w:tcW w:w="1022" w:type="pct"/>
            <w:vMerge/>
            <w:shd w:val="clear" w:color="auto" w:fill="auto"/>
            <w:vAlign w:val="center"/>
          </w:tcPr>
          <w:p w14:paraId="28AFEE6A" w14:textId="77777777" w:rsidR="003F2743" w:rsidRPr="00550E93" w:rsidRDefault="003F2743" w:rsidP="000D7A6E">
            <w:pPr>
              <w:pStyle w:val="TableText0"/>
            </w:pPr>
          </w:p>
        </w:tc>
        <w:tc>
          <w:tcPr>
            <w:tcW w:w="1022" w:type="pct"/>
            <w:vMerge/>
            <w:shd w:val="clear" w:color="auto" w:fill="auto"/>
            <w:vAlign w:val="center"/>
          </w:tcPr>
          <w:p w14:paraId="005A3247" w14:textId="77777777" w:rsidR="003F2743" w:rsidRPr="00550E93" w:rsidRDefault="003F2743" w:rsidP="000D7A6E">
            <w:pPr>
              <w:pStyle w:val="TableText0"/>
            </w:pPr>
          </w:p>
        </w:tc>
        <w:tc>
          <w:tcPr>
            <w:tcW w:w="758" w:type="pct"/>
            <w:vMerge/>
            <w:shd w:val="clear" w:color="auto" w:fill="auto"/>
            <w:vAlign w:val="center"/>
          </w:tcPr>
          <w:p w14:paraId="1F477223" w14:textId="77777777" w:rsidR="003F2743" w:rsidRPr="00550E93" w:rsidRDefault="003F2743" w:rsidP="000D7A6E">
            <w:pPr>
              <w:pStyle w:val="TableText0"/>
            </w:pPr>
          </w:p>
        </w:tc>
      </w:tr>
    </w:tbl>
    <w:p w14:paraId="1FD9BC05" w14:textId="77777777" w:rsidR="00327838" w:rsidRPr="00BE5A28" w:rsidRDefault="00327838" w:rsidP="000D7A6E">
      <w:pPr>
        <w:pStyle w:val="FooterTableFigure"/>
        <w:keepNext/>
        <w:keepLines/>
      </w:pPr>
      <w:r w:rsidRPr="00BE5A28">
        <w:t>Source: pp68-130 of the submission</w:t>
      </w:r>
    </w:p>
    <w:p w14:paraId="7F0ED864" w14:textId="77777777" w:rsidR="00327838" w:rsidRPr="00BE5A28" w:rsidRDefault="00327838" w:rsidP="000D7A6E">
      <w:pPr>
        <w:pStyle w:val="FooterTableFigure"/>
        <w:keepNext/>
        <w:keepLines/>
      </w:pPr>
      <w:r w:rsidRPr="00BE5A28">
        <w:t>CAJIS = Cumulative Analogue Joint Involvement Scale for FOP; FOP = fibrodysplasia ossificans progressive; FOP-PFQ = Fibrodysplasia Ossificans Progressiva Physical Function Questionnaire; HO = heterotopic ossification; NHS = natural history study; PL = prospective longitudinal study; PROMIS = patient-reported outcomes measurement information system; SAS = single arm study;</w:t>
      </w:r>
    </w:p>
    <w:p w14:paraId="77906697" w14:textId="53F24123" w:rsidR="00327838" w:rsidRPr="00BE5A28" w:rsidRDefault="00327838" w:rsidP="000D7A6E">
      <w:pPr>
        <w:pStyle w:val="FooterTableFigure"/>
        <w:keepNext/>
        <w:keepLines/>
      </w:pPr>
      <w:r w:rsidRPr="00BE5A28">
        <w:rPr>
          <w:vertAlign w:val="superscript"/>
        </w:rPr>
        <w:t>a</w:t>
      </w:r>
      <w:r w:rsidR="008B7480">
        <w:rPr>
          <w:vertAlign w:val="superscript"/>
        </w:rPr>
        <w:t xml:space="preserve"> </w:t>
      </w:r>
      <w:r w:rsidRPr="00BE5A28">
        <w:t>107</w:t>
      </w:r>
      <w:r w:rsidR="009310EE">
        <w:t xml:space="preserve"> </w:t>
      </w:r>
      <w:r w:rsidRPr="00BE5A28">
        <w:t>patients were enrolled but only 97 were included in the full analysis set.</w:t>
      </w:r>
    </w:p>
    <w:p w14:paraId="79BCAF34" w14:textId="77777777" w:rsidR="00327838" w:rsidRDefault="00327838" w:rsidP="000D7A6E">
      <w:pPr>
        <w:pStyle w:val="FooterTableFigure"/>
        <w:keepNext/>
        <w:keepLines/>
        <w:rPr>
          <w:sz w:val="20"/>
        </w:rPr>
      </w:pPr>
      <w:r w:rsidRPr="00BE5A28">
        <w:rPr>
          <w:szCs w:val="18"/>
          <w:vertAlign w:val="superscript"/>
        </w:rPr>
        <w:t xml:space="preserve">b </w:t>
      </w:r>
      <w:r w:rsidRPr="00BE5A28">
        <w:rPr>
          <w:szCs w:val="18"/>
        </w:rPr>
        <w:t>114 were enrolled but only 101 were included in the full analysis set</w:t>
      </w:r>
      <w:r w:rsidRPr="00BE5A28">
        <w:rPr>
          <w:sz w:val="20"/>
        </w:rPr>
        <w:t>.</w:t>
      </w:r>
    </w:p>
    <w:p w14:paraId="1A97666E" w14:textId="764A3464" w:rsidR="00327838" w:rsidRPr="004F7EEE" w:rsidRDefault="00327838" w:rsidP="00327838">
      <w:pPr>
        <w:pStyle w:val="FooterTableFigure"/>
        <w:rPr>
          <w:szCs w:val="20"/>
        </w:rPr>
      </w:pPr>
      <w:r w:rsidRPr="004F7EEE">
        <w:rPr>
          <w:szCs w:val="20"/>
          <w:vertAlign w:val="superscript"/>
        </w:rPr>
        <w:t>c</w:t>
      </w:r>
      <w:r w:rsidR="008B7480" w:rsidRPr="004F7EEE">
        <w:rPr>
          <w:szCs w:val="20"/>
          <w:vertAlign w:val="superscript"/>
        </w:rPr>
        <w:t xml:space="preserve"> </w:t>
      </w:r>
      <w:r w:rsidRPr="004F7EEE">
        <w:rPr>
          <w:szCs w:val="20"/>
        </w:rPr>
        <w:t xml:space="preserve">The submission claimed that the duration of the trial was 24 months. However, the efficacy results were based on interim analysis 3 which had a maximum duration of 18 months. </w:t>
      </w:r>
    </w:p>
    <w:p w14:paraId="1136A032" w14:textId="3D967FB1" w:rsidR="00094D9A" w:rsidRPr="00CC0F14" w:rsidRDefault="00605C37" w:rsidP="00094D9A">
      <w:pPr>
        <w:pStyle w:val="3-BodyText"/>
        <w:rPr>
          <w:color w:val="000000" w:themeColor="text1"/>
        </w:rPr>
      </w:pPr>
      <w:r w:rsidRPr="00CC0F14">
        <w:rPr>
          <w:color w:val="000000" w:themeColor="text1"/>
        </w:rPr>
        <w:t xml:space="preserve">The submission described the comparison as ‘pre-specified.’ Although the comparison of new HO volume against data from the NHS, was pre-specified, it should be noted that the specific statistical analysis that was pre-specified did not meet the statistical threshold for superiority, and consequently, the claim is based on a different </w:t>
      </w:r>
      <w:r w:rsidRPr="002D7FBD">
        <w:rPr>
          <w:i/>
          <w:iCs/>
          <w:color w:val="000000" w:themeColor="text1"/>
        </w:rPr>
        <w:t>post-hoc</w:t>
      </w:r>
      <w:r w:rsidRPr="00CC0F14">
        <w:rPr>
          <w:color w:val="000000" w:themeColor="text1"/>
        </w:rPr>
        <w:t xml:space="preserve"> analysis of this outcome. </w:t>
      </w:r>
      <w:r w:rsidR="00094D9A" w:rsidRPr="00CC0F14">
        <w:rPr>
          <w:color w:val="000000" w:themeColor="text1"/>
        </w:rPr>
        <w:t xml:space="preserve">Details of the pre-specified and post-hoc HO analyses are </w:t>
      </w:r>
      <w:r w:rsidR="006C0435">
        <w:rPr>
          <w:color w:val="000000" w:themeColor="text1"/>
        </w:rPr>
        <w:t>discussed</w:t>
      </w:r>
      <w:r w:rsidR="006C0435" w:rsidRPr="00CC0F14">
        <w:rPr>
          <w:color w:val="000000" w:themeColor="text1"/>
        </w:rPr>
        <w:t xml:space="preserve"> </w:t>
      </w:r>
      <w:r w:rsidR="00094D9A" w:rsidRPr="00CC0F14">
        <w:rPr>
          <w:color w:val="000000" w:themeColor="text1"/>
        </w:rPr>
        <w:t xml:space="preserve">in paragraphs </w:t>
      </w:r>
      <w:r w:rsidR="00094D9A" w:rsidRPr="00CC0F14">
        <w:rPr>
          <w:color w:val="000000" w:themeColor="text1"/>
        </w:rPr>
        <w:fldChar w:fldCharType="begin" w:fldLock="1"/>
      </w:r>
      <w:r w:rsidR="00094D9A" w:rsidRPr="00CC0F14">
        <w:rPr>
          <w:color w:val="000000" w:themeColor="text1"/>
        </w:rPr>
        <w:instrText xml:space="preserve"> REF _Ref177139878 \r \h </w:instrText>
      </w:r>
      <w:r w:rsidR="00CC0F14">
        <w:rPr>
          <w:color w:val="000000" w:themeColor="text1"/>
        </w:rPr>
        <w:instrText xml:space="preserve"> \* MERGEFORMAT </w:instrText>
      </w:r>
      <w:r w:rsidR="00094D9A" w:rsidRPr="00CC0F14">
        <w:rPr>
          <w:color w:val="000000" w:themeColor="text1"/>
        </w:rPr>
      </w:r>
      <w:r w:rsidR="00094D9A" w:rsidRPr="00CC0F14">
        <w:rPr>
          <w:color w:val="000000" w:themeColor="text1"/>
        </w:rPr>
        <w:fldChar w:fldCharType="separate"/>
      </w:r>
      <w:r w:rsidR="0043347F">
        <w:rPr>
          <w:color w:val="000000" w:themeColor="text1"/>
        </w:rPr>
        <w:t>6.22</w:t>
      </w:r>
      <w:r w:rsidR="00094D9A" w:rsidRPr="00CC0F14">
        <w:rPr>
          <w:color w:val="000000" w:themeColor="text1"/>
        </w:rPr>
        <w:fldChar w:fldCharType="end"/>
      </w:r>
      <w:r w:rsidR="00094D9A" w:rsidRPr="00CC0F14">
        <w:rPr>
          <w:color w:val="000000" w:themeColor="text1"/>
        </w:rPr>
        <w:t xml:space="preserve">, </w:t>
      </w:r>
      <w:r w:rsidR="00094D9A" w:rsidRPr="00CC0F14">
        <w:rPr>
          <w:color w:val="000000" w:themeColor="text1"/>
        </w:rPr>
        <w:fldChar w:fldCharType="begin" w:fldLock="1"/>
      </w:r>
      <w:r w:rsidR="00094D9A" w:rsidRPr="00CC0F14">
        <w:rPr>
          <w:color w:val="000000" w:themeColor="text1"/>
        </w:rPr>
        <w:instrText xml:space="preserve"> REF _Ref177139884 \r \h </w:instrText>
      </w:r>
      <w:r w:rsidR="00CC0F14">
        <w:rPr>
          <w:color w:val="000000" w:themeColor="text1"/>
        </w:rPr>
        <w:instrText xml:space="preserve"> \* MERGEFORMAT </w:instrText>
      </w:r>
      <w:r w:rsidR="00094D9A" w:rsidRPr="00CC0F14">
        <w:rPr>
          <w:color w:val="000000" w:themeColor="text1"/>
        </w:rPr>
      </w:r>
      <w:r w:rsidR="00094D9A" w:rsidRPr="00CC0F14">
        <w:rPr>
          <w:color w:val="000000" w:themeColor="text1"/>
        </w:rPr>
        <w:fldChar w:fldCharType="separate"/>
      </w:r>
      <w:r w:rsidR="0043347F">
        <w:rPr>
          <w:color w:val="000000" w:themeColor="text1"/>
        </w:rPr>
        <w:t>6.24</w:t>
      </w:r>
      <w:r w:rsidR="00094D9A" w:rsidRPr="00CC0F14">
        <w:rPr>
          <w:color w:val="000000" w:themeColor="text1"/>
        </w:rPr>
        <w:fldChar w:fldCharType="end"/>
      </w:r>
      <w:r w:rsidR="00094D9A" w:rsidRPr="00CC0F14">
        <w:rPr>
          <w:color w:val="000000" w:themeColor="text1"/>
        </w:rPr>
        <w:t xml:space="preserve"> and </w:t>
      </w:r>
      <w:r w:rsidR="00094D9A" w:rsidRPr="00CC0F14">
        <w:rPr>
          <w:color w:val="000000" w:themeColor="text1"/>
        </w:rPr>
        <w:fldChar w:fldCharType="begin" w:fldLock="1"/>
      </w:r>
      <w:r w:rsidR="00094D9A" w:rsidRPr="00CC0F14">
        <w:rPr>
          <w:color w:val="000000" w:themeColor="text1"/>
        </w:rPr>
        <w:instrText xml:space="preserve"> REF _Ref177139888 \r \h </w:instrText>
      </w:r>
      <w:r w:rsidR="00CC0F14">
        <w:rPr>
          <w:color w:val="000000" w:themeColor="text1"/>
        </w:rPr>
        <w:instrText xml:space="preserve"> \* MERGEFORMAT </w:instrText>
      </w:r>
      <w:r w:rsidR="00094D9A" w:rsidRPr="00CC0F14">
        <w:rPr>
          <w:color w:val="000000" w:themeColor="text1"/>
        </w:rPr>
      </w:r>
      <w:r w:rsidR="00094D9A" w:rsidRPr="00CC0F14">
        <w:rPr>
          <w:color w:val="000000" w:themeColor="text1"/>
        </w:rPr>
        <w:fldChar w:fldCharType="separate"/>
      </w:r>
      <w:r w:rsidR="0043347F">
        <w:rPr>
          <w:color w:val="000000" w:themeColor="text1"/>
        </w:rPr>
        <w:t>6.25</w:t>
      </w:r>
      <w:r w:rsidR="00094D9A" w:rsidRPr="00CC0F14">
        <w:rPr>
          <w:color w:val="000000" w:themeColor="text1"/>
        </w:rPr>
        <w:fldChar w:fldCharType="end"/>
      </w:r>
      <w:r w:rsidR="00094D9A" w:rsidRPr="00CC0F14">
        <w:rPr>
          <w:color w:val="000000" w:themeColor="text1"/>
        </w:rPr>
        <w:t xml:space="preserve"> below.</w:t>
      </w:r>
    </w:p>
    <w:p w14:paraId="014F212D" w14:textId="77777777" w:rsidR="00A8784E" w:rsidRDefault="00A8784E" w:rsidP="00A8784E">
      <w:pPr>
        <w:pStyle w:val="3-BodyText"/>
      </w:pPr>
      <w:r w:rsidRPr="00BE5A28">
        <w:t>The nominated primary outcome in MOVE was annualised change in new HO volume as assessed by low-dose</w:t>
      </w:r>
      <w:r>
        <w:t xml:space="preserve"> whole body computed tomography</w:t>
      </w:r>
      <w:r w:rsidRPr="00BE5A28">
        <w:t xml:space="preserve"> </w:t>
      </w:r>
      <w:r>
        <w:t>(</w:t>
      </w:r>
      <w:r w:rsidRPr="00BE5A28">
        <w:t>WBCT</w:t>
      </w:r>
      <w:r>
        <w:t>)</w:t>
      </w:r>
      <w:r w:rsidRPr="00BE5A28">
        <w:t xml:space="preserve"> (excluding head).</w:t>
      </w:r>
    </w:p>
    <w:p w14:paraId="53B8739E" w14:textId="77777777" w:rsidR="00A8784E" w:rsidRDefault="00A8784E" w:rsidP="00A8784E">
      <w:pPr>
        <w:pStyle w:val="3-BodyText"/>
      </w:pPr>
      <w:r w:rsidRPr="00BE5A28">
        <w:t>Annualised change in new HO volume was defined as the sum of the increases in HO volume (mm</w:t>
      </w:r>
      <w:r w:rsidRPr="00605C37">
        <w:rPr>
          <w:vertAlign w:val="superscript"/>
        </w:rPr>
        <w:t>3</w:t>
      </w:r>
      <w:r w:rsidRPr="00BE5A28">
        <w:t xml:space="preserve">) per 12-month period across all body regions in which new HO occurred between WBCT scans. In MOVE, WBCT scans were performed at baseline and Months 6, 12, 18 and 24. In the NHS, WBCT scans were performed at baseline and Months 12, 24 and 36. Both studies also assessed WBCT at the time of early study discontinuation. </w:t>
      </w:r>
    </w:p>
    <w:p w14:paraId="2AFF0A1E" w14:textId="77777777" w:rsidR="002D7FBD" w:rsidRDefault="002D7FBD" w:rsidP="008F5EBA">
      <w:pPr>
        <w:pStyle w:val="4-SubsectionHeading"/>
      </w:pPr>
      <w:r>
        <w:t>Surrogate to final outcome (STFO) Framework for HO</w:t>
      </w:r>
    </w:p>
    <w:p w14:paraId="66385E0C" w14:textId="651E0EE7" w:rsidR="00A8784E" w:rsidRDefault="00A8784E" w:rsidP="00A8784E">
      <w:pPr>
        <w:pStyle w:val="3-BodyText"/>
      </w:pPr>
      <w:r w:rsidRPr="00BE5A28">
        <w:t xml:space="preserve">The submission argued that the effects of HO result in a shortened life-expectancy in patients with FOP; immobility and HO in the chest wall can interfere with cardiopulmonary function causing thoracic insufficiency syndrome, the most common cause of premature mortality in patients with FOP. </w:t>
      </w:r>
    </w:p>
    <w:p w14:paraId="1B7CDC03" w14:textId="77777777" w:rsidR="00A8784E" w:rsidRDefault="00A8784E" w:rsidP="00A8784E">
      <w:pPr>
        <w:pStyle w:val="3-BodyText"/>
      </w:pPr>
      <w:r w:rsidRPr="00BE5A28">
        <w:t xml:space="preserve">Whilst current SoC only manages symptoms of pain and inflammation, the goal of disease-modifying treatments such as </w:t>
      </w:r>
      <w:r>
        <w:t>palovarotene</w:t>
      </w:r>
      <w:r w:rsidRPr="00BE5A28">
        <w:t xml:space="preserve"> is to prevent HO formation allowing patients to maintain their mobility and independence for as long as possible.</w:t>
      </w:r>
    </w:p>
    <w:p w14:paraId="21A38802" w14:textId="51018B76" w:rsidR="00A8784E" w:rsidRPr="00BB7403" w:rsidRDefault="00A8784E" w:rsidP="00BB7403">
      <w:pPr>
        <w:pStyle w:val="3-BodyText"/>
      </w:pPr>
      <w:r w:rsidRPr="00BE5A28">
        <w:t xml:space="preserve">HO is consequently a surrogate endpoint. </w:t>
      </w:r>
      <w:r w:rsidR="00BB7403">
        <w:rPr>
          <w:rFonts w:cs="Calibri"/>
        </w:rPr>
        <w:t>T</w:t>
      </w:r>
      <w:r w:rsidR="00BB7403" w:rsidRPr="000C3E1B">
        <w:rPr>
          <w:rFonts w:cs="Calibri"/>
        </w:rPr>
        <w:t>he submission present</w:t>
      </w:r>
      <w:r w:rsidR="00BB7403">
        <w:rPr>
          <w:rFonts w:cs="Calibri"/>
        </w:rPr>
        <w:t>ed</w:t>
      </w:r>
      <w:r w:rsidR="00BB7403" w:rsidRPr="000C3E1B">
        <w:rPr>
          <w:rFonts w:cs="Calibri"/>
        </w:rPr>
        <w:t xml:space="preserve"> </w:t>
      </w:r>
      <w:r w:rsidR="00BB7403">
        <w:rPr>
          <w:rFonts w:cs="Calibri"/>
        </w:rPr>
        <w:t>an assessment</w:t>
      </w:r>
      <w:r w:rsidR="00BB7403" w:rsidRPr="000C3E1B">
        <w:rPr>
          <w:rFonts w:cs="Calibri"/>
        </w:rPr>
        <w:t xml:space="preserve"> for translating</w:t>
      </w:r>
      <w:r w:rsidR="00BB7403">
        <w:rPr>
          <w:rFonts w:cs="Calibri"/>
        </w:rPr>
        <w:t xml:space="preserve"> the</w:t>
      </w:r>
      <w:r w:rsidR="00BB7403" w:rsidRPr="000C3E1B">
        <w:rPr>
          <w:rFonts w:cs="Calibri"/>
        </w:rPr>
        <w:t xml:space="preserve"> comparative treatment effects </w:t>
      </w:r>
      <w:r w:rsidR="00BB7403">
        <w:rPr>
          <w:rFonts w:cs="Calibri"/>
        </w:rPr>
        <w:t xml:space="preserve">of palovarotene, </w:t>
      </w:r>
      <w:r w:rsidR="00BB7403" w:rsidRPr="000C3E1B">
        <w:rPr>
          <w:rFonts w:cs="Calibri"/>
        </w:rPr>
        <w:t xml:space="preserve">measured </w:t>
      </w:r>
      <w:r w:rsidR="00BB7403">
        <w:rPr>
          <w:rFonts w:cs="Calibri"/>
        </w:rPr>
        <w:t xml:space="preserve">by the surrogate outcome of </w:t>
      </w:r>
      <w:r w:rsidR="00BB7403" w:rsidRPr="000C3E1B">
        <w:rPr>
          <w:rFonts w:cs="Calibri"/>
        </w:rPr>
        <w:t>annualised new HO volume</w:t>
      </w:r>
      <w:r w:rsidR="00BB7403">
        <w:rPr>
          <w:rFonts w:cs="Calibri"/>
        </w:rPr>
        <w:t>,</w:t>
      </w:r>
      <w:r w:rsidR="00BB7403" w:rsidRPr="000C3E1B">
        <w:rPr>
          <w:rFonts w:cs="Calibri"/>
        </w:rPr>
        <w:t xml:space="preserve"> to </w:t>
      </w:r>
      <w:r w:rsidR="00BB7403">
        <w:rPr>
          <w:rFonts w:cs="Calibri"/>
        </w:rPr>
        <w:t xml:space="preserve">the target </w:t>
      </w:r>
      <w:r w:rsidR="00BB7403" w:rsidRPr="000C3E1B">
        <w:rPr>
          <w:rFonts w:cs="Calibri"/>
        </w:rPr>
        <w:t>clinical outcome</w:t>
      </w:r>
      <w:r w:rsidR="00BB7403">
        <w:rPr>
          <w:rFonts w:cs="Calibri"/>
        </w:rPr>
        <w:t xml:space="preserve"> (TCO) of overall survival</w:t>
      </w:r>
      <w:r w:rsidR="00BB7403" w:rsidRPr="000C3E1B">
        <w:rPr>
          <w:rFonts w:cs="Calibri"/>
        </w:rPr>
        <w:t xml:space="preserve"> </w:t>
      </w:r>
      <w:r w:rsidR="00BB7403">
        <w:rPr>
          <w:rFonts w:cs="Calibri"/>
        </w:rPr>
        <w:t xml:space="preserve">(OS) </w:t>
      </w:r>
      <w:r w:rsidR="00BB7403" w:rsidRPr="000C3E1B">
        <w:rPr>
          <w:rFonts w:cs="Calibri"/>
        </w:rPr>
        <w:t xml:space="preserve">using the </w:t>
      </w:r>
      <w:r w:rsidR="00BB7403">
        <w:rPr>
          <w:rFonts w:cs="Calibri"/>
        </w:rPr>
        <w:t>surrogate to final outcome (</w:t>
      </w:r>
      <w:r w:rsidR="00BB7403" w:rsidRPr="000C3E1B">
        <w:rPr>
          <w:rFonts w:cs="Calibri"/>
        </w:rPr>
        <w:t>STFO</w:t>
      </w:r>
      <w:r w:rsidR="00BB7403">
        <w:rPr>
          <w:rFonts w:cs="Calibri"/>
        </w:rPr>
        <w:t>)</w:t>
      </w:r>
      <w:r w:rsidR="00BB7403" w:rsidRPr="000C3E1B">
        <w:rPr>
          <w:rFonts w:cs="Calibri"/>
        </w:rPr>
        <w:t xml:space="preserve"> framework </w:t>
      </w:r>
      <w:r w:rsidR="00BB7403" w:rsidRPr="000C3E1B">
        <w:rPr>
          <w:rFonts w:cs="Calibri"/>
        </w:rPr>
        <w:lastRenderedPageBreak/>
        <w:t xml:space="preserve">(Appendix 5 of the PBAC Guidelines, v.5). </w:t>
      </w:r>
      <w:r w:rsidR="00BB7403" w:rsidRPr="00CC0F14">
        <w:rPr>
          <w:rFonts w:cs="Calibri"/>
        </w:rPr>
        <w:t>The submission did not consider other potential TCOs, such as improvement in quality of life or prevention or slowing of FOP</w:t>
      </w:r>
      <w:r w:rsidR="005D6917" w:rsidRPr="00CC0F14">
        <w:rPr>
          <w:rFonts w:cs="Calibri"/>
        </w:rPr>
        <w:t>.</w:t>
      </w:r>
    </w:p>
    <w:p w14:paraId="5ADBADD6" w14:textId="60E8D158" w:rsidR="00A8784E" w:rsidRPr="00A8784E" w:rsidRDefault="00A8784E" w:rsidP="00A8784E">
      <w:pPr>
        <w:pStyle w:val="3-BodyText"/>
        <w:rPr>
          <w:i/>
          <w:iCs/>
          <w:color w:val="000000" w:themeColor="text1"/>
        </w:rPr>
      </w:pPr>
      <w:bookmarkStart w:id="20" w:name="_Ref177140095"/>
      <w:r>
        <w:t>The submission presented evidence to support the following statements</w:t>
      </w:r>
      <w:r w:rsidRPr="00A8784E">
        <w:rPr>
          <w:rFonts w:cs="Calibri"/>
        </w:rPr>
        <w:t>:</w:t>
      </w:r>
      <w:bookmarkEnd w:id="20"/>
    </w:p>
    <w:p w14:paraId="38A8BE96" w14:textId="0EDEC3D3" w:rsidR="00A8784E" w:rsidRPr="00CC0F14" w:rsidRDefault="00A8784E" w:rsidP="00B46A90">
      <w:pPr>
        <w:pStyle w:val="ListParagraph"/>
        <w:numPr>
          <w:ilvl w:val="0"/>
          <w:numId w:val="16"/>
        </w:numPr>
        <w:ind w:left="1009" w:hanging="289"/>
        <w:jc w:val="both"/>
        <w:rPr>
          <w:rFonts w:cs="Calibri"/>
        </w:rPr>
      </w:pPr>
      <w:r w:rsidRPr="008957D2">
        <w:rPr>
          <w:rFonts w:cs="Calibri"/>
          <w:u w:val="single"/>
        </w:rPr>
        <w:t>Higher HO volume is associated with older age and a decline in physical functioning</w:t>
      </w:r>
      <w:r w:rsidR="008957D2" w:rsidRPr="008957D2">
        <w:rPr>
          <w:rFonts w:cs="Calibri"/>
          <w:u w:val="single"/>
        </w:rPr>
        <w:t xml:space="preserve">. </w:t>
      </w:r>
      <w:r w:rsidRPr="00CC0F14">
        <w:rPr>
          <w:rFonts w:cs="Calibri"/>
        </w:rPr>
        <w:t xml:space="preserve">Supported by data from NHS, Verburg-Baltussen 2023 and </w:t>
      </w:r>
      <w:proofErr w:type="spellStart"/>
      <w:r w:rsidRPr="00CC0F14">
        <w:rPr>
          <w:rFonts w:cs="Calibri"/>
        </w:rPr>
        <w:t>Pignolo</w:t>
      </w:r>
      <w:proofErr w:type="spellEnd"/>
      <w:r w:rsidRPr="00CC0F14">
        <w:rPr>
          <w:rFonts w:cs="Calibri"/>
        </w:rPr>
        <w:t xml:space="preserve"> 2023b, but the </w:t>
      </w:r>
      <w:r w:rsidR="008957D2" w:rsidRPr="00857F25">
        <w:rPr>
          <w:rFonts w:cs="Calibri"/>
        </w:rPr>
        <w:t>ESC agreed with the commentary that the</w:t>
      </w:r>
      <w:r w:rsidR="008957D2">
        <w:rPr>
          <w:rFonts w:cs="Calibri"/>
        </w:rPr>
        <w:t xml:space="preserve"> </w:t>
      </w:r>
      <w:r w:rsidRPr="00CC0F14">
        <w:rPr>
          <w:rFonts w:cs="Calibri"/>
        </w:rPr>
        <w:t>assumed link between HO volume and an excess mortality was not adequately supported as age was a key confounder.</w:t>
      </w:r>
    </w:p>
    <w:p w14:paraId="3CA46426" w14:textId="5FACC862" w:rsidR="00A8784E" w:rsidRPr="00CC0F14" w:rsidRDefault="00A8784E" w:rsidP="00B46A90">
      <w:pPr>
        <w:pStyle w:val="ListParagraph"/>
        <w:numPr>
          <w:ilvl w:val="0"/>
          <w:numId w:val="16"/>
        </w:numPr>
        <w:ind w:left="1009" w:hanging="289"/>
        <w:jc w:val="both"/>
        <w:rPr>
          <w:rFonts w:cs="Calibri"/>
        </w:rPr>
      </w:pPr>
      <w:r w:rsidRPr="008957D2">
        <w:rPr>
          <w:rFonts w:cs="Calibri"/>
          <w:u w:val="single"/>
        </w:rPr>
        <w:t>Patients with FOP have a significantly shortened lifespan</w:t>
      </w:r>
      <w:r w:rsidRPr="000C3E1B">
        <w:rPr>
          <w:rFonts w:cs="Calibri"/>
        </w:rPr>
        <w:t xml:space="preserve"> with </w:t>
      </w:r>
      <w:r w:rsidRPr="008957D2">
        <w:rPr>
          <w:rFonts w:cs="Calibri"/>
        </w:rPr>
        <w:t>[estimates of]</w:t>
      </w:r>
      <w:r w:rsidRPr="000C3E1B">
        <w:rPr>
          <w:rFonts w:cs="Calibri"/>
        </w:rPr>
        <w:t xml:space="preserve"> a median life expectancy ranging from 44 years (</w:t>
      </w:r>
      <w:proofErr w:type="spellStart"/>
      <w:r w:rsidRPr="000C3E1B">
        <w:rPr>
          <w:rFonts w:cs="Calibri"/>
        </w:rPr>
        <w:t>Liljesthröm</w:t>
      </w:r>
      <w:proofErr w:type="spellEnd"/>
      <w:r w:rsidRPr="000C3E1B">
        <w:rPr>
          <w:rFonts w:cs="Calibri"/>
        </w:rPr>
        <w:t xml:space="preserve"> and Betsy, 2016) to 56</w:t>
      </w:r>
      <w:r w:rsidR="005654DF">
        <w:rPr>
          <w:rFonts w:cs="Calibri"/>
        </w:rPr>
        <w:t> </w:t>
      </w:r>
      <w:r w:rsidRPr="000C3E1B">
        <w:rPr>
          <w:rFonts w:cs="Calibri"/>
        </w:rPr>
        <w:t xml:space="preserve">years (Kaplan 2010). </w:t>
      </w:r>
      <w:r w:rsidRPr="00CC0F14">
        <w:rPr>
          <w:rFonts w:cs="Calibri"/>
        </w:rPr>
        <w:t xml:space="preserve">Although a shortened lifespan was demonstrated, there is uncertainty about the actual life expectancy in the FOP population. </w:t>
      </w:r>
    </w:p>
    <w:p w14:paraId="5DAC607F" w14:textId="6675550A" w:rsidR="00A8784E" w:rsidRPr="00CC0F14" w:rsidRDefault="00A8784E" w:rsidP="00B46A90">
      <w:pPr>
        <w:pStyle w:val="ListParagraph"/>
        <w:numPr>
          <w:ilvl w:val="0"/>
          <w:numId w:val="16"/>
        </w:numPr>
        <w:ind w:left="1009" w:hanging="289"/>
        <w:jc w:val="both"/>
        <w:rPr>
          <w:rFonts w:cs="Calibri"/>
        </w:rPr>
      </w:pPr>
      <w:r w:rsidRPr="008957D2">
        <w:rPr>
          <w:rFonts w:cs="Calibri"/>
          <w:u w:val="single"/>
        </w:rPr>
        <w:t>Severe physical impairments associated with higher HO volume are common causes of death in FOP</w:t>
      </w:r>
      <w:r w:rsidRPr="000C3E1B">
        <w:rPr>
          <w:rFonts w:cs="Calibri"/>
        </w:rPr>
        <w:t xml:space="preserve">. </w:t>
      </w:r>
      <w:r w:rsidRPr="00CC0F14">
        <w:rPr>
          <w:rFonts w:cs="Calibri"/>
        </w:rPr>
        <w:t xml:space="preserve">Statistically significant correlation between measures of physical functioning and HO volume was established in the NHS, Verburg-Baltussen 2023 and </w:t>
      </w:r>
      <w:proofErr w:type="spellStart"/>
      <w:r w:rsidRPr="00CC0F14">
        <w:rPr>
          <w:rFonts w:cs="Calibri"/>
        </w:rPr>
        <w:t>Pignolo</w:t>
      </w:r>
      <w:proofErr w:type="spellEnd"/>
      <w:r w:rsidRPr="00CC0F14">
        <w:rPr>
          <w:rFonts w:cs="Calibri"/>
        </w:rPr>
        <w:t xml:space="preserve"> 2023b. However, the evidence linking HO of particular joints to a particular cause of death (either </w:t>
      </w:r>
      <w:r w:rsidR="007E14D7" w:rsidRPr="00CC0F14">
        <w:rPr>
          <w:rFonts w:cs="Calibri"/>
        </w:rPr>
        <w:t>thoracic insufficiency syndrome [</w:t>
      </w:r>
      <w:r w:rsidRPr="00CC0F14">
        <w:rPr>
          <w:rFonts w:cs="Calibri"/>
        </w:rPr>
        <w:t>TIS</w:t>
      </w:r>
      <w:r w:rsidR="007E14D7" w:rsidRPr="00CC0F14">
        <w:rPr>
          <w:rFonts w:cs="Calibri"/>
        </w:rPr>
        <w:t>]</w:t>
      </w:r>
      <w:r w:rsidRPr="00CC0F14">
        <w:rPr>
          <w:rFonts w:cs="Calibri"/>
        </w:rPr>
        <w:t xml:space="preserve">-related complications or a fatal fall, two of the three most frequently observed causes of death in FOP patients according to Kaplan 2010) is limited to four autopsy reports (Connor 2014, Wentworth 2018, </w:t>
      </w:r>
      <w:proofErr w:type="spellStart"/>
      <w:r w:rsidRPr="00CC0F14">
        <w:rPr>
          <w:rFonts w:cs="Calibri"/>
        </w:rPr>
        <w:t>Bolcato</w:t>
      </w:r>
      <w:proofErr w:type="spellEnd"/>
      <w:r w:rsidRPr="00CC0F14">
        <w:rPr>
          <w:rFonts w:cs="Calibri"/>
        </w:rPr>
        <w:t xml:space="preserve"> 2021) and the recorded causes of death of five participants in LUMINA-1 trial (Di Rocco 2023). There are also theories that the increased risk of death in FOP was related to immune regulation and not just HO (</w:t>
      </w:r>
      <w:proofErr w:type="spellStart"/>
      <w:r w:rsidRPr="00CC0F14">
        <w:rPr>
          <w:rFonts w:cs="Calibri"/>
        </w:rPr>
        <w:t>Bolcato</w:t>
      </w:r>
      <w:proofErr w:type="spellEnd"/>
      <w:r w:rsidRPr="00CC0F14">
        <w:rPr>
          <w:rFonts w:cs="Calibri"/>
        </w:rPr>
        <w:t xml:space="preserve"> 2021).</w:t>
      </w:r>
    </w:p>
    <w:p w14:paraId="1B9FA332" w14:textId="17F35AC1" w:rsidR="00A8784E" w:rsidRPr="00CC0F14" w:rsidRDefault="00A8784E" w:rsidP="00A8784E">
      <w:pPr>
        <w:pStyle w:val="3-BodyText"/>
        <w:rPr>
          <w:color w:val="000000" w:themeColor="text1"/>
        </w:rPr>
      </w:pPr>
      <w:r w:rsidRPr="00CC0F14">
        <w:t xml:space="preserve">Overall, </w:t>
      </w:r>
      <w:r w:rsidR="008957D2" w:rsidRPr="00E21EB5">
        <w:t>the ESC agreed with the commentary that</w:t>
      </w:r>
      <w:r w:rsidR="008957D2">
        <w:t xml:space="preserve"> </w:t>
      </w:r>
      <w:r w:rsidRPr="00CC0F14">
        <w:t>while it is biologically plausible that reduction in new HO could lead to better survival outcomes and better quality of life (QoL) outcomes, the submission has not adequately demonstrated the magnitude of benefit in clinical outcomes gained by improvements in HO outcomes.</w:t>
      </w:r>
    </w:p>
    <w:p w14:paraId="0D551813" w14:textId="77777777" w:rsidR="00A8784E" w:rsidRPr="00CC0F14" w:rsidRDefault="00A8784E" w:rsidP="00A8784E">
      <w:pPr>
        <w:pStyle w:val="3-BodyText"/>
      </w:pPr>
      <w:r w:rsidRPr="00CC0F14">
        <w:t>During the evaluation, it was noted that the Canadian Agency for Drugs and Technology in Health (CADTH) had considered palovarotene for FOP. With regard to HO, the CADTH clinical experts:</w:t>
      </w:r>
    </w:p>
    <w:p w14:paraId="1489443B" w14:textId="0973A567" w:rsidR="00A8784E" w:rsidRPr="00CC0F14" w:rsidRDefault="00A8784E" w:rsidP="00B46A90">
      <w:pPr>
        <w:pStyle w:val="3-BodyText"/>
        <w:numPr>
          <w:ilvl w:val="1"/>
          <w:numId w:val="15"/>
        </w:numPr>
        <w:ind w:left="993" w:hanging="284"/>
      </w:pPr>
      <w:r w:rsidRPr="00CC0F14">
        <w:t xml:space="preserve">“[A]greed that while HO volume is a good outcome for proof of concept, clinically, overall HO volume alone is not relevant. The clinical experts noted that relevant clinical outcomes for this patient population are related to </w:t>
      </w:r>
      <w:proofErr w:type="spellStart"/>
      <w:r w:rsidRPr="00CC0F14">
        <w:t>HRQoL</w:t>
      </w:r>
      <w:proofErr w:type="spellEnd"/>
      <w:r w:rsidRPr="00CC0F14">
        <w:t xml:space="preserve">, physical function, </w:t>
      </w:r>
      <w:r w:rsidR="00110EAE">
        <w:t>[range of motion]</w:t>
      </w:r>
      <w:r w:rsidRPr="00CC0F14">
        <w:t>, and frequency of flare-ups.” (p90).</w:t>
      </w:r>
    </w:p>
    <w:p w14:paraId="109E54DD" w14:textId="7C0F69A0" w:rsidR="00D41707" w:rsidRPr="00CC0F14" w:rsidRDefault="00A8784E" w:rsidP="00B46A90">
      <w:pPr>
        <w:pStyle w:val="3-BodyText"/>
        <w:numPr>
          <w:ilvl w:val="1"/>
          <w:numId w:val="15"/>
        </w:numPr>
        <w:ind w:left="993" w:hanging="284"/>
      </w:pPr>
      <w:r w:rsidRPr="00CC0F14">
        <w:t xml:space="preserve">Noted that location of HO (the functional area affected) may be more important than total HO for some patients. </w:t>
      </w:r>
      <w:r w:rsidR="00110EAE">
        <w:t>W</w:t>
      </w:r>
      <w:r w:rsidR="00D41707" w:rsidRPr="00CC0F14">
        <w:t>hile cross-sectional studies suggest a modest correlation between overall HO and the clinical end points of CAJIS and FOP-PFQ, it is uncertain if overall HO volume is a definitive surrogate for disease progression because the location of the HO is an important consideration when evaluating the impact of changes in HO volume on functional outcomes (p98)</w:t>
      </w:r>
      <w:r w:rsidR="008957D2">
        <w:t>.</w:t>
      </w:r>
    </w:p>
    <w:p w14:paraId="2C8F0E30" w14:textId="178F986D" w:rsidR="002E7A26" w:rsidRDefault="00A8784E" w:rsidP="00B46A90">
      <w:pPr>
        <w:pStyle w:val="3-BodyText"/>
        <w:numPr>
          <w:ilvl w:val="1"/>
          <w:numId w:val="15"/>
        </w:numPr>
        <w:ind w:left="993" w:hanging="284"/>
      </w:pPr>
      <w:r w:rsidRPr="00CC0F14">
        <w:lastRenderedPageBreak/>
        <w:t xml:space="preserve">Concluded that, “The clinical relevance of the results is unclear because HO volume is neither a patient-centred outcome nor used in clinical practice, and there are no available MID [minimally important difference] estimates. No reductions in the number of reported flare-ups, [range of motion], physical function, or </w:t>
      </w:r>
      <w:proofErr w:type="spellStart"/>
      <w:r w:rsidRPr="00CC0F14">
        <w:t>HRQoL</w:t>
      </w:r>
      <w:proofErr w:type="spellEnd"/>
      <w:r w:rsidRPr="00CC0F14">
        <w:t xml:space="preserve"> [health-related quality of life] were observed, and clinically important outcomes, such as respiratory function (including the need for ventilation and survival) were not assessed in the MOVE trial.” (p100).</w:t>
      </w:r>
    </w:p>
    <w:p w14:paraId="4FB0240E" w14:textId="4E9047F8" w:rsidR="00544827" w:rsidRPr="00CC0F14" w:rsidRDefault="00544827" w:rsidP="00544827">
      <w:pPr>
        <w:pStyle w:val="3-BodyText"/>
      </w:pPr>
      <w:r>
        <w:t>The pre-PBAC response noted that t</w:t>
      </w:r>
      <w:r w:rsidRPr="00F639F1">
        <w:t>he standard framework for health technology assessment relies on minimum clinically important differences (MCIDs)</w:t>
      </w:r>
      <w:r>
        <w:t>. This approach</w:t>
      </w:r>
      <w:r w:rsidRPr="00F639F1">
        <w:t xml:space="preserve"> fails to capture the impact a small amount of new HO</w:t>
      </w:r>
      <w:r>
        <w:t xml:space="preserve"> can have</w:t>
      </w:r>
      <w:r w:rsidRPr="00F639F1">
        <w:t xml:space="preserve"> in a critical location </w:t>
      </w:r>
      <w:r>
        <w:t xml:space="preserve">(e.g., thorax, jaw or hip). In these critical locations a small amount of HO can lead to </w:t>
      </w:r>
      <w:r w:rsidRPr="00F639F1">
        <w:t>immediate</w:t>
      </w:r>
      <w:r>
        <w:t>ly</w:t>
      </w:r>
      <w:r w:rsidRPr="00F639F1">
        <w:t xml:space="preserve"> debilitating, lifelong and life limiting impacts on a patient</w:t>
      </w:r>
      <w:r w:rsidRPr="00F639F1">
        <w:rPr>
          <w:rFonts w:eastAsia="Calibri" w:cs="Times New Roman"/>
        </w:rPr>
        <w:t>.</w:t>
      </w:r>
      <w:r>
        <w:rPr>
          <w:rFonts w:eastAsia="Calibri" w:cs="Times New Roman"/>
        </w:rPr>
        <w:t xml:space="preserve"> The PBAC </w:t>
      </w:r>
      <w:r w:rsidR="00D93944">
        <w:rPr>
          <w:rFonts w:eastAsia="Calibri" w:cs="Times New Roman"/>
        </w:rPr>
        <w:t xml:space="preserve">noted </w:t>
      </w:r>
      <w:r>
        <w:rPr>
          <w:rFonts w:eastAsia="Calibri" w:cs="Times New Roman"/>
        </w:rPr>
        <w:t xml:space="preserve">this was consistent with input from </w:t>
      </w:r>
      <w:r w:rsidR="00D93944">
        <w:rPr>
          <w:rFonts w:eastAsia="Calibri" w:cs="Times New Roman"/>
        </w:rPr>
        <w:t xml:space="preserve">the sponsor hearing and </w:t>
      </w:r>
      <w:r>
        <w:rPr>
          <w:rFonts w:eastAsia="Calibri" w:cs="Times New Roman"/>
        </w:rPr>
        <w:t>consumers regarding FOP progression.</w:t>
      </w:r>
    </w:p>
    <w:p w14:paraId="4A4FE085" w14:textId="1C5613CC" w:rsidR="00B60939" w:rsidRPr="0098262F" w:rsidRDefault="00B60939" w:rsidP="00EC5836">
      <w:pPr>
        <w:pStyle w:val="4-SubsectionHeading"/>
      </w:pPr>
      <w:bookmarkStart w:id="21" w:name="_Toc22897641"/>
      <w:bookmarkStart w:id="22" w:name="_Toc177559111"/>
      <w:r w:rsidRPr="0098262F">
        <w:t>Comparative effectiveness</w:t>
      </w:r>
      <w:bookmarkEnd w:id="21"/>
      <w:bookmarkEnd w:id="22"/>
    </w:p>
    <w:bookmarkStart w:id="23" w:name="_Hlk180394385"/>
    <w:p w14:paraId="4C4A1735" w14:textId="5683ED4F" w:rsidR="00327838" w:rsidRPr="00346563" w:rsidRDefault="00DF5891" w:rsidP="00327838">
      <w:pPr>
        <w:pStyle w:val="3-BodyText"/>
        <w:rPr>
          <w:i/>
          <w:iCs/>
          <w:color w:val="0066FF"/>
        </w:rPr>
      </w:pPr>
      <w:r>
        <w:fldChar w:fldCharType="begin" w:fldLock="1"/>
      </w:r>
      <w:r>
        <w:instrText xml:space="preserve"> REF _Ref177437844 \h </w:instrText>
      </w:r>
      <w:r>
        <w:fldChar w:fldCharType="separate"/>
      </w:r>
      <w:r w:rsidR="0043347F">
        <w:t xml:space="preserve">Figure </w:t>
      </w:r>
      <w:r w:rsidR="0043347F">
        <w:rPr>
          <w:noProof/>
        </w:rPr>
        <w:t>1</w:t>
      </w:r>
      <w:r>
        <w:fldChar w:fldCharType="end"/>
      </w:r>
      <w:bookmarkStart w:id="24" w:name="_Ref177139878"/>
      <w:r w:rsidR="005A23B0">
        <w:t xml:space="preserve"> </w:t>
      </w:r>
      <w:r w:rsidR="00327838" w:rsidRPr="00BE5A28">
        <w:t>presents the results of</w:t>
      </w:r>
      <w:r w:rsidR="00F6127F">
        <w:t xml:space="preserve"> </w:t>
      </w:r>
      <w:r w:rsidR="00F6127F" w:rsidRPr="00550E93">
        <w:t xml:space="preserve">the pre-specified analysis (i.e. </w:t>
      </w:r>
      <w:r w:rsidR="004F7EEE">
        <w:t>weighted linear mixed effects</w:t>
      </w:r>
      <w:r w:rsidR="004F7EEE" w:rsidRPr="00BE5A28">
        <w:t xml:space="preserve"> </w:t>
      </w:r>
      <w:r w:rsidR="004F7EEE">
        <w:t>(</w:t>
      </w:r>
      <w:proofErr w:type="spellStart"/>
      <w:r w:rsidR="004F7EEE" w:rsidRPr="00BE5A28">
        <w:t>wLME</w:t>
      </w:r>
      <w:proofErr w:type="spellEnd"/>
      <w:r w:rsidR="004F7EEE">
        <w:t>)</w:t>
      </w:r>
      <w:r w:rsidR="004F7EEE" w:rsidRPr="00BE5A28">
        <w:t xml:space="preserve"> </w:t>
      </w:r>
      <w:r w:rsidR="00F6127F" w:rsidRPr="00550E93">
        <w:t>model using square-</w:t>
      </w:r>
      <w:proofErr w:type="spellStart"/>
      <w:r w:rsidR="00F6127F" w:rsidRPr="00550E93">
        <w:t>root</w:t>
      </w:r>
      <w:proofErr w:type="spellEnd"/>
      <w:r w:rsidR="00F6127F" w:rsidRPr="00550E93">
        <w:t xml:space="preserve"> transformed values and negative values set to zero) of annualised HO in MOVE compared to the NHS in the matched population. There was no significant difference in the square-</w:t>
      </w:r>
      <w:proofErr w:type="spellStart"/>
      <w:r w:rsidR="00F6127F" w:rsidRPr="00550E93">
        <w:t>root</w:t>
      </w:r>
      <w:proofErr w:type="spellEnd"/>
      <w:r w:rsidR="00F6127F" w:rsidRPr="00550E93">
        <w:t xml:space="preserve"> transformed mean volume of annualised new HO in palovarotene-treated versus untreated patients (140.2</w:t>
      </w:r>
      <w:r w:rsidR="00D11687">
        <w:t> </w:t>
      </w:r>
      <w:r w:rsidR="00F6127F" w:rsidRPr="00550E93">
        <w:t>mm</w:t>
      </w:r>
      <w:r w:rsidR="00F6127F" w:rsidRPr="00D11687">
        <w:rPr>
          <w:vertAlign w:val="superscript"/>
        </w:rPr>
        <w:t>3</w:t>
      </w:r>
      <w:r w:rsidR="00F6127F" w:rsidRPr="00550E93">
        <w:t xml:space="preserve"> versus 149.8 mm</w:t>
      </w:r>
      <w:r w:rsidR="00F6127F" w:rsidRPr="004F7EEE">
        <w:rPr>
          <w:vertAlign w:val="superscript"/>
        </w:rPr>
        <w:t>3</w:t>
      </w:r>
      <w:r w:rsidR="00F6127F" w:rsidRPr="00550E93">
        <w:t>; probability of any reduction in new HO: 65.4%) when setting body region negative HO volumes to zero</w:t>
      </w:r>
      <w:r w:rsidR="00F6127F">
        <w:t>.</w:t>
      </w:r>
      <w:bookmarkEnd w:id="24"/>
      <w:r w:rsidR="00346563" w:rsidRPr="00E21EB5">
        <w:t xml:space="preserve"> </w:t>
      </w:r>
    </w:p>
    <w:p w14:paraId="04B0BBDB" w14:textId="3CC0E544" w:rsidR="00AC7B88" w:rsidRPr="00AC7B88" w:rsidRDefault="00AC7B88" w:rsidP="00AC7B88">
      <w:pPr>
        <w:pStyle w:val="TableFigureHeading"/>
      </w:pPr>
      <w:bookmarkStart w:id="25" w:name="_Ref177437844"/>
      <w:bookmarkEnd w:id="23"/>
      <w:r>
        <w:t xml:space="preserve">Figure </w:t>
      </w:r>
      <w:fldSimple w:instr=" SEQ Figure \* MERGEFORMAT " w:fldLock="1">
        <w:r w:rsidR="0043347F">
          <w:rPr>
            <w:noProof/>
          </w:rPr>
          <w:t>1</w:t>
        </w:r>
      </w:fldSimple>
      <w:bookmarkEnd w:id="25"/>
      <w:r>
        <w:t xml:space="preserve">: </w:t>
      </w:r>
      <w:r w:rsidRPr="00BE5A28">
        <w:t xml:space="preserve">Prespecified primary analysis for </w:t>
      </w:r>
      <w:r w:rsidR="00C40E8E">
        <w:t>palovarotene</w:t>
      </w:r>
      <w:r w:rsidRPr="00BE5A28">
        <w:t>-treated (MOVE) versus untreated (NHS) patients at IA3: Bayesian</w:t>
      </w:r>
      <w:r>
        <w:t xml:space="preserve"> </w:t>
      </w:r>
      <w:r w:rsidRPr="00BE5A28">
        <w:t>model using square-</w:t>
      </w:r>
      <w:proofErr w:type="spellStart"/>
      <w:r w:rsidRPr="00BE5A28">
        <w:t>root</w:t>
      </w:r>
      <w:proofErr w:type="spellEnd"/>
      <w:r w:rsidRPr="00BE5A28">
        <w:t xml:space="preserve"> transformed values and negative values set to zero by body region (Principal FAS)</w:t>
      </w:r>
    </w:p>
    <w:p w14:paraId="51693394" w14:textId="77777777" w:rsidR="00327838" w:rsidRPr="006B5E49" w:rsidRDefault="00327838" w:rsidP="00327838">
      <w:r w:rsidRPr="006B5E49">
        <w:rPr>
          <w:noProof/>
        </w:rPr>
        <w:drawing>
          <wp:inline distT="0" distB="0" distL="0" distR="0" wp14:anchorId="6A6E1E91" wp14:editId="319E1D03">
            <wp:extent cx="5099050" cy="2766321"/>
            <wp:effectExtent l="0" t="0" r="6350" b="0"/>
            <wp:docPr id="1069154451" name="Picture 1" descr="A diagram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54451" name="Picture 1" descr="A diagram of a normal distribution&#10;&#10;Description automatically generated"/>
                    <pic:cNvPicPr/>
                  </pic:nvPicPr>
                  <pic:blipFill>
                    <a:blip r:embed="rId8"/>
                    <a:stretch>
                      <a:fillRect/>
                    </a:stretch>
                  </pic:blipFill>
                  <pic:spPr>
                    <a:xfrm>
                      <a:off x="0" y="0"/>
                      <a:ext cx="5104936" cy="2769514"/>
                    </a:xfrm>
                    <a:prstGeom prst="rect">
                      <a:avLst/>
                    </a:prstGeom>
                  </pic:spPr>
                </pic:pic>
              </a:graphicData>
            </a:graphic>
          </wp:inline>
        </w:drawing>
      </w:r>
    </w:p>
    <w:p w14:paraId="35A9B36B" w14:textId="7F0BCD5C" w:rsidR="00327838" w:rsidRPr="00327838" w:rsidRDefault="00327838" w:rsidP="007913E5">
      <w:pPr>
        <w:pStyle w:val="TableFigureFooter"/>
      </w:pPr>
      <w:r w:rsidRPr="00BE5A28">
        <w:t>Source: Table 2.5-2, p108 of the submission.</w:t>
      </w:r>
    </w:p>
    <w:p w14:paraId="1342D8D0" w14:textId="57C8C81F" w:rsidR="00327838" w:rsidRPr="00CC0F14" w:rsidRDefault="00327838" w:rsidP="00327838">
      <w:pPr>
        <w:pStyle w:val="3-BodyText"/>
      </w:pPr>
      <w:r w:rsidRPr="00CC0F14">
        <w:lastRenderedPageBreak/>
        <w:t xml:space="preserve">One of the submission’s identified </w:t>
      </w:r>
      <w:r w:rsidR="005A23B0" w:rsidRPr="00CC0F14">
        <w:t>sources</w:t>
      </w:r>
      <w:r w:rsidRPr="00CC0F14">
        <w:t xml:space="preserve"> of a minimum clinically important difference for HO, </w:t>
      </w:r>
      <w:proofErr w:type="spellStart"/>
      <w:r w:rsidRPr="00CC0F14">
        <w:t>Smilde</w:t>
      </w:r>
      <w:proofErr w:type="spellEnd"/>
      <w:r w:rsidRPr="00CC0F14">
        <w:t xml:space="preserve"> 2022, considered a reduction of 50% to be meaningful</w:t>
      </w:r>
      <w:r w:rsidR="00592936" w:rsidRPr="00CC0F14">
        <w:t>;</w:t>
      </w:r>
      <w:r w:rsidRPr="00CC0F14">
        <w:t xml:space="preserve"> it was unclear what clinical importance a reduction of 30% would have.</w:t>
      </w:r>
    </w:p>
    <w:p w14:paraId="1D161D35" w14:textId="30E14516" w:rsidR="00094D9A" w:rsidRPr="00CC0F14" w:rsidRDefault="00094D9A" w:rsidP="00094D9A">
      <w:pPr>
        <w:pStyle w:val="3-BodyText"/>
        <w:rPr>
          <w:color w:val="000000" w:themeColor="text1"/>
        </w:rPr>
      </w:pPr>
      <w:bookmarkStart w:id="26" w:name="_Ref177139884"/>
      <w:r w:rsidRPr="00CC0F14">
        <w:t>During an advisory committee meeting, the FDA (palovarotene advisory committee meeting 28 June 2023)</w:t>
      </w:r>
      <w:r w:rsidRPr="00CC0F14">
        <w:rPr>
          <w:rStyle w:val="FootnoteReference"/>
        </w:rPr>
        <w:footnoteReference w:id="3"/>
      </w:r>
      <w:r w:rsidR="008957D2">
        <w:t xml:space="preserve"> </w:t>
      </w:r>
      <w:r w:rsidRPr="00CC0F14">
        <w:t>had noted that in the pre-specified analysis, the rate of growth in HO volume was estimated based on the square root transformation of each incremental change in HO by region between scans. As these were not equivalent between the studies, there was a high risk of bias against palovarotene. Consequently, the FDA allowed a protocol amendment specifying a post-hoc analysis (on which the submission’s clinical claim is based)</w:t>
      </w:r>
      <w:r w:rsidR="00D61F18" w:rsidRPr="00CC0F14">
        <w:t xml:space="preserve"> where no square root transformation was applied</w:t>
      </w:r>
      <w:r w:rsidRPr="00CC0F14">
        <w:t xml:space="preserve">. </w:t>
      </w:r>
      <w:r w:rsidR="008957D2" w:rsidRPr="00E21EB5">
        <w:t>The commentary considered this</w:t>
      </w:r>
      <w:r w:rsidR="008957D2" w:rsidRPr="00CC0F14">
        <w:t xml:space="preserve"> </w:t>
      </w:r>
      <w:r w:rsidRPr="00CC0F14">
        <w:t>would not be expected to be a key risk of bias in the post-hoc analysis.</w:t>
      </w:r>
      <w:bookmarkEnd w:id="26"/>
      <w:r w:rsidR="00734F0B" w:rsidRPr="00734F0B">
        <w:t xml:space="preserve"> </w:t>
      </w:r>
      <w:r w:rsidR="00734F0B" w:rsidRPr="00CC0F14">
        <w:t>The TGA considered the use of the post-hoc wLME analysis acceptable.</w:t>
      </w:r>
    </w:p>
    <w:p w14:paraId="5619C92E" w14:textId="77777777" w:rsidR="00E07C4D" w:rsidRPr="00E21EB5" w:rsidRDefault="00E07C4D" w:rsidP="00E07C4D">
      <w:pPr>
        <w:pStyle w:val="3-BodyText"/>
      </w:pPr>
      <w:bookmarkStart w:id="27" w:name="_Ref177139888"/>
      <w:r w:rsidRPr="00E21EB5">
        <w:t>The ESC considered that the pre-specified analysis in MOVE (wLME using square root transformation, Bayesian corrected Poisson Model) appeared to have been a flawed approach and the correction to the approach in the protocol amendment was therefore reasonable. However, the ESC also considered that the change in approach was substantial, the revised approach remained unusual, and the change in modelling strategy did contribute to an increase in the potential for type I error.</w:t>
      </w:r>
    </w:p>
    <w:p w14:paraId="59F4AD8B" w14:textId="1E33D1EF" w:rsidR="00327838" w:rsidRDefault="00327838" w:rsidP="00327838">
      <w:pPr>
        <w:pStyle w:val="3-BodyText"/>
      </w:pPr>
      <w:r>
        <w:fldChar w:fldCharType="begin" w:fldLock="1"/>
      </w:r>
      <w:r>
        <w:instrText xml:space="preserve"> REF _Ref176520023 \h  \* MERGEFORMAT </w:instrText>
      </w:r>
      <w:r>
        <w:fldChar w:fldCharType="separate"/>
      </w:r>
      <w:r w:rsidR="0043347F" w:rsidRPr="0043347F">
        <w:t>Table 4</w:t>
      </w:r>
      <w:r>
        <w:fldChar w:fldCharType="end"/>
      </w:r>
      <w:r>
        <w:t xml:space="preserve"> </w:t>
      </w:r>
      <w:r w:rsidRPr="00BE5A28">
        <w:t xml:space="preserve">presents the results of new HO using the </w:t>
      </w:r>
      <w:r w:rsidRPr="008D4A4C">
        <w:rPr>
          <w:i/>
          <w:iCs/>
        </w:rPr>
        <w:t>post-hoc</w:t>
      </w:r>
      <w:r>
        <w:t xml:space="preserve"> </w:t>
      </w:r>
      <w:r w:rsidRPr="00BE5A28">
        <w:t>wLME model.</w:t>
      </w:r>
      <w:r>
        <w:t xml:space="preserve"> </w:t>
      </w:r>
      <w:r w:rsidRPr="00CC0F14">
        <w:t xml:space="preserve">The submission did not present baseline HO in MOVE or the NHS. It would be expected based on the higher age in NHS that baseline HO would be higher in the NHS. However, the analysis included the covariate of baseline total HO volume/baseline age. It was unclear whether this adequately adjusted for potential differences in baseline HO. </w:t>
      </w:r>
      <w:r>
        <w:t>The submission claimed that p</w:t>
      </w:r>
      <w:r w:rsidRPr="00BE5A28">
        <w:t xml:space="preserve">atients treated with palovarotene had a statistically significant reduction in annualised new HO volume compared to untreated patients (wLME treatment effect: p=0.0392). </w:t>
      </w:r>
      <w:r w:rsidRPr="00CC0F14">
        <w:t>However, there are no thresholds on which to base statistical success, and no adjustment made for the multiple changes in primary outcome and as such any claims of statistical significance may not be substantiated.</w:t>
      </w:r>
      <w:r w:rsidRPr="00327838">
        <w:rPr>
          <w:i/>
          <w:iCs/>
        </w:rPr>
        <w:t xml:space="preserve"> </w:t>
      </w:r>
      <w:r w:rsidRPr="00BE5A28">
        <w:t xml:space="preserve">The Wilcoxon rank-sum test, which depends only on the numeric rank order of the observed volumes of new HO rather than their magnitudes and is thus less influenced by extreme values, also </w:t>
      </w:r>
      <w:r w:rsidR="00E07C4D">
        <w:t>suggests</w:t>
      </w:r>
      <w:r w:rsidRPr="00BE5A28">
        <w:t xml:space="preserve"> a difference in annualised new HO volume between </w:t>
      </w:r>
      <w:r>
        <w:t>palovarotene</w:t>
      </w:r>
      <w:r w:rsidRPr="00BE5A28">
        <w:t>-treated versus untreated patients (nominal p=0.0003</w:t>
      </w:r>
      <w:r w:rsidRPr="004F7EEE">
        <w:t>).</w:t>
      </w:r>
      <w:bookmarkEnd w:id="27"/>
      <w:r w:rsidRPr="004F7EEE">
        <w:t xml:space="preserve"> </w:t>
      </w:r>
    </w:p>
    <w:p w14:paraId="5A942779" w14:textId="033DEAC9" w:rsidR="00327838" w:rsidRPr="004F7EEE" w:rsidRDefault="00327838" w:rsidP="00CF28A5">
      <w:pPr>
        <w:pStyle w:val="3-BodyText"/>
      </w:pPr>
      <w:r w:rsidRPr="004F7EEE">
        <w:t xml:space="preserve">The submission also presented wLME results for the subgroup of patients in MOVE and the NHS that aligned with the proposed PBS population of adults and children aged ≥8 years for females and ≥10 years for males. </w:t>
      </w:r>
      <w:r w:rsidR="00AF3C30">
        <w:t>The submission only presented results for the PBS population subgroup analysis for new annualised HO. All other outcomes were based on the full analysis set (FAS).</w:t>
      </w:r>
      <w:r w:rsidR="00E07C4D">
        <w:t xml:space="preserve"> </w:t>
      </w:r>
      <w:r w:rsidRPr="00BE5A28">
        <w:t xml:space="preserve">The proportion of patients in the </w:t>
      </w:r>
      <w:r w:rsidRPr="00BE5A28">
        <w:lastRenderedPageBreak/>
        <w:t>Principal FAS who aligned with the proposed PBS population was 79.4% (77/97) in MOVE and 78.2% (79/101) in the NHS</w:t>
      </w:r>
      <w:r>
        <w:t xml:space="preserve">. The results of this subgroup and its complement are also presented in the table </w:t>
      </w:r>
      <w:r w:rsidRPr="004F7EEE">
        <w:t>below.</w:t>
      </w:r>
    </w:p>
    <w:p w14:paraId="73D2F36B" w14:textId="45097652" w:rsidR="00327838" w:rsidRPr="004F7EEE" w:rsidRDefault="00327838" w:rsidP="00327838">
      <w:pPr>
        <w:pStyle w:val="3-BodyText"/>
      </w:pPr>
      <w:r w:rsidRPr="00BE5A28">
        <w:t>In the proposed PBS population</w:t>
      </w:r>
      <w:r>
        <w:t xml:space="preserve"> subgroup</w:t>
      </w:r>
      <w:r w:rsidRPr="00BE5A28">
        <w:t xml:space="preserve">, the </w:t>
      </w:r>
      <w:r w:rsidR="004F7EEE">
        <w:t>least square mean (</w:t>
      </w:r>
      <w:r w:rsidRPr="00BE5A28">
        <w:t>LSM</w:t>
      </w:r>
      <w:r w:rsidR="004F7EEE">
        <w:t>)</w:t>
      </w:r>
      <w:r w:rsidRPr="00BE5A28">
        <w:t xml:space="preserve"> annualised new HO volume was 48.6% lower in </w:t>
      </w:r>
      <w:r>
        <w:t>palovarotene</w:t>
      </w:r>
      <w:r w:rsidRPr="00BE5A28">
        <w:t xml:space="preserve">-treated versus untreated patients which </w:t>
      </w:r>
      <w:r>
        <w:t xml:space="preserve">the submission claimed </w:t>
      </w:r>
      <w:r w:rsidRPr="00BE5A28">
        <w:t xml:space="preserve">was consistent with the results in the whole trial population (53.8% lower in </w:t>
      </w:r>
      <w:r>
        <w:t>palovarotene</w:t>
      </w:r>
      <w:r w:rsidRPr="00BE5A28">
        <w:t xml:space="preserve">-treated patients). The difference between </w:t>
      </w:r>
      <w:r>
        <w:t>palovarotene</w:t>
      </w:r>
      <w:r w:rsidRPr="00BE5A28">
        <w:t xml:space="preserve">-treated and untreated patients in the proposed PBS population was not </w:t>
      </w:r>
      <w:r>
        <w:t xml:space="preserve">considered </w:t>
      </w:r>
      <w:r w:rsidRPr="00BE5A28">
        <w:t>statistically significant (wLME treatment effect p = 0.1124). The submission considered this was likely a result of small patient numbers and the trial not being powered to detect a statistically significant difference in the proposed PBS population.</w:t>
      </w:r>
      <w:r>
        <w:t xml:space="preserve"> </w:t>
      </w:r>
      <w:r w:rsidR="00286AAC" w:rsidRPr="00E21EB5">
        <w:rPr>
          <w:rFonts w:eastAsia="Calibri" w:cs="Times New Roman"/>
        </w:rPr>
        <w:t>The PSCR clarified the MCID of at least a 50% reduction was exceeded in the whole trial population where patients treated with PVO had a statistically significant 53.8% reduction in adjusted mean annualised new HO volume versus untreated patients using the wLME method. However the MCID was not reached in the PBS population where there was a 49% reduction in adjusted mean annualised new HO volume for PVO versus untreated patients.</w:t>
      </w:r>
    </w:p>
    <w:p w14:paraId="0F4C8183" w14:textId="56DF544C" w:rsidR="00327838" w:rsidRPr="0033272A" w:rsidRDefault="00327838" w:rsidP="00327838">
      <w:pPr>
        <w:keepNext/>
        <w:keepLines/>
        <w:rPr>
          <w:rFonts w:ascii="Arial Narrow" w:hAnsi="Arial Narrow"/>
          <w:b/>
          <w:bCs/>
          <w:sz w:val="20"/>
          <w:szCs w:val="20"/>
        </w:rPr>
      </w:pPr>
      <w:bookmarkStart w:id="28" w:name="_Ref176520023"/>
      <w:r w:rsidRPr="00327838">
        <w:rPr>
          <w:rFonts w:ascii="Arial Narrow" w:eastAsiaTheme="majorEastAsia" w:hAnsi="Arial Narrow" w:cstheme="majorBidi"/>
          <w:b/>
          <w:bCs/>
          <w:sz w:val="20"/>
          <w:szCs w:val="20"/>
        </w:rPr>
        <w:t xml:space="preserve">Table </w:t>
      </w:r>
      <w:r w:rsidRPr="00327838">
        <w:rPr>
          <w:rFonts w:ascii="Arial Narrow" w:eastAsiaTheme="majorEastAsia" w:hAnsi="Arial Narrow" w:cstheme="majorBidi"/>
          <w:b/>
          <w:bCs/>
          <w:sz w:val="20"/>
          <w:szCs w:val="20"/>
        </w:rPr>
        <w:fldChar w:fldCharType="begin" w:fldLock="1"/>
      </w:r>
      <w:r w:rsidRPr="00327838">
        <w:rPr>
          <w:rFonts w:ascii="Arial Narrow" w:eastAsiaTheme="majorEastAsia" w:hAnsi="Arial Narrow" w:cstheme="majorBidi"/>
          <w:b/>
          <w:bCs/>
          <w:sz w:val="20"/>
          <w:szCs w:val="20"/>
        </w:rPr>
        <w:instrText xml:space="preserve"> SEQ Table \* ARABIC </w:instrText>
      </w:r>
      <w:r w:rsidRPr="00327838">
        <w:rPr>
          <w:rFonts w:ascii="Arial Narrow" w:eastAsiaTheme="majorEastAsia" w:hAnsi="Arial Narrow" w:cstheme="majorBidi"/>
          <w:b/>
          <w:bCs/>
          <w:sz w:val="20"/>
          <w:szCs w:val="20"/>
        </w:rPr>
        <w:fldChar w:fldCharType="separate"/>
      </w:r>
      <w:r w:rsidR="0043347F">
        <w:rPr>
          <w:rFonts w:ascii="Arial Narrow" w:eastAsiaTheme="majorEastAsia" w:hAnsi="Arial Narrow" w:cstheme="majorBidi"/>
          <w:b/>
          <w:bCs/>
          <w:noProof/>
          <w:sz w:val="20"/>
          <w:szCs w:val="20"/>
        </w:rPr>
        <w:t>4</w:t>
      </w:r>
      <w:r w:rsidRPr="00327838">
        <w:rPr>
          <w:rFonts w:ascii="Arial Narrow" w:eastAsiaTheme="majorEastAsia" w:hAnsi="Arial Narrow" w:cstheme="majorBidi"/>
          <w:b/>
          <w:bCs/>
          <w:sz w:val="20"/>
          <w:szCs w:val="20"/>
        </w:rPr>
        <w:fldChar w:fldCharType="end"/>
      </w:r>
      <w:bookmarkEnd w:id="28"/>
      <w:r>
        <w:rPr>
          <w:rFonts w:ascii="Arial Narrow" w:eastAsiaTheme="majorEastAsia" w:hAnsi="Arial Narrow" w:cstheme="majorBidi"/>
          <w:b/>
          <w:bCs/>
          <w:sz w:val="20"/>
          <w:szCs w:val="20"/>
        </w:rPr>
        <w:t xml:space="preserve">: </w:t>
      </w:r>
      <w:r w:rsidRPr="004F7EEE">
        <w:rPr>
          <w:rStyle w:val="TableFigureHeadingChar"/>
          <w:i/>
          <w:iCs/>
          <w:sz w:val="20"/>
          <w:szCs w:val="20"/>
        </w:rPr>
        <w:t>Post</w:t>
      </w:r>
      <w:r w:rsidR="004F7EEE" w:rsidRPr="004F7EEE">
        <w:rPr>
          <w:rStyle w:val="TableFigureHeadingChar"/>
          <w:i/>
          <w:iCs/>
          <w:sz w:val="20"/>
          <w:szCs w:val="20"/>
        </w:rPr>
        <w:t>-</w:t>
      </w:r>
      <w:r w:rsidRPr="004F7EEE">
        <w:rPr>
          <w:rStyle w:val="TableFigureHeadingChar"/>
          <w:i/>
          <w:iCs/>
          <w:sz w:val="20"/>
          <w:szCs w:val="20"/>
        </w:rPr>
        <w:t>hoc</w:t>
      </w:r>
      <w:r w:rsidRPr="0033272A">
        <w:rPr>
          <w:rStyle w:val="TableFigureHeadingChar"/>
          <w:sz w:val="20"/>
          <w:szCs w:val="20"/>
        </w:rPr>
        <w:t xml:space="preserve"> wLME model of annualised HO volume using non-transformed values (Principal FAS</w:t>
      </w:r>
      <w:r>
        <w:rPr>
          <w:rFonts w:ascii="Arial Narrow" w:hAnsi="Arial Narrow"/>
          <w:b/>
          <w:bCs/>
          <w:sz w:val="20"/>
          <w:szCs w:val="20"/>
        </w:rPr>
        <w:t xml:space="preserve">, PBS population subgroup and complement </w:t>
      </w:r>
    </w:p>
    <w:tbl>
      <w:tblPr>
        <w:tblStyle w:val="TableGrid"/>
        <w:tblW w:w="5000" w:type="pct"/>
        <w:tblLayout w:type="fixed"/>
        <w:tblLook w:val="04A0" w:firstRow="1" w:lastRow="0" w:firstColumn="1" w:lastColumn="0" w:noHBand="0" w:noVBand="1"/>
      </w:tblPr>
      <w:tblGrid>
        <w:gridCol w:w="2013"/>
        <w:gridCol w:w="1098"/>
        <w:gridCol w:w="1102"/>
        <w:gridCol w:w="1190"/>
        <w:gridCol w:w="1194"/>
        <w:gridCol w:w="1190"/>
        <w:gridCol w:w="1230"/>
      </w:tblGrid>
      <w:tr w:rsidR="00327838" w:rsidRPr="00A8482B" w14:paraId="0D35713D" w14:textId="77777777" w:rsidTr="00AC00CD">
        <w:trPr>
          <w:trHeight w:val="227"/>
        </w:trPr>
        <w:tc>
          <w:tcPr>
            <w:tcW w:w="1116" w:type="pct"/>
            <w:vMerge w:val="restart"/>
            <w:vAlign w:val="center"/>
          </w:tcPr>
          <w:p w14:paraId="05112508" w14:textId="77777777" w:rsidR="00327838" w:rsidRPr="00A8482B" w:rsidRDefault="00327838" w:rsidP="00A8482B">
            <w:pPr>
              <w:pStyle w:val="TableText0"/>
              <w:jc w:val="left"/>
              <w:rPr>
                <w:b/>
                <w:bCs w:val="0"/>
              </w:rPr>
            </w:pPr>
          </w:p>
        </w:tc>
        <w:tc>
          <w:tcPr>
            <w:tcW w:w="1220" w:type="pct"/>
            <w:gridSpan w:val="2"/>
            <w:vAlign w:val="center"/>
          </w:tcPr>
          <w:p w14:paraId="7DC65E59" w14:textId="77777777" w:rsidR="00327838" w:rsidRPr="00A8482B" w:rsidRDefault="00327838" w:rsidP="00561983">
            <w:pPr>
              <w:pStyle w:val="TableText0"/>
              <w:rPr>
                <w:b/>
                <w:bCs w:val="0"/>
              </w:rPr>
            </w:pPr>
            <w:r w:rsidRPr="00A8482B">
              <w:rPr>
                <w:b/>
                <w:bCs w:val="0"/>
              </w:rPr>
              <w:t>Principal FAS</w:t>
            </w:r>
          </w:p>
        </w:tc>
        <w:tc>
          <w:tcPr>
            <w:tcW w:w="1322" w:type="pct"/>
            <w:gridSpan w:val="2"/>
            <w:vAlign w:val="center"/>
          </w:tcPr>
          <w:p w14:paraId="3E1E703F" w14:textId="77777777" w:rsidR="00327838" w:rsidRPr="00A8482B" w:rsidRDefault="00327838" w:rsidP="00561983">
            <w:pPr>
              <w:pStyle w:val="TableText0"/>
              <w:rPr>
                <w:b/>
                <w:bCs w:val="0"/>
              </w:rPr>
            </w:pPr>
            <w:r w:rsidRPr="00A8482B">
              <w:rPr>
                <w:b/>
                <w:bCs w:val="0"/>
              </w:rPr>
              <w:t>PBS population</w:t>
            </w:r>
          </w:p>
          <w:p w14:paraId="30C4FABA" w14:textId="77777777" w:rsidR="00327838" w:rsidRPr="00A8482B" w:rsidRDefault="00327838" w:rsidP="00561983">
            <w:pPr>
              <w:pStyle w:val="TableText0"/>
              <w:rPr>
                <w:b/>
                <w:bCs w:val="0"/>
              </w:rPr>
            </w:pPr>
            <w:r w:rsidRPr="00A8482B">
              <w:rPr>
                <w:b/>
                <w:bCs w:val="0"/>
              </w:rPr>
              <w:t>(females ≥ 8 and males ≥ 10 years old)</w:t>
            </w:r>
          </w:p>
        </w:tc>
        <w:tc>
          <w:tcPr>
            <w:tcW w:w="1342" w:type="pct"/>
            <w:gridSpan w:val="2"/>
            <w:vAlign w:val="center"/>
          </w:tcPr>
          <w:p w14:paraId="0FD3833F" w14:textId="77777777" w:rsidR="00327838" w:rsidRPr="00A8482B" w:rsidRDefault="00327838" w:rsidP="00561983">
            <w:pPr>
              <w:pStyle w:val="TableText0"/>
              <w:rPr>
                <w:b/>
                <w:bCs w:val="0"/>
              </w:rPr>
            </w:pPr>
            <w:r w:rsidRPr="00A8482B">
              <w:rPr>
                <w:b/>
                <w:bCs w:val="0"/>
              </w:rPr>
              <w:t>Complement</w:t>
            </w:r>
          </w:p>
          <w:p w14:paraId="405EBAEA" w14:textId="77777777" w:rsidR="00327838" w:rsidRPr="00A8482B" w:rsidRDefault="00327838" w:rsidP="00561983">
            <w:pPr>
              <w:pStyle w:val="TableText0"/>
              <w:rPr>
                <w:b/>
                <w:bCs w:val="0"/>
              </w:rPr>
            </w:pPr>
            <w:r w:rsidRPr="00A8482B">
              <w:rPr>
                <w:b/>
                <w:bCs w:val="0"/>
              </w:rPr>
              <w:t>(females &lt; 8 and males &lt; 10 years old)</w:t>
            </w:r>
          </w:p>
        </w:tc>
      </w:tr>
      <w:tr w:rsidR="00327838" w:rsidRPr="00A8482B" w14:paraId="5ECBA4D1" w14:textId="77777777" w:rsidTr="004F7EEE">
        <w:trPr>
          <w:trHeight w:val="227"/>
        </w:trPr>
        <w:tc>
          <w:tcPr>
            <w:tcW w:w="1116" w:type="pct"/>
            <w:vMerge/>
            <w:vAlign w:val="center"/>
          </w:tcPr>
          <w:p w14:paraId="5645D68C" w14:textId="77777777" w:rsidR="00327838" w:rsidRPr="00A8482B" w:rsidRDefault="00327838" w:rsidP="00A8482B">
            <w:pPr>
              <w:pStyle w:val="TableText0"/>
              <w:jc w:val="left"/>
              <w:rPr>
                <w:b/>
                <w:bCs w:val="0"/>
              </w:rPr>
            </w:pPr>
          </w:p>
        </w:tc>
        <w:tc>
          <w:tcPr>
            <w:tcW w:w="609" w:type="pct"/>
            <w:vAlign w:val="center"/>
          </w:tcPr>
          <w:p w14:paraId="5044AB33" w14:textId="77777777" w:rsidR="00327838" w:rsidRPr="00A8482B" w:rsidRDefault="00327838" w:rsidP="00561983">
            <w:pPr>
              <w:pStyle w:val="TableText0"/>
              <w:rPr>
                <w:b/>
                <w:bCs w:val="0"/>
              </w:rPr>
            </w:pPr>
            <w:r w:rsidRPr="00A8482B">
              <w:rPr>
                <w:b/>
                <w:bCs w:val="0"/>
              </w:rPr>
              <w:t>MOVE</w:t>
            </w:r>
          </w:p>
          <w:p w14:paraId="7568A468" w14:textId="77777777" w:rsidR="00327838" w:rsidRPr="00A8482B" w:rsidRDefault="00327838" w:rsidP="00561983">
            <w:pPr>
              <w:pStyle w:val="TableText0"/>
              <w:rPr>
                <w:b/>
                <w:bCs w:val="0"/>
              </w:rPr>
            </w:pPr>
            <w:r w:rsidRPr="00A8482B">
              <w:rPr>
                <w:b/>
                <w:bCs w:val="0"/>
              </w:rPr>
              <w:t>(PVO-treated)</w:t>
            </w:r>
          </w:p>
          <w:p w14:paraId="4A7824AA" w14:textId="77777777" w:rsidR="00327838" w:rsidRPr="00A8482B" w:rsidRDefault="00327838" w:rsidP="00561983">
            <w:pPr>
              <w:pStyle w:val="TableText0"/>
              <w:rPr>
                <w:b/>
                <w:bCs w:val="0"/>
              </w:rPr>
            </w:pPr>
            <w:r w:rsidRPr="00A8482B">
              <w:rPr>
                <w:b/>
                <w:bCs w:val="0"/>
              </w:rPr>
              <w:t>N = 97</w:t>
            </w:r>
          </w:p>
        </w:tc>
        <w:tc>
          <w:tcPr>
            <w:tcW w:w="611" w:type="pct"/>
            <w:vAlign w:val="center"/>
          </w:tcPr>
          <w:p w14:paraId="7E236366" w14:textId="77777777" w:rsidR="00327838" w:rsidRPr="00A8482B" w:rsidRDefault="00327838" w:rsidP="00561983">
            <w:pPr>
              <w:pStyle w:val="TableText0"/>
              <w:rPr>
                <w:b/>
                <w:bCs w:val="0"/>
              </w:rPr>
            </w:pPr>
            <w:r w:rsidRPr="00A8482B">
              <w:rPr>
                <w:b/>
                <w:bCs w:val="0"/>
              </w:rPr>
              <w:t>NHS</w:t>
            </w:r>
          </w:p>
          <w:p w14:paraId="2EA9317F" w14:textId="77777777" w:rsidR="00327838" w:rsidRPr="00A8482B" w:rsidRDefault="00327838" w:rsidP="00561983">
            <w:pPr>
              <w:pStyle w:val="TableText0"/>
              <w:rPr>
                <w:b/>
                <w:bCs w:val="0"/>
              </w:rPr>
            </w:pPr>
            <w:r w:rsidRPr="00A8482B">
              <w:rPr>
                <w:b/>
                <w:bCs w:val="0"/>
              </w:rPr>
              <w:t>(Untreated)</w:t>
            </w:r>
          </w:p>
          <w:p w14:paraId="2BDCAF21" w14:textId="77777777" w:rsidR="00327838" w:rsidRPr="00A8482B" w:rsidRDefault="00327838" w:rsidP="00561983">
            <w:pPr>
              <w:pStyle w:val="TableText0"/>
              <w:rPr>
                <w:b/>
                <w:bCs w:val="0"/>
              </w:rPr>
            </w:pPr>
            <w:r w:rsidRPr="00A8482B">
              <w:rPr>
                <w:b/>
                <w:bCs w:val="0"/>
              </w:rPr>
              <w:t>N = 101</w:t>
            </w:r>
          </w:p>
        </w:tc>
        <w:tc>
          <w:tcPr>
            <w:tcW w:w="660" w:type="pct"/>
            <w:vAlign w:val="center"/>
          </w:tcPr>
          <w:p w14:paraId="4C373E3C" w14:textId="77777777" w:rsidR="00327838" w:rsidRPr="00A8482B" w:rsidRDefault="00327838" w:rsidP="00561983">
            <w:pPr>
              <w:pStyle w:val="TableText0"/>
              <w:rPr>
                <w:b/>
                <w:bCs w:val="0"/>
              </w:rPr>
            </w:pPr>
            <w:r w:rsidRPr="00A8482B">
              <w:rPr>
                <w:b/>
                <w:bCs w:val="0"/>
              </w:rPr>
              <w:t>MOVE</w:t>
            </w:r>
          </w:p>
          <w:p w14:paraId="7E5B54F1" w14:textId="77777777" w:rsidR="00327838" w:rsidRPr="00A8482B" w:rsidRDefault="00327838" w:rsidP="00561983">
            <w:pPr>
              <w:pStyle w:val="TableText0"/>
              <w:rPr>
                <w:b/>
                <w:bCs w:val="0"/>
              </w:rPr>
            </w:pPr>
            <w:r w:rsidRPr="00A8482B">
              <w:rPr>
                <w:b/>
                <w:bCs w:val="0"/>
              </w:rPr>
              <w:t>(PVO-treated)</w:t>
            </w:r>
          </w:p>
          <w:p w14:paraId="10D696E4" w14:textId="77777777" w:rsidR="00327838" w:rsidRPr="00A8482B" w:rsidRDefault="00327838" w:rsidP="00561983">
            <w:pPr>
              <w:pStyle w:val="TableText0"/>
              <w:rPr>
                <w:b/>
                <w:bCs w:val="0"/>
              </w:rPr>
            </w:pPr>
            <w:r w:rsidRPr="00A8482B">
              <w:rPr>
                <w:b/>
                <w:bCs w:val="0"/>
              </w:rPr>
              <w:t>N = 77</w:t>
            </w:r>
          </w:p>
        </w:tc>
        <w:tc>
          <w:tcPr>
            <w:tcW w:w="662" w:type="pct"/>
            <w:vAlign w:val="center"/>
          </w:tcPr>
          <w:p w14:paraId="13676D8A" w14:textId="77777777" w:rsidR="00327838" w:rsidRPr="00A8482B" w:rsidRDefault="00327838" w:rsidP="00561983">
            <w:pPr>
              <w:pStyle w:val="TableText0"/>
              <w:rPr>
                <w:b/>
                <w:bCs w:val="0"/>
              </w:rPr>
            </w:pPr>
            <w:r w:rsidRPr="00A8482B">
              <w:rPr>
                <w:b/>
                <w:bCs w:val="0"/>
              </w:rPr>
              <w:t>NHS</w:t>
            </w:r>
          </w:p>
          <w:p w14:paraId="01E21044" w14:textId="77777777" w:rsidR="00327838" w:rsidRPr="00A8482B" w:rsidRDefault="00327838" w:rsidP="00561983">
            <w:pPr>
              <w:pStyle w:val="TableText0"/>
              <w:rPr>
                <w:b/>
                <w:bCs w:val="0"/>
              </w:rPr>
            </w:pPr>
            <w:r w:rsidRPr="00A8482B">
              <w:rPr>
                <w:b/>
                <w:bCs w:val="0"/>
              </w:rPr>
              <w:t>(Untreated)</w:t>
            </w:r>
          </w:p>
          <w:p w14:paraId="5896BEF8" w14:textId="77777777" w:rsidR="00327838" w:rsidRPr="00A8482B" w:rsidRDefault="00327838" w:rsidP="00561983">
            <w:pPr>
              <w:pStyle w:val="TableText0"/>
              <w:rPr>
                <w:b/>
                <w:bCs w:val="0"/>
              </w:rPr>
            </w:pPr>
            <w:r w:rsidRPr="00A8482B">
              <w:rPr>
                <w:b/>
                <w:bCs w:val="0"/>
              </w:rPr>
              <w:t>N = 79</w:t>
            </w:r>
          </w:p>
        </w:tc>
        <w:tc>
          <w:tcPr>
            <w:tcW w:w="660" w:type="pct"/>
            <w:vAlign w:val="center"/>
          </w:tcPr>
          <w:p w14:paraId="2A2907C4" w14:textId="77777777" w:rsidR="00327838" w:rsidRPr="00A8482B" w:rsidRDefault="00327838" w:rsidP="00561983">
            <w:pPr>
              <w:pStyle w:val="TableText0"/>
              <w:rPr>
                <w:b/>
                <w:bCs w:val="0"/>
              </w:rPr>
            </w:pPr>
            <w:r w:rsidRPr="00A8482B">
              <w:rPr>
                <w:b/>
                <w:bCs w:val="0"/>
              </w:rPr>
              <w:t>MOVE</w:t>
            </w:r>
          </w:p>
          <w:p w14:paraId="031BA241" w14:textId="77777777" w:rsidR="00327838" w:rsidRPr="00A8482B" w:rsidRDefault="00327838" w:rsidP="00561983">
            <w:pPr>
              <w:pStyle w:val="TableText0"/>
              <w:rPr>
                <w:b/>
                <w:bCs w:val="0"/>
              </w:rPr>
            </w:pPr>
            <w:r w:rsidRPr="00A8482B">
              <w:rPr>
                <w:b/>
                <w:bCs w:val="0"/>
              </w:rPr>
              <w:t>(PVO-treated)</w:t>
            </w:r>
          </w:p>
          <w:p w14:paraId="562C45FE" w14:textId="77777777" w:rsidR="00327838" w:rsidRPr="00A8482B" w:rsidRDefault="00327838" w:rsidP="00561983">
            <w:pPr>
              <w:pStyle w:val="TableText0"/>
              <w:rPr>
                <w:b/>
                <w:bCs w:val="0"/>
              </w:rPr>
            </w:pPr>
            <w:r w:rsidRPr="00A8482B">
              <w:rPr>
                <w:b/>
                <w:bCs w:val="0"/>
              </w:rPr>
              <w:t>N = 20</w:t>
            </w:r>
          </w:p>
        </w:tc>
        <w:tc>
          <w:tcPr>
            <w:tcW w:w="682" w:type="pct"/>
            <w:vAlign w:val="center"/>
          </w:tcPr>
          <w:p w14:paraId="7B860BD2" w14:textId="77777777" w:rsidR="00327838" w:rsidRPr="00A8482B" w:rsidRDefault="00327838" w:rsidP="00561983">
            <w:pPr>
              <w:pStyle w:val="TableText0"/>
              <w:rPr>
                <w:b/>
                <w:bCs w:val="0"/>
              </w:rPr>
            </w:pPr>
            <w:r w:rsidRPr="00A8482B">
              <w:rPr>
                <w:b/>
                <w:bCs w:val="0"/>
              </w:rPr>
              <w:t>NHS</w:t>
            </w:r>
          </w:p>
          <w:p w14:paraId="6080735E" w14:textId="77777777" w:rsidR="00327838" w:rsidRPr="00A8482B" w:rsidRDefault="00327838" w:rsidP="00561983">
            <w:pPr>
              <w:pStyle w:val="TableText0"/>
              <w:rPr>
                <w:b/>
                <w:bCs w:val="0"/>
              </w:rPr>
            </w:pPr>
            <w:r w:rsidRPr="00A8482B">
              <w:rPr>
                <w:b/>
                <w:bCs w:val="0"/>
              </w:rPr>
              <w:t>(Untreated)</w:t>
            </w:r>
          </w:p>
          <w:p w14:paraId="3AD6D58F" w14:textId="77777777" w:rsidR="00327838" w:rsidRPr="00A8482B" w:rsidRDefault="00327838" w:rsidP="00561983">
            <w:pPr>
              <w:pStyle w:val="TableText0"/>
              <w:rPr>
                <w:b/>
                <w:bCs w:val="0"/>
              </w:rPr>
            </w:pPr>
            <w:r w:rsidRPr="00A8482B">
              <w:rPr>
                <w:b/>
                <w:bCs w:val="0"/>
              </w:rPr>
              <w:t>N = 22</w:t>
            </w:r>
          </w:p>
        </w:tc>
      </w:tr>
      <w:tr w:rsidR="004F7EEE" w:rsidRPr="00BE5A28" w14:paraId="7B88C82D" w14:textId="77777777" w:rsidTr="004F7EEE">
        <w:trPr>
          <w:trHeight w:val="227"/>
        </w:trPr>
        <w:tc>
          <w:tcPr>
            <w:tcW w:w="5000" w:type="pct"/>
            <w:gridSpan w:val="7"/>
            <w:vAlign w:val="center"/>
          </w:tcPr>
          <w:p w14:paraId="2E7C8F0E" w14:textId="71109ECC" w:rsidR="004F7EEE" w:rsidRPr="00BE5A28" w:rsidRDefault="004F7EEE" w:rsidP="004F7EEE">
            <w:pPr>
              <w:pStyle w:val="TableText0"/>
              <w:jc w:val="left"/>
            </w:pPr>
            <w:r w:rsidRPr="00BE5A28">
              <w:t>New HO (mm</w:t>
            </w:r>
            <w:r w:rsidRPr="00BE5A28">
              <w:rPr>
                <w:vertAlign w:val="superscript"/>
              </w:rPr>
              <w:t>3</w:t>
            </w:r>
            <w:r w:rsidRPr="00BE5A28">
              <w:t>)</w:t>
            </w:r>
          </w:p>
        </w:tc>
      </w:tr>
      <w:tr w:rsidR="00327838" w:rsidRPr="00BE5A28" w14:paraId="768F98D6" w14:textId="77777777" w:rsidTr="004F7EEE">
        <w:trPr>
          <w:trHeight w:val="227"/>
        </w:trPr>
        <w:tc>
          <w:tcPr>
            <w:tcW w:w="1116" w:type="pct"/>
            <w:vAlign w:val="center"/>
          </w:tcPr>
          <w:p w14:paraId="49745A1D" w14:textId="77777777" w:rsidR="00327838" w:rsidRPr="00BE5A28" w:rsidRDefault="00327838" w:rsidP="00A8482B">
            <w:pPr>
              <w:pStyle w:val="TableText0"/>
              <w:jc w:val="left"/>
            </w:pPr>
            <w:r w:rsidRPr="00BE5A28">
              <w:t>Mean (SEM)</w:t>
            </w:r>
          </w:p>
        </w:tc>
        <w:tc>
          <w:tcPr>
            <w:tcW w:w="609" w:type="pct"/>
            <w:vAlign w:val="center"/>
          </w:tcPr>
          <w:p w14:paraId="0FB1D671" w14:textId="77777777" w:rsidR="00327838" w:rsidRPr="00BE5A28" w:rsidRDefault="00327838" w:rsidP="00561983">
            <w:pPr>
              <w:pStyle w:val="TableText0"/>
            </w:pPr>
            <w:r w:rsidRPr="00BE5A28">
              <w:t>9,427.1 (3,084.0)</w:t>
            </w:r>
          </w:p>
        </w:tc>
        <w:tc>
          <w:tcPr>
            <w:tcW w:w="611" w:type="pct"/>
            <w:vAlign w:val="center"/>
          </w:tcPr>
          <w:p w14:paraId="347C609A" w14:textId="77777777" w:rsidR="00327838" w:rsidRPr="00BE5A28" w:rsidRDefault="00327838" w:rsidP="00561983">
            <w:pPr>
              <w:pStyle w:val="TableText0"/>
            </w:pPr>
            <w:r w:rsidRPr="00BE5A28">
              <w:t>23,720.2 (4,850.0)</w:t>
            </w:r>
          </w:p>
        </w:tc>
        <w:tc>
          <w:tcPr>
            <w:tcW w:w="660" w:type="pct"/>
            <w:vAlign w:val="center"/>
          </w:tcPr>
          <w:p w14:paraId="2292CC96" w14:textId="77777777" w:rsidR="00327838" w:rsidRPr="00BE5A28" w:rsidRDefault="00327838" w:rsidP="00561983">
            <w:pPr>
              <w:pStyle w:val="TableText0"/>
            </w:pPr>
            <w:r w:rsidRPr="00BE5A28">
              <w:t>11,418.8 (3,781.5)</w:t>
            </w:r>
          </w:p>
        </w:tc>
        <w:tc>
          <w:tcPr>
            <w:tcW w:w="662" w:type="pct"/>
            <w:vAlign w:val="center"/>
          </w:tcPr>
          <w:p w14:paraId="74BF6BC2" w14:textId="77777777" w:rsidR="00327838" w:rsidRPr="00BE5A28" w:rsidRDefault="00327838" w:rsidP="00561983">
            <w:pPr>
              <w:pStyle w:val="TableText0"/>
            </w:pPr>
            <w:r w:rsidRPr="00BE5A28">
              <w:t>25,796.0 (6,065.5)</w:t>
            </w:r>
          </w:p>
        </w:tc>
        <w:tc>
          <w:tcPr>
            <w:tcW w:w="660" w:type="pct"/>
            <w:vAlign w:val="center"/>
          </w:tcPr>
          <w:p w14:paraId="6E95E670" w14:textId="77777777" w:rsidR="00327838" w:rsidRPr="00BE5A28" w:rsidRDefault="00327838" w:rsidP="00561983">
            <w:pPr>
              <w:pStyle w:val="TableText0"/>
            </w:pPr>
            <w:r w:rsidRPr="00BE5A28">
              <w:t>1,759.1 (2,992.2)</w:t>
            </w:r>
          </w:p>
        </w:tc>
        <w:tc>
          <w:tcPr>
            <w:tcW w:w="682" w:type="pct"/>
            <w:vAlign w:val="center"/>
          </w:tcPr>
          <w:p w14:paraId="07B6455C" w14:textId="77777777" w:rsidR="00327838" w:rsidRPr="00BE5A28" w:rsidRDefault="00327838" w:rsidP="00561983">
            <w:pPr>
              <w:pStyle w:val="TableText0"/>
            </w:pPr>
            <w:r w:rsidRPr="00BE5A28">
              <w:t>16,266.1 (4,489.4)</w:t>
            </w:r>
          </w:p>
        </w:tc>
      </w:tr>
      <w:tr w:rsidR="00327838" w:rsidRPr="00BE5A28" w14:paraId="1D63CD2B" w14:textId="77777777" w:rsidTr="00AC00CD">
        <w:trPr>
          <w:trHeight w:val="227"/>
        </w:trPr>
        <w:tc>
          <w:tcPr>
            <w:tcW w:w="1116" w:type="pct"/>
            <w:vAlign w:val="center"/>
          </w:tcPr>
          <w:p w14:paraId="7DE72F57" w14:textId="77777777" w:rsidR="00327838" w:rsidRPr="00BE5A28" w:rsidRDefault="00327838" w:rsidP="00A8482B">
            <w:pPr>
              <w:pStyle w:val="TableText0"/>
              <w:jc w:val="left"/>
            </w:pPr>
            <w:r w:rsidRPr="00BE5A28">
              <w:t>% mean reduction</w:t>
            </w:r>
          </w:p>
        </w:tc>
        <w:tc>
          <w:tcPr>
            <w:tcW w:w="1220" w:type="pct"/>
            <w:gridSpan w:val="2"/>
            <w:vAlign w:val="center"/>
          </w:tcPr>
          <w:p w14:paraId="29102880" w14:textId="77777777" w:rsidR="00327838" w:rsidRPr="00BE5A28" w:rsidRDefault="00327838" w:rsidP="00561983">
            <w:pPr>
              <w:pStyle w:val="TableText0"/>
            </w:pPr>
            <w:r w:rsidRPr="00BE5A28">
              <w:t>60.3%</w:t>
            </w:r>
          </w:p>
        </w:tc>
        <w:tc>
          <w:tcPr>
            <w:tcW w:w="1322" w:type="pct"/>
            <w:gridSpan w:val="2"/>
            <w:vAlign w:val="center"/>
          </w:tcPr>
          <w:p w14:paraId="6BEE6EC5" w14:textId="77777777" w:rsidR="00327838" w:rsidRPr="00BE5A28" w:rsidRDefault="00327838" w:rsidP="00561983">
            <w:pPr>
              <w:pStyle w:val="TableText0"/>
            </w:pPr>
            <w:r w:rsidRPr="00BE5A28">
              <w:t>55.7%</w:t>
            </w:r>
          </w:p>
        </w:tc>
        <w:tc>
          <w:tcPr>
            <w:tcW w:w="1342" w:type="pct"/>
            <w:gridSpan w:val="2"/>
            <w:vAlign w:val="center"/>
          </w:tcPr>
          <w:p w14:paraId="351C6537" w14:textId="77777777" w:rsidR="00327838" w:rsidRPr="00BE5A28" w:rsidRDefault="00327838" w:rsidP="00561983">
            <w:pPr>
              <w:pStyle w:val="TableText0"/>
            </w:pPr>
            <w:r w:rsidRPr="00BE5A28">
              <w:t>89.2%</w:t>
            </w:r>
          </w:p>
        </w:tc>
      </w:tr>
      <w:tr w:rsidR="00327838" w:rsidRPr="00BE5A28" w14:paraId="50DE0ADD" w14:textId="77777777" w:rsidTr="004F7EEE">
        <w:trPr>
          <w:trHeight w:val="227"/>
        </w:trPr>
        <w:tc>
          <w:tcPr>
            <w:tcW w:w="1116" w:type="pct"/>
            <w:vAlign w:val="center"/>
          </w:tcPr>
          <w:p w14:paraId="18C2AA76" w14:textId="77777777" w:rsidR="00327838" w:rsidRPr="00BE5A28" w:rsidRDefault="00327838" w:rsidP="00A8482B">
            <w:pPr>
              <w:pStyle w:val="TableText0"/>
              <w:jc w:val="left"/>
            </w:pPr>
            <w:r w:rsidRPr="00BE5A28">
              <w:t>LSM (SEM)</w:t>
            </w:r>
          </w:p>
        </w:tc>
        <w:tc>
          <w:tcPr>
            <w:tcW w:w="609" w:type="pct"/>
            <w:vAlign w:val="center"/>
          </w:tcPr>
          <w:p w14:paraId="7F124169" w14:textId="77777777" w:rsidR="00327838" w:rsidRPr="00BE5A28" w:rsidRDefault="00327838" w:rsidP="00561983">
            <w:pPr>
              <w:pStyle w:val="TableText0"/>
            </w:pPr>
            <w:r w:rsidRPr="00BE5A28">
              <w:t>9,366.8 (4,101.7)</w:t>
            </w:r>
          </w:p>
        </w:tc>
        <w:tc>
          <w:tcPr>
            <w:tcW w:w="611" w:type="pct"/>
            <w:vAlign w:val="center"/>
          </w:tcPr>
          <w:p w14:paraId="7A646375" w14:textId="77777777" w:rsidR="00327838" w:rsidRPr="00BE5A28" w:rsidRDefault="00327838" w:rsidP="00561983">
            <w:pPr>
              <w:pStyle w:val="TableText0"/>
            </w:pPr>
            <w:r w:rsidRPr="00BE5A28">
              <w:t>20,273.0 (3,266.6)</w:t>
            </w:r>
          </w:p>
        </w:tc>
        <w:tc>
          <w:tcPr>
            <w:tcW w:w="660" w:type="pct"/>
            <w:vAlign w:val="center"/>
          </w:tcPr>
          <w:p w14:paraId="78488B8B" w14:textId="77777777" w:rsidR="00327838" w:rsidRPr="00BE5A28" w:rsidRDefault="00327838" w:rsidP="00561983">
            <w:pPr>
              <w:pStyle w:val="TableText0"/>
            </w:pPr>
            <w:r w:rsidRPr="00BE5A28">
              <w:t>11,033.2 (4,973.2)</w:t>
            </w:r>
          </w:p>
        </w:tc>
        <w:tc>
          <w:tcPr>
            <w:tcW w:w="662" w:type="pct"/>
            <w:vAlign w:val="center"/>
          </w:tcPr>
          <w:p w14:paraId="121E4012" w14:textId="77777777" w:rsidR="00327838" w:rsidRPr="00BE5A28" w:rsidRDefault="00327838" w:rsidP="00561983">
            <w:pPr>
              <w:pStyle w:val="TableText0"/>
            </w:pPr>
            <w:r w:rsidRPr="00BE5A28">
              <w:t>21,476.0 (4,068.9)</w:t>
            </w:r>
          </w:p>
        </w:tc>
        <w:tc>
          <w:tcPr>
            <w:tcW w:w="660" w:type="pct"/>
            <w:vAlign w:val="center"/>
          </w:tcPr>
          <w:p w14:paraId="2D8CADA9" w14:textId="77777777" w:rsidR="00327838" w:rsidRPr="00BE5A28" w:rsidRDefault="00327838" w:rsidP="00561983">
            <w:pPr>
              <w:pStyle w:val="TableText0"/>
            </w:pPr>
            <w:r w:rsidRPr="00BE5A28">
              <w:t>845.4 (4,815.1)</w:t>
            </w:r>
          </w:p>
        </w:tc>
        <w:tc>
          <w:tcPr>
            <w:tcW w:w="682" w:type="pct"/>
            <w:vAlign w:val="center"/>
          </w:tcPr>
          <w:p w14:paraId="08EEEBF0" w14:textId="77777777" w:rsidR="00327838" w:rsidRPr="00BE5A28" w:rsidRDefault="00327838" w:rsidP="00561983">
            <w:pPr>
              <w:pStyle w:val="TableText0"/>
            </w:pPr>
            <w:r w:rsidRPr="00BE5A28">
              <w:t>15,876.1 (3,460.5)</w:t>
            </w:r>
          </w:p>
        </w:tc>
      </w:tr>
      <w:tr w:rsidR="00327838" w:rsidRPr="00BE5A28" w14:paraId="7A3A57C7" w14:textId="77777777" w:rsidTr="00AC00CD">
        <w:trPr>
          <w:trHeight w:val="227"/>
        </w:trPr>
        <w:tc>
          <w:tcPr>
            <w:tcW w:w="1116" w:type="pct"/>
            <w:vAlign w:val="center"/>
          </w:tcPr>
          <w:p w14:paraId="71538E5C" w14:textId="77777777" w:rsidR="00327838" w:rsidRPr="00BE5A28" w:rsidRDefault="00327838" w:rsidP="00A8482B">
            <w:pPr>
              <w:pStyle w:val="TableText0"/>
              <w:jc w:val="left"/>
            </w:pPr>
            <w:r w:rsidRPr="00BE5A28">
              <w:t>% LSM reduction</w:t>
            </w:r>
          </w:p>
        </w:tc>
        <w:tc>
          <w:tcPr>
            <w:tcW w:w="1220" w:type="pct"/>
            <w:gridSpan w:val="2"/>
            <w:vAlign w:val="center"/>
          </w:tcPr>
          <w:p w14:paraId="2D89439A" w14:textId="77777777" w:rsidR="00327838" w:rsidRPr="00BE5A28" w:rsidRDefault="00327838" w:rsidP="00561983">
            <w:pPr>
              <w:pStyle w:val="TableText0"/>
            </w:pPr>
            <w:r w:rsidRPr="00BE5A28">
              <w:t>53.8%</w:t>
            </w:r>
          </w:p>
        </w:tc>
        <w:tc>
          <w:tcPr>
            <w:tcW w:w="1322" w:type="pct"/>
            <w:gridSpan w:val="2"/>
            <w:vAlign w:val="center"/>
          </w:tcPr>
          <w:p w14:paraId="05F33F3E" w14:textId="77777777" w:rsidR="00327838" w:rsidRPr="00BE5A28" w:rsidRDefault="00327838" w:rsidP="00561983">
            <w:pPr>
              <w:pStyle w:val="TableText0"/>
            </w:pPr>
            <w:r w:rsidRPr="00BE5A28">
              <w:t>48.6%</w:t>
            </w:r>
          </w:p>
        </w:tc>
        <w:tc>
          <w:tcPr>
            <w:tcW w:w="1342" w:type="pct"/>
            <w:gridSpan w:val="2"/>
            <w:vAlign w:val="center"/>
          </w:tcPr>
          <w:p w14:paraId="5FCDEE43" w14:textId="77777777" w:rsidR="00327838" w:rsidRPr="00BE5A28" w:rsidRDefault="00327838" w:rsidP="00561983">
            <w:pPr>
              <w:pStyle w:val="TableText0"/>
            </w:pPr>
            <w:r w:rsidRPr="00BE5A28">
              <w:t>94.7%</w:t>
            </w:r>
          </w:p>
        </w:tc>
      </w:tr>
      <w:tr w:rsidR="004F7EEE" w:rsidRPr="00BE5A28" w14:paraId="4C16DC96" w14:textId="77777777" w:rsidTr="004F7EEE">
        <w:trPr>
          <w:trHeight w:val="227"/>
        </w:trPr>
        <w:tc>
          <w:tcPr>
            <w:tcW w:w="5000" w:type="pct"/>
            <w:gridSpan w:val="7"/>
            <w:vAlign w:val="center"/>
          </w:tcPr>
          <w:p w14:paraId="3CE58472" w14:textId="692DEBA5" w:rsidR="004F7EEE" w:rsidRPr="00BE5A28" w:rsidRDefault="004F7EEE" w:rsidP="004F7EEE">
            <w:pPr>
              <w:pStyle w:val="TableText0"/>
              <w:jc w:val="left"/>
            </w:pPr>
            <w:r w:rsidRPr="00BE5A28">
              <w:t>wLME estimate (95% CI); p value</w:t>
            </w:r>
          </w:p>
        </w:tc>
      </w:tr>
      <w:tr w:rsidR="00327838" w:rsidRPr="00BE5A28" w14:paraId="071C7BAB" w14:textId="77777777" w:rsidTr="00AC00CD">
        <w:trPr>
          <w:trHeight w:val="227"/>
        </w:trPr>
        <w:tc>
          <w:tcPr>
            <w:tcW w:w="1116" w:type="pct"/>
            <w:vAlign w:val="center"/>
          </w:tcPr>
          <w:p w14:paraId="241931CC" w14:textId="77777777" w:rsidR="00327838" w:rsidRPr="00BE5A28" w:rsidRDefault="00327838" w:rsidP="00A8482B">
            <w:pPr>
              <w:pStyle w:val="TableText0"/>
              <w:jc w:val="left"/>
            </w:pPr>
            <w:r w:rsidRPr="00BE5A28">
              <w:t>Intercept</w:t>
            </w:r>
          </w:p>
        </w:tc>
        <w:tc>
          <w:tcPr>
            <w:tcW w:w="1220" w:type="pct"/>
            <w:gridSpan w:val="2"/>
            <w:vAlign w:val="center"/>
          </w:tcPr>
          <w:p w14:paraId="759827A3" w14:textId="77777777" w:rsidR="00327838" w:rsidRPr="00BE5A28" w:rsidRDefault="00327838" w:rsidP="00561983">
            <w:pPr>
              <w:pStyle w:val="TableText0"/>
            </w:pPr>
            <w:r w:rsidRPr="00BE5A28">
              <w:t>16,174.1 (7,470.37, 2,4877.88);</w:t>
            </w:r>
          </w:p>
          <w:p w14:paraId="693591D2" w14:textId="77777777" w:rsidR="00327838" w:rsidRPr="00BE5A28" w:rsidRDefault="00327838" w:rsidP="00561983">
            <w:pPr>
              <w:pStyle w:val="TableText0"/>
            </w:pPr>
            <w:r w:rsidRPr="00BE5A28">
              <w:t>p = 0.0003</w:t>
            </w:r>
          </w:p>
        </w:tc>
        <w:tc>
          <w:tcPr>
            <w:tcW w:w="1322" w:type="pct"/>
            <w:gridSpan w:val="2"/>
            <w:vAlign w:val="center"/>
          </w:tcPr>
          <w:p w14:paraId="47281E00" w14:textId="77777777" w:rsidR="00327838" w:rsidRPr="00BE5A28" w:rsidRDefault="00327838" w:rsidP="00561983">
            <w:pPr>
              <w:pStyle w:val="TableText0"/>
            </w:pPr>
            <w:r w:rsidRPr="00BE5A28">
              <w:t>16,746.9 (5622.12, 27871.77);</w:t>
            </w:r>
          </w:p>
          <w:p w14:paraId="6913B160" w14:textId="77777777" w:rsidR="00327838" w:rsidRPr="00BE5A28" w:rsidRDefault="00327838" w:rsidP="00561983">
            <w:pPr>
              <w:pStyle w:val="TableText0"/>
            </w:pPr>
            <w:r w:rsidRPr="00BE5A28">
              <w:t>p = 0.0035</w:t>
            </w:r>
          </w:p>
        </w:tc>
        <w:tc>
          <w:tcPr>
            <w:tcW w:w="1342" w:type="pct"/>
            <w:gridSpan w:val="2"/>
            <w:vAlign w:val="center"/>
          </w:tcPr>
          <w:p w14:paraId="3388A5BD" w14:textId="77777777" w:rsidR="00327838" w:rsidRPr="00BE5A28" w:rsidRDefault="00327838" w:rsidP="00561983">
            <w:pPr>
              <w:pStyle w:val="TableText0"/>
            </w:pPr>
            <w:r w:rsidRPr="00BE5A28">
              <w:t>16,573.2 (7658.37, 25488.04);</w:t>
            </w:r>
          </w:p>
          <w:p w14:paraId="1C4B12C9" w14:textId="77777777" w:rsidR="00327838" w:rsidRPr="00BE5A28" w:rsidRDefault="00327838" w:rsidP="00561983">
            <w:pPr>
              <w:pStyle w:val="TableText0"/>
            </w:pPr>
            <w:r w:rsidRPr="00BE5A28">
              <w:t>p = 0.0006</w:t>
            </w:r>
          </w:p>
        </w:tc>
      </w:tr>
      <w:tr w:rsidR="00327838" w:rsidRPr="00BE5A28" w14:paraId="75088430" w14:textId="77777777" w:rsidTr="00AC00CD">
        <w:trPr>
          <w:trHeight w:val="227"/>
        </w:trPr>
        <w:tc>
          <w:tcPr>
            <w:tcW w:w="1116" w:type="pct"/>
            <w:vAlign w:val="center"/>
          </w:tcPr>
          <w:p w14:paraId="6AC11002" w14:textId="77777777" w:rsidR="00327838" w:rsidRPr="00BE5A28" w:rsidRDefault="00327838" w:rsidP="00A8482B">
            <w:pPr>
              <w:pStyle w:val="TableText0"/>
              <w:jc w:val="left"/>
            </w:pPr>
            <w:r w:rsidRPr="00BE5A28">
              <w:t>Baseline total HO/Baseline age</w:t>
            </w:r>
          </w:p>
        </w:tc>
        <w:tc>
          <w:tcPr>
            <w:tcW w:w="1220" w:type="pct"/>
            <w:gridSpan w:val="2"/>
            <w:vAlign w:val="center"/>
          </w:tcPr>
          <w:p w14:paraId="0B90021C" w14:textId="77777777" w:rsidR="00327838" w:rsidRPr="00BE5A28" w:rsidRDefault="00327838" w:rsidP="00561983">
            <w:pPr>
              <w:pStyle w:val="TableText0"/>
            </w:pPr>
            <w:r w:rsidRPr="00BE5A28">
              <w:t>0.3 (-0.10, 0.66);</w:t>
            </w:r>
          </w:p>
          <w:p w14:paraId="2EAD966F" w14:textId="77777777" w:rsidR="00327838" w:rsidRPr="00BE5A28" w:rsidRDefault="00327838" w:rsidP="00561983">
            <w:pPr>
              <w:pStyle w:val="TableText0"/>
            </w:pPr>
            <w:r w:rsidRPr="00BE5A28">
              <w:t>p = 0.1440</w:t>
            </w:r>
          </w:p>
        </w:tc>
        <w:tc>
          <w:tcPr>
            <w:tcW w:w="1322" w:type="pct"/>
            <w:gridSpan w:val="2"/>
            <w:vAlign w:val="center"/>
          </w:tcPr>
          <w:p w14:paraId="5470E4E2" w14:textId="77777777" w:rsidR="00327838" w:rsidRPr="00BE5A28" w:rsidRDefault="00327838" w:rsidP="00561983">
            <w:pPr>
              <w:pStyle w:val="TableText0"/>
            </w:pPr>
            <w:r w:rsidRPr="00BE5A28">
              <w:t>0.3 (-0.17, 0.76);</w:t>
            </w:r>
          </w:p>
          <w:p w14:paraId="0A0993A9" w14:textId="77777777" w:rsidR="00327838" w:rsidRPr="00BE5A28" w:rsidRDefault="00327838" w:rsidP="00561983">
            <w:pPr>
              <w:pStyle w:val="TableText0"/>
            </w:pPr>
            <w:r w:rsidRPr="00BE5A28">
              <w:t>p = 0.1974</w:t>
            </w:r>
          </w:p>
        </w:tc>
        <w:tc>
          <w:tcPr>
            <w:tcW w:w="1342" w:type="pct"/>
            <w:gridSpan w:val="2"/>
            <w:vAlign w:val="center"/>
          </w:tcPr>
          <w:p w14:paraId="2C7280E7" w14:textId="77777777" w:rsidR="00327838" w:rsidRPr="00BE5A28" w:rsidRDefault="00327838" w:rsidP="00561983">
            <w:pPr>
              <w:pStyle w:val="TableText0"/>
            </w:pPr>
            <w:r w:rsidRPr="00BE5A28">
              <w:t>-0.1 (-0.82, 0.68);</w:t>
            </w:r>
          </w:p>
          <w:p w14:paraId="3FC7F4D6" w14:textId="77777777" w:rsidR="00327838" w:rsidRPr="00BE5A28" w:rsidRDefault="00327838" w:rsidP="00561983">
            <w:pPr>
              <w:pStyle w:val="TableText0"/>
            </w:pPr>
            <w:r w:rsidRPr="00BE5A28">
              <w:t>p = 0.8024</w:t>
            </w:r>
          </w:p>
        </w:tc>
      </w:tr>
      <w:tr w:rsidR="00327838" w:rsidRPr="00BE5A28" w14:paraId="403A37BB" w14:textId="77777777" w:rsidTr="00AC00CD">
        <w:trPr>
          <w:trHeight w:val="227"/>
        </w:trPr>
        <w:tc>
          <w:tcPr>
            <w:tcW w:w="1116" w:type="pct"/>
            <w:vAlign w:val="center"/>
          </w:tcPr>
          <w:p w14:paraId="62C42C75" w14:textId="7B4F5944" w:rsidR="00327838" w:rsidRPr="00BE5A28" w:rsidRDefault="00D924DC" w:rsidP="00A8482B">
            <w:pPr>
              <w:pStyle w:val="TableText0"/>
              <w:jc w:val="left"/>
            </w:pPr>
            <w:r>
              <w:t>Absolute difference in LSM (96% CI)</w:t>
            </w:r>
          </w:p>
        </w:tc>
        <w:tc>
          <w:tcPr>
            <w:tcW w:w="1220" w:type="pct"/>
            <w:gridSpan w:val="2"/>
            <w:vAlign w:val="center"/>
          </w:tcPr>
          <w:p w14:paraId="1AEA6A7C" w14:textId="77777777" w:rsidR="00327838" w:rsidRPr="00BE5A28" w:rsidRDefault="00327838" w:rsidP="00561983">
            <w:pPr>
              <w:pStyle w:val="TableText0"/>
            </w:pPr>
            <w:r w:rsidRPr="00BE5A28">
              <w:t>-10,906.2 (-21,240.69, -571.63);</w:t>
            </w:r>
          </w:p>
          <w:p w14:paraId="2E03D2B1" w14:textId="77777777" w:rsidR="00327838" w:rsidRPr="00BE5A28" w:rsidRDefault="00327838" w:rsidP="00561983">
            <w:pPr>
              <w:pStyle w:val="TableText0"/>
            </w:pPr>
            <w:r w:rsidRPr="00BE5A28">
              <w:t>p = 0.0392</w:t>
            </w:r>
          </w:p>
        </w:tc>
        <w:tc>
          <w:tcPr>
            <w:tcW w:w="1322" w:type="pct"/>
            <w:gridSpan w:val="2"/>
            <w:vAlign w:val="center"/>
          </w:tcPr>
          <w:p w14:paraId="63B69A41" w14:textId="77777777" w:rsidR="00327838" w:rsidRPr="00BE5A28" w:rsidRDefault="00327838" w:rsidP="00561983">
            <w:pPr>
              <w:pStyle w:val="TableText0"/>
            </w:pPr>
            <w:r w:rsidRPr="00BE5A28">
              <w:t>-10,442.8 (-23538.93, 2653.36);</w:t>
            </w:r>
          </w:p>
          <w:p w14:paraId="6F48942A" w14:textId="77777777" w:rsidR="00327838" w:rsidRPr="00BE5A28" w:rsidRDefault="00327838" w:rsidP="00561983">
            <w:pPr>
              <w:pStyle w:val="TableText0"/>
            </w:pPr>
            <w:r w:rsidRPr="00BE5A28">
              <w:t>p = 0.1124</w:t>
            </w:r>
          </w:p>
        </w:tc>
        <w:tc>
          <w:tcPr>
            <w:tcW w:w="1342" w:type="pct"/>
            <w:gridSpan w:val="2"/>
            <w:vAlign w:val="center"/>
          </w:tcPr>
          <w:p w14:paraId="4E690651" w14:textId="77777777" w:rsidR="00327838" w:rsidRPr="00BE5A28" w:rsidRDefault="00327838" w:rsidP="00561983">
            <w:pPr>
              <w:pStyle w:val="TableText0"/>
            </w:pPr>
            <w:r w:rsidRPr="00BE5A28">
              <w:t>-15,030.7 (-31046.08, 984.68);</w:t>
            </w:r>
          </w:p>
          <w:p w14:paraId="2E244365" w14:textId="77777777" w:rsidR="00327838" w:rsidRPr="00BE5A28" w:rsidRDefault="00327838" w:rsidP="00561983">
            <w:pPr>
              <w:pStyle w:val="TableText0"/>
            </w:pPr>
            <w:r w:rsidRPr="00BE5A28">
              <w:t>p = 0.0597</w:t>
            </w:r>
          </w:p>
        </w:tc>
      </w:tr>
      <w:tr w:rsidR="00327838" w:rsidRPr="00BE5A28" w14:paraId="0AF3137F" w14:textId="77777777" w:rsidTr="00AC00CD">
        <w:trPr>
          <w:trHeight w:val="227"/>
        </w:trPr>
        <w:tc>
          <w:tcPr>
            <w:tcW w:w="1116" w:type="pct"/>
            <w:vAlign w:val="center"/>
          </w:tcPr>
          <w:p w14:paraId="1478EA10" w14:textId="77777777" w:rsidR="00327838" w:rsidRPr="00BE5A28" w:rsidRDefault="00327838" w:rsidP="00A8482B">
            <w:pPr>
              <w:pStyle w:val="TableText0"/>
              <w:jc w:val="left"/>
            </w:pPr>
            <w:r w:rsidRPr="00BE5A28">
              <w:t>Wilcoxon test p value</w:t>
            </w:r>
          </w:p>
        </w:tc>
        <w:tc>
          <w:tcPr>
            <w:tcW w:w="1220" w:type="pct"/>
            <w:gridSpan w:val="2"/>
            <w:vAlign w:val="center"/>
          </w:tcPr>
          <w:p w14:paraId="7DB81537" w14:textId="77777777" w:rsidR="00327838" w:rsidRPr="00BE5A28" w:rsidRDefault="00327838" w:rsidP="00561983">
            <w:pPr>
              <w:pStyle w:val="TableText0"/>
            </w:pPr>
            <w:r w:rsidRPr="00BE5A28">
              <w:t>p = 0.0003</w:t>
            </w:r>
          </w:p>
        </w:tc>
        <w:tc>
          <w:tcPr>
            <w:tcW w:w="1322" w:type="pct"/>
            <w:gridSpan w:val="2"/>
            <w:vAlign w:val="center"/>
          </w:tcPr>
          <w:p w14:paraId="1A12E208" w14:textId="77777777" w:rsidR="00327838" w:rsidRPr="00BE5A28" w:rsidRDefault="00327838" w:rsidP="00561983">
            <w:pPr>
              <w:pStyle w:val="TableText0"/>
            </w:pPr>
            <w:r w:rsidRPr="00BE5A28">
              <w:t>p = 0.0107</w:t>
            </w:r>
          </w:p>
        </w:tc>
        <w:tc>
          <w:tcPr>
            <w:tcW w:w="1342" w:type="pct"/>
            <w:gridSpan w:val="2"/>
            <w:vAlign w:val="center"/>
          </w:tcPr>
          <w:p w14:paraId="61761AE8" w14:textId="77777777" w:rsidR="00327838" w:rsidRPr="00BE5A28" w:rsidRDefault="00327838" w:rsidP="00561983">
            <w:pPr>
              <w:pStyle w:val="TableText0"/>
            </w:pPr>
            <w:r w:rsidRPr="00BE5A28">
              <w:t>p = 0.0034</w:t>
            </w:r>
          </w:p>
        </w:tc>
      </w:tr>
    </w:tbl>
    <w:p w14:paraId="2A3FA11E" w14:textId="77777777" w:rsidR="00327838" w:rsidRPr="00BE5A28" w:rsidRDefault="00327838" w:rsidP="007913E5">
      <w:pPr>
        <w:pStyle w:val="TableFigureFooter"/>
      </w:pPr>
      <w:r w:rsidRPr="00BE5A28">
        <w:t>Source: Table 2.6-1, p130 of the submission.</w:t>
      </w:r>
    </w:p>
    <w:p w14:paraId="6614B54B" w14:textId="77777777" w:rsidR="00327838" w:rsidRPr="00BE5A28" w:rsidRDefault="00327838" w:rsidP="007913E5">
      <w:pPr>
        <w:pStyle w:val="TableFigureFooter"/>
      </w:pPr>
      <w:r w:rsidRPr="00BE5A28">
        <w:t xml:space="preserve">HO = Heterotopic ossification; NHS = Natural history study; PVO = Palovarotene; IA3 = Interim analysis 3; FAS = Full Analysis Set; DCO = Data cut-off; wLME = weighted linear mixed effect; WBCT = Whole-body computed tomography; CI =Confidence interval; SEM = Standard error mean; LSM = Least square mean; PBS = Pharmaceutical Benefits Scheme </w:t>
      </w:r>
    </w:p>
    <w:p w14:paraId="3EEF0D03" w14:textId="562AAB41" w:rsidR="00327838" w:rsidRPr="00327838" w:rsidRDefault="00327838" w:rsidP="007913E5">
      <w:pPr>
        <w:pStyle w:val="TableFigureFooter"/>
      </w:pPr>
      <w:r w:rsidRPr="00BE5A28">
        <w:t>Statistical analyses conducted using a mixed model with annualised new HO as the dependent variable and fixed effects of treatment as the independent variable and baseline total HO/baseline age as a random subject effect.</w:t>
      </w:r>
    </w:p>
    <w:p w14:paraId="070F0525" w14:textId="68C51201" w:rsidR="00327838" w:rsidRPr="00CC0F14" w:rsidRDefault="00327838" w:rsidP="00BE12C5">
      <w:pPr>
        <w:pStyle w:val="3-BodyText"/>
      </w:pPr>
      <w:r w:rsidRPr="00CC0F14">
        <w:lastRenderedPageBreak/>
        <w:t>The TGA ACM concluded that the wLME efficacy analysis demonstrated a clinically meaningful benefit.</w:t>
      </w:r>
      <w:r w:rsidR="00286AAC">
        <w:t xml:space="preserve"> </w:t>
      </w:r>
      <w:r w:rsidRPr="00CC0F14">
        <w:t xml:space="preserve">The ACM also noted that </w:t>
      </w:r>
      <w:r w:rsidR="002078B8" w:rsidRPr="00CC0F14">
        <w:t>“</w:t>
      </w:r>
      <w:r w:rsidRPr="00CC0F14">
        <w:t>studies relying on volumetric measures are hard, because there is an appreciable error with estimating volume of lesions (in any technology), and likely to be increased by the low-density scanning used. However, the ACM acknowledged the use of low-density scanning is understandable in this paediatric population.</w:t>
      </w:r>
      <w:r w:rsidR="002078B8" w:rsidRPr="00CC0F14">
        <w:t>”</w:t>
      </w:r>
    </w:p>
    <w:p w14:paraId="26139495" w14:textId="6B5097B0" w:rsidR="00327838" w:rsidRPr="00E21EB5" w:rsidRDefault="00327838" w:rsidP="00327838">
      <w:pPr>
        <w:pStyle w:val="3-BodyText"/>
      </w:pPr>
      <w:r w:rsidRPr="00CC0F14">
        <w:t>CADTH experts noted that the 49% reduction in the adjusted mean annuali</w:t>
      </w:r>
      <w:r w:rsidR="004F7EEE" w:rsidRPr="00CC0F14">
        <w:t>s</w:t>
      </w:r>
      <w:r w:rsidRPr="00CC0F14">
        <w:t xml:space="preserve">ed new HO volume may be considered meaningful, despite the finding of no difference between patients treated with palovarotene and untreated patients in the overall proportion with no new HO. </w:t>
      </w:r>
      <w:r w:rsidR="00286AAC" w:rsidRPr="00E21EB5">
        <w:t xml:space="preserve">The PSCR also noted that </w:t>
      </w:r>
      <w:r w:rsidR="00286AAC" w:rsidRPr="00E21EB5">
        <w:rPr>
          <w:rFonts w:eastAsia="Calibri" w:cs="Times New Roman"/>
        </w:rPr>
        <w:t>the clinical meaningfulness of a reduction in HO volume can be difficult to assess at the population level since any HO for a given patient may have a profound impact if this occurs in a location that impairs functioning.</w:t>
      </w:r>
    </w:p>
    <w:p w14:paraId="3A81BF72" w14:textId="3FD9F909" w:rsidR="00D924DC" w:rsidRPr="00CC0F14" w:rsidRDefault="00327838" w:rsidP="00D924DC">
      <w:pPr>
        <w:pStyle w:val="3-BodyText"/>
      </w:pPr>
      <w:r w:rsidRPr="00CC0F14">
        <w:t>The treatment effect was larger for palovarotene-treated patients in the complement (94.7% reduction), although there were only 20 palovarotene-treated patients and 22 untreated patients.</w:t>
      </w:r>
      <w:r w:rsidR="00590782" w:rsidRPr="00CC0F14">
        <w:t xml:space="preserve"> It was likely that these differences were due to the younger age in the complement group, as younger patients undergo more ossification. In addition to the complement group not being included in the proposed population, the risk of PPC generally precludes use in the population. </w:t>
      </w:r>
    </w:p>
    <w:p w14:paraId="633A5DB8" w14:textId="6E753E41" w:rsidR="00D924DC" w:rsidRPr="00550E93" w:rsidRDefault="00D924DC" w:rsidP="00C4189A">
      <w:pPr>
        <w:pStyle w:val="3-BodyText"/>
      </w:pPr>
      <w:r>
        <w:fldChar w:fldCharType="begin" w:fldLock="1"/>
      </w:r>
      <w:r>
        <w:instrText xml:space="preserve"> REF _Ref177117227 \h </w:instrText>
      </w:r>
      <w:r>
        <w:fldChar w:fldCharType="separate"/>
      </w:r>
      <w:r w:rsidR="0043347F" w:rsidRPr="00327838">
        <w:t xml:space="preserve">Table </w:t>
      </w:r>
      <w:r w:rsidR="0043347F">
        <w:rPr>
          <w:noProof/>
        </w:rPr>
        <w:t>5</w:t>
      </w:r>
      <w:r>
        <w:fldChar w:fldCharType="end"/>
      </w:r>
      <w:r>
        <w:t xml:space="preserve"> </w:t>
      </w:r>
      <w:r w:rsidRPr="00550E93">
        <w:t xml:space="preserve">presents the key secondary outcome, proportion of patients with new HO volume at Month 12. There was no statistically significant difference for the proportion of palovarotene-treated (64.1%) and untreated (62.2%) patients who developed any new HO at Month 12 (p = 0.8780). </w:t>
      </w:r>
    </w:p>
    <w:p w14:paraId="512A4651" w14:textId="40E46149" w:rsidR="00D924DC" w:rsidRPr="00550E93" w:rsidRDefault="00D924DC" w:rsidP="00D924DC">
      <w:pPr>
        <w:pStyle w:val="TableFigureHeading"/>
      </w:pPr>
      <w:bookmarkStart w:id="29" w:name="_Ref177117227"/>
      <w:r w:rsidRPr="00327838">
        <w:t xml:space="preserve">Table </w:t>
      </w:r>
      <w:r w:rsidR="002A4328">
        <w:fldChar w:fldCharType="begin" w:fldLock="1"/>
      </w:r>
      <w:r w:rsidR="002A4328">
        <w:instrText xml:space="preserve"> SEQ Table \* ARABIC </w:instrText>
      </w:r>
      <w:r w:rsidR="002A4328">
        <w:fldChar w:fldCharType="separate"/>
      </w:r>
      <w:r w:rsidR="0043347F">
        <w:rPr>
          <w:noProof/>
        </w:rPr>
        <w:t>5</w:t>
      </w:r>
      <w:r w:rsidR="002A4328">
        <w:rPr>
          <w:noProof/>
        </w:rPr>
        <w:fldChar w:fldCharType="end"/>
      </w:r>
      <w:bookmarkEnd w:id="29"/>
      <w:r w:rsidRPr="00550E93">
        <w:t>: Proportion of patients with new HO at Month 12 (Principal FAS)</w:t>
      </w:r>
    </w:p>
    <w:tbl>
      <w:tblPr>
        <w:tblStyle w:val="TableGrid"/>
        <w:tblW w:w="0" w:type="auto"/>
        <w:tblLook w:val="04A0" w:firstRow="1" w:lastRow="0" w:firstColumn="1" w:lastColumn="0" w:noHBand="0" w:noVBand="1"/>
      </w:tblPr>
      <w:tblGrid>
        <w:gridCol w:w="4248"/>
        <w:gridCol w:w="2384"/>
        <w:gridCol w:w="2384"/>
      </w:tblGrid>
      <w:tr w:rsidR="00D924DC" w:rsidRPr="00550E93" w14:paraId="787A189F" w14:textId="77777777" w:rsidTr="00860383">
        <w:tc>
          <w:tcPr>
            <w:tcW w:w="4248" w:type="dxa"/>
          </w:tcPr>
          <w:p w14:paraId="5DD86F89" w14:textId="77777777" w:rsidR="00D924DC" w:rsidRPr="00550E93" w:rsidRDefault="00D924DC" w:rsidP="00860383">
            <w:pPr>
              <w:pStyle w:val="TableText0"/>
              <w:jc w:val="left"/>
            </w:pPr>
          </w:p>
        </w:tc>
        <w:tc>
          <w:tcPr>
            <w:tcW w:w="2384" w:type="dxa"/>
          </w:tcPr>
          <w:p w14:paraId="533BBA01" w14:textId="77777777" w:rsidR="00D924DC" w:rsidRPr="00550E93" w:rsidRDefault="00D924DC" w:rsidP="00860383">
            <w:pPr>
              <w:pStyle w:val="TableText0"/>
              <w:rPr>
                <w:b/>
                <w:bCs w:val="0"/>
              </w:rPr>
            </w:pPr>
            <w:r w:rsidRPr="00550E93">
              <w:rPr>
                <w:b/>
              </w:rPr>
              <w:t>MOVE (PVO-treated)</w:t>
            </w:r>
          </w:p>
          <w:p w14:paraId="355B8D09" w14:textId="77777777" w:rsidR="00D924DC" w:rsidRPr="00550E93" w:rsidRDefault="00D924DC" w:rsidP="00860383">
            <w:pPr>
              <w:pStyle w:val="TableText0"/>
              <w:rPr>
                <w:b/>
                <w:bCs w:val="0"/>
              </w:rPr>
            </w:pPr>
            <w:r w:rsidRPr="00550E93">
              <w:rPr>
                <w:b/>
              </w:rPr>
              <w:t>N = 97</w:t>
            </w:r>
          </w:p>
        </w:tc>
        <w:tc>
          <w:tcPr>
            <w:tcW w:w="2384" w:type="dxa"/>
          </w:tcPr>
          <w:p w14:paraId="143E4F7D" w14:textId="77777777" w:rsidR="00D924DC" w:rsidRPr="00550E93" w:rsidRDefault="00D924DC" w:rsidP="00860383">
            <w:pPr>
              <w:pStyle w:val="TableText0"/>
              <w:rPr>
                <w:b/>
                <w:bCs w:val="0"/>
              </w:rPr>
            </w:pPr>
            <w:r w:rsidRPr="00550E93">
              <w:rPr>
                <w:b/>
              </w:rPr>
              <w:t>NHS (Untreated)</w:t>
            </w:r>
          </w:p>
          <w:p w14:paraId="357C313F" w14:textId="77777777" w:rsidR="00D924DC" w:rsidRPr="00550E93" w:rsidRDefault="00D924DC" w:rsidP="00860383">
            <w:pPr>
              <w:pStyle w:val="TableText0"/>
              <w:rPr>
                <w:b/>
                <w:bCs w:val="0"/>
              </w:rPr>
            </w:pPr>
            <w:r w:rsidRPr="00550E93">
              <w:rPr>
                <w:b/>
              </w:rPr>
              <w:t>N = 101</w:t>
            </w:r>
          </w:p>
        </w:tc>
      </w:tr>
      <w:tr w:rsidR="00D924DC" w:rsidRPr="00550E93" w14:paraId="2F5A7BD9" w14:textId="77777777" w:rsidTr="00860383">
        <w:tc>
          <w:tcPr>
            <w:tcW w:w="4248" w:type="dxa"/>
            <w:vAlign w:val="center"/>
          </w:tcPr>
          <w:p w14:paraId="7F0F8AB0" w14:textId="77777777" w:rsidR="00D924DC" w:rsidRPr="00550E93" w:rsidRDefault="00D924DC" w:rsidP="00860383">
            <w:pPr>
              <w:pStyle w:val="TableText0"/>
              <w:jc w:val="left"/>
            </w:pPr>
            <w:r w:rsidRPr="00550E93">
              <w:t>Number of patients at risk at Month 12</w:t>
            </w:r>
          </w:p>
        </w:tc>
        <w:tc>
          <w:tcPr>
            <w:tcW w:w="2384" w:type="dxa"/>
            <w:vAlign w:val="center"/>
          </w:tcPr>
          <w:p w14:paraId="1248769B" w14:textId="77777777" w:rsidR="00D924DC" w:rsidRPr="00550E93" w:rsidRDefault="00D924DC" w:rsidP="00860383">
            <w:pPr>
              <w:pStyle w:val="TableText0"/>
            </w:pPr>
            <w:r w:rsidRPr="00550E93">
              <w:t>N = 92</w:t>
            </w:r>
          </w:p>
        </w:tc>
        <w:tc>
          <w:tcPr>
            <w:tcW w:w="2384" w:type="dxa"/>
            <w:vAlign w:val="center"/>
          </w:tcPr>
          <w:p w14:paraId="00FAC4BF" w14:textId="77777777" w:rsidR="00D924DC" w:rsidRPr="00550E93" w:rsidRDefault="00D924DC" w:rsidP="00860383">
            <w:pPr>
              <w:pStyle w:val="TableText0"/>
            </w:pPr>
            <w:r w:rsidRPr="00550E93">
              <w:t>N = 90</w:t>
            </w:r>
          </w:p>
        </w:tc>
      </w:tr>
      <w:tr w:rsidR="00D924DC" w:rsidRPr="00550E93" w14:paraId="087D971D" w14:textId="77777777" w:rsidTr="00860383">
        <w:tc>
          <w:tcPr>
            <w:tcW w:w="4248" w:type="dxa"/>
            <w:vMerge w:val="restart"/>
            <w:vAlign w:val="center"/>
          </w:tcPr>
          <w:p w14:paraId="3D4E10F8" w14:textId="77777777" w:rsidR="00D924DC" w:rsidRPr="00550E93" w:rsidRDefault="00D924DC" w:rsidP="00860383">
            <w:pPr>
              <w:pStyle w:val="TableText0"/>
              <w:jc w:val="left"/>
            </w:pPr>
            <w:r w:rsidRPr="00550E93">
              <w:t>Patients with new HO volume at Month 12, n (%)</w:t>
            </w:r>
          </w:p>
        </w:tc>
        <w:tc>
          <w:tcPr>
            <w:tcW w:w="2384" w:type="dxa"/>
            <w:vAlign w:val="center"/>
          </w:tcPr>
          <w:p w14:paraId="76EDD6F7" w14:textId="77777777" w:rsidR="00D924DC" w:rsidRPr="00550E93" w:rsidRDefault="00D924DC" w:rsidP="00860383">
            <w:pPr>
              <w:pStyle w:val="TableText0"/>
            </w:pPr>
            <w:r w:rsidRPr="00550E93">
              <w:t>59 (64.1)</w:t>
            </w:r>
          </w:p>
        </w:tc>
        <w:tc>
          <w:tcPr>
            <w:tcW w:w="2384" w:type="dxa"/>
            <w:vAlign w:val="center"/>
          </w:tcPr>
          <w:p w14:paraId="1D5CB44C" w14:textId="77777777" w:rsidR="00D924DC" w:rsidRPr="00550E93" w:rsidRDefault="00D924DC" w:rsidP="00860383">
            <w:pPr>
              <w:pStyle w:val="TableText0"/>
            </w:pPr>
            <w:r w:rsidRPr="00550E93">
              <w:t>56 (62.2)</w:t>
            </w:r>
          </w:p>
        </w:tc>
      </w:tr>
      <w:tr w:rsidR="00D924DC" w:rsidRPr="00550E93" w14:paraId="5568FEDD" w14:textId="77777777" w:rsidTr="00860383">
        <w:tc>
          <w:tcPr>
            <w:tcW w:w="4248" w:type="dxa"/>
            <w:vMerge/>
            <w:vAlign w:val="center"/>
          </w:tcPr>
          <w:p w14:paraId="551ADC4C" w14:textId="77777777" w:rsidR="00D924DC" w:rsidRPr="00550E93" w:rsidRDefault="00D924DC" w:rsidP="00860383">
            <w:pPr>
              <w:pStyle w:val="TableText0"/>
              <w:jc w:val="left"/>
            </w:pPr>
          </w:p>
        </w:tc>
        <w:tc>
          <w:tcPr>
            <w:tcW w:w="4768" w:type="dxa"/>
            <w:gridSpan w:val="2"/>
            <w:vAlign w:val="center"/>
          </w:tcPr>
          <w:p w14:paraId="02822242" w14:textId="77777777" w:rsidR="00D924DC" w:rsidRPr="00550E93" w:rsidRDefault="00D924DC" w:rsidP="00860383">
            <w:pPr>
              <w:pStyle w:val="TableText0"/>
            </w:pPr>
            <w:r w:rsidRPr="00550E93">
              <w:t>p = 0.8780</w:t>
            </w:r>
          </w:p>
        </w:tc>
      </w:tr>
    </w:tbl>
    <w:p w14:paraId="380649AB" w14:textId="77777777" w:rsidR="00D924DC" w:rsidRPr="00550E93" w:rsidRDefault="00D924DC" w:rsidP="007913E5">
      <w:pPr>
        <w:pStyle w:val="TableFigureFooter"/>
      </w:pPr>
      <w:r w:rsidRPr="00550E93">
        <w:t>Source: Table 2.5.3, p112 of the submission.</w:t>
      </w:r>
    </w:p>
    <w:p w14:paraId="6444E662" w14:textId="77777777" w:rsidR="00D924DC" w:rsidRPr="00550E93" w:rsidRDefault="00D924DC" w:rsidP="007913E5">
      <w:pPr>
        <w:pStyle w:val="TableFigureFooter"/>
      </w:pPr>
      <w:r w:rsidRPr="00550E93">
        <w:t>Statistical analyses conducted using Fisher’s exact test</w:t>
      </w:r>
    </w:p>
    <w:p w14:paraId="42471F75" w14:textId="77777777" w:rsidR="00D924DC" w:rsidRPr="00550E93" w:rsidRDefault="00D924DC" w:rsidP="007913E5">
      <w:pPr>
        <w:pStyle w:val="TableFigureFooter"/>
      </w:pPr>
      <w:r w:rsidRPr="00550E93">
        <w:t>The DCO for efficacy analyses in MOVE was December 2019 for patients aged &lt;14 years and January 2020 for patients ≥ 14 years. The DCO for the NHS was February 2020.</w:t>
      </w:r>
    </w:p>
    <w:p w14:paraId="01CA2D35" w14:textId="5FDD2627" w:rsidR="00D924DC" w:rsidRPr="004F7EEE" w:rsidRDefault="00D924DC" w:rsidP="007913E5">
      <w:pPr>
        <w:pStyle w:val="TableFigureFooter"/>
      </w:pPr>
      <w:r w:rsidRPr="00550E93">
        <w:t>Abbreviations: HO = Heterotopic ossification; NHS = Natural history study; PVO = Palovarotene; FAS = Full Analysis Set; DCO = Data cut-off</w:t>
      </w:r>
    </w:p>
    <w:p w14:paraId="25941E63" w14:textId="75FA0E95" w:rsidR="00327838" w:rsidRPr="00E21EB5" w:rsidRDefault="00327838" w:rsidP="00057300">
      <w:pPr>
        <w:pStyle w:val="3-BodyText"/>
      </w:pPr>
      <w:r w:rsidRPr="004F7EEE">
        <w:fldChar w:fldCharType="begin" w:fldLock="1"/>
      </w:r>
      <w:r w:rsidRPr="004F7EEE">
        <w:instrText xml:space="preserve"> REF _Ref176520633 \h </w:instrText>
      </w:r>
      <w:r w:rsidRPr="004F7EEE">
        <w:fldChar w:fldCharType="separate"/>
      </w:r>
      <w:r w:rsidR="0043347F" w:rsidRPr="00327838">
        <w:t xml:space="preserve">Table </w:t>
      </w:r>
      <w:r w:rsidR="0043347F">
        <w:rPr>
          <w:noProof/>
        </w:rPr>
        <w:t>6</w:t>
      </w:r>
      <w:r w:rsidRPr="004F7EEE">
        <w:fldChar w:fldCharType="end"/>
      </w:r>
      <w:r w:rsidRPr="004F7EEE">
        <w:t xml:space="preserve"> presents the proportion of patients who reported at least one flare-up event (defined as having ≥2 symptoms) at Month 12.</w:t>
      </w:r>
      <w:r w:rsidR="00C4189A">
        <w:t xml:space="preserve"> </w:t>
      </w:r>
      <w:r w:rsidRPr="00BE5A28">
        <w:t xml:space="preserve">A higher proportion of </w:t>
      </w:r>
      <w:r>
        <w:t xml:space="preserve">patients treated with palovarotene in MOVE </w:t>
      </w:r>
      <w:r w:rsidRPr="00BE5A28">
        <w:t xml:space="preserve">experienced a flare-up event at Month 12 compared to patients </w:t>
      </w:r>
      <w:r>
        <w:t xml:space="preserve">in the NHS </w:t>
      </w:r>
      <w:r w:rsidRPr="00BE5A28">
        <w:t xml:space="preserve">(64.6% vs 54.1%). The submission considered this may be due to the more frequent visits in MOVE compared with the untreated patients in the NHS. It is also possible that untreated patients in the NHS may have been less motivated to report flare-ups because flare-ups would not be treated. </w:t>
      </w:r>
      <w:r w:rsidRPr="00CC0F14">
        <w:t xml:space="preserve">It may also be due to the younger population in MOVE, who are known to have a greater frequency of flare-ups, or potentially treatment with palovarotene may be associated with a greater </w:t>
      </w:r>
      <w:r w:rsidRPr="00CC0F14">
        <w:lastRenderedPageBreak/>
        <w:t>frequency of flare-ups</w:t>
      </w:r>
      <w:r w:rsidRPr="00E21EB5">
        <w:t xml:space="preserve">. </w:t>
      </w:r>
      <w:r w:rsidR="00B40033" w:rsidRPr="00E21EB5">
        <w:t>The ESC considered that the potential for increase in the frequency of flare-up events with palovarotene was a concern.</w:t>
      </w:r>
    </w:p>
    <w:p w14:paraId="0FC1614C" w14:textId="32F2DDF5" w:rsidR="00327838" w:rsidRPr="004F7EEE" w:rsidRDefault="00327838" w:rsidP="00327838">
      <w:pPr>
        <w:pStyle w:val="3-BodyText"/>
      </w:pPr>
      <w:r w:rsidRPr="00BE5A28">
        <w:t>The</w:t>
      </w:r>
      <w:r>
        <w:t xml:space="preserve"> submission </w:t>
      </w:r>
      <w:r w:rsidR="00940398">
        <w:t>stated</w:t>
      </w:r>
      <w:r>
        <w:t xml:space="preserve"> that</w:t>
      </w:r>
      <w:r w:rsidRPr="00BE5A28">
        <w:t xml:space="preserve"> flare-up rate per patient-month exposure was higher in </w:t>
      </w:r>
      <w:r>
        <w:t>palovarotene</w:t>
      </w:r>
      <w:r w:rsidRPr="00BE5A28">
        <w:t>-treated (0.13, 95% CI: 0.09, 0.17) versus untreated patients (0.07, 95% CI: 0.05, 0.08), with the difference being statistically significant (p = 0.001).</w:t>
      </w:r>
      <w:r>
        <w:t xml:space="preserve"> </w:t>
      </w:r>
      <w:r w:rsidRPr="00CC0F14">
        <w:t>Given flare</w:t>
      </w:r>
      <w:r w:rsidR="008A1FA2" w:rsidRPr="00CC0F14">
        <w:t>-</w:t>
      </w:r>
      <w:r w:rsidRPr="00CC0F14">
        <w:t>ups were a secondary outcome and not part of the statistical analysis plan, it was unclear if a claim of statistical significance was substantiated.</w:t>
      </w:r>
      <w:r w:rsidRPr="004F7EEE">
        <w:rPr>
          <w:i/>
          <w:iCs/>
        </w:rPr>
        <w:t xml:space="preserve"> </w:t>
      </w:r>
    </w:p>
    <w:p w14:paraId="6F589076" w14:textId="1BDB8A28" w:rsidR="00327838" w:rsidRPr="00CC0F14" w:rsidRDefault="00327838" w:rsidP="00327838">
      <w:pPr>
        <w:pStyle w:val="3-BodyText"/>
      </w:pPr>
      <w:r w:rsidRPr="00CC0F14">
        <w:t xml:space="preserve">In the economic </w:t>
      </w:r>
      <w:r w:rsidR="00C4189A">
        <w:t>analysis</w:t>
      </w:r>
      <w:r w:rsidR="004F7EEE" w:rsidRPr="00CC0F14">
        <w:t>,</w:t>
      </w:r>
      <w:r w:rsidRPr="00CC0F14">
        <w:t xml:space="preserve"> the submission reported a mean number of flare-ups per annum of 1.59 in MOVE. The ratio of the annual flare-up rate for </w:t>
      </w:r>
      <w:r w:rsidR="008C79B9" w:rsidRPr="00CC0F14">
        <w:t xml:space="preserve">palovarotene </w:t>
      </w:r>
      <w:r w:rsidRPr="00CC0F14">
        <w:t xml:space="preserve">versus untreated was reported to be 1.65. </w:t>
      </w:r>
      <w:r w:rsidR="005A23B0" w:rsidRPr="00CC0F14">
        <w:t>T</w:t>
      </w:r>
      <w:r w:rsidRPr="00CC0F14">
        <w:t xml:space="preserve">hese estimates appeared to be based on individual patient data (IPD) and could not be confirmed during the evaluation. </w:t>
      </w:r>
    </w:p>
    <w:p w14:paraId="33AAF2C8" w14:textId="70BB0621" w:rsidR="00327838" w:rsidRPr="00BE5A28" w:rsidRDefault="00327838" w:rsidP="00327838">
      <w:pPr>
        <w:pStyle w:val="TableFigureHeading"/>
      </w:pPr>
      <w:bookmarkStart w:id="30" w:name="_Ref176520633"/>
      <w:r w:rsidRPr="00327838">
        <w:t xml:space="preserve">Table </w:t>
      </w:r>
      <w:r w:rsidR="002A4328">
        <w:fldChar w:fldCharType="begin" w:fldLock="1"/>
      </w:r>
      <w:r w:rsidR="002A4328">
        <w:instrText xml:space="preserve"> SEQ Table \* ARABIC </w:instrText>
      </w:r>
      <w:r w:rsidR="002A4328">
        <w:fldChar w:fldCharType="separate"/>
      </w:r>
      <w:r w:rsidR="0043347F">
        <w:rPr>
          <w:noProof/>
        </w:rPr>
        <w:t>6</w:t>
      </w:r>
      <w:r w:rsidR="002A4328">
        <w:rPr>
          <w:noProof/>
        </w:rPr>
        <w:fldChar w:fldCharType="end"/>
      </w:r>
      <w:bookmarkEnd w:id="30"/>
      <w:r w:rsidRPr="00327838">
        <w:t>:</w:t>
      </w:r>
      <w:r>
        <w:t xml:space="preserve"> </w:t>
      </w:r>
      <w:r w:rsidRPr="00BE5A28">
        <w:t>Flare-up rates (Principal Safety Set)</w:t>
      </w:r>
    </w:p>
    <w:tbl>
      <w:tblPr>
        <w:tblStyle w:val="TableGrid"/>
        <w:tblW w:w="0" w:type="auto"/>
        <w:tblLook w:val="04A0" w:firstRow="1" w:lastRow="0" w:firstColumn="1" w:lastColumn="0" w:noHBand="0" w:noVBand="1"/>
      </w:tblPr>
      <w:tblGrid>
        <w:gridCol w:w="5098"/>
        <w:gridCol w:w="1985"/>
        <w:gridCol w:w="1933"/>
      </w:tblGrid>
      <w:tr w:rsidR="00327838" w:rsidRPr="00A8482B" w14:paraId="7239BAA7" w14:textId="77777777" w:rsidTr="00AC00CD">
        <w:tc>
          <w:tcPr>
            <w:tcW w:w="5098" w:type="dxa"/>
            <w:vAlign w:val="center"/>
          </w:tcPr>
          <w:p w14:paraId="4030BC7F" w14:textId="77777777" w:rsidR="00327838" w:rsidRPr="00A8482B" w:rsidRDefault="00327838" w:rsidP="00A8482B">
            <w:pPr>
              <w:pStyle w:val="TableText0"/>
              <w:jc w:val="left"/>
              <w:rPr>
                <w:b/>
                <w:bCs w:val="0"/>
              </w:rPr>
            </w:pPr>
          </w:p>
        </w:tc>
        <w:tc>
          <w:tcPr>
            <w:tcW w:w="1985" w:type="dxa"/>
          </w:tcPr>
          <w:p w14:paraId="28BC25CF" w14:textId="77777777" w:rsidR="00327838" w:rsidRPr="00A8482B" w:rsidRDefault="00327838" w:rsidP="00561983">
            <w:pPr>
              <w:pStyle w:val="TableText0"/>
              <w:rPr>
                <w:b/>
                <w:bCs w:val="0"/>
              </w:rPr>
            </w:pPr>
            <w:r w:rsidRPr="00A8482B">
              <w:rPr>
                <w:b/>
                <w:bCs w:val="0"/>
              </w:rPr>
              <w:t>MOVE (PVO-treated)</w:t>
            </w:r>
          </w:p>
          <w:p w14:paraId="55034F96" w14:textId="77777777" w:rsidR="00327838" w:rsidRPr="00A8482B" w:rsidRDefault="00327838" w:rsidP="00561983">
            <w:pPr>
              <w:pStyle w:val="TableText0"/>
              <w:rPr>
                <w:b/>
                <w:bCs w:val="0"/>
              </w:rPr>
            </w:pPr>
            <w:r w:rsidRPr="00A8482B">
              <w:rPr>
                <w:b/>
                <w:bCs w:val="0"/>
              </w:rPr>
              <w:t>N = 99</w:t>
            </w:r>
          </w:p>
        </w:tc>
        <w:tc>
          <w:tcPr>
            <w:tcW w:w="1933" w:type="dxa"/>
          </w:tcPr>
          <w:p w14:paraId="7B112214" w14:textId="77777777" w:rsidR="00327838" w:rsidRPr="00A8482B" w:rsidRDefault="00327838" w:rsidP="00561983">
            <w:pPr>
              <w:pStyle w:val="TableText0"/>
              <w:rPr>
                <w:b/>
                <w:bCs w:val="0"/>
              </w:rPr>
            </w:pPr>
            <w:r w:rsidRPr="00A8482B">
              <w:rPr>
                <w:b/>
                <w:bCs w:val="0"/>
              </w:rPr>
              <w:t>NHS (Untreated)</w:t>
            </w:r>
          </w:p>
          <w:p w14:paraId="5B554B61" w14:textId="77777777" w:rsidR="00327838" w:rsidRPr="00A8482B" w:rsidRDefault="00327838" w:rsidP="00561983">
            <w:pPr>
              <w:pStyle w:val="TableText0"/>
              <w:rPr>
                <w:b/>
                <w:bCs w:val="0"/>
              </w:rPr>
            </w:pPr>
            <w:r w:rsidRPr="00A8482B">
              <w:rPr>
                <w:b/>
                <w:bCs w:val="0"/>
              </w:rPr>
              <w:t>N = 111</w:t>
            </w:r>
          </w:p>
        </w:tc>
      </w:tr>
      <w:tr w:rsidR="00327838" w:rsidRPr="00BE5A28" w14:paraId="3C2B9E0F" w14:textId="77777777" w:rsidTr="00AC00CD">
        <w:tc>
          <w:tcPr>
            <w:tcW w:w="5098" w:type="dxa"/>
            <w:vAlign w:val="center"/>
          </w:tcPr>
          <w:p w14:paraId="2BBA8085" w14:textId="77777777" w:rsidR="00327838" w:rsidRPr="00BE5A28" w:rsidRDefault="00327838" w:rsidP="00A8482B">
            <w:pPr>
              <w:pStyle w:val="TableText0"/>
              <w:jc w:val="left"/>
            </w:pPr>
            <w:r w:rsidRPr="00BE5A28">
              <w:t>Proportion of patients reporting flare-ups at Month 12, n (%)</w:t>
            </w:r>
          </w:p>
        </w:tc>
        <w:tc>
          <w:tcPr>
            <w:tcW w:w="1985" w:type="dxa"/>
          </w:tcPr>
          <w:p w14:paraId="2CE13EB7" w14:textId="77777777" w:rsidR="00327838" w:rsidRPr="00BE5A28" w:rsidRDefault="00327838" w:rsidP="00561983">
            <w:pPr>
              <w:pStyle w:val="TableText0"/>
            </w:pPr>
            <w:r w:rsidRPr="00BE5A28">
              <w:t>64 (64.6%)</w:t>
            </w:r>
          </w:p>
        </w:tc>
        <w:tc>
          <w:tcPr>
            <w:tcW w:w="1933" w:type="dxa"/>
          </w:tcPr>
          <w:p w14:paraId="582FC87F" w14:textId="77777777" w:rsidR="00327838" w:rsidRPr="00BE5A28" w:rsidRDefault="00327838" w:rsidP="00561983">
            <w:pPr>
              <w:pStyle w:val="TableText0"/>
            </w:pPr>
            <w:r w:rsidRPr="00BE5A28">
              <w:t>60 (54.1%)</w:t>
            </w:r>
          </w:p>
        </w:tc>
      </w:tr>
      <w:tr w:rsidR="00327838" w:rsidRPr="00BE5A28" w14:paraId="6107E0A2" w14:textId="77777777" w:rsidTr="00AC00CD">
        <w:tc>
          <w:tcPr>
            <w:tcW w:w="5098" w:type="dxa"/>
            <w:vMerge w:val="restart"/>
            <w:vAlign w:val="center"/>
          </w:tcPr>
          <w:p w14:paraId="705B6AD5" w14:textId="77777777" w:rsidR="00327838" w:rsidRPr="00BE5A28" w:rsidRDefault="00327838" w:rsidP="00A8482B">
            <w:pPr>
              <w:pStyle w:val="TableText0"/>
              <w:jc w:val="left"/>
            </w:pPr>
            <w:r w:rsidRPr="00BE5A28">
              <w:t>Flare-up rate per patient-month exposure (95% CI)</w:t>
            </w:r>
          </w:p>
        </w:tc>
        <w:tc>
          <w:tcPr>
            <w:tcW w:w="1985" w:type="dxa"/>
          </w:tcPr>
          <w:p w14:paraId="7E1E4EDB" w14:textId="77777777" w:rsidR="00327838" w:rsidRPr="00BE5A28" w:rsidRDefault="00327838" w:rsidP="00561983">
            <w:pPr>
              <w:pStyle w:val="TableText0"/>
            </w:pPr>
            <w:r w:rsidRPr="00BE5A28">
              <w:t>0.13 (0.09, 0.17)</w:t>
            </w:r>
          </w:p>
        </w:tc>
        <w:tc>
          <w:tcPr>
            <w:tcW w:w="1933" w:type="dxa"/>
          </w:tcPr>
          <w:p w14:paraId="6BC433E6" w14:textId="77777777" w:rsidR="00327838" w:rsidRPr="00BE5A28" w:rsidRDefault="00327838" w:rsidP="00561983">
            <w:pPr>
              <w:pStyle w:val="TableText0"/>
            </w:pPr>
            <w:r w:rsidRPr="00BE5A28">
              <w:t>0.07 (0.05, 0.08)</w:t>
            </w:r>
          </w:p>
        </w:tc>
      </w:tr>
      <w:tr w:rsidR="00327838" w:rsidRPr="00BE5A28" w14:paraId="4CB33DC4" w14:textId="77777777" w:rsidTr="00AC00CD">
        <w:tc>
          <w:tcPr>
            <w:tcW w:w="5098" w:type="dxa"/>
            <w:vMerge/>
          </w:tcPr>
          <w:p w14:paraId="06419E37" w14:textId="77777777" w:rsidR="00327838" w:rsidRPr="00BE5A28" w:rsidRDefault="00327838" w:rsidP="00A8482B">
            <w:pPr>
              <w:pStyle w:val="TableText0"/>
              <w:jc w:val="left"/>
            </w:pPr>
          </w:p>
        </w:tc>
        <w:tc>
          <w:tcPr>
            <w:tcW w:w="3918" w:type="dxa"/>
            <w:gridSpan w:val="2"/>
          </w:tcPr>
          <w:p w14:paraId="1E5F6505" w14:textId="77777777" w:rsidR="00327838" w:rsidRPr="00BE5A28" w:rsidRDefault="00327838" w:rsidP="00561983">
            <w:pPr>
              <w:pStyle w:val="TableText0"/>
            </w:pPr>
            <w:r w:rsidRPr="00BE5A28">
              <w:t>p = 0.0010</w:t>
            </w:r>
          </w:p>
        </w:tc>
      </w:tr>
    </w:tbl>
    <w:p w14:paraId="135576F3" w14:textId="77777777" w:rsidR="00327838" w:rsidRPr="00BE5A28" w:rsidRDefault="00327838" w:rsidP="007913E5">
      <w:pPr>
        <w:pStyle w:val="TableFigureFooter"/>
      </w:pPr>
      <w:r w:rsidRPr="00BE5A28">
        <w:t>Source: Table 2.5.5, p113 of the submission.</w:t>
      </w:r>
    </w:p>
    <w:p w14:paraId="50C10D96" w14:textId="77777777" w:rsidR="00327838" w:rsidRPr="00BE5A28" w:rsidRDefault="00327838" w:rsidP="007913E5">
      <w:pPr>
        <w:pStyle w:val="TableFigureFooter"/>
      </w:pPr>
      <w:r w:rsidRPr="00BE5A28">
        <w:t>HO = Heterotopic ossification; NHS = Natural history study; PVO = Palovarotene; DCO = Data cut-off; CI = Confidence interval</w:t>
      </w:r>
    </w:p>
    <w:p w14:paraId="19330E02" w14:textId="77777777" w:rsidR="00327838" w:rsidRPr="00BE5A28" w:rsidRDefault="00327838" w:rsidP="007913E5">
      <w:pPr>
        <w:pStyle w:val="TableFigureFooter"/>
      </w:pPr>
      <w:r w:rsidRPr="00BE5A28">
        <w:t>Estimates are obtained from a generalised Poisson model.</w:t>
      </w:r>
    </w:p>
    <w:p w14:paraId="56AD2663" w14:textId="77777777" w:rsidR="00327838" w:rsidRPr="00BE5A28" w:rsidRDefault="00327838" w:rsidP="007913E5">
      <w:pPr>
        <w:pStyle w:val="TableFigureFooter"/>
      </w:pPr>
      <w:r w:rsidRPr="00BE5A28">
        <w:t>Statistical analysis for flare-up rate was based on a negative binomial model.</w:t>
      </w:r>
    </w:p>
    <w:p w14:paraId="4BA67EA1" w14:textId="77777777" w:rsidR="00327838" w:rsidRPr="00BE5A28" w:rsidRDefault="00327838" w:rsidP="007913E5">
      <w:pPr>
        <w:pStyle w:val="TableFigureFooter"/>
      </w:pPr>
      <w:r w:rsidRPr="00BE5A28">
        <w:t>Flare-up events were defined as having 2 or more symptoms.</w:t>
      </w:r>
    </w:p>
    <w:p w14:paraId="4D54B816" w14:textId="77777777" w:rsidR="00327838" w:rsidRPr="00BE5A28" w:rsidRDefault="00327838" w:rsidP="007913E5">
      <w:pPr>
        <w:pStyle w:val="TableFigureFooter"/>
      </w:pPr>
      <w:r w:rsidRPr="00BE5A28">
        <w:t>The DCO for efficacy analyses in MOVE was December 2019 for patients aged &lt;14 years and January 2020 for patients ≥ 14 years. The DCO for the NHS was February 2020.</w:t>
      </w:r>
    </w:p>
    <w:p w14:paraId="399C222C" w14:textId="0414154D" w:rsidR="00327838" w:rsidRPr="004F7EEE" w:rsidRDefault="00327838" w:rsidP="00327838">
      <w:pPr>
        <w:pStyle w:val="3-BodyText"/>
      </w:pPr>
      <w:r w:rsidRPr="00BE5A28">
        <w:t xml:space="preserve">The CADTH clinical experts considered that flare-ups are expected to occur more frequently at younger ages (i.e., in teenagers and those in their twenties). Consequently, this frequency on its own may not be a reliable marker of response to treatment because it would be difficult to ascertain whether any decrease was a result of treatment or of patients getting older. </w:t>
      </w:r>
      <w:r w:rsidRPr="00BF7D88">
        <w:t>This would be compounded by the imbalances between the studies in patients aged younger than 18.</w:t>
      </w:r>
      <w:r w:rsidR="00B40033">
        <w:t xml:space="preserve"> </w:t>
      </w:r>
    </w:p>
    <w:p w14:paraId="28F0C668" w14:textId="77777777" w:rsidR="00327838" w:rsidRPr="004F7EEE" w:rsidRDefault="00327838" w:rsidP="00327838">
      <w:pPr>
        <w:pStyle w:val="3-BodyText"/>
      </w:pPr>
      <w:r w:rsidRPr="00BE5A28">
        <w:t xml:space="preserve">Range of motion was assessed using the </w:t>
      </w:r>
      <w:r>
        <w:t>Cumulative Analogue Joint Involvement Scale (</w:t>
      </w:r>
      <w:r w:rsidRPr="00BE5A28">
        <w:t>CAJIS</w:t>
      </w:r>
      <w:r>
        <w:t>)</w:t>
      </w:r>
      <w:r w:rsidRPr="00BE5A28">
        <w:t xml:space="preserve"> performed by trained investigators. The submission considered that CAJIS is a simple, rapidly administered, functionally-validated assessment of body and regional mobility which can be performed in any clinical setting. CAJIS was assessed at baseline and every 6 months in MOVE and at baseline and every 12 months in the </w:t>
      </w:r>
      <w:r w:rsidRPr="004F7EEE">
        <w:t>NHS.</w:t>
      </w:r>
    </w:p>
    <w:p w14:paraId="1B563871" w14:textId="5D8B5DB1" w:rsidR="00327838" w:rsidRPr="004F7EEE" w:rsidRDefault="005A23B0" w:rsidP="00C4189A">
      <w:pPr>
        <w:pStyle w:val="3-BodyText"/>
      </w:pPr>
      <w:r>
        <w:fldChar w:fldCharType="begin" w:fldLock="1"/>
      </w:r>
      <w:r>
        <w:instrText xml:space="preserve"> REF _Ref176524110 \h </w:instrText>
      </w:r>
      <w:r>
        <w:fldChar w:fldCharType="separate"/>
      </w:r>
      <w:r w:rsidR="0043347F" w:rsidRPr="00327838">
        <w:t xml:space="preserve">Table </w:t>
      </w:r>
      <w:r w:rsidR="0043347F">
        <w:rPr>
          <w:noProof/>
        </w:rPr>
        <w:t>7</w:t>
      </w:r>
      <w:r>
        <w:fldChar w:fldCharType="end"/>
      </w:r>
      <w:r>
        <w:t xml:space="preserve"> </w:t>
      </w:r>
      <w:r w:rsidR="00327838" w:rsidRPr="00BE5A28">
        <w:t xml:space="preserve">presents the change from baseline in CAJIS scores for </w:t>
      </w:r>
      <w:r w:rsidR="00327838">
        <w:t>palovarotene</w:t>
      </w:r>
      <w:r w:rsidR="00327838" w:rsidRPr="00BE5A28">
        <w:t xml:space="preserve">-treated and untreated patients. The CAJIS scores slightly increased over 18 months in both treatment arms, indicating a worsening in range of motion. The submission stressed that the heterogenous nature of FOP and the short timeframe (24 months) of MOVE means that any possible improvements in </w:t>
      </w:r>
      <w:r w:rsidR="00327838">
        <w:t>range of motion</w:t>
      </w:r>
      <w:r w:rsidR="00327838" w:rsidRPr="00BE5A28">
        <w:t xml:space="preserve"> associated with </w:t>
      </w:r>
      <w:r w:rsidR="00327838">
        <w:t>palovarotene</w:t>
      </w:r>
      <w:r w:rsidR="00327838" w:rsidRPr="00BE5A28">
        <w:t xml:space="preserve"> treatment may not have been captured in a clinical trial setting. There </w:t>
      </w:r>
      <w:r w:rsidR="00327838" w:rsidRPr="004F7EEE">
        <w:t>w</w:t>
      </w:r>
      <w:r w:rsidR="00C4189A">
        <w:t>ere</w:t>
      </w:r>
      <w:r w:rsidR="00327838" w:rsidRPr="004F7EEE">
        <w:t xml:space="preserve"> no statistically significant </w:t>
      </w:r>
      <w:r w:rsidR="00FC0C03">
        <w:t>difference</w:t>
      </w:r>
      <w:r w:rsidR="00B40033">
        <w:t>s</w:t>
      </w:r>
      <w:r w:rsidR="00FC0C03" w:rsidRPr="004F7EEE">
        <w:t xml:space="preserve"> </w:t>
      </w:r>
      <w:r w:rsidR="00327838" w:rsidRPr="004F7EEE">
        <w:t xml:space="preserve">between the two treatment arms. </w:t>
      </w:r>
    </w:p>
    <w:p w14:paraId="42930C5A" w14:textId="5AFDD61E" w:rsidR="00327838" w:rsidRPr="00BE5A28" w:rsidRDefault="005A23B0" w:rsidP="00327838">
      <w:pPr>
        <w:pStyle w:val="TableFigureHeading"/>
      </w:pPr>
      <w:bookmarkStart w:id="31" w:name="_Ref176524110"/>
      <w:bookmarkStart w:id="32" w:name="_Toc171336185"/>
      <w:r w:rsidRPr="00327838">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7</w:t>
      </w:r>
      <w:r w:rsidR="002A4328">
        <w:rPr>
          <w:noProof/>
        </w:rPr>
        <w:fldChar w:fldCharType="end"/>
      </w:r>
      <w:bookmarkEnd w:id="31"/>
      <w:r w:rsidRPr="00327838">
        <w:t>:</w:t>
      </w:r>
      <w:r>
        <w:t xml:space="preserve"> </w:t>
      </w:r>
      <w:r w:rsidR="00327838" w:rsidRPr="00BE5A28">
        <w:t>Change in CAJIS total scores over time (Principal Safety Set)</w:t>
      </w:r>
      <w:bookmarkEnd w:id="32"/>
    </w:p>
    <w:tbl>
      <w:tblPr>
        <w:tblStyle w:val="TableGrid"/>
        <w:tblW w:w="0" w:type="auto"/>
        <w:tblLook w:val="04A0" w:firstRow="1" w:lastRow="0" w:firstColumn="1" w:lastColumn="0" w:noHBand="0" w:noVBand="1"/>
      </w:tblPr>
      <w:tblGrid>
        <w:gridCol w:w="4390"/>
        <w:gridCol w:w="2313"/>
        <w:gridCol w:w="2313"/>
      </w:tblGrid>
      <w:tr w:rsidR="00327838" w:rsidRPr="00A8482B" w14:paraId="26314EA3" w14:textId="77777777" w:rsidTr="00AC00CD">
        <w:tc>
          <w:tcPr>
            <w:tcW w:w="4390" w:type="dxa"/>
            <w:vAlign w:val="center"/>
          </w:tcPr>
          <w:p w14:paraId="1E4DA859" w14:textId="77777777" w:rsidR="00327838" w:rsidRPr="00A8482B" w:rsidRDefault="00327838" w:rsidP="00A8482B">
            <w:pPr>
              <w:pStyle w:val="TableText0"/>
              <w:jc w:val="left"/>
              <w:rPr>
                <w:b/>
                <w:bCs w:val="0"/>
              </w:rPr>
            </w:pPr>
          </w:p>
        </w:tc>
        <w:tc>
          <w:tcPr>
            <w:tcW w:w="2313" w:type="dxa"/>
            <w:vAlign w:val="center"/>
          </w:tcPr>
          <w:p w14:paraId="24401508" w14:textId="77777777" w:rsidR="00327838" w:rsidRPr="00A8482B" w:rsidRDefault="00327838" w:rsidP="00561983">
            <w:pPr>
              <w:pStyle w:val="TableText0"/>
              <w:rPr>
                <w:b/>
                <w:bCs w:val="0"/>
              </w:rPr>
            </w:pPr>
            <w:r w:rsidRPr="00A8482B">
              <w:rPr>
                <w:b/>
                <w:bCs w:val="0"/>
              </w:rPr>
              <w:t>MOVE (PVO-treated)</w:t>
            </w:r>
          </w:p>
          <w:p w14:paraId="49739E4F" w14:textId="77777777" w:rsidR="00327838" w:rsidRPr="00A8482B" w:rsidRDefault="00327838" w:rsidP="00561983">
            <w:pPr>
              <w:pStyle w:val="TableText0"/>
              <w:rPr>
                <w:b/>
                <w:bCs w:val="0"/>
              </w:rPr>
            </w:pPr>
            <w:r w:rsidRPr="00A8482B">
              <w:rPr>
                <w:b/>
                <w:bCs w:val="0"/>
              </w:rPr>
              <w:t>N = 99</w:t>
            </w:r>
          </w:p>
        </w:tc>
        <w:tc>
          <w:tcPr>
            <w:tcW w:w="2313" w:type="dxa"/>
            <w:vAlign w:val="center"/>
          </w:tcPr>
          <w:p w14:paraId="738D24B2" w14:textId="77777777" w:rsidR="00327838" w:rsidRPr="00A8482B" w:rsidRDefault="00327838" w:rsidP="00561983">
            <w:pPr>
              <w:pStyle w:val="TableText0"/>
              <w:rPr>
                <w:b/>
                <w:bCs w:val="0"/>
              </w:rPr>
            </w:pPr>
            <w:r w:rsidRPr="00A8482B">
              <w:rPr>
                <w:b/>
                <w:bCs w:val="0"/>
              </w:rPr>
              <w:t>NHS (Untreated)</w:t>
            </w:r>
          </w:p>
          <w:p w14:paraId="08C5C55E" w14:textId="77777777" w:rsidR="00327838" w:rsidRPr="00A8482B" w:rsidRDefault="00327838" w:rsidP="00561983">
            <w:pPr>
              <w:pStyle w:val="TableText0"/>
              <w:rPr>
                <w:b/>
                <w:bCs w:val="0"/>
              </w:rPr>
            </w:pPr>
            <w:r w:rsidRPr="00A8482B">
              <w:rPr>
                <w:b/>
                <w:bCs w:val="0"/>
              </w:rPr>
              <w:t>N = 111</w:t>
            </w:r>
          </w:p>
        </w:tc>
      </w:tr>
      <w:tr w:rsidR="00327838" w:rsidRPr="00BE5A28" w14:paraId="298F1049" w14:textId="77777777" w:rsidTr="00AC00CD">
        <w:tc>
          <w:tcPr>
            <w:tcW w:w="4390" w:type="dxa"/>
            <w:vAlign w:val="center"/>
          </w:tcPr>
          <w:p w14:paraId="4CA2927D" w14:textId="77777777" w:rsidR="00327838" w:rsidRPr="00BE5A28" w:rsidRDefault="00327838" w:rsidP="00A8482B">
            <w:pPr>
              <w:pStyle w:val="TableText0"/>
              <w:jc w:val="left"/>
            </w:pPr>
            <w:r w:rsidRPr="00BE5A28">
              <w:t>Baseline mean (SD)</w:t>
            </w:r>
          </w:p>
        </w:tc>
        <w:tc>
          <w:tcPr>
            <w:tcW w:w="2313" w:type="dxa"/>
            <w:vAlign w:val="center"/>
          </w:tcPr>
          <w:p w14:paraId="13DAA5FF" w14:textId="77777777" w:rsidR="00327838" w:rsidRPr="00BE5A28" w:rsidRDefault="00327838" w:rsidP="00561983">
            <w:pPr>
              <w:pStyle w:val="TableText0"/>
            </w:pPr>
            <w:r w:rsidRPr="00BE5A28">
              <w:t>10.0 (6.1)</w:t>
            </w:r>
          </w:p>
        </w:tc>
        <w:tc>
          <w:tcPr>
            <w:tcW w:w="2313" w:type="dxa"/>
            <w:vAlign w:val="center"/>
          </w:tcPr>
          <w:p w14:paraId="461EE048" w14:textId="77777777" w:rsidR="00327838" w:rsidRPr="00BE5A28" w:rsidRDefault="00327838" w:rsidP="00561983">
            <w:pPr>
              <w:pStyle w:val="TableText0"/>
            </w:pPr>
            <w:r w:rsidRPr="00BE5A28">
              <w:t>11.8 (7.0)</w:t>
            </w:r>
          </w:p>
        </w:tc>
      </w:tr>
      <w:tr w:rsidR="00327838" w:rsidRPr="00BE5A28" w14:paraId="23CD32A1" w14:textId="77777777" w:rsidTr="00AC00CD">
        <w:tc>
          <w:tcPr>
            <w:tcW w:w="4390" w:type="dxa"/>
            <w:vAlign w:val="center"/>
          </w:tcPr>
          <w:p w14:paraId="70708A19" w14:textId="77777777" w:rsidR="00327838" w:rsidRPr="00BE5A28" w:rsidRDefault="00327838" w:rsidP="00A8482B">
            <w:pPr>
              <w:pStyle w:val="TableText0"/>
              <w:jc w:val="left"/>
            </w:pPr>
            <w:r w:rsidRPr="00BE5A28">
              <w:t>Mean change from baseline at Month 6 (SD)</w:t>
            </w:r>
          </w:p>
        </w:tc>
        <w:tc>
          <w:tcPr>
            <w:tcW w:w="2313" w:type="dxa"/>
            <w:vAlign w:val="center"/>
          </w:tcPr>
          <w:p w14:paraId="286EC929" w14:textId="77777777" w:rsidR="00327838" w:rsidRPr="00BE5A28" w:rsidRDefault="00327838" w:rsidP="00561983">
            <w:pPr>
              <w:pStyle w:val="TableText0"/>
            </w:pPr>
            <w:r w:rsidRPr="00BE5A28">
              <w:t>N = 88</w:t>
            </w:r>
          </w:p>
          <w:p w14:paraId="3D27E8E9" w14:textId="77777777" w:rsidR="00327838" w:rsidRPr="00BE5A28" w:rsidRDefault="00327838" w:rsidP="00561983">
            <w:pPr>
              <w:pStyle w:val="TableText0"/>
            </w:pPr>
            <w:r w:rsidRPr="00BE5A28">
              <w:t>0.2 (1.5)</w:t>
            </w:r>
          </w:p>
        </w:tc>
        <w:tc>
          <w:tcPr>
            <w:tcW w:w="2313" w:type="dxa"/>
            <w:vAlign w:val="center"/>
          </w:tcPr>
          <w:p w14:paraId="3F1F0345" w14:textId="77777777" w:rsidR="00327838" w:rsidRPr="00BE5A28" w:rsidRDefault="00327838" w:rsidP="00561983">
            <w:pPr>
              <w:pStyle w:val="TableText0"/>
            </w:pPr>
            <w:r w:rsidRPr="00BE5A28">
              <w:t>NA</w:t>
            </w:r>
          </w:p>
        </w:tc>
      </w:tr>
      <w:tr w:rsidR="00327838" w:rsidRPr="00BE5A28" w14:paraId="25CE620A" w14:textId="77777777" w:rsidTr="00AC00CD">
        <w:tc>
          <w:tcPr>
            <w:tcW w:w="4390" w:type="dxa"/>
            <w:vAlign w:val="center"/>
          </w:tcPr>
          <w:p w14:paraId="121C05AF" w14:textId="77777777" w:rsidR="00327838" w:rsidRPr="00BE5A28" w:rsidRDefault="00327838" w:rsidP="00A8482B">
            <w:pPr>
              <w:pStyle w:val="TableText0"/>
              <w:jc w:val="left"/>
            </w:pPr>
            <w:r w:rsidRPr="00BE5A28">
              <w:t>Mean change from baseline at Month 12 (SD)</w:t>
            </w:r>
          </w:p>
        </w:tc>
        <w:tc>
          <w:tcPr>
            <w:tcW w:w="2313" w:type="dxa"/>
            <w:vAlign w:val="center"/>
          </w:tcPr>
          <w:p w14:paraId="5812D115" w14:textId="77777777" w:rsidR="00327838" w:rsidRPr="00BE5A28" w:rsidRDefault="00327838" w:rsidP="00561983">
            <w:pPr>
              <w:pStyle w:val="TableText0"/>
            </w:pPr>
            <w:r w:rsidRPr="00BE5A28">
              <w:t>N = 86</w:t>
            </w:r>
          </w:p>
          <w:p w14:paraId="64EBE98B" w14:textId="77777777" w:rsidR="00327838" w:rsidRPr="00BE5A28" w:rsidRDefault="00327838" w:rsidP="00561983">
            <w:pPr>
              <w:pStyle w:val="TableText0"/>
            </w:pPr>
            <w:r w:rsidRPr="00BE5A28">
              <w:t>0.5 (2.0)</w:t>
            </w:r>
          </w:p>
        </w:tc>
        <w:tc>
          <w:tcPr>
            <w:tcW w:w="2313" w:type="dxa"/>
            <w:vAlign w:val="center"/>
          </w:tcPr>
          <w:p w14:paraId="496B6E4F" w14:textId="77777777" w:rsidR="00327838" w:rsidRPr="00BE5A28" w:rsidRDefault="00327838" w:rsidP="00561983">
            <w:pPr>
              <w:pStyle w:val="TableText0"/>
            </w:pPr>
            <w:r w:rsidRPr="00BE5A28">
              <w:t>N = 99</w:t>
            </w:r>
          </w:p>
          <w:p w14:paraId="3973AD5C" w14:textId="77777777" w:rsidR="00327838" w:rsidRPr="00BE5A28" w:rsidRDefault="00327838" w:rsidP="00561983">
            <w:pPr>
              <w:pStyle w:val="TableText0"/>
            </w:pPr>
            <w:r w:rsidRPr="00BE5A28">
              <w:t>0.6 (2.4)</w:t>
            </w:r>
          </w:p>
        </w:tc>
      </w:tr>
      <w:tr w:rsidR="00327838" w:rsidRPr="00BE5A28" w14:paraId="6BC723AB" w14:textId="77777777" w:rsidTr="00AC00CD">
        <w:tc>
          <w:tcPr>
            <w:tcW w:w="4390" w:type="dxa"/>
            <w:vAlign w:val="center"/>
          </w:tcPr>
          <w:p w14:paraId="7993D546" w14:textId="77777777" w:rsidR="00327838" w:rsidRPr="00BE5A28" w:rsidRDefault="00327838" w:rsidP="00A8482B">
            <w:pPr>
              <w:pStyle w:val="TableText0"/>
              <w:jc w:val="left"/>
            </w:pPr>
            <w:r w:rsidRPr="00BE5A28">
              <w:t>Mean change from baseline at Month 18 (SD)</w:t>
            </w:r>
          </w:p>
        </w:tc>
        <w:tc>
          <w:tcPr>
            <w:tcW w:w="2313" w:type="dxa"/>
            <w:vAlign w:val="center"/>
          </w:tcPr>
          <w:p w14:paraId="3769CEC0" w14:textId="77777777" w:rsidR="00327838" w:rsidRPr="00BE5A28" w:rsidRDefault="00327838" w:rsidP="00561983">
            <w:pPr>
              <w:pStyle w:val="TableText0"/>
            </w:pPr>
            <w:r w:rsidRPr="00BE5A28">
              <w:t>N = 63</w:t>
            </w:r>
          </w:p>
          <w:p w14:paraId="712D5A03" w14:textId="77777777" w:rsidR="00327838" w:rsidRPr="00BE5A28" w:rsidRDefault="00327838" w:rsidP="00561983">
            <w:pPr>
              <w:pStyle w:val="TableText0"/>
            </w:pPr>
            <w:r w:rsidRPr="00BE5A28">
              <w:t>0.7 (2.1)</w:t>
            </w:r>
          </w:p>
        </w:tc>
        <w:tc>
          <w:tcPr>
            <w:tcW w:w="2313" w:type="dxa"/>
            <w:vAlign w:val="center"/>
          </w:tcPr>
          <w:p w14:paraId="73E3231E" w14:textId="77777777" w:rsidR="00327838" w:rsidRPr="00BE5A28" w:rsidRDefault="00327838" w:rsidP="00561983">
            <w:pPr>
              <w:pStyle w:val="TableText0"/>
            </w:pPr>
            <w:r w:rsidRPr="00BE5A28">
              <w:t>NA</w:t>
            </w:r>
          </w:p>
        </w:tc>
      </w:tr>
      <w:tr w:rsidR="00327838" w:rsidRPr="00BE5A28" w14:paraId="47D8FFAA" w14:textId="77777777" w:rsidTr="00AC00CD">
        <w:tc>
          <w:tcPr>
            <w:tcW w:w="4390" w:type="dxa"/>
            <w:vAlign w:val="center"/>
          </w:tcPr>
          <w:p w14:paraId="51B03501" w14:textId="77777777" w:rsidR="00327838" w:rsidRPr="00BE5A28" w:rsidRDefault="00327838" w:rsidP="00A8482B">
            <w:pPr>
              <w:pStyle w:val="TableText0"/>
              <w:jc w:val="left"/>
            </w:pPr>
            <w:r w:rsidRPr="00BE5A28">
              <w:t>Mean change from baseline at Month 24 (SD)</w:t>
            </w:r>
          </w:p>
        </w:tc>
        <w:tc>
          <w:tcPr>
            <w:tcW w:w="2313" w:type="dxa"/>
            <w:vAlign w:val="center"/>
          </w:tcPr>
          <w:p w14:paraId="6FEE5821" w14:textId="77777777" w:rsidR="00327838" w:rsidRPr="00BE5A28" w:rsidRDefault="00327838" w:rsidP="00561983">
            <w:pPr>
              <w:pStyle w:val="TableText0"/>
            </w:pPr>
            <w:r w:rsidRPr="00BE5A28">
              <w:t>N = 0</w:t>
            </w:r>
          </w:p>
        </w:tc>
        <w:tc>
          <w:tcPr>
            <w:tcW w:w="2313" w:type="dxa"/>
            <w:vAlign w:val="center"/>
          </w:tcPr>
          <w:p w14:paraId="25B7D1FE" w14:textId="77777777" w:rsidR="00327838" w:rsidRPr="00BE5A28" w:rsidRDefault="00327838" w:rsidP="00561983">
            <w:pPr>
              <w:pStyle w:val="TableText0"/>
            </w:pPr>
            <w:r w:rsidRPr="00BE5A28">
              <w:t>N = 70</w:t>
            </w:r>
          </w:p>
          <w:p w14:paraId="17FFB53F" w14:textId="77777777" w:rsidR="00327838" w:rsidRPr="00BE5A28" w:rsidRDefault="00327838" w:rsidP="00561983">
            <w:pPr>
              <w:pStyle w:val="TableText0"/>
            </w:pPr>
            <w:r w:rsidRPr="00BE5A28">
              <w:t>0.8 (2.5)</w:t>
            </w:r>
          </w:p>
        </w:tc>
      </w:tr>
    </w:tbl>
    <w:p w14:paraId="6AD4E510" w14:textId="77777777" w:rsidR="00327838" w:rsidRPr="00BE5A28" w:rsidRDefault="00327838" w:rsidP="007913E5">
      <w:pPr>
        <w:pStyle w:val="TableFigureFooter"/>
      </w:pPr>
      <w:r w:rsidRPr="00BE5A28">
        <w:t>Source: Table 2.5-7, p116 of the submission.</w:t>
      </w:r>
    </w:p>
    <w:p w14:paraId="04647B85" w14:textId="77777777" w:rsidR="00327838" w:rsidRPr="00BE5A28" w:rsidRDefault="00327838" w:rsidP="007913E5">
      <w:pPr>
        <w:pStyle w:val="TableFigureFooter"/>
      </w:pPr>
      <w:r w:rsidRPr="00BE5A28">
        <w:t>NHS = Natural history study; PVO = Palovarotene; DCO = Data cut-off; SD = Standard deviation; CAJIS = Cumulative Analogue Joint Involvement Scale for FOP</w:t>
      </w:r>
    </w:p>
    <w:p w14:paraId="1DE35597" w14:textId="77777777" w:rsidR="00327838" w:rsidRPr="00BE5A28" w:rsidRDefault="00327838" w:rsidP="007913E5">
      <w:pPr>
        <w:pStyle w:val="TableFigureFooter"/>
      </w:pPr>
      <w:r w:rsidRPr="00BE5A28">
        <w:t>Scores range from 0-30, with higher scores representing decreased range of motion</w:t>
      </w:r>
    </w:p>
    <w:p w14:paraId="35574524" w14:textId="77777777" w:rsidR="00327838" w:rsidRPr="00BE5A28" w:rsidRDefault="00327838" w:rsidP="007913E5">
      <w:pPr>
        <w:pStyle w:val="TableFigureFooter"/>
      </w:pPr>
      <w:r w:rsidRPr="00BE5A28">
        <w:t>At baseline all patients having a valid value are included. For the post-baseline timepoints, only patients with a non-missing baseline and post-baseline value are included.</w:t>
      </w:r>
    </w:p>
    <w:p w14:paraId="70045443" w14:textId="77777777" w:rsidR="00327838" w:rsidRPr="00BE5A28" w:rsidRDefault="00327838" w:rsidP="007913E5">
      <w:pPr>
        <w:pStyle w:val="TableFigureFooter"/>
      </w:pPr>
      <w:r w:rsidRPr="00BE5A28">
        <w:t>The DCO for efficacy analyses in MOVE was December 2019 for patients aged &lt;14 years and January 2020 for patients ≥ 14 years. The DCO for the NHS was February 2020.</w:t>
      </w:r>
    </w:p>
    <w:p w14:paraId="579E8CF8" w14:textId="5E590429" w:rsidR="005A23B0" w:rsidRPr="005A23B0" w:rsidRDefault="005A23B0" w:rsidP="00C4189A">
      <w:pPr>
        <w:pStyle w:val="3-BodyText"/>
        <w:rPr>
          <w:color w:val="000000" w:themeColor="text1"/>
        </w:rPr>
      </w:pPr>
      <w:r>
        <w:fldChar w:fldCharType="begin" w:fldLock="1"/>
      </w:r>
      <w:r>
        <w:instrText xml:space="preserve"> REF _Ref176524429 \h </w:instrText>
      </w:r>
      <w:r>
        <w:fldChar w:fldCharType="separate"/>
      </w:r>
      <w:r w:rsidR="0043347F" w:rsidRPr="00327838">
        <w:t xml:space="preserve">Table </w:t>
      </w:r>
      <w:r w:rsidR="0043347F">
        <w:rPr>
          <w:noProof/>
        </w:rPr>
        <w:t>8</w:t>
      </w:r>
      <w:r>
        <w:fldChar w:fldCharType="end"/>
      </w:r>
      <w:r>
        <w:t xml:space="preserve"> </w:t>
      </w:r>
      <w:r w:rsidRPr="00BE5A28">
        <w:t xml:space="preserve">presents the mean change in physical function using age-appropriate forms of the </w:t>
      </w:r>
      <w:r>
        <w:t>FOP Physical performance questionnaire</w:t>
      </w:r>
      <w:r w:rsidRPr="00BE5A28">
        <w:t xml:space="preserve"> </w:t>
      </w:r>
      <w:r>
        <w:t>(</w:t>
      </w:r>
      <w:r w:rsidRPr="00BE5A28">
        <w:t>FOP-PFQ</w:t>
      </w:r>
      <w:r>
        <w:t xml:space="preserve">) </w:t>
      </w:r>
      <w:r w:rsidRPr="00BE5A28">
        <w:t>percentage of worst score over time. The FOP-PFQ is a disease-specific, validated PRO which measures physical impairment in FOP.</w:t>
      </w:r>
      <w:r w:rsidRPr="00A33AA7">
        <w:t xml:space="preserve"> </w:t>
      </w:r>
      <w:r w:rsidRPr="00BE5A28">
        <w:t>Physical function was assessed using age-appropriate forms of the FOP-PFQ. Both trials assessed FOP-PFQ at baseline and every 6 months.</w:t>
      </w:r>
      <w:r>
        <w:t xml:space="preserve"> </w:t>
      </w:r>
      <w:r w:rsidRPr="00BE5A28">
        <w:t>The FOP-PFQ includes questions about the activities of daily living and physical functioning. Patients aged ≥15 years self-completed the adult form which consists of 28 questions. Two Paediatric forms were to be utilised in patients under the age of 15 years: a self-completed form developed for patients aged between 8 and 14 years and a proxy</w:t>
      </w:r>
      <w:r w:rsidRPr="005A23B0">
        <w:rPr>
          <w:rFonts w:ascii="Cambria Math" w:hAnsi="Cambria Math" w:cs="Cambria Math"/>
        </w:rPr>
        <w:t>‑</w:t>
      </w:r>
      <w:r w:rsidRPr="00BE5A28">
        <w:t>completed form developed for patients aged between 5 to 14 years. Both paediatric questionnaires consisted of 26 questions. The proxy-completed forms were used for analyses unless only the self-completed forms were available</w:t>
      </w:r>
      <w:r w:rsidR="004F7EEE">
        <w:t xml:space="preserve">. </w:t>
      </w:r>
      <w:r w:rsidRPr="00BE5A28">
        <w:t xml:space="preserve">The mean baseline FOP-PFQ values were similar across the treatment arms. There was a similar increase in FOP-PFQ worst scores over time in </w:t>
      </w:r>
      <w:r>
        <w:t>palovarotene</w:t>
      </w:r>
      <w:r w:rsidRPr="00BE5A28">
        <w:t>-treated and untreated patients</w:t>
      </w:r>
      <w:r w:rsidR="00C4189A">
        <w:t>.</w:t>
      </w:r>
      <w:r w:rsidRPr="00BE5A28">
        <w:t xml:space="preserve"> Patients treated with </w:t>
      </w:r>
      <w:r>
        <w:t>palovarotene</w:t>
      </w:r>
      <w:r w:rsidRPr="00BE5A28">
        <w:t xml:space="preserve"> had a mean increase in the FOP-PFQ worst score of 2.53</w:t>
      </w:r>
      <w:r>
        <w:t>%</w:t>
      </w:r>
      <w:r w:rsidRPr="00BE5A28">
        <w:t xml:space="preserve"> at Month 6, 2.76</w:t>
      </w:r>
      <w:r>
        <w:t>%</w:t>
      </w:r>
      <w:r w:rsidRPr="00BE5A28">
        <w:t xml:space="preserve"> at Month 12, and 4.12</w:t>
      </w:r>
      <w:r>
        <w:t>%</w:t>
      </w:r>
      <w:r w:rsidRPr="00BE5A28">
        <w:t xml:space="preserve"> at Month 18. Untreated patients had a mean increase of 3.18</w:t>
      </w:r>
      <w:r>
        <w:t>%</w:t>
      </w:r>
      <w:r w:rsidRPr="00BE5A28">
        <w:t xml:space="preserve"> at Month 6, 4.5</w:t>
      </w:r>
      <w:r>
        <w:t>%</w:t>
      </w:r>
      <w:r w:rsidRPr="00BE5A28">
        <w:t xml:space="preserve"> at Month 12, and 4.11</w:t>
      </w:r>
      <w:r>
        <w:t>%</w:t>
      </w:r>
      <w:r w:rsidRPr="00BE5A28">
        <w:t xml:space="preserve"> at Month 18. </w:t>
      </w:r>
    </w:p>
    <w:p w14:paraId="39461BB9" w14:textId="6368A48C" w:rsidR="005A23B0" w:rsidRPr="00BE5A28" w:rsidRDefault="005A23B0" w:rsidP="005A23B0">
      <w:pPr>
        <w:pStyle w:val="TableFigureHeading"/>
      </w:pPr>
      <w:bookmarkStart w:id="33" w:name="_Ref176524429"/>
      <w:r w:rsidRPr="00327838">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8</w:t>
      </w:r>
      <w:r w:rsidR="002A4328">
        <w:rPr>
          <w:noProof/>
        </w:rPr>
        <w:fldChar w:fldCharType="end"/>
      </w:r>
      <w:bookmarkEnd w:id="33"/>
      <w:r w:rsidRPr="00BE5A28">
        <w:t>: Change in FOP-PFQ percentage of worst score over time (Principal Safety Set)</w:t>
      </w:r>
    </w:p>
    <w:tbl>
      <w:tblPr>
        <w:tblStyle w:val="TableGrid"/>
        <w:tblW w:w="0" w:type="auto"/>
        <w:tblLook w:val="04A0" w:firstRow="1" w:lastRow="0" w:firstColumn="1" w:lastColumn="0" w:noHBand="0" w:noVBand="1"/>
      </w:tblPr>
      <w:tblGrid>
        <w:gridCol w:w="4390"/>
        <w:gridCol w:w="2313"/>
        <w:gridCol w:w="2313"/>
      </w:tblGrid>
      <w:tr w:rsidR="005A23B0" w:rsidRPr="00A8482B" w14:paraId="4CC4BE14" w14:textId="77777777" w:rsidTr="00AC00CD">
        <w:tc>
          <w:tcPr>
            <w:tcW w:w="4390" w:type="dxa"/>
            <w:vAlign w:val="center"/>
          </w:tcPr>
          <w:p w14:paraId="51A26D49" w14:textId="77777777" w:rsidR="005A23B0" w:rsidRPr="00A8482B" w:rsidRDefault="005A23B0" w:rsidP="00A8482B">
            <w:pPr>
              <w:pStyle w:val="TableText0"/>
              <w:jc w:val="left"/>
              <w:rPr>
                <w:b/>
                <w:bCs w:val="0"/>
              </w:rPr>
            </w:pPr>
          </w:p>
        </w:tc>
        <w:tc>
          <w:tcPr>
            <w:tcW w:w="2313" w:type="dxa"/>
          </w:tcPr>
          <w:p w14:paraId="5F4764A1" w14:textId="77777777" w:rsidR="005A23B0" w:rsidRPr="00A8482B" w:rsidRDefault="005A23B0" w:rsidP="00561983">
            <w:pPr>
              <w:pStyle w:val="TableText0"/>
              <w:rPr>
                <w:b/>
                <w:bCs w:val="0"/>
              </w:rPr>
            </w:pPr>
            <w:r w:rsidRPr="00A8482B">
              <w:rPr>
                <w:b/>
                <w:bCs w:val="0"/>
              </w:rPr>
              <w:t>MOVE (PVO-treated)</w:t>
            </w:r>
          </w:p>
          <w:p w14:paraId="50EC6FE5" w14:textId="77777777" w:rsidR="005A23B0" w:rsidRPr="00A8482B" w:rsidRDefault="005A23B0" w:rsidP="00561983">
            <w:pPr>
              <w:pStyle w:val="TableText0"/>
              <w:rPr>
                <w:b/>
                <w:bCs w:val="0"/>
              </w:rPr>
            </w:pPr>
            <w:r w:rsidRPr="00A8482B">
              <w:rPr>
                <w:b/>
                <w:bCs w:val="0"/>
              </w:rPr>
              <w:t>N = 99</w:t>
            </w:r>
          </w:p>
        </w:tc>
        <w:tc>
          <w:tcPr>
            <w:tcW w:w="2313" w:type="dxa"/>
          </w:tcPr>
          <w:p w14:paraId="198D8441" w14:textId="77777777" w:rsidR="005A23B0" w:rsidRPr="00A8482B" w:rsidRDefault="005A23B0" w:rsidP="00561983">
            <w:pPr>
              <w:pStyle w:val="TableText0"/>
              <w:rPr>
                <w:b/>
                <w:bCs w:val="0"/>
              </w:rPr>
            </w:pPr>
            <w:r w:rsidRPr="00A8482B">
              <w:rPr>
                <w:b/>
                <w:bCs w:val="0"/>
              </w:rPr>
              <w:t>NHS (Untreated)</w:t>
            </w:r>
          </w:p>
          <w:p w14:paraId="65175FD8" w14:textId="77777777" w:rsidR="005A23B0" w:rsidRPr="00A8482B" w:rsidRDefault="005A23B0" w:rsidP="00561983">
            <w:pPr>
              <w:pStyle w:val="TableText0"/>
              <w:rPr>
                <w:b/>
                <w:bCs w:val="0"/>
              </w:rPr>
            </w:pPr>
            <w:r w:rsidRPr="00A8482B">
              <w:rPr>
                <w:b/>
                <w:bCs w:val="0"/>
              </w:rPr>
              <w:t>N = 111</w:t>
            </w:r>
          </w:p>
        </w:tc>
      </w:tr>
      <w:tr w:rsidR="005A23B0" w:rsidRPr="00BE5A28" w14:paraId="62ED23D8" w14:textId="77777777" w:rsidTr="00AC00CD">
        <w:tc>
          <w:tcPr>
            <w:tcW w:w="4390" w:type="dxa"/>
            <w:vAlign w:val="center"/>
          </w:tcPr>
          <w:p w14:paraId="32BCF296" w14:textId="77777777" w:rsidR="005A23B0" w:rsidRPr="00BE5A28" w:rsidRDefault="005A23B0" w:rsidP="00A8482B">
            <w:pPr>
              <w:pStyle w:val="TableText0"/>
              <w:jc w:val="left"/>
            </w:pPr>
            <w:r w:rsidRPr="00BE5A28">
              <w:t>Baseline mean (SD)</w:t>
            </w:r>
          </w:p>
        </w:tc>
        <w:tc>
          <w:tcPr>
            <w:tcW w:w="2313" w:type="dxa"/>
            <w:vAlign w:val="center"/>
          </w:tcPr>
          <w:p w14:paraId="15B33EDC" w14:textId="77777777" w:rsidR="005A23B0" w:rsidRPr="00BE5A28" w:rsidRDefault="005A23B0" w:rsidP="00561983">
            <w:pPr>
              <w:pStyle w:val="TableText0"/>
            </w:pPr>
            <w:r w:rsidRPr="00BE5A28">
              <w:t>44.28 (26.86)</w:t>
            </w:r>
          </w:p>
        </w:tc>
        <w:tc>
          <w:tcPr>
            <w:tcW w:w="2313" w:type="dxa"/>
            <w:vAlign w:val="center"/>
          </w:tcPr>
          <w:p w14:paraId="187F33A6" w14:textId="77777777" w:rsidR="005A23B0" w:rsidRPr="00BE5A28" w:rsidRDefault="005A23B0" w:rsidP="00561983">
            <w:pPr>
              <w:pStyle w:val="TableText0"/>
            </w:pPr>
            <w:r w:rsidRPr="00BE5A28">
              <w:t>46.97 (28.06)</w:t>
            </w:r>
          </w:p>
        </w:tc>
      </w:tr>
      <w:tr w:rsidR="005A23B0" w:rsidRPr="00BE5A28" w14:paraId="7173F877" w14:textId="77777777" w:rsidTr="00AC00CD">
        <w:tc>
          <w:tcPr>
            <w:tcW w:w="4390" w:type="dxa"/>
            <w:vAlign w:val="center"/>
          </w:tcPr>
          <w:p w14:paraId="3E850CAE" w14:textId="77777777" w:rsidR="005A23B0" w:rsidRPr="00BE5A28" w:rsidRDefault="005A23B0" w:rsidP="00A8482B">
            <w:pPr>
              <w:pStyle w:val="TableText0"/>
              <w:jc w:val="left"/>
            </w:pPr>
            <w:r w:rsidRPr="00BE5A28">
              <w:t>Mean change from baseline at Month 6 (SD)</w:t>
            </w:r>
          </w:p>
        </w:tc>
        <w:tc>
          <w:tcPr>
            <w:tcW w:w="2313" w:type="dxa"/>
            <w:vAlign w:val="center"/>
          </w:tcPr>
          <w:p w14:paraId="114448AE" w14:textId="77777777" w:rsidR="005A23B0" w:rsidRPr="00BE5A28" w:rsidRDefault="005A23B0" w:rsidP="00561983">
            <w:pPr>
              <w:pStyle w:val="TableText0"/>
            </w:pPr>
            <w:r w:rsidRPr="00BE5A28">
              <w:t>N = 82</w:t>
            </w:r>
          </w:p>
          <w:p w14:paraId="03A4EA0C" w14:textId="77777777" w:rsidR="005A23B0" w:rsidRPr="00BE5A28" w:rsidRDefault="005A23B0" w:rsidP="00561983">
            <w:pPr>
              <w:pStyle w:val="TableText0"/>
            </w:pPr>
            <w:r w:rsidRPr="00BE5A28">
              <w:t>2.53 (9.62)</w:t>
            </w:r>
          </w:p>
        </w:tc>
        <w:tc>
          <w:tcPr>
            <w:tcW w:w="2313" w:type="dxa"/>
            <w:vAlign w:val="center"/>
          </w:tcPr>
          <w:p w14:paraId="68B36FA0" w14:textId="77777777" w:rsidR="005A23B0" w:rsidRPr="00BE5A28" w:rsidRDefault="005A23B0" w:rsidP="00561983">
            <w:pPr>
              <w:pStyle w:val="TableText0"/>
            </w:pPr>
            <w:r w:rsidRPr="00BE5A28">
              <w:t>N = 76</w:t>
            </w:r>
          </w:p>
          <w:p w14:paraId="46CE3FD7" w14:textId="77777777" w:rsidR="005A23B0" w:rsidRPr="00BE5A28" w:rsidRDefault="005A23B0" w:rsidP="00561983">
            <w:pPr>
              <w:pStyle w:val="TableText0"/>
            </w:pPr>
            <w:r w:rsidRPr="00BE5A28">
              <w:t>3.18 (9.34)</w:t>
            </w:r>
          </w:p>
        </w:tc>
      </w:tr>
      <w:tr w:rsidR="005A23B0" w:rsidRPr="00BE5A28" w14:paraId="30579261" w14:textId="77777777" w:rsidTr="00AC00CD">
        <w:tc>
          <w:tcPr>
            <w:tcW w:w="4390" w:type="dxa"/>
            <w:vAlign w:val="center"/>
          </w:tcPr>
          <w:p w14:paraId="090FD383" w14:textId="77777777" w:rsidR="005A23B0" w:rsidRPr="00BE5A28" w:rsidRDefault="005A23B0" w:rsidP="00A8482B">
            <w:pPr>
              <w:pStyle w:val="TableText0"/>
              <w:jc w:val="left"/>
            </w:pPr>
            <w:r w:rsidRPr="00BE5A28">
              <w:t>Mean change from baseline at Month 12 (SD)</w:t>
            </w:r>
          </w:p>
        </w:tc>
        <w:tc>
          <w:tcPr>
            <w:tcW w:w="2313" w:type="dxa"/>
            <w:vAlign w:val="center"/>
          </w:tcPr>
          <w:p w14:paraId="3F31F9D1" w14:textId="77777777" w:rsidR="005A23B0" w:rsidRPr="00BE5A28" w:rsidRDefault="005A23B0" w:rsidP="00561983">
            <w:pPr>
              <w:pStyle w:val="TableText0"/>
            </w:pPr>
            <w:r w:rsidRPr="00BE5A28">
              <w:t>N = 71</w:t>
            </w:r>
          </w:p>
          <w:p w14:paraId="7B49ADB9" w14:textId="77777777" w:rsidR="005A23B0" w:rsidRPr="00BE5A28" w:rsidRDefault="005A23B0" w:rsidP="00561983">
            <w:pPr>
              <w:pStyle w:val="TableText0"/>
            </w:pPr>
            <w:r w:rsidRPr="00BE5A28">
              <w:t>2.76 (7.77)</w:t>
            </w:r>
          </w:p>
        </w:tc>
        <w:tc>
          <w:tcPr>
            <w:tcW w:w="2313" w:type="dxa"/>
            <w:vAlign w:val="center"/>
          </w:tcPr>
          <w:p w14:paraId="549A9A80" w14:textId="77777777" w:rsidR="005A23B0" w:rsidRPr="00BE5A28" w:rsidRDefault="005A23B0" w:rsidP="00561983">
            <w:pPr>
              <w:pStyle w:val="TableText0"/>
            </w:pPr>
            <w:r w:rsidRPr="00BE5A28">
              <w:t>N = 82</w:t>
            </w:r>
          </w:p>
          <w:p w14:paraId="4A2609EC" w14:textId="77777777" w:rsidR="005A23B0" w:rsidRPr="00BE5A28" w:rsidRDefault="005A23B0" w:rsidP="00561983">
            <w:pPr>
              <w:pStyle w:val="TableText0"/>
            </w:pPr>
            <w:r w:rsidRPr="00BE5A28">
              <w:t>4.50 (8.88)</w:t>
            </w:r>
          </w:p>
        </w:tc>
      </w:tr>
      <w:tr w:rsidR="005A23B0" w:rsidRPr="00BE5A28" w14:paraId="3E8B0FA0" w14:textId="77777777" w:rsidTr="00AC00CD">
        <w:tc>
          <w:tcPr>
            <w:tcW w:w="4390" w:type="dxa"/>
            <w:vAlign w:val="center"/>
          </w:tcPr>
          <w:p w14:paraId="2A975F71" w14:textId="77777777" w:rsidR="005A23B0" w:rsidRPr="00BE5A28" w:rsidRDefault="005A23B0" w:rsidP="00A8482B">
            <w:pPr>
              <w:pStyle w:val="TableText0"/>
              <w:jc w:val="left"/>
            </w:pPr>
            <w:r w:rsidRPr="00BE5A28">
              <w:t>Mean change from baseline at Month 18 (SD)</w:t>
            </w:r>
          </w:p>
        </w:tc>
        <w:tc>
          <w:tcPr>
            <w:tcW w:w="2313" w:type="dxa"/>
            <w:vAlign w:val="center"/>
          </w:tcPr>
          <w:p w14:paraId="0C35417A" w14:textId="77777777" w:rsidR="005A23B0" w:rsidRPr="00BE5A28" w:rsidRDefault="005A23B0" w:rsidP="00561983">
            <w:pPr>
              <w:pStyle w:val="TableText0"/>
            </w:pPr>
            <w:r w:rsidRPr="00BE5A28">
              <w:t>N = 51</w:t>
            </w:r>
          </w:p>
          <w:p w14:paraId="721DAD79" w14:textId="77777777" w:rsidR="005A23B0" w:rsidRPr="00BE5A28" w:rsidRDefault="005A23B0" w:rsidP="00561983">
            <w:pPr>
              <w:pStyle w:val="TableText0"/>
            </w:pPr>
            <w:r w:rsidRPr="00BE5A28">
              <w:t>4.12 (12.98)</w:t>
            </w:r>
          </w:p>
        </w:tc>
        <w:tc>
          <w:tcPr>
            <w:tcW w:w="2313" w:type="dxa"/>
            <w:vAlign w:val="center"/>
          </w:tcPr>
          <w:p w14:paraId="7794F816" w14:textId="77777777" w:rsidR="005A23B0" w:rsidRPr="00BE5A28" w:rsidRDefault="005A23B0" w:rsidP="00561983">
            <w:pPr>
              <w:pStyle w:val="TableText0"/>
            </w:pPr>
            <w:r w:rsidRPr="00BE5A28">
              <w:t>N = 56</w:t>
            </w:r>
          </w:p>
          <w:p w14:paraId="28FE4ADF" w14:textId="77777777" w:rsidR="005A23B0" w:rsidRPr="00BE5A28" w:rsidRDefault="005A23B0" w:rsidP="00561983">
            <w:pPr>
              <w:pStyle w:val="TableText0"/>
            </w:pPr>
            <w:r w:rsidRPr="00BE5A28">
              <w:t>4.11 (10.08)</w:t>
            </w:r>
          </w:p>
        </w:tc>
      </w:tr>
      <w:tr w:rsidR="005A23B0" w:rsidRPr="00BE5A28" w14:paraId="795469B7" w14:textId="77777777" w:rsidTr="00AC00CD">
        <w:tc>
          <w:tcPr>
            <w:tcW w:w="4390" w:type="dxa"/>
            <w:vAlign w:val="center"/>
          </w:tcPr>
          <w:p w14:paraId="77E332F5" w14:textId="77777777" w:rsidR="005A23B0" w:rsidRPr="00BE5A28" w:rsidRDefault="005A23B0" w:rsidP="00A8482B">
            <w:pPr>
              <w:pStyle w:val="TableText0"/>
              <w:jc w:val="left"/>
            </w:pPr>
            <w:r w:rsidRPr="00BE5A28">
              <w:t>Mean change from baseline at Month 24 (SD)</w:t>
            </w:r>
          </w:p>
        </w:tc>
        <w:tc>
          <w:tcPr>
            <w:tcW w:w="2313" w:type="dxa"/>
            <w:vAlign w:val="center"/>
          </w:tcPr>
          <w:p w14:paraId="6226C5EE" w14:textId="77777777" w:rsidR="005A23B0" w:rsidRPr="00BE5A28" w:rsidRDefault="005A23B0" w:rsidP="00561983">
            <w:pPr>
              <w:pStyle w:val="TableText0"/>
            </w:pPr>
            <w:r w:rsidRPr="00BE5A28">
              <w:t>N = 0</w:t>
            </w:r>
          </w:p>
        </w:tc>
        <w:tc>
          <w:tcPr>
            <w:tcW w:w="2313" w:type="dxa"/>
            <w:vAlign w:val="center"/>
          </w:tcPr>
          <w:p w14:paraId="04842F14" w14:textId="77777777" w:rsidR="005A23B0" w:rsidRPr="00BE5A28" w:rsidRDefault="005A23B0" w:rsidP="00561983">
            <w:pPr>
              <w:pStyle w:val="TableText0"/>
            </w:pPr>
            <w:r w:rsidRPr="00BE5A28">
              <w:t>N = 61</w:t>
            </w:r>
          </w:p>
          <w:p w14:paraId="5E0ED028" w14:textId="77777777" w:rsidR="005A23B0" w:rsidRPr="00BE5A28" w:rsidRDefault="005A23B0" w:rsidP="00561983">
            <w:pPr>
              <w:pStyle w:val="TableText0"/>
            </w:pPr>
            <w:r w:rsidRPr="00BE5A28">
              <w:t>4.46 (9.10)</w:t>
            </w:r>
          </w:p>
        </w:tc>
      </w:tr>
    </w:tbl>
    <w:p w14:paraId="366893DB" w14:textId="77777777" w:rsidR="005A23B0" w:rsidRPr="00BE5A28" w:rsidRDefault="005A23B0" w:rsidP="007913E5">
      <w:pPr>
        <w:pStyle w:val="TableFigureFooter"/>
      </w:pPr>
      <w:r w:rsidRPr="00BE5A28">
        <w:t>Source: Table 2.5-8, p117 of the submission.</w:t>
      </w:r>
    </w:p>
    <w:p w14:paraId="64FD147E" w14:textId="77777777" w:rsidR="005A23B0" w:rsidRPr="00BE5A28" w:rsidRDefault="005A23B0" w:rsidP="007913E5">
      <w:pPr>
        <w:pStyle w:val="TableFigureFooter"/>
      </w:pPr>
      <w:r w:rsidRPr="00BE5A28">
        <w:t>Abbreviations: NHS = Natural history study; PVO = Palovarotene; DCO = Data cut-off; SD = Standard deviation; FOP-PFQ = FOP-Physical Function Questionnaire</w:t>
      </w:r>
    </w:p>
    <w:p w14:paraId="3EEAE1E6" w14:textId="2973DDF4" w:rsidR="005A23B0" w:rsidRPr="00BE5A28" w:rsidRDefault="005A23B0" w:rsidP="007913E5">
      <w:pPr>
        <w:pStyle w:val="TableFigureFooter"/>
      </w:pPr>
      <w:r w:rsidRPr="00BE5A28">
        <w:t>Percentage of worst score is calculated as (Best Possible score – Actual score) / (Max – Min of possible scores) and it is specific</w:t>
      </w:r>
      <w:r w:rsidR="005D6917">
        <w:t xml:space="preserve"> </w:t>
      </w:r>
      <w:r w:rsidRPr="00BE5A28">
        <w:t>to each age-appropriate questionnaire.</w:t>
      </w:r>
    </w:p>
    <w:p w14:paraId="53E90D45" w14:textId="77777777" w:rsidR="005A23B0" w:rsidRPr="00BE5A28" w:rsidRDefault="005A23B0" w:rsidP="007913E5">
      <w:pPr>
        <w:pStyle w:val="TableFigureFooter"/>
      </w:pPr>
      <w:r w:rsidRPr="00BE5A28">
        <w:t>Results are expressed as a percentage of the worst possible score (0–100%), with higher scores represent worse physical functioning.</w:t>
      </w:r>
    </w:p>
    <w:p w14:paraId="72F162E9" w14:textId="30DF1F07" w:rsidR="005A23B0" w:rsidRPr="00A8482B" w:rsidRDefault="005A23B0" w:rsidP="007913E5">
      <w:pPr>
        <w:pStyle w:val="TableFigureFooter"/>
      </w:pPr>
      <w:r w:rsidRPr="00BE5A28">
        <w:t>Only patients with a non-missing baseline and post-baseline percentage of worst value are included.</w:t>
      </w:r>
    </w:p>
    <w:p w14:paraId="32F45241" w14:textId="74610F9B" w:rsidR="005A23B0" w:rsidRPr="005A23B0" w:rsidRDefault="005A23B0" w:rsidP="005A23B0">
      <w:pPr>
        <w:pStyle w:val="3-BodyText"/>
        <w:rPr>
          <w:color w:val="000000" w:themeColor="text1"/>
        </w:rPr>
      </w:pPr>
      <w:proofErr w:type="spellStart"/>
      <w:r w:rsidRPr="00BE5A28">
        <w:t>HRQoL</w:t>
      </w:r>
      <w:proofErr w:type="spellEnd"/>
      <w:r w:rsidRPr="00BE5A28">
        <w:t xml:space="preserve"> was assessed using age-appropriate forms of the Patient Reported Outcomes Measurement Information System (PROMIS) Global Health scale short form. The submission considered that the PROMIS Global Health scale </w:t>
      </w:r>
      <w:r w:rsidR="00383951">
        <w:t>wa</w:t>
      </w:r>
      <w:r w:rsidRPr="00BE5A28">
        <w:t xml:space="preserve">s a reliable, validated generic </w:t>
      </w:r>
      <w:r w:rsidR="003F3AB1">
        <w:t>patient reported outcome (</w:t>
      </w:r>
      <w:r w:rsidRPr="00BE5A28">
        <w:t>PRO</w:t>
      </w:r>
      <w:r w:rsidR="003F3AB1">
        <w:t>)</w:t>
      </w:r>
      <w:r w:rsidRPr="00BE5A28">
        <w:t xml:space="preserve"> instrument that evaluates and monitors physical, mental, and social health in adults and children in the general population or who are living with chronic conditions. These scales measure what individuals are able to do and how they feel</w:t>
      </w:r>
      <w:r w:rsidR="004F7EEE">
        <w:t>.</w:t>
      </w:r>
    </w:p>
    <w:p w14:paraId="7324C625" w14:textId="57BA0A2B" w:rsidR="005A23B0" w:rsidRPr="005A23B0" w:rsidRDefault="005A23B0" w:rsidP="00C4189A">
      <w:pPr>
        <w:pStyle w:val="3-BodyText"/>
        <w:rPr>
          <w:color w:val="000000" w:themeColor="text1"/>
        </w:rPr>
      </w:pPr>
      <w:r>
        <w:fldChar w:fldCharType="begin" w:fldLock="1"/>
      </w:r>
      <w:r>
        <w:instrText xml:space="preserve"> REF _Ref176524450 \h </w:instrText>
      </w:r>
      <w:r>
        <w:fldChar w:fldCharType="separate"/>
      </w:r>
      <w:r w:rsidR="0043347F" w:rsidRPr="00327838">
        <w:t xml:space="preserve">Table </w:t>
      </w:r>
      <w:r w:rsidR="0043347F">
        <w:rPr>
          <w:noProof/>
        </w:rPr>
        <w:t>9</w:t>
      </w:r>
      <w:r>
        <w:fldChar w:fldCharType="end"/>
      </w:r>
      <w:r>
        <w:t xml:space="preserve"> </w:t>
      </w:r>
      <w:r w:rsidRPr="00BE5A28">
        <w:t>presents the mean change from baseline in PROMIS scores over time for adult physical and mental health, and paediatric global health. The change in PROMIS T</w:t>
      </w:r>
      <w:r w:rsidR="00C4189A">
        <w:noBreakHyphen/>
      </w:r>
      <w:r w:rsidRPr="00BE5A28">
        <w:t>scores were generally similar across both treatment arms for adults and children</w:t>
      </w:r>
      <w:r w:rsidR="003F3AB1">
        <w:t>. Reductions in score represent worsening of quality of life</w:t>
      </w:r>
      <w:r w:rsidRPr="00BE5A28">
        <w:t>.</w:t>
      </w:r>
      <w:r w:rsidR="00B40033" w:rsidRPr="00E21EB5">
        <w:t xml:space="preserve"> The ESC noted that there was a trend to worsening scores in paediatric global health for patients treated with palovarotene compared with untreated patients.</w:t>
      </w:r>
      <w:r w:rsidR="00B40033" w:rsidRPr="00B40033">
        <w:rPr>
          <w:color w:val="000000" w:themeColor="text1"/>
        </w:rPr>
        <w:t xml:space="preserve"> </w:t>
      </w:r>
      <w:r w:rsidR="008D5FD1">
        <w:rPr>
          <w:color w:val="000000" w:themeColor="text1"/>
        </w:rPr>
        <w:t xml:space="preserve">The PBAC </w:t>
      </w:r>
      <w:r w:rsidR="00383951">
        <w:rPr>
          <w:color w:val="000000" w:themeColor="text1"/>
        </w:rPr>
        <w:t>not</w:t>
      </w:r>
      <w:r w:rsidR="008D5FD1">
        <w:rPr>
          <w:color w:val="000000" w:themeColor="text1"/>
        </w:rPr>
        <w:t>ed the AE profile of palovarotene, which commonly affects skin and appearance</w:t>
      </w:r>
      <w:r w:rsidR="00C5396C">
        <w:rPr>
          <w:color w:val="000000" w:themeColor="text1"/>
        </w:rPr>
        <w:t>, may have impacted the score in this young age cohort</w:t>
      </w:r>
      <w:r w:rsidR="008D5FD1">
        <w:rPr>
          <w:color w:val="000000" w:themeColor="text1"/>
        </w:rPr>
        <w:t>.</w:t>
      </w:r>
    </w:p>
    <w:p w14:paraId="4C6D88A1" w14:textId="58F1CEF4" w:rsidR="005A23B0" w:rsidRPr="00BE5A28" w:rsidRDefault="005A23B0" w:rsidP="005A23B0">
      <w:pPr>
        <w:pStyle w:val="TableFigureHeading"/>
      </w:pPr>
      <w:bookmarkStart w:id="34" w:name="_Ref176524450"/>
      <w:r w:rsidRPr="00327838">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9</w:t>
      </w:r>
      <w:r w:rsidR="002A4328">
        <w:rPr>
          <w:noProof/>
        </w:rPr>
        <w:fldChar w:fldCharType="end"/>
      </w:r>
      <w:bookmarkEnd w:id="34"/>
      <w:r>
        <w:t xml:space="preserve">: </w:t>
      </w:r>
      <w:r w:rsidRPr="00BE5A28">
        <w:t>Change in PROMIS T-scores over time (Principal Safety Set)</w:t>
      </w:r>
    </w:p>
    <w:tbl>
      <w:tblPr>
        <w:tblStyle w:val="TableGrid"/>
        <w:tblW w:w="0" w:type="auto"/>
        <w:tblLayout w:type="fixed"/>
        <w:tblLook w:val="04A0" w:firstRow="1" w:lastRow="0" w:firstColumn="1" w:lastColumn="0" w:noHBand="0" w:noVBand="1"/>
      </w:tblPr>
      <w:tblGrid>
        <w:gridCol w:w="1838"/>
        <w:gridCol w:w="1196"/>
        <w:gridCol w:w="1196"/>
        <w:gridCol w:w="1197"/>
        <w:gridCol w:w="1196"/>
        <w:gridCol w:w="1196"/>
        <w:gridCol w:w="1197"/>
      </w:tblGrid>
      <w:tr w:rsidR="005A23B0" w:rsidRPr="00A8482B" w14:paraId="54B9C009" w14:textId="77777777" w:rsidTr="00AC00CD">
        <w:tc>
          <w:tcPr>
            <w:tcW w:w="1838" w:type="dxa"/>
            <w:vMerge w:val="restart"/>
          </w:tcPr>
          <w:p w14:paraId="211F61CE" w14:textId="77777777" w:rsidR="005A23B0" w:rsidRPr="00A8482B" w:rsidRDefault="005A23B0" w:rsidP="00A8482B">
            <w:pPr>
              <w:pStyle w:val="TableText0"/>
              <w:jc w:val="left"/>
              <w:rPr>
                <w:b/>
                <w:bCs w:val="0"/>
              </w:rPr>
            </w:pPr>
          </w:p>
        </w:tc>
        <w:tc>
          <w:tcPr>
            <w:tcW w:w="2392" w:type="dxa"/>
            <w:gridSpan w:val="2"/>
          </w:tcPr>
          <w:p w14:paraId="4BF7E318" w14:textId="77777777" w:rsidR="005A23B0" w:rsidRPr="00A8482B" w:rsidRDefault="005A23B0" w:rsidP="00561983">
            <w:pPr>
              <w:pStyle w:val="TableText0"/>
              <w:rPr>
                <w:b/>
                <w:bCs w:val="0"/>
              </w:rPr>
            </w:pPr>
            <w:r w:rsidRPr="00A8482B">
              <w:rPr>
                <w:b/>
                <w:bCs w:val="0"/>
              </w:rPr>
              <w:t>Adult physical health</w:t>
            </w:r>
          </w:p>
          <w:p w14:paraId="7FCFDF97" w14:textId="77777777" w:rsidR="005A23B0" w:rsidRPr="00A8482B" w:rsidRDefault="005A23B0" w:rsidP="00561983">
            <w:pPr>
              <w:pStyle w:val="TableText0"/>
              <w:rPr>
                <w:b/>
                <w:bCs w:val="0"/>
              </w:rPr>
            </w:pPr>
            <w:r w:rsidRPr="00A8482B">
              <w:rPr>
                <w:b/>
                <w:bCs w:val="0"/>
              </w:rPr>
              <w:t>(≥ 15 years old)</w:t>
            </w:r>
          </w:p>
        </w:tc>
        <w:tc>
          <w:tcPr>
            <w:tcW w:w="2393" w:type="dxa"/>
            <w:gridSpan w:val="2"/>
          </w:tcPr>
          <w:p w14:paraId="64C195D2" w14:textId="77777777" w:rsidR="005A23B0" w:rsidRPr="00A8482B" w:rsidRDefault="005A23B0" w:rsidP="00561983">
            <w:pPr>
              <w:pStyle w:val="TableText0"/>
              <w:rPr>
                <w:b/>
                <w:bCs w:val="0"/>
              </w:rPr>
            </w:pPr>
            <w:r w:rsidRPr="00A8482B">
              <w:rPr>
                <w:b/>
                <w:bCs w:val="0"/>
              </w:rPr>
              <w:t>Adult mental health</w:t>
            </w:r>
          </w:p>
          <w:p w14:paraId="719D7DC4" w14:textId="77777777" w:rsidR="005A23B0" w:rsidRPr="00A8482B" w:rsidRDefault="005A23B0" w:rsidP="00561983">
            <w:pPr>
              <w:pStyle w:val="TableText0"/>
              <w:rPr>
                <w:b/>
                <w:bCs w:val="0"/>
              </w:rPr>
            </w:pPr>
            <w:r w:rsidRPr="00A8482B">
              <w:rPr>
                <w:b/>
                <w:bCs w:val="0"/>
              </w:rPr>
              <w:t>(≥ 15 years old)</w:t>
            </w:r>
          </w:p>
        </w:tc>
        <w:tc>
          <w:tcPr>
            <w:tcW w:w="2393" w:type="dxa"/>
            <w:gridSpan w:val="2"/>
          </w:tcPr>
          <w:p w14:paraId="41EEB84C" w14:textId="77777777" w:rsidR="005A23B0" w:rsidRPr="00A8482B" w:rsidRDefault="005A23B0" w:rsidP="00561983">
            <w:pPr>
              <w:pStyle w:val="TableText0"/>
              <w:rPr>
                <w:b/>
                <w:bCs w:val="0"/>
              </w:rPr>
            </w:pPr>
            <w:r w:rsidRPr="00A8482B">
              <w:rPr>
                <w:b/>
                <w:bCs w:val="0"/>
              </w:rPr>
              <w:t>Paediatric global health</w:t>
            </w:r>
          </w:p>
          <w:p w14:paraId="7E210B41" w14:textId="77777777" w:rsidR="005A23B0" w:rsidRPr="00A8482B" w:rsidRDefault="005A23B0" w:rsidP="00561983">
            <w:pPr>
              <w:pStyle w:val="TableText0"/>
              <w:rPr>
                <w:b/>
                <w:bCs w:val="0"/>
              </w:rPr>
            </w:pPr>
            <w:r w:rsidRPr="00A8482B">
              <w:rPr>
                <w:b/>
                <w:bCs w:val="0"/>
              </w:rPr>
              <w:t>(&lt; 15 years old)</w:t>
            </w:r>
          </w:p>
        </w:tc>
      </w:tr>
      <w:tr w:rsidR="005A23B0" w:rsidRPr="00A8482B" w14:paraId="70D63CD3" w14:textId="77777777" w:rsidTr="00AC00CD">
        <w:tc>
          <w:tcPr>
            <w:tcW w:w="1838" w:type="dxa"/>
            <w:vMerge/>
          </w:tcPr>
          <w:p w14:paraId="75090A09" w14:textId="77777777" w:rsidR="005A23B0" w:rsidRPr="00A8482B" w:rsidRDefault="005A23B0" w:rsidP="00A8482B">
            <w:pPr>
              <w:pStyle w:val="TableText0"/>
              <w:jc w:val="left"/>
              <w:rPr>
                <w:b/>
                <w:bCs w:val="0"/>
              </w:rPr>
            </w:pPr>
          </w:p>
        </w:tc>
        <w:tc>
          <w:tcPr>
            <w:tcW w:w="1196" w:type="dxa"/>
          </w:tcPr>
          <w:p w14:paraId="76D2E344" w14:textId="77777777" w:rsidR="005A23B0" w:rsidRPr="00A8482B" w:rsidRDefault="005A23B0" w:rsidP="00561983">
            <w:pPr>
              <w:pStyle w:val="TableText0"/>
              <w:rPr>
                <w:b/>
                <w:bCs w:val="0"/>
              </w:rPr>
            </w:pPr>
            <w:r w:rsidRPr="00A8482B">
              <w:rPr>
                <w:b/>
                <w:bCs w:val="0"/>
              </w:rPr>
              <w:t>PVO</w:t>
            </w:r>
          </w:p>
          <w:p w14:paraId="1365AC67" w14:textId="77777777" w:rsidR="005A23B0" w:rsidRPr="00A8482B" w:rsidRDefault="005A23B0" w:rsidP="00561983">
            <w:pPr>
              <w:pStyle w:val="TableText0"/>
              <w:rPr>
                <w:b/>
                <w:bCs w:val="0"/>
              </w:rPr>
            </w:pPr>
            <w:r w:rsidRPr="00A8482B">
              <w:rPr>
                <w:b/>
                <w:bCs w:val="0"/>
              </w:rPr>
              <w:t>N = 37</w:t>
            </w:r>
          </w:p>
        </w:tc>
        <w:tc>
          <w:tcPr>
            <w:tcW w:w="1196" w:type="dxa"/>
          </w:tcPr>
          <w:p w14:paraId="3E93B945" w14:textId="77777777" w:rsidR="005A23B0" w:rsidRPr="00A8482B" w:rsidRDefault="005A23B0" w:rsidP="00561983">
            <w:pPr>
              <w:pStyle w:val="TableText0"/>
              <w:rPr>
                <w:b/>
                <w:bCs w:val="0"/>
              </w:rPr>
            </w:pPr>
            <w:r w:rsidRPr="00A8482B">
              <w:rPr>
                <w:b/>
                <w:bCs w:val="0"/>
              </w:rPr>
              <w:t>Untreated</w:t>
            </w:r>
          </w:p>
          <w:p w14:paraId="44375B57" w14:textId="77777777" w:rsidR="005A23B0" w:rsidRPr="00A8482B" w:rsidRDefault="005A23B0" w:rsidP="00561983">
            <w:pPr>
              <w:pStyle w:val="TableText0"/>
              <w:rPr>
                <w:b/>
                <w:bCs w:val="0"/>
              </w:rPr>
            </w:pPr>
            <w:r w:rsidRPr="00A8482B">
              <w:rPr>
                <w:b/>
                <w:bCs w:val="0"/>
              </w:rPr>
              <w:t>N = 58</w:t>
            </w:r>
          </w:p>
        </w:tc>
        <w:tc>
          <w:tcPr>
            <w:tcW w:w="1197" w:type="dxa"/>
          </w:tcPr>
          <w:p w14:paraId="1AB7F931" w14:textId="77777777" w:rsidR="005A23B0" w:rsidRPr="00A8482B" w:rsidRDefault="005A23B0" w:rsidP="00561983">
            <w:pPr>
              <w:pStyle w:val="TableText0"/>
              <w:rPr>
                <w:b/>
                <w:bCs w:val="0"/>
              </w:rPr>
            </w:pPr>
            <w:r w:rsidRPr="00A8482B">
              <w:rPr>
                <w:b/>
                <w:bCs w:val="0"/>
              </w:rPr>
              <w:t>PVO</w:t>
            </w:r>
          </w:p>
          <w:p w14:paraId="1EDF8573" w14:textId="77777777" w:rsidR="005A23B0" w:rsidRPr="00A8482B" w:rsidRDefault="005A23B0" w:rsidP="00561983">
            <w:pPr>
              <w:pStyle w:val="TableText0"/>
              <w:rPr>
                <w:b/>
                <w:bCs w:val="0"/>
              </w:rPr>
            </w:pPr>
            <w:r w:rsidRPr="00A8482B">
              <w:rPr>
                <w:b/>
                <w:bCs w:val="0"/>
              </w:rPr>
              <w:t>N = 37</w:t>
            </w:r>
          </w:p>
        </w:tc>
        <w:tc>
          <w:tcPr>
            <w:tcW w:w="1196" w:type="dxa"/>
          </w:tcPr>
          <w:p w14:paraId="000F4C8C" w14:textId="77777777" w:rsidR="005A23B0" w:rsidRPr="00A8482B" w:rsidRDefault="005A23B0" w:rsidP="00561983">
            <w:pPr>
              <w:pStyle w:val="TableText0"/>
              <w:rPr>
                <w:b/>
                <w:bCs w:val="0"/>
              </w:rPr>
            </w:pPr>
            <w:r w:rsidRPr="00A8482B">
              <w:rPr>
                <w:b/>
                <w:bCs w:val="0"/>
              </w:rPr>
              <w:t>Untreated</w:t>
            </w:r>
          </w:p>
          <w:p w14:paraId="65F83A13" w14:textId="77777777" w:rsidR="005A23B0" w:rsidRPr="00A8482B" w:rsidRDefault="005A23B0" w:rsidP="00561983">
            <w:pPr>
              <w:pStyle w:val="TableText0"/>
              <w:rPr>
                <w:b/>
                <w:bCs w:val="0"/>
              </w:rPr>
            </w:pPr>
            <w:r w:rsidRPr="00A8482B">
              <w:rPr>
                <w:b/>
                <w:bCs w:val="0"/>
              </w:rPr>
              <w:t>N = 58</w:t>
            </w:r>
          </w:p>
        </w:tc>
        <w:tc>
          <w:tcPr>
            <w:tcW w:w="1196" w:type="dxa"/>
          </w:tcPr>
          <w:p w14:paraId="7ED8D2FA" w14:textId="77777777" w:rsidR="005A23B0" w:rsidRPr="00A8482B" w:rsidRDefault="005A23B0" w:rsidP="00561983">
            <w:pPr>
              <w:pStyle w:val="TableText0"/>
              <w:rPr>
                <w:b/>
                <w:bCs w:val="0"/>
              </w:rPr>
            </w:pPr>
            <w:r w:rsidRPr="00A8482B">
              <w:rPr>
                <w:b/>
                <w:bCs w:val="0"/>
              </w:rPr>
              <w:t>PVO</w:t>
            </w:r>
          </w:p>
          <w:p w14:paraId="5F22B3C2" w14:textId="77777777" w:rsidR="005A23B0" w:rsidRPr="00A8482B" w:rsidRDefault="005A23B0" w:rsidP="00561983">
            <w:pPr>
              <w:pStyle w:val="TableText0"/>
              <w:rPr>
                <w:b/>
                <w:bCs w:val="0"/>
              </w:rPr>
            </w:pPr>
            <w:r w:rsidRPr="00A8482B">
              <w:rPr>
                <w:b/>
                <w:bCs w:val="0"/>
              </w:rPr>
              <w:t>N = 62</w:t>
            </w:r>
          </w:p>
        </w:tc>
        <w:tc>
          <w:tcPr>
            <w:tcW w:w="1197" w:type="dxa"/>
          </w:tcPr>
          <w:p w14:paraId="51570BBE" w14:textId="77777777" w:rsidR="005A23B0" w:rsidRPr="00A8482B" w:rsidRDefault="005A23B0" w:rsidP="00561983">
            <w:pPr>
              <w:pStyle w:val="TableText0"/>
              <w:rPr>
                <w:b/>
                <w:bCs w:val="0"/>
              </w:rPr>
            </w:pPr>
            <w:r w:rsidRPr="00A8482B">
              <w:rPr>
                <w:b/>
                <w:bCs w:val="0"/>
              </w:rPr>
              <w:t>Untreated</w:t>
            </w:r>
          </w:p>
          <w:p w14:paraId="136A51F1" w14:textId="77777777" w:rsidR="005A23B0" w:rsidRPr="00A8482B" w:rsidRDefault="005A23B0" w:rsidP="00561983">
            <w:pPr>
              <w:pStyle w:val="TableText0"/>
              <w:rPr>
                <w:b/>
                <w:bCs w:val="0"/>
              </w:rPr>
            </w:pPr>
            <w:r w:rsidRPr="00A8482B">
              <w:rPr>
                <w:b/>
                <w:bCs w:val="0"/>
              </w:rPr>
              <w:t>N = 53</w:t>
            </w:r>
          </w:p>
        </w:tc>
      </w:tr>
      <w:tr w:rsidR="005A23B0" w:rsidRPr="00BE5A28" w14:paraId="22B7E7C1" w14:textId="77777777" w:rsidTr="00AC00CD">
        <w:tc>
          <w:tcPr>
            <w:tcW w:w="1838" w:type="dxa"/>
          </w:tcPr>
          <w:p w14:paraId="65E86648" w14:textId="77777777" w:rsidR="005A23B0" w:rsidRPr="00BE5A28" w:rsidRDefault="005A23B0" w:rsidP="00A8482B">
            <w:pPr>
              <w:pStyle w:val="TableText0"/>
              <w:jc w:val="left"/>
            </w:pPr>
            <w:r w:rsidRPr="00BE5A28">
              <w:t>Baseline mean (SD)</w:t>
            </w:r>
          </w:p>
        </w:tc>
        <w:tc>
          <w:tcPr>
            <w:tcW w:w="1196" w:type="dxa"/>
          </w:tcPr>
          <w:p w14:paraId="1FA8CD1F" w14:textId="77777777" w:rsidR="005A23B0" w:rsidRPr="00BE5A28" w:rsidRDefault="005A23B0" w:rsidP="00561983">
            <w:pPr>
              <w:pStyle w:val="TableText0"/>
            </w:pPr>
            <w:r w:rsidRPr="00BE5A28">
              <w:t>N = 36</w:t>
            </w:r>
          </w:p>
          <w:p w14:paraId="29D1E67F" w14:textId="77777777" w:rsidR="005A23B0" w:rsidRPr="00BE5A28" w:rsidRDefault="005A23B0" w:rsidP="00561983">
            <w:pPr>
              <w:pStyle w:val="TableText0"/>
            </w:pPr>
            <w:r w:rsidRPr="00BE5A28">
              <w:t>43.15 (7.93)</w:t>
            </w:r>
          </w:p>
        </w:tc>
        <w:tc>
          <w:tcPr>
            <w:tcW w:w="1196" w:type="dxa"/>
          </w:tcPr>
          <w:p w14:paraId="74844D81" w14:textId="77777777" w:rsidR="005A23B0" w:rsidRPr="00BE5A28" w:rsidRDefault="005A23B0" w:rsidP="00561983">
            <w:pPr>
              <w:pStyle w:val="TableText0"/>
            </w:pPr>
            <w:r w:rsidRPr="00BE5A28">
              <w:t>N = 57</w:t>
            </w:r>
          </w:p>
          <w:p w14:paraId="129E56FC" w14:textId="77777777" w:rsidR="005A23B0" w:rsidRPr="00BE5A28" w:rsidRDefault="005A23B0" w:rsidP="00561983">
            <w:pPr>
              <w:pStyle w:val="TableText0"/>
            </w:pPr>
            <w:r w:rsidRPr="00BE5A28">
              <w:t>43.35 (8.66)</w:t>
            </w:r>
          </w:p>
        </w:tc>
        <w:tc>
          <w:tcPr>
            <w:tcW w:w="1197" w:type="dxa"/>
          </w:tcPr>
          <w:p w14:paraId="5F7BC475" w14:textId="77777777" w:rsidR="005A23B0" w:rsidRPr="00BE5A28" w:rsidRDefault="005A23B0" w:rsidP="00561983">
            <w:pPr>
              <w:pStyle w:val="TableText0"/>
            </w:pPr>
            <w:r w:rsidRPr="00BE5A28">
              <w:t>N = 36</w:t>
            </w:r>
          </w:p>
          <w:p w14:paraId="2A2C9E36" w14:textId="77777777" w:rsidR="005A23B0" w:rsidRPr="00BE5A28" w:rsidRDefault="005A23B0" w:rsidP="00561983">
            <w:pPr>
              <w:pStyle w:val="TableText0"/>
            </w:pPr>
            <w:r w:rsidRPr="00BE5A28">
              <w:t>52.17 (7.94)</w:t>
            </w:r>
          </w:p>
        </w:tc>
        <w:tc>
          <w:tcPr>
            <w:tcW w:w="1196" w:type="dxa"/>
          </w:tcPr>
          <w:p w14:paraId="0CBE5211" w14:textId="77777777" w:rsidR="005A23B0" w:rsidRPr="00BE5A28" w:rsidRDefault="005A23B0" w:rsidP="00561983">
            <w:pPr>
              <w:pStyle w:val="TableText0"/>
            </w:pPr>
            <w:r w:rsidRPr="00BE5A28">
              <w:t>N = 57</w:t>
            </w:r>
          </w:p>
          <w:p w14:paraId="7C5EFE7C" w14:textId="77777777" w:rsidR="005A23B0" w:rsidRPr="00BE5A28" w:rsidRDefault="005A23B0" w:rsidP="00561983">
            <w:pPr>
              <w:pStyle w:val="TableText0"/>
            </w:pPr>
            <w:r w:rsidRPr="00BE5A28">
              <w:t>52.70 (9.40)</w:t>
            </w:r>
          </w:p>
        </w:tc>
        <w:tc>
          <w:tcPr>
            <w:tcW w:w="1196" w:type="dxa"/>
          </w:tcPr>
          <w:p w14:paraId="6355D09C" w14:textId="77777777" w:rsidR="005A23B0" w:rsidRPr="00BE5A28" w:rsidRDefault="005A23B0" w:rsidP="00561983">
            <w:pPr>
              <w:pStyle w:val="TableText0"/>
            </w:pPr>
            <w:r w:rsidRPr="00BE5A28">
              <w:t>N = 43</w:t>
            </w:r>
          </w:p>
          <w:p w14:paraId="6E30CA5C" w14:textId="77777777" w:rsidR="005A23B0" w:rsidRPr="00BE5A28" w:rsidRDefault="005A23B0" w:rsidP="00561983">
            <w:pPr>
              <w:pStyle w:val="TableText0"/>
            </w:pPr>
            <w:r w:rsidRPr="00BE5A28">
              <w:t>50.72 (8.49)</w:t>
            </w:r>
          </w:p>
        </w:tc>
        <w:tc>
          <w:tcPr>
            <w:tcW w:w="1197" w:type="dxa"/>
          </w:tcPr>
          <w:p w14:paraId="60D01585" w14:textId="77777777" w:rsidR="005A23B0" w:rsidRPr="00BE5A28" w:rsidRDefault="005A23B0" w:rsidP="00561983">
            <w:pPr>
              <w:pStyle w:val="TableText0"/>
            </w:pPr>
            <w:r w:rsidRPr="00BE5A28">
              <w:t>N = 26</w:t>
            </w:r>
          </w:p>
          <w:p w14:paraId="29D670F3" w14:textId="77777777" w:rsidR="005A23B0" w:rsidRPr="00BE5A28" w:rsidRDefault="005A23B0" w:rsidP="00561983">
            <w:pPr>
              <w:pStyle w:val="TableText0"/>
            </w:pPr>
            <w:r w:rsidRPr="00BE5A28">
              <w:t>45.36 (8.41)</w:t>
            </w:r>
          </w:p>
        </w:tc>
      </w:tr>
      <w:tr w:rsidR="005A23B0" w:rsidRPr="00BE5A28" w14:paraId="46427EBA" w14:textId="77777777" w:rsidTr="00AC00CD">
        <w:tc>
          <w:tcPr>
            <w:tcW w:w="1838" w:type="dxa"/>
          </w:tcPr>
          <w:p w14:paraId="0442A9EA" w14:textId="77777777" w:rsidR="005A23B0" w:rsidRPr="00BE5A28" w:rsidRDefault="005A23B0" w:rsidP="00A8482B">
            <w:pPr>
              <w:pStyle w:val="TableText0"/>
              <w:jc w:val="left"/>
            </w:pPr>
            <w:r w:rsidRPr="00BE5A28">
              <w:t>Mean change at:</w:t>
            </w:r>
          </w:p>
        </w:tc>
        <w:tc>
          <w:tcPr>
            <w:tcW w:w="1196" w:type="dxa"/>
          </w:tcPr>
          <w:p w14:paraId="0C7D1E79" w14:textId="77777777" w:rsidR="005A23B0" w:rsidRPr="00BE5A28" w:rsidRDefault="005A23B0" w:rsidP="00561983">
            <w:pPr>
              <w:pStyle w:val="TableText0"/>
            </w:pPr>
          </w:p>
        </w:tc>
        <w:tc>
          <w:tcPr>
            <w:tcW w:w="1196" w:type="dxa"/>
          </w:tcPr>
          <w:p w14:paraId="3706BEBB" w14:textId="77777777" w:rsidR="005A23B0" w:rsidRPr="00BE5A28" w:rsidRDefault="005A23B0" w:rsidP="00561983">
            <w:pPr>
              <w:pStyle w:val="TableText0"/>
            </w:pPr>
          </w:p>
        </w:tc>
        <w:tc>
          <w:tcPr>
            <w:tcW w:w="1197" w:type="dxa"/>
          </w:tcPr>
          <w:p w14:paraId="18CFDD4F" w14:textId="77777777" w:rsidR="005A23B0" w:rsidRPr="00BE5A28" w:rsidRDefault="005A23B0" w:rsidP="00561983">
            <w:pPr>
              <w:pStyle w:val="TableText0"/>
            </w:pPr>
          </w:p>
        </w:tc>
        <w:tc>
          <w:tcPr>
            <w:tcW w:w="1196" w:type="dxa"/>
          </w:tcPr>
          <w:p w14:paraId="7969DD36" w14:textId="77777777" w:rsidR="005A23B0" w:rsidRPr="00BE5A28" w:rsidRDefault="005A23B0" w:rsidP="00561983">
            <w:pPr>
              <w:pStyle w:val="TableText0"/>
            </w:pPr>
          </w:p>
        </w:tc>
        <w:tc>
          <w:tcPr>
            <w:tcW w:w="1196" w:type="dxa"/>
          </w:tcPr>
          <w:p w14:paraId="6D5865B0" w14:textId="77777777" w:rsidR="005A23B0" w:rsidRPr="00BE5A28" w:rsidRDefault="005A23B0" w:rsidP="00561983">
            <w:pPr>
              <w:pStyle w:val="TableText0"/>
            </w:pPr>
          </w:p>
        </w:tc>
        <w:tc>
          <w:tcPr>
            <w:tcW w:w="1197" w:type="dxa"/>
          </w:tcPr>
          <w:p w14:paraId="7342018D" w14:textId="77777777" w:rsidR="005A23B0" w:rsidRPr="00BE5A28" w:rsidRDefault="005A23B0" w:rsidP="00561983">
            <w:pPr>
              <w:pStyle w:val="TableText0"/>
            </w:pPr>
          </w:p>
        </w:tc>
      </w:tr>
      <w:tr w:rsidR="005A23B0" w:rsidRPr="00BE5A28" w14:paraId="1DC366B6" w14:textId="77777777" w:rsidTr="00AC00CD">
        <w:tc>
          <w:tcPr>
            <w:tcW w:w="1838" w:type="dxa"/>
          </w:tcPr>
          <w:p w14:paraId="00046CD5" w14:textId="77777777" w:rsidR="005A23B0" w:rsidRPr="00BE5A28" w:rsidRDefault="005A23B0" w:rsidP="00A8482B">
            <w:pPr>
              <w:pStyle w:val="TableText0"/>
              <w:jc w:val="left"/>
            </w:pPr>
            <w:r w:rsidRPr="00BE5A28">
              <w:t>Month 6 (SD)</w:t>
            </w:r>
          </w:p>
        </w:tc>
        <w:tc>
          <w:tcPr>
            <w:tcW w:w="1196" w:type="dxa"/>
          </w:tcPr>
          <w:p w14:paraId="44CFD0E4" w14:textId="77777777" w:rsidR="005A23B0" w:rsidRPr="00BE5A28" w:rsidRDefault="005A23B0" w:rsidP="00561983">
            <w:pPr>
              <w:pStyle w:val="TableText0"/>
            </w:pPr>
            <w:r w:rsidRPr="00BE5A28">
              <w:t>N = 33</w:t>
            </w:r>
          </w:p>
          <w:p w14:paraId="738D866E" w14:textId="77777777" w:rsidR="005A23B0" w:rsidRPr="00BE5A28" w:rsidRDefault="005A23B0" w:rsidP="00561983">
            <w:pPr>
              <w:pStyle w:val="TableText0"/>
            </w:pPr>
            <w:r w:rsidRPr="00BE5A28">
              <w:t>-0.15 (3.92)</w:t>
            </w:r>
          </w:p>
        </w:tc>
        <w:tc>
          <w:tcPr>
            <w:tcW w:w="1196" w:type="dxa"/>
          </w:tcPr>
          <w:p w14:paraId="176B1C3B" w14:textId="77777777" w:rsidR="005A23B0" w:rsidRPr="00BE5A28" w:rsidRDefault="005A23B0" w:rsidP="00561983">
            <w:pPr>
              <w:pStyle w:val="TableText0"/>
            </w:pPr>
            <w:r w:rsidRPr="00BE5A28">
              <w:t>N = 43</w:t>
            </w:r>
          </w:p>
          <w:p w14:paraId="0326B710" w14:textId="77777777" w:rsidR="005A23B0" w:rsidRPr="00BE5A28" w:rsidRDefault="005A23B0" w:rsidP="00561983">
            <w:pPr>
              <w:pStyle w:val="TableText0"/>
            </w:pPr>
            <w:r w:rsidRPr="00BE5A28">
              <w:t>-0.37 (6.79)</w:t>
            </w:r>
          </w:p>
        </w:tc>
        <w:tc>
          <w:tcPr>
            <w:tcW w:w="1197" w:type="dxa"/>
          </w:tcPr>
          <w:p w14:paraId="7F499A0E" w14:textId="77777777" w:rsidR="005A23B0" w:rsidRPr="00BE5A28" w:rsidRDefault="005A23B0" w:rsidP="00561983">
            <w:pPr>
              <w:pStyle w:val="TableText0"/>
            </w:pPr>
            <w:r w:rsidRPr="00BE5A28">
              <w:t>N = 33</w:t>
            </w:r>
          </w:p>
          <w:p w14:paraId="45A80299" w14:textId="77777777" w:rsidR="005A23B0" w:rsidRPr="00BE5A28" w:rsidRDefault="005A23B0" w:rsidP="00561983">
            <w:pPr>
              <w:pStyle w:val="TableText0"/>
            </w:pPr>
            <w:r w:rsidRPr="00BE5A28">
              <w:t>-2.10 (4.10)</w:t>
            </w:r>
          </w:p>
        </w:tc>
        <w:tc>
          <w:tcPr>
            <w:tcW w:w="1196" w:type="dxa"/>
          </w:tcPr>
          <w:p w14:paraId="59788D8F" w14:textId="77777777" w:rsidR="005A23B0" w:rsidRPr="00BE5A28" w:rsidRDefault="005A23B0" w:rsidP="00561983">
            <w:pPr>
              <w:pStyle w:val="TableText0"/>
            </w:pPr>
            <w:r w:rsidRPr="00BE5A28">
              <w:t>N = 45</w:t>
            </w:r>
          </w:p>
          <w:p w14:paraId="00DB88F6" w14:textId="77777777" w:rsidR="005A23B0" w:rsidRPr="00BE5A28" w:rsidRDefault="005A23B0" w:rsidP="00561983">
            <w:pPr>
              <w:pStyle w:val="TableText0"/>
            </w:pPr>
            <w:r w:rsidRPr="00BE5A28">
              <w:t>-1.57 (5.61)</w:t>
            </w:r>
          </w:p>
        </w:tc>
        <w:tc>
          <w:tcPr>
            <w:tcW w:w="1196" w:type="dxa"/>
          </w:tcPr>
          <w:p w14:paraId="0121E8F6" w14:textId="77777777" w:rsidR="005A23B0" w:rsidRPr="00BE5A28" w:rsidRDefault="005A23B0" w:rsidP="00561983">
            <w:pPr>
              <w:pStyle w:val="TableText0"/>
            </w:pPr>
            <w:r w:rsidRPr="00BE5A28">
              <w:t>N = 37</w:t>
            </w:r>
          </w:p>
          <w:p w14:paraId="0CF2E390" w14:textId="77777777" w:rsidR="005A23B0" w:rsidRPr="00BE5A28" w:rsidRDefault="005A23B0" w:rsidP="00561983">
            <w:pPr>
              <w:pStyle w:val="TableText0"/>
            </w:pPr>
            <w:r w:rsidRPr="00BE5A28">
              <w:t>-0.80 (5.99)</w:t>
            </w:r>
          </w:p>
        </w:tc>
        <w:tc>
          <w:tcPr>
            <w:tcW w:w="1197" w:type="dxa"/>
          </w:tcPr>
          <w:p w14:paraId="5D10C125" w14:textId="77777777" w:rsidR="005A23B0" w:rsidRPr="00BE5A28" w:rsidRDefault="005A23B0" w:rsidP="00561983">
            <w:pPr>
              <w:pStyle w:val="TableText0"/>
            </w:pPr>
            <w:r w:rsidRPr="00BE5A28">
              <w:t>N = 16</w:t>
            </w:r>
          </w:p>
          <w:p w14:paraId="66CE91FC" w14:textId="77777777" w:rsidR="005A23B0" w:rsidRPr="00BE5A28" w:rsidRDefault="005A23B0" w:rsidP="00561983">
            <w:pPr>
              <w:pStyle w:val="TableText0"/>
            </w:pPr>
            <w:r w:rsidRPr="00BE5A28">
              <w:t>1.23 (5.50)</w:t>
            </w:r>
          </w:p>
        </w:tc>
      </w:tr>
      <w:tr w:rsidR="005A23B0" w:rsidRPr="00BE5A28" w14:paraId="14F6CCC8" w14:textId="77777777" w:rsidTr="00AC00CD">
        <w:tc>
          <w:tcPr>
            <w:tcW w:w="1838" w:type="dxa"/>
          </w:tcPr>
          <w:p w14:paraId="6C4818C0" w14:textId="77777777" w:rsidR="005A23B0" w:rsidRPr="00BE5A28" w:rsidRDefault="005A23B0" w:rsidP="00A8482B">
            <w:pPr>
              <w:pStyle w:val="TableText0"/>
              <w:jc w:val="left"/>
            </w:pPr>
            <w:r w:rsidRPr="00BE5A28">
              <w:t>Month 12 (SD)</w:t>
            </w:r>
          </w:p>
        </w:tc>
        <w:tc>
          <w:tcPr>
            <w:tcW w:w="1196" w:type="dxa"/>
          </w:tcPr>
          <w:p w14:paraId="24EA6647" w14:textId="77777777" w:rsidR="005A23B0" w:rsidRPr="00BE5A28" w:rsidRDefault="005A23B0" w:rsidP="00561983">
            <w:pPr>
              <w:pStyle w:val="TableText0"/>
            </w:pPr>
            <w:r w:rsidRPr="00BE5A28">
              <w:t>N = 33</w:t>
            </w:r>
          </w:p>
          <w:p w14:paraId="4F627441" w14:textId="77777777" w:rsidR="005A23B0" w:rsidRPr="00BE5A28" w:rsidRDefault="005A23B0" w:rsidP="00561983">
            <w:pPr>
              <w:pStyle w:val="TableText0"/>
            </w:pPr>
            <w:r w:rsidRPr="00BE5A28">
              <w:t>0.20 (5.16)</w:t>
            </w:r>
          </w:p>
        </w:tc>
        <w:tc>
          <w:tcPr>
            <w:tcW w:w="1196" w:type="dxa"/>
          </w:tcPr>
          <w:p w14:paraId="0F12BFE0" w14:textId="77777777" w:rsidR="005A23B0" w:rsidRPr="00BE5A28" w:rsidRDefault="005A23B0" w:rsidP="00561983">
            <w:pPr>
              <w:pStyle w:val="TableText0"/>
            </w:pPr>
            <w:r w:rsidRPr="00BE5A28">
              <w:t>N = 49</w:t>
            </w:r>
          </w:p>
          <w:p w14:paraId="5D57BB2E" w14:textId="77777777" w:rsidR="005A23B0" w:rsidRPr="00BE5A28" w:rsidRDefault="005A23B0" w:rsidP="00561983">
            <w:pPr>
              <w:pStyle w:val="TableText0"/>
            </w:pPr>
            <w:r w:rsidRPr="00BE5A28">
              <w:t>-1.19 (6.62)</w:t>
            </w:r>
          </w:p>
        </w:tc>
        <w:tc>
          <w:tcPr>
            <w:tcW w:w="1197" w:type="dxa"/>
          </w:tcPr>
          <w:p w14:paraId="09B4C681" w14:textId="77777777" w:rsidR="005A23B0" w:rsidRPr="00BE5A28" w:rsidRDefault="005A23B0" w:rsidP="00561983">
            <w:pPr>
              <w:pStyle w:val="TableText0"/>
            </w:pPr>
            <w:r w:rsidRPr="00BE5A28">
              <w:t>N = 33</w:t>
            </w:r>
          </w:p>
          <w:p w14:paraId="773000D3" w14:textId="77777777" w:rsidR="005A23B0" w:rsidRPr="00BE5A28" w:rsidRDefault="005A23B0" w:rsidP="00561983">
            <w:pPr>
              <w:pStyle w:val="TableText0"/>
            </w:pPr>
            <w:r w:rsidRPr="00BE5A28">
              <w:t>-0.79 (5.57)</w:t>
            </w:r>
          </w:p>
        </w:tc>
        <w:tc>
          <w:tcPr>
            <w:tcW w:w="1196" w:type="dxa"/>
          </w:tcPr>
          <w:p w14:paraId="079CA72D" w14:textId="77777777" w:rsidR="005A23B0" w:rsidRPr="00BE5A28" w:rsidRDefault="005A23B0" w:rsidP="00561983">
            <w:pPr>
              <w:pStyle w:val="TableText0"/>
            </w:pPr>
            <w:r w:rsidRPr="00BE5A28">
              <w:t>N = 49</w:t>
            </w:r>
          </w:p>
          <w:p w14:paraId="1FC61AE1" w14:textId="77777777" w:rsidR="005A23B0" w:rsidRPr="00BE5A28" w:rsidRDefault="005A23B0" w:rsidP="00561983">
            <w:pPr>
              <w:pStyle w:val="TableText0"/>
            </w:pPr>
            <w:r w:rsidRPr="00BE5A28">
              <w:t>-1.95 (6.99)</w:t>
            </w:r>
          </w:p>
        </w:tc>
        <w:tc>
          <w:tcPr>
            <w:tcW w:w="1196" w:type="dxa"/>
          </w:tcPr>
          <w:p w14:paraId="0E01DFB1" w14:textId="77777777" w:rsidR="005A23B0" w:rsidRPr="00BE5A28" w:rsidRDefault="005A23B0" w:rsidP="00561983">
            <w:pPr>
              <w:pStyle w:val="TableText0"/>
            </w:pPr>
            <w:r w:rsidRPr="00BE5A28">
              <w:t>N = 31</w:t>
            </w:r>
          </w:p>
          <w:p w14:paraId="78EF3462" w14:textId="77777777" w:rsidR="005A23B0" w:rsidRPr="00BE5A28" w:rsidRDefault="005A23B0" w:rsidP="00561983">
            <w:pPr>
              <w:pStyle w:val="TableText0"/>
            </w:pPr>
            <w:r w:rsidRPr="00BE5A28">
              <w:t>-0.91 (8.83)</w:t>
            </w:r>
          </w:p>
        </w:tc>
        <w:tc>
          <w:tcPr>
            <w:tcW w:w="1197" w:type="dxa"/>
          </w:tcPr>
          <w:p w14:paraId="0BB97E74" w14:textId="77777777" w:rsidR="005A23B0" w:rsidRPr="00BE5A28" w:rsidRDefault="005A23B0" w:rsidP="00561983">
            <w:pPr>
              <w:pStyle w:val="TableText0"/>
            </w:pPr>
            <w:r w:rsidRPr="00BE5A28">
              <w:t>N = 17</w:t>
            </w:r>
          </w:p>
          <w:p w14:paraId="6634DC5D" w14:textId="77777777" w:rsidR="005A23B0" w:rsidRPr="00BE5A28" w:rsidRDefault="005A23B0" w:rsidP="00561983">
            <w:pPr>
              <w:pStyle w:val="TableText0"/>
            </w:pPr>
            <w:r w:rsidRPr="00BE5A28">
              <w:t>3.61 (8.60)</w:t>
            </w:r>
          </w:p>
        </w:tc>
      </w:tr>
      <w:tr w:rsidR="005A23B0" w:rsidRPr="00BE5A28" w14:paraId="347D39E2" w14:textId="77777777" w:rsidTr="00AC00CD">
        <w:tc>
          <w:tcPr>
            <w:tcW w:w="1838" w:type="dxa"/>
          </w:tcPr>
          <w:p w14:paraId="5B1AC4D5" w14:textId="77777777" w:rsidR="005A23B0" w:rsidRPr="00BE5A28" w:rsidRDefault="005A23B0" w:rsidP="00A8482B">
            <w:pPr>
              <w:pStyle w:val="TableText0"/>
              <w:jc w:val="left"/>
            </w:pPr>
            <w:r w:rsidRPr="00BE5A28">
              <w:t>Month 18 (SD)</w:t>
            </w:r>
          </w:p>
        </w:tc>
        <w:tc>
          <w:tcPr>
            <w:tcW w:w="1196" w:type="dxa"/>
          </w:tcPr>
          <w:p w14:paraId="2CFE17B7" w14:textId="77777777" w:rsidR="005A23B0" w:rsidRPr="00BE5A28" w:rsidRDefault="005A23B0" w:rsidP="00561983">
            <w:pPr>
              <w:pStyle w:val="TableText0"/>
            </w:pPr>
            <w:r w:rsidRPr="00BE5A28">
              <w:t>N = 27</w:t>
            </w:r>
          </w:p>
          <w:p w14:paraId="2AE09662" w14:textId="77777777" w:rsidR="005A23B0" w:rsidRPr="00BE5A28" w:rsidRDefault="005A23B0" w:rsidP="00561983">
            <w:pPr>
              <w:pStyle w:val="TableText0"/>
            </w:pPr>
            <w:r w:rsidRPr="00BE5A28">
              <w:t>-1.91 (6.28)</w:t>
            </w:r>
          </w:p>
        </w:tc>
        <w:tc>
          <w:tcPr>
            <w:tcW w:w="1196" w:type="dxa"/>
          </w:tcPr>
          <w:p w14:paraId="04F5EB59" w14:textId="77777777" w:rsidR="005A23B0" w:rsidRPr="00BE5A28" w:rsidRDefault="005A23B0" w:rsidP="00561983">
            <w:pPr>
              <w:pStyle w:val="TableText0"/>
            </w:pPr>
            <w:r w:rsidRPr="00BE5A28">
              <w:t>N = 35</w:t>
            </w:r>
          </w:p>
          <w:p w14:paraId="69525C38" w14:textId="77777777" w:rsidR="005A23B0" w:rsidRPr="00BE5A28" w:rsidRDefault="005A23B0" w:rsidP="00561983">
            <w:pPr>
              <w:pStyle w:val="TableText0"/>
            </w:pPr>
            <w:r w:rsidRPr="00BE5A28">
              <w:t>-0.66 (5.57)</w:t>
            </w:r>
          </w:p>
        </w:tc>
        <w:tc>
          <w:tcPr>
            <w:tcW w:w="1197" w:type="dxa"/>
          </w:tcPr>
          <w:p w14:paraId="17A8B49A" w14:textId="77777777" w:rsidR="005A23B0" w:rsidRPr="00BE5A28" w:rsidRDefault="005A23B0" w:rsidP="00561983">
            <w:pPr>
              <w:pStyle w:val="TableText0"/>
            </w:pPr>
            <w:r w:rsidRPr="00BE5A28">
              <w:t>N = 27</w:t>
            </w:r>
          </w:p>
          <w:p w14:paraId="3E252CC5" w14:textId="77777777" w:rsidR="005A23B0" w:rsidRPr="00BE5A28" w:rsidRDefault="005A23B0" w:rsidP="00561983">
            <w:pPr>
              <w:pStyle w:val="TableText0"/>
            </w:pPr>
            <w:r w:rsidRPr="00BE5A28">
              <w:t>-2.89 (7.19)</w:t>
            </w:r>
          </w:p>
        </w:tc>
        <w:tc>
          <w:tcPr>
            <w:tcW w:w="1196" w:type="dxa"/>
          </w:tcPr>
          <w:p w14:paraId="33335D94" w14:textId="77777777" w:rsidR="005A23B0" w:rsidRPr="00BE5A28" w:rsidRDefault="005A23B0" w:rsidP="00561983">
            <w:pPr>
              <w:pStyle w:val="TableText0"/>
            </w:pPr>
            <w:r w:rsidRPr="00BE5A28">
              <w:t>N = 35</w:t>
            </w:r>
          </w:p>
          <w:p w14:paraId="5499D2B4" w14:textId="77777777" w:rsidR="005A23B0" w:rsidRPr="00BE5A28" w:rsidRDefault="005A23B0" w:rsidP="00561983">
            <w:pPr>
              <w:pStyle w:val="TableText0"/>
            </w:pPr>
            <w:r w:rsidRPr="00BE5A28">
              <w:t>-2.72 (7.20)</w:t>
            </w:r>
          </w:p>
        </w:tc>
        <w:tc>
          <w:tcPr>
            <w:tcW w:w="1196" w:type="dxa"/>
          </w:tcPr>
          <w:p w14:paraId="2C35185C" w14:textId="77777777" w:rsidR="005A23B0" w:rsidRPr="00BE5A28" w:rsidRDefault="005A23B0" w:rsidP="00561983">
            <w:pPr>
              <w:pStyle w:val="TableText0"/>
            </w:pPr>
            <w:r w:rsidRPr="00BE5A28">
              <w:t>N = 23</w:t>
            </w:r>
          </w:p>
          <w:p w14:paraId="0BF45A84" w14:textId="77777777" w:rsidR="005A23B0" w:rsidRPr="00BE5A28" w:rsidRDefault="005A23B0" w:rsidP="00561983">
            <w:pPr>
              <w:pStyle w:val="TableText0"/>
            </w:pPr>
            <w:r w:rsidRPr="00BE5A28">
              <w:t>-3.90 (8.31)</w:t>
            </w:r>
          </w:p>
        </w:tc>
        <w:tc>
          <w:tcPr>
            <w:tcW w:w="1197" w:type="dxa"/>
          </w:tcPr>
          <w:p w14:paraId="38412C4E" w14:textId="77777777" w:rsidR="005A23B0" w:rsidRPr="00BE5A28" w:rsidRDefault="005A23B0" w:rsidP="00561983">
            <w:pPr>
              <w:pStyle w:val="TableText0"/>
            </w:pPr>
            <w:r w:rsidRPr="00BE5A28">
              <w:t>N = 9</w:t>
            </w:r>
          </w:p>
          <w:p w14:paraId="374D8893" w14:textId="77777777" w:rsidR="005A23B0" w:rsidRPr="00BE5A28" w:rsidRDefault="005A23B0" w:rsidP="00561983">
            <w:pPr>
              <w:pStyle w:val="TableText0"/>
            </w:pPr>
            <w:r w:rsidRPr="00BE5A28">
              <w:t>3.19 (7.73)</w:t>
            </w:r>
          </w:p>
        </w:tc>
      </w:tr>
      <w:tr w:rsidR="005A23B0" w:rsidRPr="00BE5A28" w14:paraId="546D1579" w14:textId="77777777" w:rsidTr="00AC00CD">
        <w:tc>
          <w:tcPr>
            <w:tcW w:w="1838" w:type="dxa"/>
          </w:tcPr>
          <w:p w14:paraId="43225BB5" w14:textId="77777777" w:rsidR="005A23B0" w:rsidRPr="00BE5A28" w:rsidRDefault="005A23B0" w:rsidP="00A8482B">
            <w:pPr>
              <w:pStyle w:val="TableText0"/>
              <w:jc w:val="left"/>
            </w:pPr>
            <w:r w:rsidRPr="00BE5A28">
              <w:t>Month 24 (SD)</w:t>
            </w:r>
          </w:p>
        </w:tc>
        <w:tc>
          <w:tcPr>
            <w:tcW w:w="1196" w:type="dxa"/>
          </w:tcPr>
          <w:p w14:paraId="182508F8" w14:textId="77777777" w:rsidR="005A23B0" w:rsidRPr="00BE5A28" w:rsidRDefault="005A23B0" w:rsidP="00561983">
            <w:pPr>
              <w:pStyle w:val="TableText0"/>
            </w:pPr>
            <w:r w:rsidRPr="00BE5A28">
              <w:t>N = 0</w:t>
            </w:r>
          </w:p>
        </w:tc>
        <w:tc>
          <w:tcPr>
            <w:tcW w:w="1196" w:type="dxa"/>
          </w:tcPr>
          <w:p w14:paraId="5FD5E03E" w14:textId="77777777" w:rsidR="005A23B0" w:rsidRPr="00BE5A28" w:rsidRDefault="005A23B0" w:rsidP="00561983">
            <w:pPr>
              <w:pStyle w:val="TableText0"/>
            </w:pPr>
            <w:r w:rsidRPr="00BE5A28">
              <w:t>N = 38</w:t>
            </w:r>
          </w:p>
          <w:p w14:paraId="2B0895AC" w14:textId="77777777" w:rsidR="005A23B0" w:rsidRPr="00BE5A28" w:rsidRDefault="005A23B0" w:rsidP="00561983">
            <w:pPr>
              <w:pStyle w:val="TableText0"/>
            </w:pPr>
            <w:r w:rsidRPr="00BE5A28">
              <w:t>-1.13 (6.09)</w:t>
            </w:r>
          </w:p>
        </w:tc>
        <w:tc>
          <w:tcPr>
            <w:tcW w:w="1197" w:type="dxa"/>
          </w:tcPr>
          <w:p w14:paraId="0362B796" w14:textId="77777777" w:rsidR="005A23B0" w:rsidRPr="00BE5A28" w:rsidRDefault="005A23B0" w:rsidP="00561983">
            <w:pPr>
              <w:pStyle w:val="TableText0"/>
            </w:pPr>
            <w:r w:rsidRPr="00BE5A28">
              <w:t>N = 0</w:t>
            </w:r>
          </w:p>
        </w:tc>
        <w:tc>
          <w:tcPr>
            <w:tcW w:w="1196" w:type="dxa"/>
          </w:tcPr>
          <w:p w14:paraId="7D29AFA2" w14:textId="77777777" w:rsidR="005A23B0" w:rsidRPr="00BE5A28" w:rsidRDefault="005A23B0" w:rsidP="00561983">
            <w:pPr>
              <w:pStyle w:val="TableText0"/>
            </w:pPr>
            <w:r w:rsidRPr="00BE5A28">
              <w:t>N = 38</w:t>
            </w:r>
          </w:p>
          <w:p w14:paraId="4343D841" w14:textId="77777777" w:rsidR="005A23B0" w:rsidRPr="00BE5A28" w:rsidRDefault="005A23B0" w:rsidP="00561983">
            <w:pPr>
              <w:pStyle w:val="TableText0"/>
            </w:pPr>
            <w:r w:rsidRPr="00BE5A28">
              <w:t>-1.22 (6.91)</w:t>
            </w:r>
          </w:p>
        </w:tc>
        <w:tc>
          <w:tcPr>
            <w:tcW w:w="1196" w:type="dxa"/>
          </w:tcPr>
          <w:p w14:paraId="1CCC1FF0" w14:textId="77777777" w:rsidR="005A23B0" w:rsidRPr="00BE5A28" w:rsidRDefault="005A23B0" w:rsidP="00561983">
            <w:pPr>
              <w:pStyle w:val="TableText0"/>
            </w:pPr>
            <w:r w:rsidRPr="00BE5A28">
              <w:t>N = 0</w:t>
            </w:r>
          </w:p>
        </w:tc>
        <w:tc>
          <w:tcPr>
            <w:tcW w:w="1197" w:type="dxa"/>
          </w:tcPr>
          <w:p w14:paraId="5DF20A5C" w14:textId="77777777" w:rsidR="005A23B0" w:rsidRPr="00BE5A28" w:rsidRDefault="005A23B0" w:rsidP="00561983">
            <w:pPr>
              <w:pStyle w:val="TableText0"/>
            </w:pPr>
            <w:r w:rsidRPr="00BE5A28">
              <w:t>N = 11</w:t>
            </w:r>
          </w:p>
          <w:p w14:paraId="298452E6" w14:textId="77777777" w:rsidR="005A23B0" w:rsidRPr="00BE5A28" w:rsidRDefault="005A23B0" w:rsidP="00561983">
            <w:pPr>
              <w:pStyle w:val="TableText0"/>
            </w:pPr>
            <w:r w:rsidRPr="00BE5A28">
              <w:t>2.68 (7.26)</w:t>
            </w:r>
          </w:p>
        </w:tc>
      </w:tr>
    </w:tbl>
    <w:p w14:paraId="77DDAD94" w14:textId="77777777" w:rsidR="005A23B0" w:rsidRPr="00BE5A28" w:rsidRDefault="005A23B0" w:rsidP="007913E5">
      <w:pPr>
        <w:pStyle w:val="TableFigureFooter"/>
      </w:pPr>
      <w:r w:rsidRPr="00BE5A28">
        <w:t xml:space="preserve">Source: Table 2.5.9, p120 of the submission. </w:t>
      </w:r>
    </w:p>
    <w:p w14:paraId="0E58F2D1" w14:textId="77777777" w:rsidR="005A23B0" w:rsidRPr="00BE5A28" w:rsidRDefault="005A23B0" w:rsidP="007913E5">
      <w:pPr>
        <w:pStyle w:val="TableFigureFooter"/>
      </w:pPr>
      <w:r w:rsidRPr="00BE5A28">
        <w:t>NHS = Natural history study; PVO = Palovarotene; DCO = Data cut-off; SD = Standard deviation; PROMIS = Patient Reported Outcomes Measurement Information System</w:t>
      </w:r>
    </w:p>
    <w:p w14:paraId="0567EC8F" w14:textId="77777777" w:rsidR="005A23B0" w:rsidRPr="00BE5A28" w:rsidRDefault="005A23B0" w:rsidP="007913E5">
      <w:pPr>
        <w:pStyle w:val="TableFigureFooter"/>
      </w:pPr>
      <w:r w:rsidRPr="00BE5A28">
        <w:t>Scores were converted to T-scores for adult and paediatric scales; a value of 50 (SD 10) represents the average for the general population in the USA.</w:t>
      </w:r>
    </w:p>
    <w:p w14:paraId="7EEAD900" w14:textId="77777777" w:rsidR="005A23B0" w:rsidRPr="00BE5A28" w:rsidRDefault="005A23B0" w:rsidP="007913E5">
      <w:pPr>
        <w:pStyle w:val="TableFigureFooter"/>
      </w:pPr>
      <w:r w:rsidRPr="00BE5A28">
        <w:t>At baseline all patients having a valid value are included. For the post-baseline timepoints, only patients with a non-missing baseline and post-baseline value are included.</w:t>
      </w:r>
    </w:p>
    <w:p w14:paraId="18399845" w14:textId="45ED7AA1" w:rsidR="005A23B0" w:rsidRPr="005A23B0" w:rsidRDefault="005A23B0" w:rsidP="007913E5">
      <w:pPr>
        <w:pStyle w:val="TableFigureFooter"/>
      </w:pPr>
      <w:r w:rsidRPr="00BE5A28">
        <w:t>Higher scores represent increased quality of life</w:t>
      </w:r>
    </w:p>
    <w:p w14:paraId="742FCD32" w14:textId="7AB64F77" w:rsidR="005A23B0" w:rsidRPr="00BF7D88" w:rsidRDefault="005A23B0" w:rsidP="005A23B0">
      <w:pPr>
        <w:pStyle w:val="3-BodyText"/>
        <w:rPr>
          <w:color w:val="000000" w:themeColor="text1"/>
        </w:rPr>
      </w:pPr>
      <w:r w:rsidRPr="00BF7D88">
        <w:rPr>
          <w:color w:val="000000" w:themeColor="text1"/>
        </w:rPr>
        <w:t xml:space="preserve">The economic model relied on analyses of individual patient data for HO volume, CAJIS score, flare-ups and PROMIS scores in a sensitivity analysis. </w:t>
      </w:r>
      <w:r w:rsidR="004F7EEE" w:rsidRPr="00BF7D88">
        <w:rPr>
          <w:color w:val="000000" w:themeColor="text1"/>
        </w:rPr>
        <w:t>A</w:t>
      </w:r>
      <w:r w:rsidRPr="00BF7D88">
        <w:rPr>
          <w:color w:val="000000" w:themeColor="text1"/>
        </w:rPr>
        <w:t xml:space="preserve">dditionally, treatment effect was directly modelled from reduction in annualised HO in the PBS population subgroup. </w:t>
      </w:r>
    </w:p>
    <w:p w14:paraId="1452C351" w14:textId="0D19F1B0" w:rsidR="00B60939" w:rsidRPr="0098262F" w:rsidRDefault="00B60939" w:rsidP="00D86231">
      <w:pPr>
        <w:pStyle w:val="4-SubsectionHeading"/>
      </w:pPr>
      <w:bookmarkStart w:id="35" w:name="_Toc22897642"/>
      <w:bookmarkStart w:id="36" w:name="_Toc177559112"/>
      <w:r w:rsidRPr="0098262F">
        <w:t>Comparative harms</w:t>
      </w:r>
      <w:bookmarkEnd w:id="35"/>
      <w:bookmarkEnd w:id="36"/>
    </w:p>
    <w:p w14:paraId="3D9A45B2" w14:textId="33124809" w:rsidR="005A23B0" w:rsidRPr="004F7EEE" w:rsidRDefault="005A23B0" w:rsidP="005A23B0">
      <w:pPr>
        <w:pStyle w:val="3-BodyText"/>
      </w:pPr>
      <w:r w:rsidRPr="00BE5A28">
        <w:t>The submission noted that</w:t>
      </w:r>
      <w:r w:rsidRPr="004E5B01">
        <w:t xml:space="preserve"> </w:t>
      </w:r>
      <w:r w:rsidRPr="00BE5A28">
        <w:t>i</w:t>
      </w:r>
      <w:r w:rsidRPr="004E5B01">
        <w:t xml:space="preserve">n the NHS, </w:t>
      </w:r>
      <w:r>
        <w:t>adverse events (</w:t>
      </w:r>
      <w:r w:rsidRPr="004E5B01">
        <w:t>AEs</w:t>
      </w:r>
      <w:r>
        <w:t>)</w:t>
      </w:r>
      <w:r w:rsidRPr="004E5B01">
        <w:t xml:space="preserve"> were only captured if</w:t>
      </w:r>
      <w:r w:rsidRPr="00BE5A28">
        <w:t xml:space="preserve"> they resulted from procedures performed during the study. Therefore, direct comparisons with </w:t>
      </w:r>
      <w:r w:rsidR="004F7EEE">
        <w:t>treatment-emergent adverse events (</w:t>
      </w:r>
      <w:r w:rsidRPr="00BE5A28">
        <w:t>TEAEs</w:t>
      </w:r>
      <w:r w:rsidR="004F7EEE">
        <w:t>)</w:t>
      </w:r>
      <w:r w:rsidRPr="00BE5A28">
        <w:t xml:space="preserve"> reported in MOVE </w:t>
      </w:r>
      <w:r w:rsidR="00D46C60" w:rsidRPr="00BE5A28">
        <w:t>w</w:t>
      </w:r>
      <w:r w:rsidR="00D46C60">
        <w:t>ere</w:t>
      </w:r>
      <w:r w:rsidR="00D46C60" w:rsidRPr="00BE5A28">
        <w:t xml:space="preserve"> </w:t>
      </w:r>
      <w:r w:rsidRPr="00BE5A28">
        <w:t xml:space="preserve">not </w:t>
      </w:r>
      <w:r w:rsidRPr="004F7EEE">
        <w:t>possible</w:t>
      </w:r>
      <w:r w:rsidR="004F7EEE" w:rsidRPr="004F7EEE">
        <w:t>.</w:t>
      </w:r>
    </w:p>
    <w:p w14:paraId="300F1D60" w14:textId="08D26B2A" w:rsidR="005A23B0" w:rsidRPr="004F7EEE" w:rsidRDefault="005A23B0" w:rsidP="008D5FD1">
      <w:pPr>
        <w:pStyle w:val="3-BodyText"/>
      </w:pPr>
      <w:r w:rsidRPr="004F7EEE">
        <w:fldChar w:fldCharType="begin" w:fldLock="1"/>
      </w:r>
      <w:r w:rsidRPr="004F7EEE">
        <w:instrText xml:space="preserve"> REF _Ref176525121 \h </w:instrText>
      </w:r>
      <w:r w:rsidRPr="004F7EEE">
        <w:fldChar w:fldCharType="separate"/>
      </w:r>
      <w:r w:rsidR="0043347F" w:rsidRPr="0098262F">
        <w:t xml:space="preserve">Table </w:t>
      </w:r>
      <w:r w:rsidR="0043347F">
        <w:rPr>
          <w:noProof/>
        </w:rPr>
        <w:t>10</w:t>
      </w:r>
      <w:r w:rsidRPr="004F7EEE">
        <w:fldChar w:fldCharType="end"/>
      </w:r>
      <w:r w:rsidRPr="004F7EEE">
        <w:t xml:space="preserve"> presents a summary of the most common adverse events reported in MOVE. The most commonly reported TEAEs were mucocutaneous events such as dry skin (68.7%), lip dry (46.5%), alopecia (34.3%), drug eruption (28.3%), pruritus (26.3%) and musculoskeletal events such as arthralgia (33.3%).</w:t>
      </w:r>
    </w:p>
    <w:p w14:paraId="31BF2D3B" w14:textId="663106F4" w:rsidR="005A23B0" w:rsidRPr="00BE5A28" w:rsidRDefault="005A23B0" w:rsidP="005A23B0">
      <w:pPr>
        <w:pStyle w:val="TableFigureHeading"/>
      </w:pPr>
      <w:bookmarkStart w:id="37" w:name="_Ref176525121"/>
      <w:r w:rsidRPr="0098262F">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10</w:t>
      </w:r>
      <w:r w:rsidR="002A4328">
        <w:rPr>
          <w:noProof/>
        </w:rPr>
        <w:fldChar w:fldCharType="end"/>
      </w:r>
      <w:bookmarkEnd w:id="37"/>
      <w:r w:rsidRPr="0098262F">
        <w:t xml:space="preserve">: </w:t>
      </w:r>
      <w:r w:rsidRPr="00BE5A28">
        <w:t>Common TEAEs experienced by &gt; 10% of patients (Principal Safety Set)</w:t>
      </w:r>
    </w:p>
    <w:tbl>
      <w:tblPr>
        <w:tblStyle w:val="TableGrid"/>
        <w:tblW w:w="0" w:type="auto"/>
        <w:tblLook w:val="04A0" w:firstRow="1" w:lastRow="0" w:firstColumn="1" w:lastColumn="0" w:noHBand="0" w:noVBand="1"/>
      </w:tblPr>
      <w:tblGrid>
        <w:gridCol w:w="3823"/>
        <w:gridCol w:w="1731"/>
        <w:gridCol w:w="1731"/>
        <w:gridCol w:w="1731"/>
      </w:tblGrid>
      <w:tr w:rsidR="005A23B0" w:rsidRPr="00A8482B" w14:paraId="19264DE7" w14:textId="77777777" w:rsidTr="00AC00CD">
        <w:tc>
          <w:tcPr>
            <w:tcW w:w="3823" w:type="dxa"/>
          </w:tcPr>
          <w:p w14:paraId="0E3708ED" w14:textId="77777777" w:rsidR="005A23B0" w:rsidRPr="00A8482B" w:rsidRDefault="005A23B0" w:rsidP="00A8482B">
            <w:pPr>
              <w:pStyle w:val="TableText0"/>
              <w:jc w:val="left"/>
              <w:rPr>
                <w:b/>
                <w:bCs w:val="0"/>
              </w:rPr>
            </w:pPr>
            <w:r w:rsidRPr="00A8482B">
              <w:rPr>
                <w:b/>
                <w:bCs w:val="0"/>
              </w:rPr>
              <w:t>TEAE, n (%)</w:t>
            </w:r>
          </w:p>
        </w:tc>
        <w:tc>
          <w:tcPr>
            <w:tcW w:w="1731" w:type="dxa"/>
          </w:tcPr>
          <w:p w14:paraId="705E336D" w14:textId="77777777" w:rsidR="005A23B0" w:rsidRPr="00A8482B" w:rsidRDefault="005A23B0" w:rsidP="00561983">
            <w:pPr>
              <w:pStyle w:val="TableText0"/>
              <w:rPr>
                <w:b/>
                <w:bCs w:val="0"/>
              </w:rPr>
            </w:pPr>
            <w:r w:rsidRPr="00A8482B">
              <w:rPr>
                <w:b/>
                <w:bCs w:val="0"/>
              </w:rPr>
              <w:t xml:space="preserve">Chronic treatment </w:t>
            </w:r>
          </w:p>
          <w:p w14:paraId="68E7D9CD" w14:textId="77777777" w:rsidR="005A23B0" w:rsidRPr="00A8482B" w:rsidRDefault="005A23B0" w:rsidP="00561983">
            <w:pPr>
              <w:pStyle w:val="TableText0"/>
              <w:rPr>
                <w:b/>
                <w:bCs w:val="0"/>
              </w:rPr>
            </w:pPr>
            <w:r w:rsidRPr="00A8482B">
              <w:rPr>
                <w:b/>
                <w:bCs w:val="0"/>
              </w:rPr>
              <w:t>N = 99</w:t>
            </w:r>
          </w:p>
        </w:tc>
        <w:tc>
          <w:tcPr>
            <w:tcW w:w="1731" w:type="dxa"/>
          </w:tcPr>
          <w:p w14:paraId="219B7B65" w14:textId="77777777" w:rsidR="005A23B0" w:rsidRPr="00A8482B" w:rsidRDefault="005A23B0" w:rsidP="00561983">
            <w:pPr>
              <w:pStyle w:val="TableText0"/>
              <w:rPr>
                <w:b/>
                <w:bCs w:val="0"/>
              </w:rPr>
            </w:pPr>
            <w:r w:rsidRPr="00A8482B">
              <w:rPr>
                <w:b/>
                <w:bCs w:val="0"/>
              </w:rPr>
              <w:t>Flare-up treatment</w:t>
            </w:r>
          </w:p>
          <w:p w14:paraId="64D99713" w14:textId="77777777" w:rsidR="005A23B0" w:rsidRPr="00A8482B" w:rsidRDefault="005A23B0" w:rsidP="00561983">
            <w:pPr>
              <w:pStyle w:val="TableText0"/>
              <w:rPr>
                <w:b/>
                <w:bCs w:val="0"/>
              </w:rPr>
            </w:pPr>
            <w:r w:rsidRPr="00A8482B">
              <w:rPr>
                <w:b/>
                <w:bCs w:val="0"/>
              </w:rPr>
              <w:t>N = 70</w:t>
            </w:r>
          </w:p>
        </w:tc>
        <w:tc>
          <w:tcPr>
            <w:tcW w:w="1731" w:type="dxa"/>
          </w:tcPr>
          <w:p w14:paraId="0A859563" w14:textId="77777777" w:rsidR="005A23B0" w:rsidRPr="00A8482B" w:rsidRDefault="005A23B0" w:rsidP="00561983">
            <w:pPr>
              <w:pStyle w:val="TableText0"/>
              <w:rPr>
                <w:b/>
                <w:bCs w:val="0"/>
              </w:rPr>
            </w:pPr>
            <w:r w:rsidRPr="00A8482B">
              <w:rPr>
                <w:b/>
                <w:bCs w:val="0"/>
              </w:rPr>
              <w:t>Overall</w:t>
            </w:r>
          </w:p>
          <w:p w14:paraId="41C0B681" w14:textId="77777777" w:rsidR="005A23B0" w:rsidRPr="00A8482B" w:rsidRDefault="005A23B0" w:rsidP="00561983">
            <w:pPr>
              <w:pStyle w:val="TableText0"/>
              <w:rPr>
                <w:b/>
                <w:bCs w:val="0"/>
              </w:rPr>
            </w:pPr>
            <w:r w:rsidRPr="00A8482B">
              <w:rPr>
                <w:b/>
                <w:bCs w:val="0"/>
              </w:rPr>
              <w:t>N = 99</w:t>
            </w:r>
          </w:p>
        </w:tc>
      </w:tr>
      <w:tr w:rsidR="005A23B0" w:rsidRPr="00BE5A28" w14:paraId="112A9FEA" w14:textId="77777777" w:rsidTr="00AC00CD">
        <w:tc>
          <w:tcPr>
            <w:tcW w:w="3823" w:type="dxa"/>
          </w:tcPr>
          <w:p w14:paraId="6D8764FE" w14:textId="77777777" w:rsidR="005A23B0" w:rsidRPr="00BE5A28" w:rsidRDefault="005A23B0" w:rsidP="00A8482B">
            <w:pPr>
              <w:pStyle w:val="TableText0"/>
              <w:jc w:val="left"/>
            </w:pPr>
            <w:r w:rsidRPr="00BE5A28">
              <w:t>Skin and subcutaneous tissue disorders</w:t>
            </w:r>
          </w:p>
        </w:tc>
        <w:tc>
          <w:tcPr>
            <w:tcW w:w="1731" w:type="dxa"/>
            <w:vAlign w:val="center"/>
          </w:tcPr>
          <w:p w14:paraId="7E3A4873" w14:textId="77777777" w:rsidR="005A23B0" w:rsidRPr="00BE5A28" w:rsidRDefault="005A23B0" w:rsidP="00561983">
            <w:pPr>
              <w:pStyle w:val="TableText0"/>
            </w:pPr>
            <w:r w:rsidRPr="00BE5A28">
              <w:t>83 (83.8)</w:t>
            </w:r>
          </w:p>
        </w:tc>
        <w:tc>
          <w:tcPr>
            <w:tcW w:w="1731" w:type="dxa"/>
            <w:vAlign w:val="center"/>
          </w:tcPr>
          <w:p w14:paraId="1CFA5E70" w14:textId="77777777" w:rsidR="005A23B0" w:rsidRPr="00BE5A28" w:rsidRDefault="005A23B0" w:rsidP="00561983">
            <w:pPr>
              <w:pStyle w:val="TableText0"/>
            </w:pPr>
            <w:r w:rsidRPr="00BE5A28">
              <w:t>59 (84.3)</w:t>
            </w:r>
          </w:p>
        </w:tc>
        <w:tc>
          <w:tcPr>
            <w:tcW w:w="1731" w:type="dxa"/>
            <w:vAlign w:val="center"/>
          </w:tcPr>
          <w:p w14:paraId="4C05AF80" w14:textId="77777777" w:rsidR="005A23B0" w:rsidRPr="00BE5A28" w:rsidRDefault="005A23B0" w:rsidP="00561983">
            <w:pPr>
              <w:pStyle w:val="TableText0"/>
            </w:pPr>
            <w:r w:rsidRPr="00BE5A28">
              <w:t>96 (97.0)</w:t>
            </w:r>
          </w:p>
        </w:tc>
      </w:tr>
      <w:tr w:rsidR="005A23B0" w:rsidRPr="00BE5A28" w14:paraId="786199D6" w14:textId="77777777" w:rsidTr="00AC00CD">
        <w:tc>
          <w:tcPr>
            <w:tcW w:w="3823" w:type="dxa"/>
          </w:tcPr>
          <w:p w14:paraId="2B458264" w14:textId="77777777" w:rsidR="005A23B0" w:rsidRPr="00BE5A28" w:rsidRDefault="005A23B0" w:rsidP="00A8482B">
            <w:pPr>
              <w:pStyle w:val="TableText0"/>
              <w:jc w:val="left"/>
            </w:pPr>
            <w:r w:rsidRPr="00BE5A28">
              <w:t>Dry skin</w:t>
            </w:r>
          </w:p>
        </w:tc>
        <w:tc>
          <w:tcPr>
            <w:tcW w:w="1731" w:type="dxa"/>
            <w:vAlign w:val="center"/>
          </w:tcPr>
          <w:p w14:paraId="24A7FA84" w14:textId="77777777" w:rsidR="005A23B0" w:rsidRPr="00BE5A28" w:rsidRDefault="005A23B0" w:rsidP="00561983">
            <w:pPr>
              <w:pStyle w:val="TableText0"/>
            </w:pPr>
            <w:r w:rsidRPr="00BE5A28">
              <w:t>52 (52.5)</w:t>
            </w:r>
          </w:p>
        </w:tc>
        <w:tc>
          <w:tcPr>
            <w:tcW w:w="1731" w:type="dxa"/>
            <w:vAlign w:val="center"/>
          </w:tcPr>
          <w:p w14:paraId="5B4258AB" w14:textId="77777777" w:rsidR="005A23B0" w:rsidRPr="00BE5A28" w:rsidRDefault="005A23B0" w:rsidP="00561983">
            <w:pPr>
              <w:pStyle w:val="TableText0"/>
            </w:pPr>
            <w:r w:rsidRPr="00BE5A28">
              <w:t>32 (45.7)</w:t>
            </w:r>
          </w:p>
        </w:tc>
        <w:tc>
          <w:tcPr>
            <w:tcW w:w="1731" w:type="dxa"/>
            <w:vAlign w:val="center"/>
          </w:tcPr>
          <w:p w14:paraId="1B50733D" w14:textId="77777777" w:rsidR="005A23B0" w:rsidRPr="00BE5A28" w:rsidRDefault="005A23B0" w:rsidP="00561983">
            <w:pPr>
              <w:pStyle w:val="TableText0"/>
            </w:pPr>
            <w:r w:rsidRPr="00BE5A28">
              <w:t>68 (68.7)</w:t>
            </w:r>
          </w:p>
        </w:tc>
      </w:tr>
      <w:tr w:rsidR="005A23B0" w:rsidRPr="00BE5A28" w14:paraId="1C74CBE6" w14:textId="77777777" w:rsidTr="00AC00CD">
        <w:tc>
          <w:tcPr>
            <w:tcW w:w="3823" w:type="dxa"/>
          </w:tcPr>
          <w:p w14:paraId="5357AD2A" w14:textId="77777777" w:rsidR="005A23B0" w:rsidRPr="00BE5A28" w:rsidRDefault="005A23B0" w:rsidP="00A8482B">
            <w:pPr>
              <w:pStyle w:val="TableText0"/>
              <w:jc w:val="left"/>
            </w:pPr>
            <w:r w:rsidRPr="00BE5A28">
              <w:t>Alopecia</w:t>
            </w:r>
          </w:p>
        </w:tc>
        <w:tc>
          <w:tcPr>
            <w:tcW w:w="1731" w:type="dxa"/>
            <w:vAlign w:val="center"/>
          </w:tcPr>
          <w:p w14:paraId="659AF8DA" w14:textId="77777777" w:rsidR="005A23B0" w:rsidRPr="00BE5A28" w:rsidRDefault="005A23B0" w:rsidP="00561983">
            <w:pPr>
              <w:pStyle w:val="TableText0"/>
            </w:pPr>
            <w:r w:rsidRPr="00BE5A28">
              <w:t>17 (17.2)</w:t>
            </w:r>
          </w:p>
        </w:tc>
        <w:tc>
          <w:tcPr>
            <w:tcW w:w="1731" w:type="dxa"/>
            <w:vAlign w:val="center"/>
          </w:tcPr>
          <w:p w14:paraId="05499FD0" w14:textId="77777777" w:rsidR="005A23B0" w:rsidRPr="00BE5A28" w:rsidRDefault="005A23B0" w:rsidP="00561983">
            <w:pPr>
              <w:pStyle w:val="TableText0"/>
            </w:pPr>
            <w:r w:rsidRPr="00BE5A28">
              <w:t>18 (25.7)</w:t>
            </w:r>
          </w:p>
        </w:tc>
        <w:tc>
          <w:tcPr>
            <w:tcW w:w="1731" w:type="dxa"/>
            <w:vAlign w:val="center"/>
          </w:tcPr>
          <w:p w14:paraId="74848F27" w14:textId="77777777" w:rsidR="005A23B0" w:rsidRPr="00BE5A28" w:rsidRDefault="005A23B0" w:rsidP="00561983">
            <w:pPr>
              <w:pStyle w:val="TableText0"/>
            </w:pPr>
            <w:r w:rsidRPr="00BE5A28">
              <w:t>34 (34.3)</w:t>
            </w:r>
          </w:p>
        </w:tc>
      </w:tr>
      <w:tr w:rsidR="005A23B0" w:rsidRPr="00BE5A28" w14:paraId="4F33EB4D" w14:textId="77777777" w:rsidTr="00AC00CD">
        <w:tc>
          <w:tcPr>
            <w:tcW w:w="3823" w:type="dxa"/>
          </w:tcPr>
          <w:p w14:paraId="47BEEC47" w14:textId="77777777" w:rsidR="005A23B0" w:rsidRPr="00BE5A28" w:rsidRDefault="005A23B0" w:rsidP="00A8482B">
            <w:pPr>
              <w:pStyle w:val="TableText0"/>
              <w:jc w:val="left"/>
            </w:pPr>
            <w:r w:rsidRPr="00BE5A28">
              <w:t>Drug eruption</w:t>
            </w:r>
          </w:p>
        </w:tc>
        <w:tc>
          <w:tcPr>
            <w:tcW w:w="1731" w:type="dxa"/>
            <w:vAlign w:val="center"/>
          </w:tcPr>
          <w:p w14:paraId="027B42B4" w14:textId="77777777" w:rsidR="005A23B0" w:rsidRPr="00BE5A28" w:rsidRDefault="005A23B0" w:rsidP="00561983">
            <w:pPr>
              <w:pStyle w:val="TableText0"/>
            </w:pPr>
            <w:r w:rsidRPr="00BE5A28">
              <w:t>13 (13.1)</w:t>
            </w:r>
          </w:p>
        </w:tc>
        <w:tc>
          <w:tcPr>
            <w:tcW w:w="1731" w:type="dxa"/>
            <w:vAlign w:val="center"/>
          </w:tcPr>
          <w:p w14:paraId="4DBA9DE0" w14:textId="77777777" w:rsidR="005A23B0" w:rsidRPr="00BE5A28" w:rsidRDefault="005A23B0" w:rsidP="00561983">
            <w:pPr>
              <w:pStyle w:val="TableText0"/>
            </w:pPr>
            <w:r w:rsidRPr="00BE5A28">
              <w:t>19 (27.1)</w:t>
            </w:r>
          </w:p>
        </w:tc>
        <w:tc>
          <w:tcPr>
            <w:tcW w:w="1731" w:type="dxa"/>
            <w:vAlign w:val="center"/>
          </w:tcPr>
          <w:p w14:paraId="0B4773D8" w14:textId="77777777" w:rsidR="005A23B0" w:rsidRPr="00BE5A28" w:rsidRDefault="005A23B0" w:rsidP="00561983">
            <w:pPr>
              <w:pStyle w:val="TableText0"/>
            </w:pPr>
            <w:r w:rsidRPr="00BE5A28">
              <w:t>28 (28.3)</w:t>
            </w:r>
          </w:p>
        </w:tc>
      </w:tr>
      <w:tr w:rsidR="005A23B0" w:rsidRPr="00BE5A28" w14:paraId="740A6CFD" w14:textId="77777777" w:rsidTr="00AC00CD">
        <w:tc>
          <w:tcPr>
            <w:tcW w:w="3823" w:type="dxa"/>
          </w:tcPr>
          <w:p w14:paraId="15D6CDE7" w14:textId="77777777" w:rsidR="005A23B0" w:rsidRPr="00BE5A28" w:rsidRDefault="005A23B0" w:rsidP="00A8482B">
            <w:pPr>
              <w:pStyle w:val="TableText0"/>
              <w:jc w:val="left"/>
            </w:pPr>
            <w:r w:rsidRPr="00BE5A28">
              <w:t>Pruritus</w:t>
            </w:r>
          </w:p>
        </w:tc>
        <w:tc>
          <w:tcPr>
            <w:tcW w:w="1731" w:type="dxa"/>
            <w:vAlign w:val="center"/>
          </w:tcPr>
          <w:p w14:paraId="6CA5E417" w14:textId="77777777" w:rsidR="005A23B0" w:rsidRPr="00BE5A28" w:rsidRDefault="005A23B0" w:rsidP="00561983">
            <w:pPr>
              <w:pStyle w:val="TableText0"/>
            </w:pPr>
            <w:r w:rsidRPr="00BE5A28">
              <w:t>16 (16.2)</w:t>
            </w:r>
          </w:p>
        </w:tc>
        <w:tc>
          <w:tcPr>
            <w:tcW w:w="1731" w:type="dxa"/>
            <w:vAlign w:val="center"/>
          </w:tcPr>
          <w:p w14:paraId="332C4A01" w14:textId="77777777" w:rsidR="005A23B0" w:rsidRPr="00BE5A28" w:rsidRDefault="005A23B0" w:rsidP="00561983">
            <w:pPr>
              <w:pStyle w:val="TableText0"/>
            </w:pPr>
            <w:r w:rsidRPr="00BE5A28">
              <w:t>11 (15.7)</w:t>
            </w:r>
          </w:p>
        </w:tc>
        <w:tc>
          <w:tcPr>
            <w:tcW w:w="1731" w:type="dxa"/>
            <w:vAlign w:val="center"/>
          </w:tcPr>
          <w:p w14:paraId="451FE7BF" w14:textId="77777777" w:rsidR="005A23B0" w:rsidRPr="00BE5A28" w:rsidRDefault="005A23B0" w:rsidP="00561983">
            <w:pPr>
              <w:pStyle w:val="TableText0"/>
            </w:pPr>
            <w:r w:rsidRPr="00BE5A28">
              <w:t>26 (26.3)</w:t>
            </w:r>
          </w:p>
        </w:tc>
      </w:tr>
      <w:tr w:rsidR="005A23B0" w:rsidRPr="00BE5A28" w14:paraId="600A3AF4" w14:textId="77777777" w:rsidTr="00AC00CD">
        <w:tc>
          <w:tcPr>
            <w:tcW w:w="3823" w:type="dxa"/>
          </w:tcPr>
          <w:p w14:paraId="4F04279C" w14:textId="77777777" w:rsidR="005A23B0" w:rsidRPr="00BE5A28" w:rsidRDefault="005A23B0" w:rsidP="00A8482B">
            <w:pPr>
              <w:pStyle w:val="TableText0"/>
              <w:jc w:val="left"/>
            </w:pPr>
            <w:r w:rsidRPr="00BE5A28">
              <w:t>Rash</w:t>
            </w:r>
          </w:p>
        </w:tc>
        <w:tc>
          <w:tcPr>
            <w:tcW w:w="1731" w:type="dxa"/>
            <w:vAlign w:val="center"/>
          </w:tcPr>
          <w:p w14:paraId="6D7075B1" w14:textId="77777777" w:rsidR="005A23B0" w:rsidRPr="00BE5A28" w:rsidRDefault="005A23B0" w:rsidP="00561983">
            <w:pPr>
              <w:pStyle w:val="TableText0"/>
            </w:pPr>
            <w:r w:rsidRPr="00BE5A28">
              <w:t>19 (19.2)</w:t>
            </w:r>
          </w:p>
        </w:tc>
        <w:tc>
          <w:tcPr>
            <w:tcW w:w="1731" w:type="dxa"/>
            <w:vAlign w:val="center"/>
          </w:tcPr>
          <w:p w14:paraId="0E600855" w14:textId="77777777" w:rsidR="005A23B0" w:rsidRPr="00BE5A28" w:rsidRDefault="005A23B0" w:rsidP="00561983">
            <w:pPr>
              <w:pStyle w:val="TableText0"/>
            </w:pPr>
            <w:r w:rsidRPr="00BE5A28">
              <w:t>8 (11.4)</w:t>
            </w:r>
          </w:p>
        </w:tc>
        <w:tc>
          <w:tcPr>
            <w:tcW w:w="1731" w:type="dxa"/>
            <w:vAlign w:val="center"/>
          </w:tcPr>
          <w:p w14:paraId="152C501E" w14:textId="77777777" w:rsidR="005A23B0" w:rsidRPr="00BE5A28" w:rsidRDefault="005A23B0" w:rsidP="00561983">
            <w:pPr>
              <w:pStyle w:val="TableText0"/>
            </w:pPr>
            <w:r w:rsidRPr="00BE5A28">
              <w:t>23 (23.2)</w:t>
            </w:r>
          </w:p>
        </w:tc>
      </w:tr>
      <w:tr w:rsidR="005A23B0" w:rsidRPr="00BE5A28" w14:paraId="4D4E0824" w14:textId="77777777" w:rsidTr="00AC00CD">
        <w:tc>
          <w:tcPr>
            <w:tcW w:w="3823" w:type="dxa"/>
          </w:tcPr>
          <w:p w14:paraId="03849B5B" w14:textId="77777777" w:rsidR="005A23B0" w:rsidRPr="00BE5A28" w:rsidRDefault="005A23B0" w:rsidP="00A8482B">
            <w:pPr>
              <w:pStyle w:val="TableText0"/>
              <w:jc w:val="left"/>
            </w:pPr>
            <w:r w:rsidRPr="00BE5A28">
              <w:t>Erythema</w:t>
            </w:r>
          </w:p>
        </w:tc>
        <w:tc>
          <w:tcPr>
            <w:tcW w:w="1731" w:type="dxa"/>
            <w:vAlign w:val="center"/>
          </w:tcPr>
          <w:p w14:paraId="11489714" w14:textId="77777777" w:rsidR="005A23B0" w:rsidRPr="00BE5A28" w:rsidRDefault="005A23B0" w:rsidP="00561983">
            <w:pPr>
              <w:pStyle w:val="TableText0"/>
            </w:pPr>
            <w:r w:rsidRPr="00BE5A28">
              <w:t>10 (10.1)</w:t>
            </w:r>
          </w:p>
        </w:tc>
        <w:tc>
          <w:tcPr>
            <w:tcW w:w="1731" w:type="dxa"/>
            <w:vAlign w:val="center"/>
          </w:tcPr>
          <w:p w14:paraId="28D88367" w14:textId="77777777" w:rsidR="005A23B0" w:rsidRPr="00BE5A28" w:rsidRDefault="005A23B0" w:rsidP="00561983">
            <w:pPr>
              <w:pStyle w:val="TableText0"/>
            </w:pPr>
            <w:r w:rsidRPr="00BE5A28">
              <w:t>13 (18.6)</w:t>
            </w:r>
          </w:p>
        </w:tc>
        <w:tc>
          <w:tcPr>
            <w:tcW w:w="1731" w:type="dxa"/>
            <w:vAlign w:val="center"/>
          </w:tcPr>
          <w:p w14:paraId="1535D58C" w14:textId="77777777" w:rsidR="005A23B0" w:rsidRPr="00BE5A28" w:rsidRDefault="005A23B0" w:rsidP="00561983">
            <w:pPr>
              <w:pStyle w:val="TableText0"/>
            </w:pPr>
            <w:r w:rsidRPr="00BE5A28">
              <w:t>22 (22.2)</w:t>
            </w:r>
          </w:p>
        </w:tc>
      </w:tr>
      <w:tr w:rsidR="005A23B0" w:rsidRPr="00BE5A28" w14:paraId="5DFE389A" w14:textId="77777777" w:rsidTr="00AC00CD">
        <w:tc>
          <w:tcPr>
            <w:tcW w:w="3823" w:type="dxa"/>
          </w:tcPr>
          <w:p w14:paraId="459B3454" w14:textId="77777777" w:rsidR="005A23B0" w:rsidRPr="00BE5A28" w:rsidRDefault="005A23B0" w:rsidP="00A8482B">
            <w:pPr>
              <w:pStyle w:val="TableText0"/>
              <w:jc w:val="left"/>
            </w:pPr>
            <w:r w:rsidRPr="00BE5A28">
              <w:t>Pruritus generalized</w:t>
            </w:r>
          </w:p>
        </w:tc>
        <w:tc>
          <w:tcPr>
            <w:tcW w:w="1731" w:type="dxa"/>
            <w:vAlign w:val="center"/>
          </w:tcPr>
          <w:p w14:paraId="6E335FE4" w14:textId="77777777" w:rsidR="005A23B0" w:rsidRPr="00BE5A28" w:rsidRDefault="005A23B0" w:rsidP="00561983">
            <w:pPr>
              <w:pStyle w:val="TableText0"/>
            </w:pPr>
            <w:r w:rsidRPr="00BE5A28">
              <w:t>14 (14.1)</w:t>
            </w:r>
          </w:p>
        </w:tc>
        <w:tc>
          <w:tcPr>
            <w:tcW w:w="1731" w:type="dxa"/>
            <w:vAlign w:val="center"/>
          </w:tcPr>
          <w:p w14:paraId="43F2A4D0" w14:textId="77777777" w:rsidR="005A23B0" w:rsidRPr="00BE5A28" w:rsidRDefault="005A23B0" w:rsidP="00561983">
            <w:pPr>
              <w:pStyle w:val="TableText0"/>
            </w:pPr>
            <w:r w:rsidRPr="00BE5A28">
              <w:t>10 (14.3)</w:t>
            </w:r>
          </w:p>
        </w:tc>
        <w:tc>
          <w:tcPr>
            <w:tcW w:w="1731" w:type="dxa"/>
            <w:vAlign w:val="center"/>
          </w:tcPr>
          <w:p w14:paraId="4EA9AA7C" w14:textId="77777777" w:rsidR="005A23B0" w:rsidRPr="00BE5A28" w:rsidRDefault="005A23B0" w:rsidP="00561983">
            <w:pPr>
              <w:pStyle w:val="TableText0"/>
            </w:pPr>
            <w:r w:rsidRPr="00BE5A28">
              <w:t>21 (21.2)</w:t>
            </w:r>
          </w:p>
        </w:tc>
      </w:tr>
      <w:tr w:rsidR="005A23B0" w:rsidRPr="00BE5A28" w14:paraId="0C04D686" w14:textId="77777777" w:rsidTr="00AC00CD">
        <w:tc>
          <w:tcPr>
            <w:tcW w:w="3823" w:type="dxa"/>
          </w:tcPr>
          <w:p w14:paraId="7CCE58D0" w14:textId="77777777" w:rsidR="005A23B0" w:rsidRPr="00BE5A28" w:rsidRDefault="005A23B0" w:rsidP="00A8482B">
            <w:pPr>
              <w:pStyle w:val="TableText0"/>
              <w:jc w:val="left"/>
            </w:pPr>
            <w:r w:rsidRPr="00BE5A28">
              <w:t>Skin exfoliation</w:t>
            </w:r>
          </w:p>
        </w:tc>
        <w:tc>
          <w:tcPr>
            <w:tcW w:w="1731" w:type="dxa"/>
            <w:vAlign w:val="center"/>
          </w:tcPr>
          <w:p w14:paraId="133220D8" w14:textId="77777777" w:rsidR="005A23B0" w:rsidRPr="00BE5A28" w:rsidRDefault="005A23B0" w:rsidP="00561983">
            <w:pPr>
              <w:pStyle w:val="TableText0"/>
            </w:pPr>
            <w:r w:rsidRPr="00BE5A28">
              <w:t>10 (10.1)</w:t>
            </w:r>
          </w:p>
        </w:tc>
        <w:tc>
          <w:tcPr>
            <w:tcW w:w="1731" w:type="dxa"/>
            <w:vAlign w:val="center"/>
          </w:tcPr>
          <w:p w14:paraId="0522CCEC" w14:textId="77777777" w:rsidR="005A23B0" w:rsidRPr="00BE5A28" w:rsidRDefault="005A23B0" w:rsidP="00561983">
            <w:pPr>
              <w:pStyle w:val="TableText0"/>
            </w:pPr>
            <w:r w:rsidRPr="00BE5A28">
              <w:t>10 (14.3)</w:t>
            </w:r>
          </w:p>
        </w:tc>
        <w:tc>
          <w:tcPr>
            <w:tcW w:w="1731" w:type="dxa"/>
            <w:vAlign w:val="center"/>
          </w:tcPr>
          <w:p w14:paraId="231C3408" w14:textId="77777777" w:rsidR="005A23B0" w:rsidRPr="00BE5A28" w:rsidRDefault="005A23B0" w:rsidP="00561983">
            <w:pPr>
              <w:pStyle w:val="TableText0"/>
            </w:pPr>
            <w:r w:rsidRPr="00BE5A28">
              <w:t>19 (19.2)</w:t>
            </w:r>
          </w:p>
        </w:tc>
      </w:tr>
      <w:tr w:rsidR="005A23B0" w:rsidRPr="00BE5A28" w14:paraId="43BDAC0A" w14:textId="77777777" w:rsidTr="00AC00CD">
        <w:tc>
          <w:tcPr>
            <w:tcW w:w="3823" w:type="dxa"/>
          </w:tcPr>
          <w:p w14:paraId="30A68E53" w14:textId="77777777" w:rsidR="005A23B0" w:rsidRPr="00BE5A28" w:rsidRDefault="005A23B0" w:rsidP="00A8482B">
            <w:pPr>
              <w:pStyle w:val="TableText0"/>
              <w:jc w:val="left"/>
            </w:pPr>
            <w:r w:rsidRPr="00BE5A28">
              <w:t>Gastrointestinal disorders</w:t>
            </w:r>
          </w:p>
        </w:tc>
        <w:tc>
          <w:tcPr>
            <w:tcW w:w="1731" w:type="dxa"/>
            <w:vAlign w:val="center"/>
          </w:tcPr>
          <w:p w14:paraId="00AED01C" w14:textId="77777777" w:rsidR="005A23B0" w:rsidRPr="00BE5A28" w:rsidRDefault="005A23B0" w:rsidP="00561983">
            <w:pPr>
              <w:pStyle w:val="TableText0"/>
            </w:pPr>
            <w:r w:rsidRPr="00BE5A28">
              <w:t>63 (63.6)</w:t>
            </w:r>
          </w:p>
        </w:tc>
        <w:tc>
          <w:tcPr>
            <w:tcW w:w="1731" w:type="dxa"/>
            <w:vAlign w:val="center"/>
          </w:tcPr>
          <w:p w14:paraId="4D72805D" w14:textId="77777777" w:rsidR="005A23B0" w:rsidRPr="00BE5A28" w:rsidRDefault="005A23B0" w:rsidP="00561983">
            <w:pPr>
              <w:pStyle w:val="TableText0"/>
            </w:pPr>
            <w:r w:rsidRPr="00BE5A28">
              <w:t>33 (47.1)</w:t>
            </w:r>
          </w:p>
        </w:tc>
        <w:tc>
          <w:tcPr>
            <w:tcW w:w="1731" w:type="dxa"/>
            <w:vAlign w:val="center"/>
          </w:tcPr>
          <w:p w14:paraId="3CB3407C" w14:textId="77777777" w:rsidR="005A23B0" w:rsidRPr="00BE5A28" w:rsidRDefault="005A23B0" w:rsidP="00561983">
            <w:pPr>
              <w:pStyle w:val="TableText0"/>
            </w:pPr>
            <w:r w:rsidRPr="00BE5A28">
              <w:t>77 (77.8)</w:t>
            </w:r>
          </w:p>
        </w:tc>
      </w:tr>
      <w:tr w:rsidR="005A23B0" w:rsidRPr="00BE5A28" w14:paraId="2281A2B7" w14:textId="77777777" w:rsidTr="00AC00CD">
        <w:tc>
          <w:tcPr>
            <w:tcW w:w="3823" w:type="dxa"/>
          </w:tcPr>
          <w:p w14:paraId="5E7DD10D" w14:textId="77777777" w:rsidR="005A23B0" w:rsidRPr="00BE5A28" w:rsidRDefault="005A23B0" w:rsidP="00A8482B">
            <w:pPr>
              <w:pStyle w:val="TableText0"/>
              <w:jc w:val="left"/>
            </w:pPr>
            <w:r w:rsidRPr="00BE5A28">
              <w:t>Lip dryness</w:t>
            </w:r>
          </w:p>
        </w:tc>
        <w:tc>
          <w:tcPr>
            <w:tcW w:w="1731" w:type="dxa"/>
            <w:vAlign w:val="center"/>
          </w:tcPr>
          <w:p w14:paraId="1BC9BC43" w14:textId="77777777" w:rsidR="005A23B0" w:rsidRPr="00BE5A28" w:rsidRDefault="005A23B0" w:rsidP="00561983">
            <w:pPr>
              <w:pStyle w:val="TableText0"/>
            </w:pPr>
            <w:r w:rsidRPr="00BE5A28">
              <w:t>34 (34.3)</w:t>
            </w:r>
          </w:p>
        </w:tc>
        <w:tc>
          <w:tcPr>
            <w:tcW w:w="1731" w:type="dxa"/>
            <w:vAlign w:val="center"/>
          </w:tcPr>
          <w:p w14:paraId="25481655" w14:textId="77777777" w:rsidR="005A23B0" w:rsidRPr="00BE5A28" w:rsidRDefault="005A23B0" w:rsidP="00561983">
            <w:pPr>
              <w:pStyle w:val="TableText0"/>
            </w:pPr>
            <w:r w:rsidRPr="00BE5A28">
              <w:t>14 (20.0)</w:t>
            </w:r>
          </w:p>
        </w:tc>
        <w:tc>
          <w:tcPr>
            <w:tcW w:w="1731" w:type="dxa"/>
            <w:vAlign w:val="center"/>
          </w:tcPr>
          <w:p w14:paraId="598D7300" w14:textId="77777777" w:rsidR="005A23B0" w:rsidRPr="00BE5A28" w:rsidRDefault="005A23B0" w:rsidP="00561983">
            <w:pPr>
              <w:pStyle w:val="TableText0"/>
            </w:pPr>
            <w:r w:rsidRPr="00BE5A28">
              <w:t>46 (46.5)</w:t>
            </w:r>
          </w:p>
        </w:tc>
      </w:tr>
      <w:tr w:rsidR="005A23B0" w:rsidRPr="00BE5A28" w14:paraId="7C9A48B5" w14:textId="77777777" w:rsidTr="00AC00CD">
        <w:tc>
          <w:tcPr>
            <w:tcW w:w="3823" w:type="dxa"/>
          </w:tcPr>
          <w:p w14:paraId="624C068B" w14:textId="77777777" w:rsidR="005A23B0" w:rsidRPr="00BE5A28" w:rsidRDefault="005A23B0" w:rsidP="00A8482B">
            <w:pPr>
              <w:pStyle w:val="TableText0"/>
              <w:jc w:val="left"/>
            </w:pPr>
            <w:r w:rsidRPr="00BE5A28">
              <w:t>Chapped lips</w:t>
            </w:r>
          </w:p>
        </w:tc>
        <w:tc>
          <w:tcPr>
            <w:tcW w:w="1731" w:type="dxa"/>
            <w:vAlign w:val="center"/>
          </w:tcPr>
          <w:p w14:paraId="19A3E7F4" w14:textId="77777777" w:rsidR="005A23B0" w:rsidRPr="00BE5A28" w:rsidRDefault="005A23B0" w:rsidP="00561983">
            <w:pPr>
              <w:pStyle w:val="TableText0"/>
            </w:pPr>
            <w:r w:rsidRPr="00BE5A28">
              <w:t>6 (6.1)</w:t>
            </w:r>
          </w:p>
        </w:tc>
        <w:tc>
          <w:tcPr>
            <w:tcW w:w="1731" w:type="dxa"/>
            <w:vAlign w:val="center"/>
          </w:tcPr>
          <w:p w14:paraId="40062CDE" w14:textId="77777777" w:rsidR="005A23B0" w:rsidRPr="00BE5A28" w:rsidRDefault="005A23B0" w:rsidP="00561983">
            <w:pPr>
              <w:pStyle w:val="TableText0"/>
            </w:pPr>
            <w:r w:rsidRPr="00BE5A28">
              <w:t>8 (11.4)</w:t>
            </w:r>
          </w:p>
        </w:tc>
        <w:tc>
          <w:tcPr>
            <w:tcW w:w="1731" w:type="dxa"/>
            <w:vAlign w:val="center"/>
          </w:tcPr>
          <w:p w14:paraId="47F42773" w14:textId="77777777" w:rsidR="005A23B0" w:rsidRPr="00BE5A28" w:rsidRDefault="005A23B0" w:rsidP="00561983">
            <w:pPr>
              <w:pStyle w:val="TableText0"/>
            </w:pPr>
            <w:r w:rsidRPr="00BE5A28">
              <w:t>14 (14.1)</w:t>
            </w:r>
          </w:p>
        </w:tc>
      </w:tr>
      <w:tr w:rsidR="005A23B0" w:rsidRPr="00BE5A28" w14:paraId="1426092D" w14:textId="77777777" w:rsidTr="00AC00CD">
        <w:tc>
          <w:tcPr>
            <w:tcW w:w="3823" w:type="dxa"/>
          </w:tcPr>
          <w:p w14:paraId="45E4311A" w14:textId="77777777" w:rsidR="005A23B0" w:rsidRPr="00BE5A28" w:rsidRDefault="005A23B0" w:rsidP="00A8482B">
            <w:pPr>
              <w:pStyle w:val="TableText0"/>
              <w:jc w:val="left"/>
            </w:pPr>
            <w:r w:rsidRPr="00BE5A28">
              <w:t>Vomiting</w:t>
            </w:r>
          </w:p>
        </w:tc>
        <w:tc>
          <w:tcPr>
            <w:tcW w:w="1731" w:type="dxa"/>
            <w:vAlign w:val="center"/>
          </w:tcPr>
          <w:p w14:paraId="5E3C9B1E" w14:textId="77777777" w:rsidR="005A23B0" w:rsidRPr="00BE5A28" w:rsidRDefault="005A23B0" w:rsidP="00561983">
            <w:pPr>
              <w:pStyle w:val="TableText0"/>
            </w:pPr>
            <w:r w:rsidRPr="00BE5A28">
              <w:t>9 (9.1)</w:t>
            </w:r>
          </w:p>
        </w:tc>
        <w:tc>
          <w:tcPr>
            <w:tcW w:w="1731" w:type="dxa"/>
            <w:vAlign w:val="center"/>
          </w:tcPr>
          <w:p w14:paraId="5617C495" w14:textId="77777777" w:rsidR="005A23B0" w:rsidRPr="00BE5A28" w:rsidRDefault="005A23B0" w:rsidP="00561983">
            <w:pPr>
              <w:pStyle w:val="TableText0"/>
            </w:pPr>
            <w:r w:rsidRPr="00BE5A28">
              <w:t>3 (4.3)</w:t>
            </w:r>
          </w:p>
        </w:tc>
        <w:tc>
          <w:tcPr>
            <w:tcW w:w="1731" w:type="dxa"/>
            <w:vAlign w:val="center"/>
          </w:tcPr>
          <w:p w14:paraId="68DD7D8A" w14:textId="77777777" w:rsidR="005A23B0" w:rsidRPr="00BE5A28" w:rsidRDefault="005A23B0" w:rsidP="00561983">
            <w:pPr>
              <w:pStyle w:val="TableText0"/>
            </w:pPr>
            <w:r w:rsidRPr="00BE5A28">
              <w:t>12 (12.1)</w:t>
            </w:r>
          </w:p>
        </w:tc>
      </w:tr>
      <w:tr w:rsidR="005A23B0" w:rsidRPr="00BE5A28" w14:paraId="3CBA322D" w14:textId="77777777" w:rsidTr="00AC00CD">
        <w:tc>
          <w:tcPr>
            <w:tcW w:w="3823" w:type="dxa"/>
          </w:tcPr>
          <w:p w14:paraId="123AC85C" w14:textId="77777777" w:rsidR="005A23B0" w:rsidRPr="00BE5A28" w:rsidRDefault="005A23B0" w:rsidP="00A8482B">
            <w:pPr>
              <w:pStyle w:val="TableText0"/>
              <w:jc w:val="left"/>
            </w:pPr>
            <w:r w:rsidRPr="00BE5A28">
              <w:t>Nausea</w:t>
            </w:r>
          </w:p>
        </w:tc>
        <w:tc>
          <w:tcPr>
            <w:tcW w:w="1731" w:type="dxa"/>
            <w:vAlign w:val="center"/>
          </w:tcPr>
          <w:p w14:paraId="7425300F" w14:textId="77777777" w:rsidR="005A23B0" w:rsidRPr="00BE5A28" w:rsidRDefault="005A23B0" w:rsidP="00561983">
            <w:pPr>
              <w:pStyle w:val="TableText0"/>
            </w:pPr>
            <w:r w:rsidRPr="00BE5A28">
              <w:t>7 (7.1)</w:t>
            </w:r>
          </w:p>
        </w:tc>
        <w:tc>
          <w:tcPr>
            <w:tcW w:w="1731" w:type="dxa"/>
            <w:vAlign w:val="center"/>
          </w:tcPr>
          <w:p w14:paraId="51B1A9F5" w14:textId="77777777" w:rsidR="005A23B0" w:rsidRPr="00BE5A28" w:rsidRDefault="005A23B0" w:rsidP="00561983">
            <w:pPr>
              <w:pStyle w:val="TableText0"/>
            </w:pPr>
            <w:r w:rsidRPr="00BE5A28">
              <w:t>3 (4.3)</w:t>
            </w:r>
          </w:p>
        </w:tc>
        <w:tc>
          <w:tcPr>
            <w:tcW w:w="1731" w:type="dxa"/>
            <w:vAlign w:val="center"/>
          </w:tcPr>
          <w:p w14:paraId="27D1F53F" w14:textId="77777777" w:rsidR="005A23B0" w:rsidRPr="00BE5A28" w:rsidRDefault="005A23B0" w:rsidP="00561983">
            <w:pPr>
              <w:pStyle w:val="TableText0"/>
            </w:pPr>
            <w:r w:rsidRPr="00BE5A28">
              <w:t>10 (10.1)</w:t>
            </w:r>
          </w:p>
        </w:tc>
      </w:tr>
      <w:tr w:rsidR="005A23B0" w:rsidRPr="00BE5A28" w14:paraId="27A5891B" w14:textId="77777777" w:rsidTr="00AC00CD">
        <w:tc>
          <w:tcPr>
            <w:tcW w:w="3823" w:type="dxa"/>
          </w:tcPr>
          <w:p w14:paraId="4E23BC57" w14:textId="77777777" w:rsidR="005A23B0" w:rsidRPr="00BE5A28" w:rsidRDefault="005A23B0" w:rsidP="00A8482B">
            <w:pPr>
              <w:pStyle w:val="TableText0"/>
              <w:jc w:val="left"/>
            </w:pPr>
            <w:r w:rsidRPr="00BE5A28">
              <w:t>Infections and infestations</w:t>
            </w:r>
          </w:p>
        </w:tc>
        <w:tc>
          <w:tcPr>
            <w:tcW w:w="1731" w:type="dxa"/>
            <w:vAlign w:val="center"/>
          </w:tcPr>
          <w:p w14:paraId="4BFD4732" w14:textId="77777777" w:rsidR="005A23B0" w:rsidRPr="00BE5A28" w:rsidRDefault="005A23B0" w:rsidP="00561983">
            <w:pPr>
              <w:pStyle w:val="TableText0"/>
            </w:pPr>
            <w:r w:rsidRPr="00BE5A28">
              <w:t>58 (58.6)</w:t>
            </w:r>
          </w:p>
        </w:tc>
        <w:tc>
          <w:tcPr>
            <w:tcW w:w="1731" w:type="dxa"/>
            <w:vAlign w:val="center"/>
          </w:tcPr>
          <w:p w14:paraId="4EA13117" w14:textId="77777777" w:rsidR="005A23B0" w:rsidRPr="00BE5A28" w:rsidRDefault="005A23B0" w:rsidP="00561983">
            <w:pPr>
              <w:pStyle w:val="TableText0"/>
            </w:pPr>
            <w:r w:rsidRPr="00BE5A28">
              <w:t>37 (52.9)</w:t>
            </w:r>
          </w:p>
        </w:tc>
        <w:tc>
          <w:tcPr>
            <w:tcW w:w="1731" w:type="dxa"/>
            <w:vAlign w:val="center"/>
          </w:tcPr>
          <w:p w14:paraId="18E516B9" w14:textId="77777777" w:rsidR="005A23B0" w:rsidRPr="00BE5A28" w:rsidRDefault="005A23B0" w:rsidP="00561983">
            <w:pPr>
              <w:pStyle w:val="TableText0"/>
            </w:pPr>
            <w:r w:rsidRPr="00BE5A28">
              <w:t>75 (75.8)</w:t>
            </w:r>
          </w:p>
        </w:tc>
      </w:tr>
      <w:tr w:rsidR="005A23B0" w:rsidRPr="00BE5A28" w14:paraId="4FF85908" w14:textId="77777777" w:rsidTr="00AC00CD">
        <w:tc>
          <w:tcPr>
            <w:tcW w:w="3823" w:type="dxa"/>
          </w:tcPr>
          <w:p w14:paraId="148998BE" w14:textId="77777777" w:rsidR="005A23B0" w:rsidRPr="00BE5A28" w:rsidRDefault="005A23B0" w:rsidP="00A8482B">
            <w:pPr>
              <w:pStyle w:val="TableText0"/>
              <w:jc w:val="left"/>
            </w:pPr>
            <w:r w:rsidRPr="00BE5A28">
              <w:t>Upper respiratory tract infection</w:t>
            </w:r>
          </w:p>
        </w:tc>
        <w:tc>
          <w:tcPr>
            <w:tcW w:w="1731" w:type="dxa"/>
            <w:vAlign w:val="center"/>
          </w:tcPr>
          <w:p w14:paraId="7DB572E2" w14:textId="77777777" w:rsidR="005A23B0" w:rsidRPr="00BE5A28" w:rsidRDefault="005A23B0" w:rsidP="00561983">
            <w:pPr>
              <w:pStyle w:val="TableText0"/>
            </w:pPr>
            <w:r w:rsidRPr="00BE5A28">
              <w:t>20 (20.2)</w:t>
            </w:r>
          </w:p>
        </w:tc>
        <w:tc>
          <w:tcPr>
            <w:tcW w:w="1731" w:type="dxa"/>
            <w:vAlign w:val="center"/>
          </w:tcPr>
          <w:p w14:paraId="35053B58" w14:textId="77777777" w:rsidR="005A23B0" w:rsidRPr="00BE5A28" w:rsidRDefault="005A23B0" w:rsidP="00561983">
            <w:pPr>
              <w:pStyle w:val="TableText0"/>
            </w:pPr>
            <w:r w:rsidRPr="00BE5A28">
              <w:t>5 (7.1)</w:t>
            </w:r>
          </w:p>
        </w:tc>
        <w:tc>
          <w:tcPr>
            <w:tcW w:w="1731" w:type="dxa"/>
            <w:vAlign w:val="center"/>
          </w:tcPr>
          <w:p w14:paraId="24C26062" w14:textId="77777777" w:rsidR="005A23B0" w:rsidRPr="00BE5A28" w:rsidRDefault="005A23B0" w:rsidP="00561983">
            <w:pPr>
              <w:pStyle w:val="TableText0"/>
            </w:pPr>
            <w:r w:rsidRPr="00BE5A28">
              <w:t>22 (22.2)</w:t>
            </w:r>
          </w:p>
        </w:tc>
      </w:tr>
      <w:tr w:rsidR="005A23B0" w:rsidRPr="00BE5A28" w14:paraId="4017521C" w14:textId="77777777" w:rsidTr="00AC00CD">
        <w:tc>
          <w:tcPr>
            <w:tcW w:w="3823" w:type="dxa"/>
          </w:tcPr>
          <w:p w14:paraId="057C620D" w14:textId="77777777" w:rsidR="005A23B0" w:rsidRPr="00BE5A28" w:rsidRDefault="005A23B0" w:rsidP="00A8482B">
            <w:pPr>
              <w:pStyle w:val="TableText0"/>
              <w:jc w:val="left"/>
            </w:pPr>
            <w:r w:rsidRPr="00BE5A28">
              <w:t>Nasopharyngitis</w:t>
            </w:r>
          </w:p>
        </w:tc>
        <w:tc>
          <w:tcPr>
            <w:tcW w:w="1731" w:type="dxa"/>
            <w:vAlign w:val="center"/>
          </w:tcPr>
          <w:p w14:paraId="0FCA2D8B" w14:textId="77777777" w:rsidR="005A23B0" w:rsidRPr="00BE5A28" w:rsidRDefault="005A23B0" w:rsidP="00561983">
            <w:pPr>
              <w:pStyle w:val="TableText0"/>
            </w:pPr>
            <w:r w:rsidRPr="00BE5A28">
              <w:t>12 (12.1)</w:t>
            </w:r>
          </w:p>
        </w:tc>
        <w:tc>
          <w:tcPr>
            <w:tcW w:w="1731" w:type="dxa"/>
            <w:vAlign w:val="center"/>
          </w:tcPr>
          <w:p w14:paraId="5A41F666" w14:textId="77777777" w:rsidR="005A23B0" w:rsidRPr="00BE5A28" w:rsidRDefault="005A23B0" w:rsidP="00561983">
            <w:pPr>
              <w:pStyle w:val="TableText0"/>
            </w:pPr>
            <w:r w:rsidRPr="00BE5A28">
              <w:t>6 (8.6)</w:t>
            </w:r>
          </w:p>
        </w:tc>
        <w:tc>
          <w:tcPr>
            <w:tcW w:w="1731" w:type="dxa"/>
            <w:vAlign w:val="center"/>
          </w:tcPr>
          <w:p w14:paraId="2F969D25" w14:textId="77777777" w:rsidR="005A23B0" w:rsidRPr="00BE5A28" w:rsidRDefault="005A23B0" w:rsidP="00561983">
            <w:pPr>
              <w:pStyle w:val="TableText0"/>
            </w:pPr>
            <w:r w:rsidRPr="00BE5A28">
              <w:t>16 (16.2)</w:t>
            </w:r>
          </w:p>
        </w:tc>
      </w:tr>
      <w:tr w:rsidR="005A23B0" w:rsidRPr="00BE5A28" w14:paraId="4EC7A8D7" w14:textId="77777777" w:rsidTr="00AC00CD">
        <w:tc>
          <w:tcPr>
            <w:tcW w:w="3823" w:type="dxa"/>
          </w:tcPr>
          <w:p w14:paraId="59B5C274" w14:textId="77777777" w:rsidR="005A23B0" w:rsidRPr="00BE5A28" w:rsidRDefault="005A23B0" w:rsidP="00A8482B">
            <w:pPr>
              <w:pStyle w:val="TableText0"/>
              <w:jc w:val="left"/>
            </w:pPr>
            <w:r w:rsidRPr="00BE5A28">
              <w:t>Paronychia</w:t>
            </w:r>
          </w:p>
        </w:tc>
        <w:tc>
          <w:tcPr>
            <w:tcW w:w="1731" w:type="dxa"/>
            <w:vAlign w:val="center"/>
          </w:tcPr>
          <w:p w14:paraId="2CF1C484" w14:textId="77777777" w:rsidR="005A23B0" w:rsidRPr="00BE5A28" w:rsidRDefault="005A23B0" w:rsidP="00561983">
            <w:pPr>
              <w:pStyle w:val="TableText0"/>
            </w:pPr>
            <w:r w:rsidRPr="00BE5A28">
              <w:t>9 (9.1)</w:t>
            </w:r>
          </w:p>
        </w:tc>
        <w:tc>
          <w:tcPr>
            <w:tcW w:w="1731" w:type="dxa"/>
            <w:vAlign w:val="center"/>
          </w:tcPr>
          <w:p w14:paraId="520CD6C4" w14:textId="77777777" w:rsidR="005A23B0" w:rsidRPr="00BE5A28" w:rsidRDefault="005A23B0" w:rsidP="00561983">
            <w:pPr>
              <w:pStyle w:val="TableText0"/>
            </w:pPr>
            <w:r w:rsidRPr="00BE5A28">
              <w:t>8 (11.4)</w:t>
            </w:r>
          </w:p>
        </w:tc>
        <w:tc>
          <w:tcPr>
            <w:tcW w:w="1731" w:type="dxa"/>
            <w:vAlign w:val="center"/>
          </w:tcPr>
          <w:p w14:paraId="5197FCBC" w14:textId="77777777" w:rsidR="005A23B0" w:rsidRPr="00BE5A28" w:rsidRDefault="005A23B0" w:rsidP="00561983">
            <w:pPr>
              <w:pStyle w:val="TableText0"/>
            </w:pPr>
            <w:r w:rsidRPr="00BE5A28">
              <w:t>16 (16.2)</w:t>
            </w:r>
          </w:p>
        </w:tc>
      </w:tr>
      <w:tr w:rsidR="005A23B0" w:rsidRPr="00BE5A28" w14:paraId="4343240F" w14:textId="77777777" w:rsidTr="00AC00CD">
        <w:tc>
          <w:tcPr>
            <w:tcW w:w="3823" w:type="dxa"/>
          </w:tcPr>
          <w:p w14:paraId="5CA51333" w14:textId="77777777" w:rsidR="005A23B0" w:rsidRPr="00BE5A28" w:rsidRDefault="005A23B0" w:rsidP="00A8482B">
            <w:pPr>
              <w:pStyle w:val="TableText0"/>
              <w:jc w:val="left"/>
            </w:pPr>
            <w:r w:rsidRPr="00BE5A28">
              <w:t>Musculoskeletal and connective tissue disorders</w:t>
            </w:r>
          </w:p>
        </w:tc>
        <w:tc>
          <w:tcPr>
            <w:tcW w:w="1731" w:type="dxa"/>
            <w:vAlign w:val="center"/>
          </w:tcPr>
          <w:p w14:paraId="43DE763A" w14:textId="77777777" w:rsidR="005A23B0" w:rsidRPr="00BE5A28" w:rsidRDefault="005A23B0" w:rsidP="00561983">
            <w:pPr>
              <w:pStyle w:val="TableText0"/>
            </w:pPr>
            <w:r w:rsidRPr="00BE5A28">
              <w:t>48 (48.5)</w:t>
            </w:r>
          </w:p>
        </w:tc>
        <w:tc>
          <w:tcPr>
            <w:tcW w:w="1731" w:type="dxa"/>
            <w:vAlign w:val="center"/>
          </w:tcPr>
          <w:p w14:paraId="486A5BB9" w14:textId="77777777" w:rsidR="005A23B0" w:rsidRPr="00BE5A28" w:rsidRDefault="005A23B0" w:rsidP="00561983">
            <w:pPr>
              <w:pStyle w:val="TableText0"/>
            </w:pPr>
            <w:r w:rsidRPr="00BE5A28">
              <w:t>34 (48.6)</w:t>
            </w:r>
          </w:p>
        </w:tc>
        <w:tc>
          <w:tcPr>
            <w:tcW w:w="1731" w:type="dxa"/>
            <w:vAlign w:val="center"/>
          </w:tcPr>
          <w:p w14:paraId="334D9B14" w14:textId="77777777" w:rsidR="005A23B0" w:rsidRPr="00BE5A28" w:rsidRDefault="005A23B0" w:rsidP="00561983">
            <w:pPr>
              <w:pStyle w:val="TableText0"/>
            </w:pPr>
            <w:r w:rsidRPr="00BE5A28">
              <w:t>65 (65.7)</w:t>
            </w:r>
          </w:p>
        </w:tc>
      </w:tr>
      <w:tr w:rsidR="005A23B0" w:rsidRPr="00BE5A28" w14:paraId="4F364559" w14:textId="77777777" w:rsidTr="00AC00CD">
        <w:tc>
          <w:tcPr>
            <w:tcW w:w="3823" w:type="dxa"/>
          </w:tcPr>
          <w:p w14:paraId="01CB2C78" w14:textId="77777777" w:rsidR="005A23B0" w:rsidRPr="00BE5A28" w:rsidRDefault="005A23B0" w:rsidP="00A8482B">
            <w:pPr>
              <w:pStyle w:val="TableText0"/>
              <w:jc w:val="left"/>
            </w:pPr>
            <w:r w:rsidRPr="00BE5A28">
              <w:t>Arthralgia</w:t>
            </w:r>
          </w:p>
        </w:tc>
        <w:tc>
          <w:tcPr>
            <w:tcW w:w="1731" w:type="dxa"/>
            <w:vAlign w:val="center"/>
          </w:tcPr>
          <w:p w14:paraId="6A75A2FA" w14:textId="77777777" w:rsidR="005A23B0" w:rsidRPr="00BE5A28" w:rsidRDefault="005A23B0" w:rsidP="00561983">
            <w:pPr>
              <w:pStyle w:val="TableText0"/>
            </w:pPr>
            <w:r w:rsidRPr="00BE5A28">
              <w:t>24 (24.2)</w:t>
            </w:r>
          </w:p>
        </w:tc>
        <w:tc>
          <w:tcPr>
            <w:tcW w:w="1731" w:type="dxa"/>
            <w:vAlign w:val="center"/>
          </w:tcPr>
          <w:p w14:paraId="3DFA312E" w14:textId="77777777" w:rsidR="005A23B0" w:rsidRPr="00BE5A28" w:rsidRDefault="005A23B0" w:rsidP="00561983">
            <w:pPr>
              <w:pStyle w:val="TableText0"/>
            </w:pPr>
            <w:r w:rsidRPr="00BE5A28">
              <w:t>12 (17.1)</w:t>
            </w:r>
          </w:p>
        </w:tc>
        <w:tc>
          <w:tcPr>
            <w:tcW w:w="1731" w:type="dxa"/>
            <w:vAlign w:val="center"/>
          </w:tcPr>
          <w:p w14:paraId="423D92D1" w14:textId="77777777" w:rsidR="005A23B0" w:rsidRPr="00BE5A28" w:rsidRDefault="005A23B0" w:rsidP="00561983">
            <w:pPr>
              <w:pStyle w:val="TableText0"/>
            </w:pPr>
            <w:r w:rsidRPr="00BE5A28">
              <w:t>33 (33.3)</w:t>
            </w:r>
          </w:p>
        </w:tc>
      </w:tr>
      <w:tr w:rsidR="005A23B0" w:rsidRPr="00BE5A28" w14:paraId="129C71E4" w14:textId="77777777" w:rsidTr="00AC00CD">
        <w:tc>
          <w:tcPr>
            <w:tcW w:w="3823" w:type="dxa"/>
          </w:tcPr>
          <w:p w14:paraId="700F56F9" w14:textId="77777777" w:rsidR="005A23B0" w:rsidRPr="00BE5A28" w:rsidRDefault="005A23B0" w:rsidP="00A8482B">
            <w:pPr>
              <w:pStyle w:val="TableText0"/>
              <w:jc w:val="left"/>
            </w:pPr>
            <w:r w:rsidRPr="00BE5A28">
              <w:t>Pain in extremity</w:t>
            </w:r>
          </w:p>
        </w:tc>
        <w:tc>
          <w:tcPr>
            <w:tcW w:w="1731" w:type="dxa"/>
            <w:vAlign w:val="center"/>
          </w:tcPr>
          <w:p w14:paraId="17888106" w14:textId="77777777" w:rsidR="005A23B0" w:rsidRPr="00BE5A28" w:rsidRDefault="005A23B0" w:rsidP="00561983">
            <w:pPr>
              <w:pStyle w:val="TableText0"/>
            </w:pPr>
            <w:r w:rsidRPr="00BE5A28">
              <w:t>18 (18.2)</w:t>
            </w:r>
          </w:p>
        </w:tc>
        <w:tc>
          <w:tcPr>
            <w:tcW w:w="1731" w:type="dxa"/>
            <w:vAlign w:val="center"/>
          </w:tcPr>
          <w:p w14:paraId="6ACA92AD" w14:textId="77777777" w:rsidR="005A23B0" w:rsidRPr="00BE5A28" w:rsidRDefault="005A23B0" w:rsidP="00561983">
            <w:pPr>
              <w:pStyle w:val="TableText0"/>
            </w:pPr>
            <w:r w:rsidRPr="00BE5A28">
              <w:t>8 (11.4)</w:t>
            </w:r>
          </w:p>
        </w:tc>
        <w:tc>
          <w:tcPr>
            <w:tcW w:w="1731" w:type="dxa"/>
            <w:vAlign w:val="center"/>
          </w:tcPr>
          <w:p w14:paraId="7869EC55" w14:textId="77777777" w:rsidR="005A23B0" w:rsidRPr="00BE5A28" w:rsidRDefault="005A23B0" w:rsidP="00561983">
            <w:pPr>
              <w:pStyle w:val="TableText0"/>
            </w:pPr>
            <w:r w:rsidRPr="00BE5A28">
              <w:t>22 (22.2)</w:t>
            </w:r>
          </w:p>
        </w:tc>
      </w:tr>
      <w:tr w:rsidR="005A23B0" w:rsidRPr="00BE5A28" w14:paraId="02B139CD" w14:textId="77777777" w:rsidTr="00AC00CD">
        <w:tc>
          <w:tcPr>
            <w:tcW w:w="3823" w:type="dxa"/>
          </w:tcPr>
          <w:p w14:paraId="16C9F8CB" w14:textId="77777777" w:rsidR="005A23B0" w:rsidRPr="00BE5A28" w:rsidRDefault="005A23B0" w:rsidP="00A8482B">
            <w:pPr>
              <w:pStyle w:val="TableText0"/>
              <w:jc w:val="left"/>
            </w:pPr>
            <w:r w:rsidRPr="00BE5A28">
              <w:t>Epiphyses premature fusion</w:t>
            </w:r>
          </w:p>
        </w:tc>
        <w:tc>
          <w:tcPr>
            <w:tcW w:w="1731" w:type="dxa"/>
            <w:vAlign w:val="center"/>
          </w:tcPr>
          <w:p w14:paraId="5D5A49BA" w14:textId="77777777" w:rsidR="005A23B0" w:rsidRPr="00BE5A28" w:rsidRDefault="005A23B0" w:rsidP="00561983">
            <w:pPr>
              <w:pStyle w:val="TableText0"/>
            </w:pPr>
            <w:r w:rsidRPr="00BE5A28">
              <w:t>11 (11.1)</w:t>
            </w:r>
          </w:p>
        </w:tc>
        <w:tc>
          <w:tcPr>
            <w:tcW w:w="1731" w:type="dxa"/>
            <w:vAlign w:val="center"/>
          </w:tcPr>
          <w:p w14:paraId="6BCB576F" w14:textId="77777777" w:rsidR="005A23B0" w:rsidRPr="00BE5A28" w:rsidRDefault="005A23B0" w:rsidP="00561983">
            <w:pPr>
              <w:pStyle w:val="TableText0"/>
            </w:pPr>
            <w:r w:rsidRPr="00BE5A28">
              <w:t>7 (10.0)</w:t>
            </w:r>
          </w:p>
        </w:tc>
        <w:tc>
          <w:tcPr>
            <w:tcW w:w="1731" w:type="dxa"/>
            <w:vAlign w:val="center"/>
          </w:tcPr>
          <w:p w14:paraId="72E6289E" w14:textId="77777777" w:rsidR="005A23B0" w:rsidRPr="00BE5A28" w:rsidRDefault="005A23B0" w:rsidP="00561983">
            <w:pPr>
              <w:pStyle w:val="TableText0"/>
            </w:pPr>
            <w:r w:rsidRPr="00BE5A28">
              <w:t>18 (18.2)*</w:t>
            </w:r>
          </w:p>
        </w:tc>
      </w:tr>
      <w:tr w:rsidR="005A23B0" w:rsidRPr="00BE5A28" w14:paraId="22E42324" w14:textId="77777777" w:rsidTr="00AC00CD">
        <w:tc>
          <w:tcPr>
            <w:tcW w:w="3823" w:type="dxa"/>
          </w:tcPr>
          <w:p w14:paraId="64031F73" w14:textId="77777777" w:rsidR="005A23B0" w:rsidRPr="00BE5A28" w:rsidRDefault="005A23B0" w:rsidP="00A8482B">
            <w:pPr>
              <w:pStyle w:val="TableText0"/>
              <w:jc w:val="left"/>
            </w:pPr>
            <w:r w:rsidRPr="00BE5A28">
              <w:t>Injury, poisoning, and procedural complications</w:t>
            </w:r>
          </w:p>
        </w:tc>
        <w:tc>
          <w:tcPr>
            <w:tcW w:w="1731" w:type="dxa"/>
            <w:vAlign w:val="center"/>
          </w:tcPr>
          <w:p w14:paraId="66DA5E89" w14:textId="77777777" w:rsidR="005A23B0" w:rsidRPr="00BE5A28" w:rsidRDefault="005A23B0" w:rsidP="00561983">
            <w:pPr>
              <w:pStyle w:val="TableText0"/>
            </w:pPr>
            <w:r w:rsidRPr="00BE5A28">
              <w:t>40 (40.4)</w:t>
            </w:r>
          </w:p>
        </w:tc>
        <w:tc>
          <w:tcPr>
            <w:tcW w:w="1731" w:type="dxa"/>
            <w:vAlign w:val="center"/>
          </w:tcPr>
          <w:p w14:paraId="6269A3DB" w14:textId="77777777" w:rsidR="005A23B0" w:rsidRPr="00BE5A28" w:rsidRDefault="005A23B0" w:rsidP="00561983">
            <w:pPr>
              <w:pStyle w:val="TableText0"/>
            </w:pPr>
            <w:r w:rsidRPr="00BE5A28">
              <w:t>24 (34.3)</w:t>
            </w:r>
          </w:p>
        </w:tc>
        <w:tc>
          <w:tcPr>
            <w:tcW w:w="1731" w:type="dxa"/>
            <w:vAlign w:val="center"/>
          </w:tcPr>
          <w:p w14:paraId="09BFEC97" w14:textId="77777777" w:rsidR="005A23B0" w:rsidRPr="00BE5A28" w:rsidRDefault="005A23B0" w:rsidP="00561983">
            <w:pPr>
              <w:pStyle w:val="TableText0"/>
            </w:pPr>
            <w:r w:rsidRPr="00BE5A28">
              <w:t>56 (56.6)</w:t>
            </w:r>
          </w:p>
        </w:tc>
      </w:tr>
      <w:tr w:rsidR="005A23B0" w:rsidRPr="00BE5A28" w14:paraId="51871936" w14:textId="77777777" w:rsidTr="00AC00CD">
        <w:tc>
          <w:tcPr>
            <w:tcW w:w="3823" w:type="dxa"/>
          </w:tcPr>
          <w:p w14:paraId="2524DE18" w14:textId="77777777" w:rsidR="005A23B0" w:rsidRPr="00BE5A28" w:rsidRDefault="005A23B0" w:rsidP="00A8482B">
            <w:pPr>
              <w:pStyle w:val="TableText0"/>
              <w:jc w:val="left"/>
            </w:pPr>
            <w:r w:rsidRPr="00BE5A28">
              <w:t>Contusion</w:t>
            </w:r>
          </w:p>
        </w:tc>
        <w:tc>
          <w:tcPr>
            <w:tcW w:w="1731" w:type="dxa"/>
            <w:vAlign w:val="center"/>
          </w:tcPr>
          <w:p w14:paraId="1268F32C" w14:textId="77777777" w:rsidR="005A23B0" w:rsidRPr="00BE5A28" w:rsidRDefault="005A23B0" w:rsidP="00561983">
            <w:pPr>
              <w:pStyle w:val="TableText0"/>
            </w:pPr>
            <w:r w:rsidRPr="00BE5A28">
              <w:t>8 (8.1)</w:t>
            </w:r>
          </w:p>
        </w:tc>
        <w:tc>
          <w:tcPr>
            <w:tcW w:w="1731" w:type="dxa"/>
            <w:vAlign w:val="center"/>
          </w:tcPr>
          <w:p w14:paraId="5F459827" w14:textId="77777777" w:rsidR="005A23B0" w:rsidRPr="00BE5A28" w:rsidRDefault="005A23B0" w:rsidP="00561983">
            <w:pPr>
              <w:pStyle w:val="TableText0"/>
            </w:pPr>
            <w:r w:rsidRPr="00BE5A28">
              <w:t>7 (10.0)</w:t>
            </w:r>
          </w:p>
        </w:tc>
        <w:tc>
          <w:tcPr>
            <w:tcW w:w="1731" w:type="dxa"/>
            <w:vAlign w:val="center"/>
          </w:tcPr>
          <w:p w14:paraId="0BEB00B7" w14:textId="77777777" w:rsidR="005A23B0" w:rsidRPr="00BE5A28" w:rsidRDefault="005A23B0" w:rsidP="00561983">
            <w:pPr>
              <w:pStyle w:val="TableText0"/>
            </w:pPr>
            <w:r w:rsidRPr="00BE5A28">
              <w:t>14 (14.1)</w:t>
            </w:r>
          </w:p>
        </w:tc>
      </w:tr>
      <w:tr w:rsidR="005A23B0" w:rsidRPr="00BE5A28" w14:paraId="0C7EF13F" w14:textId="77777777" w:rsidTr="00AC00CD">
        <w:tc>
          <w:tcPr>
            <w:tcW w:w="3823" w:type="dxa"/>
          </w:tcPr>
          <w:p w14:paraId="46DF1751" w14:textId="77777777" w:rsidR="005A23B0" w:rsidRPr="00BE5A28" w:rsidRDefault="005A23B0" w:rsidP="00A8482B">
            <w:pPr>
              <w:pStyle w:val="TableText0"/>
              <w:jc w:val="left"/>
            </w:pPr>
            <w:r w:rsidRPr="00BE5A28">
              <w:t>Skin abrasion</w:t>
            </w:r>
          </w:p>
        </w:tc>
        <w:tc>
          <w:tcPr>
            <w:tcW w:w="1731" w:type="dxa"/>
            <w:vAlign w:val="center"/>
          </w:tcPr>
          <w:p w14:paraId="778E4B13" w14:textId="77777777" w:rsidR="005A23B0" w:rsidRPr="00BE5A28" w:rsidRDefault="005A23B0" w:rsidP="00561983">
            <w:pPr>
              <w:pStyle w:val="TableText0"/>
            </w:pPr>
            <w:r w:rsidRPr="00BE5A28">
              <w:t>5 (5.1)</w:t>
            </w:r>
          </w:p>
        </w:tc>
        <w:tc>
          <w:tcPr>
            <w:tcW w:w="1731" w:type="dxa"/>
            <w:vAlign w:val="center"/>
          </w:tcPr>
          <w:p w14:paraId="28E31123" w14:textId="77777777" w:rsidR="005A23B0" w:rsidRPr="00BE5A28" w:rsidRDefault="005A23B0" w:rsidP="00561983">
            <w:pPr>
              <w:pStyle w:val="TableText0"/>
            </w:pPr>
            <w:r w:rsidRPr="00BE5A28">
              <w:t>8 (11.4)</w:t>
            </w:r>
          </w:p>
        </w:tc>
        <w:tc>
          <w:tcPr>
            <w:tcW w:w="1731" w:type="dxa"/>
            <w:vAlign w:val="center"/>
          </w:tcPr>
          <w:p w14:paraId="2A154182" w14:textId="77777777" w:rsidR="005A23B0" w:rsidRPr="00BE5A28" w:rsidRDefault="005A23B0" w:rsidP="00561983">
            <w:pPr>
              <w:pStyle w:val="TableText0"/>
            </w:pPr>
            <w:r w:rsidRPr="00BE5A28">
              <w:t>12 (12.1)</w:t>
            </w:r>
          </w:p>
        </w:tc>
      </w:tr>
      <w:tr w:rsidR="005A23B0" w:rsidRPr="00BE5A28" w14:paraId="64CFAAC5" w14:textId="77777777" w:rsidTr="00AC00CD">
        <w:tc>
          <w:tcPr>
            <w:tcW w:w="3823" w:type="dxa"/>
          </w:tcPr>
          <w:p w14:paraId="7CF9A944" w14:textId="77777777" w:rsidR="005A23B0" w:rsidRPr="00BE5A28" w:rsidRDefault="005A23B0" w:rsidP="00A8482B">
            <w:pPr>
              <w:pStyle w:val="TableText0"/>
              <w:jc w:val="left"/>
            </w:pPr>
            <w:r w:rsidRPr="00BE5A28">
              <w:t>Fall</w:t>
            </w:r>
          </w:p>
        </w:tc>
        <w:tc>
          <w:tcPr>
            <w:tcW w:w="1731" w:type="dxa"/>
            <w:vAlign w:val="center"/>
          </w:tcPr>
          <w:p w14:paraId="10DF9C6D" w14:textId="77777777" w:rsidR="005A23B0" w:rsidRPr="00BE5A28" w:rsidRDefault="005A23B0" w:rsidP="00561983">
            <w:pPr>
              <w:pStyle w:val="TableText0"/>
            </w:pPr>
            <w:r w:rsidRPr="00BE5A28">
              <w:t>6 (6.1)</w:t>
            </w:r>
          </w:p>
        </w:tc>
        <w:tc>
          <w:tcPr>
            <w:tcW w:w="1731" w:type="dxa"/>
            <w:vAlign w:val="center"/>
          </w:tcPr>
          <w:p w14:paraId="6D80CBB3" w14:textId="77777777" w:rsidR="005A23B0" w:rsidRPr="00BE5A28" w:rsidRDefault="005A23B0" w:rsidP="00561983">
            <w:pPr>
              <w:pStyle w:val="TableText0"/>
            </w:pPr>
            <w:r w:rsidRPr="00BE5A28">
              <w:t>6 (8.6)</w:t>
            </w:r>
          </w:p>
        </w:tc>
        <w:tc>
          <w:tcPr>
            <w:tcW w:w="1731" w:type="dxa"/>
            <w:vAlign w:val="center"/>
          </w:tcPr>
          <w:p w14:paraId="01138486" w14:textId="77777777" w:rsidR="005A23B0" w:rsidRPr="00BE5A28" w:rsidRDefault="005A23B0" w:rsidP="00561983">
            <w:pPr>
              <w:pStyle w:val="TableText0"/>
            </w:pPr>
            <w:r w:rsidRPr="00BE5A28">
              <w:t>11 (11.1)</w:t>
            </w:r>
          </w:p>
        </w:tc>
      </w:tr>
    </w:tbl>
    <w:p w14:paraId="0DD73A36" w14:textId="77777777" w:rsidR="005A23B0" w:rsidRDefault="005A23B0" w:rsidP="007913E5">
      <w:pPr>
        <w:pStyle w:val="TableFigureFooter"/>
      </w:pPr>
      <w:r w:rsidRPr="00BE5A28">
        <w:t xml:space="preserve">Source: Table 2.5.11, p122 of the submission. </w:t>
      </w:r>
    </w:p>
    <w:p w14:paraId="75821B86" w14:textId="5EF1322F" w:rsidR="00A8482B" w:rsidRPr="00A8482B" w:rsidRDefault="00A8482B" w:rsidP="007913E5">
      <w:pPr>
        <w:pStyle w:val="TableFigureFooter"/>
      </w:pPr>
      <w:r w:rsidRPr="00BE5A28">
        <w:t>TEAE = Treatment-emergent adverse event</w:t>
      </w:r>
    </w:p>
    <w:p w14:paraId="14E0E51D" w14:textId="77777777" w:rsidR="005A23B0" w:rsidRPr="00BE5A28" w:rsidRDefault="005A23B0" w:rsidP="007913E5">
      <w:pPr>
        <w:pStyle w:val="TableFigureFooter"/>
      </w:pPr>
      <w:r w:rsidRPr="00BE5A28">
        <w:t xml:space="preserve">* Two further events of epiphyses premature fusion occurred post-treatment (115 and 305 days after last dose of palovarotene) and so are not listed here. One event of epiphyseal disorder also occurred, captured under a separate MedDRA term. In addition, one additional patient with a treatment-emergent TEAE was identified in the resubmission for MOVE. </w:t>
      </w:r>
    </w:p>
    <w:p w14:paraId="7253A282" w14:textId="77777777" w:rsidR="005A23B0" w:rsidRPr="004F7EEE" w:rsidRDefault="005A23B0" w:rsidP="005A23B0">
      <w:pPr>
        <w:pStyle w:val="3-BodyText"/>
      </w:pPr>
      <w:r w:rsidRPr="00BE5A28">
        <w:t>The submission noted that retinoids are known regulators of growth plate chondrogenesis, and PPC has previously been reported with retinoids; as such, additional bone safety monitoring was implemented in MOVE. PPC is also a special warning and precaution for use in growing patients in the TGA PI</w:t>
      </w:r>
      <w:r>
        <w:t xml:space="preserve">. </w:t>
      </w:r>
      <w:r w:rsidRPr="00BE5A28">
        <w:t xml:space="preserve">PPC can lead to a higher risk of bone deformities and compromised growth and is therefore a risk in younger individuals, rather than in older patients who are skeletally mature (Noyes 2016). </w:t>
      </w:r>
    </w:p>
    <w:p w14:paraId="2733FCEF" w14:textId="44453158" w:rsidR="005A23B0" w:rsidRPr="004F7EEE" w:rsidRDefault="004F7EEE" w:rsidP="005A23B0">
      <w:pPr>
        <w:pStyle w:val="3-BodyText"/>
      </w:pPr>
      <w:r>
        <w:fldChar w:fldCharType="begin" w:fldLock="1"/>
      </w:r>
      <w:r>
        <w:instrText xml:space="preserve"> REF _Ref176751558 \h </w:instrText>
      </w:r>
      <w:r>
        <w:fldChar w:fldCharType="separate"/>
      </w:r>
      <w:r w:rsidR="0043347F" w:rsidRPr="0098262F">
        <w:t xml:space="preserve">Table </w:t>
      </w:r>
      <w:r w:rsidR="0043347F">
        <w:rPr>
          <w:noProof/>
        </w:rPr>
        <w:t>11</w:t>
      </w:r>
      <w:r>
        <w:fldChar w:fldCharType="end"/>
      </w:r>
      <w:r>
        <w:t xml:space="preserve"> </w:t>
      </w:r>
      <w:r w:rsidR="005A23B0" w:rsidRPr="004F7EEE">
        <w:t xml:space="preserve">presents the occurrence of PPC in the overall population up to the final DCO. </w:t>
      </w:r>
    </w:p>
    <w:p w14:paraId="2FC6049B" w14:textId="1FDB9042" w:rsidR="005A23B0" w:rsidRPr="004F7EEE" w:rsidRDefault="005A23B0" w:rsidP="008D5FD1">
      <w:pPr>
        <w:pStyle w:val="3-BodyText"/>
        <w:rPr>
          <w:i/>
          <w:iCs/>
        </w:rPr>
      </w:pPr>
      <w:r w:rsidRPr="00BE5A28">
        <w:t xml:space="preserve">There were 24 patients who developed PPC and all events were considered </w:t>
      </w:r>
      <w:r w:rsidR="004F7EEE">
        <w:t>serious adverse events (</w:t>
      </w:r>
      <w:r w:rsidRPr="00BE5A28">
        <w:t>SAEs</w:t>
      </w:r>
      <w:r w:rsidR="004F7EEE">
        <w:t>)</w:t>
      </w:r>
      <w:r w:rsidRPr="00BE5A28">
        <w:t xml:space="preserve"> that were at least possibly related to treatment.</w:t>
      </w:r>
      <w:r w:rsidR="00F6127F">
        <w:t xml:space="preserve"> </w:t>
      </w:r>
      <w:r w:rsidR="00F6127F" w:rsidRPr="00BF7D88">
        <w:t>As discussed above, this caused the FDA to pause the study</w:t>
      </w:r>
      <w:r w:rsidR="00F6127F" w:rsidRPr="00E21EB5">
        <w:t>.</w:t>
      </w:r>
      <w:r w:rsidR="00B25558" w:rsidRPr="00E21EB5">
        <w:t xml:space="preserve"> The ESC noted that around a third of patients aged 8/10 to 14 years (who would be included in the proposed PBS population) developed PPC events</w:t>
      </w:r>
      <w:r w:rsidR="00390538" w:rsidRPr="00E21EB5">
        <w:t>.</w:t>
      </w:r>
    </w:p>
    <w:p w14:paraId="7A128A3A" w14:textId="3D7BD257" w:rsidR="005A23B0" w:rsidRPr="00BE5A28" w:rsidRDefault="005A23B0" w:rsidP="005A23B0">
      <w:pPr>
        <w:pStyle w:val="TableFigureHeading"/>
      </w:pPr>
      <w:bookmarkStart w:id="38" w:name="_Ref176751558"/>
      <w:r w:rsidRPr="0098262F">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11</w:t>
      </w:r>
      <w:r w:rsidR="002A4328">
        <w:rPr>
          <w:noProof/>
        </w:rPr>
        <w:fldChar w:fldCharType="end"/>
      </w:r>
      <w:bookmarkEnd w:id="38"/>
      <w:r w:rsidRPr="0098262F">
        <w:t xml:space="preserve">: </w:t>
      </w:r>
      <w:r w:rsidRPr="00BE5A28">
        <w:t>Premature physeal closure (Principal and Supplementary Safety Set)</w:t>
      </w:r>
    </w:p>
    <w:tbl>
      <w:tblPr>
        <w:tblStyle w:val="TableGrid"/>
        <w:tblW w:w="5000" w:type="pct"/>
        <w:tblLook w:val="04A0" w:firstRow="1" w:lastRow="0" w:firstColumn="1" w:lastColumn="0" w:noHBand="0" w:noVBand="1"/>
      </w:tblPr>
      <w:tblGrid>
        <w:gridCol w:w="1368"/>
        <w:gridCol w:w="1719"/>
        <w:gridCol w:w="2104"/>
        <w:gridCol w:w="1913"/>
        <w:gridCol w:w="1913"/>
      </w:tblGrid>
      <w:tr w:rsidR="005A23B0" w:rsidRPr="00A8482B" w14:paraId="4D4B3DBA" w14:textId="77777777" w:rsidTr="00AC00CD">
        <w:tc>
          <w:tcPr>
            <w:tcW w:w="1368" w:type="dxa"/>
          </w:tcPr>
          <w:p w14:paraId="344DD2E6" w14:textId="77777777" w:rsidR="005A23B0" w:rsidRPr="00A8482B" w:rsidRDefault="005A23B0" w:rsidP="00A8482B">
            <w:pPr>
              <w:pStyle w:val="TableText0"/>
              <w:jc w:val="left"/>
              <w:rPr>
                <w:b/>
                <w:bCs w:val="0"/>
              </w:rPr>
            </w:pPr>
          </w:p>
        </w:tc>
        <w:tc>
          <w:tcPr>
            <w:tcW w:w="1719" w:type="dxa"/>
          </w:tcPr>
          <w:p w14:paraId="28A096C0" w14:textId="77777777" w:rsidR="005A23B0" w:rsidRPr="00A8482B" w:rsidRDefault="005A23B0" w:rsidP="00561983">
            <w:pPr>
              <w:pStyle w:val="TableText0"/>
              <w:rPr>
                <w:b/>
                <w:bCs w:val="0"/>
              </w:rPr>
            </w:pPr>
            <w:r w:rsidRPr="00A8482B">
              <w:rPr>
                <w:b/>
                <w:bCs w:val="0"/>
              </w:rPr>
              <w:t xml:space="preserve">&lt; 8/10 years </w:t>
            </w:r>
          </w:p>
          <w:p w14:paraId="33C40B62" w14:textId="77777777" w:rsidR="005A23B0" w:rsidRPr="00A8482B" w:rsidRDefault="005A23B0" w:rsidP="00561983">
            <w:pPr>
              <w:pStyle w:val="TableText0"/>
              <w:rPr>
                <w:b/>
                <w:bCs w:val="0"/>
              </w:rPr>
            </w:pPr>
            <w:r w:rsidRPr="00A8482B">
              <w:rPr>
                <w:b/>
                <w:bCs w:val="0"/>
              </w:rPr>
              <w:t>N = 21</w:t>
            </w:r>
          </w:p>
        </w:tc>
        <w:tc>
          <w:tcPr>
            <w:tcW w:w="2104" w:type="dxa"/>
          </w:tcPr>
          <w:p w14:paraId="02F57AF5" w14:textId="77777777" w:rsidR="005A23B0" w:rsidRPr="00A8482B" w:rsidRDefault="005A23B0" w:rsidP="00561983">
            <w:pPr>
              <w:pStyle w:val="TableText0"/>
              <w:rPr>
                <w:b/>
                <w:bCs w:val="0"/>
              </w:rPr>
            </w:pPr>
            <w:r w:rsidRPr="00A8482B">
              <w:rPr>
                <w:b/>
                <w:bCs w:val="0"/>
              </w:rPr>
              <w:t>≥8/10 - &lt;14 years</w:t>
            </w:r>
          </w:p>
          <w:p w14:paraId="1E7AC001" w14:textId="77777777" w:rsidR="005A23B0" w:rsidRPr="00A8482B" w:rsidRDefault="005A23B0" w:rsidP="00561983">
            <w:pPr>
              <w:pStyle w:val="TableText0"/>
              <w:rPr>
                <w:b/>
                <w:bCs w:val="0"/>
              </w:rPr>
            </w:pPr>
            <w:r w:rsidRPr="00A8482B">
              <w:rPr>
                <w:b/>
                <w:bCs w:val="0"/>
              </w:rPr>
              <w:t>N = 36</w:t>
            </w:r>
          </w:p>
        </w:tc>
        <w:tc>
          <w:tcPr>
            <w:tcW w:w="1913" w:type="dxa"/>
          </w:tcPr>
          <w:p w14:paraId="6624A647" w14:textId="77777777" w:rsidR="005A23B0" w:rsidRPr="00A8482B" w:rsidRDefault="005A23B0" w:rsidP="00561983">
            <w:pPr>
              <w:pStyle w:val="TableText0"/>
              <w:rPr>
                <w:b/>
                <w:bCs w:val="0"/>
              </w:rPr>
            </w:pPr>
            <w:r w:rsidRPr="00A8482B">
              <w:rPr>
                <w:b/>
                <w:bCs w:val="0"/>
              </w:rPr>
              <w:t>&lt; 14 years</w:t>
            </w:r>
          </w:p>
          <w:p w14:paraId="270BE050" w14:textId="77777777" w:rsidR="005A23B0" w:rsidRPr="00A8482B" w:rsidRDefault="005A23B0" w:rsidP="00561983">
            <w:pPr>
              <w:pStyle w:val="TableText0"/>
              <w:rPr>
                <w:b/>
                <w:bCs w:val="0"/>
              </w:rPr>
            </w:pPr>
            <w:r w:rsidRPr="00A8482B">
              <w:rPr>
                <w:b/>
                <w:bCs w:val="0"/>
              </w:rPr>
              <w:t>N = 57</w:t>
            </w:r>
          </w:p>
        </w:tc>
        <w:tc>
          <w:tcPr>
            <w:tcW w:w="1913" w:type="dxa"/>
          </w:tcPr>
          <w:p w14:paraId="0DA933D5" w14:textId="77777777" w:rsidR="005A23B0" w:rsidRPr="00A8482B" w:rsidRDefault="005A23B0" w:rsidP="00561983">
            <w:pPr>
              <w:pStyle w:val="TableText0"/>
              <w:rPr>
                <w:b/>
                <w:bCs w:val="0"/>
              </w:rPr>
            </w:pPr>
            <w:r w:rsidRPr="00A8482B">
              <w:rPr>
                <w:b/>
                <w:bCs w:val="0"/>
              </w:rPr>
              <w:t xml:space="preserve">All patients </w:t>
            </w:r>
          </w:p>
          <w:p w14:paraId="2F3632E5" w14:textId="77777777" w:rsidR="005A23B0" w:rsidRPr="00A8482B" w:rsidRDefault="005A23B0" w:rsidP="00561983">
            <w:pPr>
              <w:pStyle w:val="TableText0"/>
              <w:rPr>
                <w:b/>
                <w:bCs w:val="0"/>
              </w:rPr>
            </w:pPr>
            <w:r w:rsidRPr="00A8482B">
              <w:rPr>
                <w:b/>
                <w:bCs w:val="0"/>
              </w:rPr>
              <w:t>N = 107</w:t>
            </w:r>
          </w:p>
        </w:tc>
      </w:tr>
      <w:tr w:rsidR="005A23B0" w:rsidRPr="00BE5A28" w14:paraId="743765FD" w14:textId="77777777" w:rsidTr="00AC00CD">
        <w:tc>
          <w:tcPr>
            <w:tcW w:w="1368" w:type="dxa"/>
          </w:tcPr>
          <w:p w14:paraId="5A8BEDCC" w14:textId="77777777" w:rsidR="005A23B0" w:rsidRPr="00BE5A28" w:rsidRDefault="005A23B0" w:rsidP="00A8482B">
            <w:pPr>
              <w:pStyle w:val="TableText0"/>
              <w:jc w:val="left"/>
            </w:pPr>
            <w:r w:rsidRPr="00BE5A28">
              <w:t>PPC, n (%)</w:t>
            </w:r>
          </w:p>
        </w:tc>
        <w:tc>
          <w:tcPr>
            <w:tcW w:w="1719" w:type="dxa"/>
          </w:tcPr>
          <w:p w14:paraId="452E9429" w14:textId="77777777" w:rsidR="005A23B0" w:rsidRPr="00BE5A28" w:rsidRDefault="005A23B0" w:rsidP="00561983">
            <w:pPr>
              <w:pStyle w:val="TableText0"/>
            </w:pPr>
            <w:r w:rsidRPr="00BE5A28">
              <w:t>12 (57.1)</w:t>
            </w:r>
          </w:p>
        </w:tc>
        <w:tc>
          <w:tcPr>
            <w:tcW w:w="2104" w:type="dxa"/>
          </w:tcPr>
          <w:p w14:paraId="26F6B5B3" w14:textId="77777777" w:rsidR="005A23B0" w:rsidRPr="00BE5A28" w:rsidRDefault="005A23B0" w:rsidP="00561983">
            <w:pPr>
              <w:pStyle w:val="TableText0"/>
            </w:pPr>
            <w:r w:rsidRPr="00BE5A28">
              <w:t>12 (33.3)</w:t>
            </w:r>
          </w:p>
        </w:tc>
        <w:tc>
          <w:tcPr>
            <w:tcW w:w="1913" w:type="dxa"/>
          </w:tcPr>
          <w:p w14:paraId="61A54E78" w14:textId="77777777" w:rsidR="005A23B0" w:rsidRPr="00BE5A28" w:rsidRDefault="005A23B0" w:rsidP="00561983">
            <w:pPr>
              <w:pStyle w:val="TableText0"/>
            </w:pPr>
            <w:r w:rsidRPr="00BE5A28">
              <w:t>24 (42.1)</w:t>
            </w:r>
          </w:p>
        </w:tc>
        <w:tc>
          <w:tcPr>
            <w:tcW w:w="1913" w:type="dxa"/>
          </w:tcPr>
          <w:p w14:paraId="1DC04583" w14:textId="77777777" w:rsidR="005A23B0" w:rsidRPr="00BE5A28" w:rsidRDefault="005A23B0" w:rsidP="00561983">
            <w:pPr>
              <w:pStyle w:val="TableText0"/>
            </w:pPr>
            <w:r w:rsidRPr="00BE5A28">
              <w:t>24 (22.4)</w:t>
            </w:r>
          </w:p>
        </w:tc>
      </w:tr>
    </w:tbl>
    <w:p w14:paraId="0C508BFB" w14:textId="77777777" w:rsidR="005A23B0" w:rsidRPr="00BE5A28" w:rsidRDefault="005A23B0" w:rsidP="007913E5">
      <w:pPr>
        <w:pStyle w:val="TableFigureFooter"/>
      </w:pPr>
      <w:r w:rsidRPr="00BE5A28">
        <w:t xml:space="preserve">Source: Table 2.5-12, p123v of the submission. </w:t>
      </w:r>
    </w:p>
    <w:p w14:paraId="0916D369" w14:textId="77777777" w:rsidR="005A23B0" w:rsidRPr="00BE5A28" w:rsidRDefault="005A23B0" w:rsidP="007913E5">
      <w:pPr>
        <w:pStyle w:val="TableFigureFooter"/>
      </w:pPr>
      <w:r w:rsidRPr="00BE5A28">
        <w:t>PPC = Premature physeal closure; TEAE = Treatment-emergent adverse event</w:t>
      </w:r>
    </w:p>
    <w:p w14:paraId="61D8CA55" w14:textId="10458FAE" w:rsidR="005A23B0" w:rsidRPr="008B7480" w:rsidRDefault="005A23B0" w:rsidP="007913E5">
      <w:pPr>
        <w:pStyle w:val="TableFigureFooter"/>
      </w:pPr>
      <w:r w:rsidRPr="00BE5A28">
        <w:t>Note: Includes TEAEs and post-treatment AEs</w:t>
      </w:r>
    </w:p>
    <w:p w14:paraId="0D7D6ED8" w14:textId="0C45FBD0" w:rsidR="005A23B0" w:rsidRPr="004F7EEE" w:rsidRDefault="005A23B0" w:rsidP="00DB6756">
      <w:pPr>
        <w:pStyle w:val="3-BodyText"/>
      </w:pPr>
      <w:r w:rsidRPr="00DB6756">
        <w:rPr>
          <w:color w:val="000000" w:themeColor="text1"/>
        </w:rPr>
        <w:t xml:space="preserve">Although the submission did not present a comparison of adverse events between palovarotene and </w:t>
      </w:r>
      <w:r w:rsidR="003F3AB1" w:rsidRPr="00DB6756">
        <w:rPr>
          <w:color w:val="000000" w:themeColor="text1"/>
        </w:rPr>
        <w:t>SoC</w:t>
      </w:r>
      <w:r w:rsidRPr="00DB6756">
        <w:rPr>
          <w:color w:val="000000" w:themeColor="text1"/>
        </w:rPr>
        <w:t>, t</w:t>
      </w:r>
      <w:r w:rsidRPr="00BE5A28">
        <w:t xml:space="preserve">he submission presented a comparison of growth velocities </w:t>
      </w:r>
      <w:r w:rsidR="00D75998">
        <w:t>for</w:t>
      </w:r>
      <w:r w:rsidR="00D75998" w:rsidRPr="00BE5A28">
        <w:t xml:space="preserve"> </w:t>
      </w:r>
      <w:r w:rsidR="00D75998">
        <w:t>palovarotene</w:t>
      </w:r>
      <w:r w:rsidR="00D75998" w:rsidRPr="00BE5A28">
        <w:t xml:space="preserve"> </w:t>
      </w:r>
      <w:r w:rsidRPr="00BE5A28">
        <w:t xml:space="preserve">compared to the </w:t>
      </w:r>
      <w:proofErr w:type="spellStart"/>
      <w:r w:rsidR="00D75998">
        <w:t>SoC</w:t>
      </w:r>
      <w:r w:rsidRPr="004F7EEE">
        <w:t>.</w:t>
      </w:r>
      <w:proofErr w:type="spellEnd"/>
      <w:r w:rsidRPr="004F7EEE">
        <w:t xml:space="preserve"> </w:t>
      </w:r>
      <w:r w:rsidRPr="004E5B01">
        <w:t xml:space="preserve">A greater proportion of </w:t>
      </w:r>
      <w:r>
        <w:t>palovarotene</w:t>
      </w:r>
      <w:r w:rsidRPr="004E5B01">
        <w:t xml:space="preserve">-treated patients </w:t>
      </w:r>
      <w:r>
        <w:t xml:space="preserve">in MOVE </w:t>
      </w:r>
      <w:r w:rsidRPr="004E5B01">
        <w:t>had worst and last growth velocities of &lt;4 cm/year than similarly aged</w:t>
      </w:r>
      <w:r w:rsidR="00D75998">
        <w:t xml:space="preserve"> SoC</w:t>
      </w:r>
      <w:r w:rsidRPr="004E5B01">
        <w:t xml:space="preserve"> patients</w:t>
      </w:r>
      <w:r>
        <w:t xml:space="preserve"> in the NHS.</w:t>
      </w:r>
    </w:p>
    <w:p w14:paraId="41FEAADB" w14:textId="1E808A2C" w:rsidR="005A23B0" w:rsidRPr="00BF7D88" w:rsidRDefault="005A23B0" w:rsidP="005A23B0">
      <w:pPr>
        <w:pStyle w:val="3-BodyText"/>
      </w:pPr>
      <w:r w:rsidRPr="00BF7D88">
        <w:t>Overall, despite the lack of comparative adverse event data, the high risk of PPC associated with palovarotene supports a claim of inferior safety. There are also other cutaneous adverse events associated with palovarotene which require additional treatment. Additionally, comparative data around growth velocity shows substantially worse growth outcomes in patients under the age of 18 in the palovarotene arm. This may have an impact on the QoL in paediatric patients treated with palovarotene.</w:t>
      </w:r>
      <w:r w:rsidR="00390538">
        <w:t xml:space="preserve"> </w:t>
      </w:r>
    </w:p>
    <w:p w14:paraId="602463BC" w14:textId="38BABB35" w:rsidR="005A23B0" w:rsidRPr="00BF7D88" w:rsidRDefault="005A23B0" w:rsidP="005A23B0">
      <w:pPr>
        <w:pStyle w:val="3-BodyText"/>
      </w:pPr>
      <w:r w:rsidRPr="00BF7D88">
        <w:t xml:space="preserve">The submission did not include adverse events in the economic model base case. </w:t>
      </w:r>
    </w:p>
    <w:p w14:paraId="04908C7F" w14:textId="415B9B7D" w:rsidR="007F1017" w:rsidRPr="0098262F" w:rsidRDefault="007F1017" w:rsidP="00D86231">
      <w:pPr>
        <w:pStyle w:val="4-SubsectionHeading"/>
      </w:pPr>
      <w:bookmarkStart w:id="39" w:name="_Toc22897643"/>
      <w:bookmarkStart w:id="40" w:name="_Toc177559113"/>
      <w:r w:rsidRPr="0098262F">
        <w:t>Benefits/harms</w:t>
      </w:r>
      <w:bookmarkEnd w:id="39"/>
      <w:bookmarkEnd w:id="40"/>
    </w:p>
    <w:p w14:paraId="3B653B96" w14:textId="0EFAA95B" w:rsidR="00FC1884" w:rsidRPr="0098262F" w:rsidRDefault="00E926A5" w:rsidP="005A23B0">
      <w:pPr>
        <w:pStyle w:val="3-BodyText"/>
      </w:pPr>
      <w:r w:rsidRPr="0098262F">
        <w:t xml:space="preserve">The </w:t>
      </w:r>
      <w:r w:rsidR="00C459CD">
        <w:t>unanchored</w:t>
      </w:r>
      <w:r w:rsidRPr="0098262F">
        <w:t xml:space="preserve"> indirect comparison presented in the submission did not allow for a </w:t>
      </w:r>
      <w:r w:rsidR="0085309D" w:rsidRPr="0098262F">
        <w:t xml:space="preserve">quantitative </w:t>
      </w:r>
      <w:r w:rsidRPr="0098262F">
        <w:t xml:space="preserve">comparison of the benefits and harms of </w:t>
      </w:r>
      <w:r w:rsidR="005A23B0">
        <w:t xml:space="preserve">palovarotene </w:t>
      </w:r>
      <w:r w:rsidRPr="0098262F">
        <w:t xml:space="preserve">and </w:t>
      </w:r>
      <w:proofErr w:type="spellStart"/>
      <w:r w:rsidR="005A23B0">
        <w:t>SoC.</w:t>
      </w:r>
      <w:proofErr w:type="spellEnd"/>
      <w:r w:rsidR="005A23B0">
        <w:t xml:space="preserve"> </w:t>
      </w:r>
      <w:r w:rsidRPr="0098262F">
        <w:t>Accordingly, a benefits/harms table has not been presented.</w:t>
      </w:r>
    </w:p>
    <w:p w14:paraId="7A1772B6" w14:textId="23BB3145" w:rsidR="00B60939" w:rsidRPr="0098262F" w:rsidRDefault="00B60939" w:rsidP="00E9094A">
      <w:pPr>
        <w:pStyle w:val="4-SubsectionHeading"/>
      </w:pPr>
      <w:bookmarkStart w:id="41" w:name="_Toc22897644"/>
      <w:bookmarkStart w:id="42" w:name="_Toc177559114"/>
      <w:r w:rsidRPr="0098262F">
        <w:t>Clinical claim</w:t>
      </w:r>
      <w:bookmarkEnd w:id="41"/>
      <w:bookmarkEnd w:id="42"/>
    </w:p>
    <w:p w14:paraId="2649720F" w14:textId="77777777" w:rsidR="00C459CD" w:rsidRPr="004F7EEE" w:rsidRDefault="00C459CD" w:rsidP="00C459CD">
      <w:pPr>
        <w:pStyle w:val="3-BodyText"/>
      </w:pPr>
      <w:r w:rsidRPr="00BE5A28">
        <w:t xml:space="preserve">The submission described </w:t>
      </w:r>
      <w:r>
        <w:t xml:space="preserve">palovarotene (in combination with SoC) as having </w:t>
      </w:r>
      <w:r w:rsidRPr="003A4E64">
        <w:t xml:space="preserve">superior efficacy and inferior safety compared to </w:t>
      </w:r>
      <w:proofErr w:type="spellStart"/>
      <w:r w:rsidRPr="003A4E64">
        <w:t>SoC</w:t>
      </w:r>
      <w:r w:rsidRPr="004F7EEE">
        <w:t>.</w:t>
      </w:r>
      <w:proofErr w:type="spellEnd"/>
    </w:p>
    <w:p w14:paraId="2CCCA529" w14:textId="2B79159D" w:rsidR="00C459CD" w:rsidRPr="00BF7D88" w:rsidRDefault="00C459CD" w:rsidP="00C459CD">
      <w:pPr>
        <w:pStyle w:val="3-BodyText"/>
      </w:pPr>
      <w:r w:rsidRPr="00BF7D88">
        <w:t>The therapeutic conclusion of efficacy is</w:t>
      </w:r>
      <w:r w:rsidR="00D75998" w:rsidRPr="00BF7D88">
        <w:t xml:space="preserve"> supported by lower annualised HO in the PBS relevant subgroup. This </w:t>
      </w:r>
      <w:r w:rsidR="00DC02D9">
        <w:t xml:space="preserve">was </w:t>
      </w:r>
      <w:r w:rsidRPr="00BF7D88">
        <w:t xml:space="preserve">consistent with </w:t>
      </w:r>
      <w:r w:rsidR="00EF267B" w:rsidRPr="00BF7D88">
        <w:t>the view</w:t>
      </w:r>
      <w:r w:rsidRPr="00BF7D88">
        <w:t xml:space="preserve"> of the TGA ACM, which concluded that the results of the </w:t>
      </w:r>
      <w:r w:rsidRPr="00390538">
        <w:rPr>
          <w:i/>
          <w:iCs/>
        </w:rPr>
        <w:t>post-hoc</w:t>
      </w:r>
      <w:r w:rsidRPr="00BF7D88">
        <w:t xml:space="preserve"> comparison of annualised new HO demonstrated meaningful benefit. The </w:t>
      </w:r>
      <w:r w:rsidR="006A22D5">
        <w:t xml:space="preserve">ESC agreed with the commentary that the </w:t>
      </w:r>
      <w:r w:rsidRPr="00BF7D88">
        <w:t xml:space="preserve">magnitude of this benefit </w:t>
      </w:r>
      <w:r w:rsidR="00DC02D9">
        <w:t>wa</w:t>
      </w:r>
      <w:r w:rsidRPr="00BF7D88">
        <w:t>s highly uncertain as:</w:t>
      </w:r>
    </w:p>
    <w:p w14:paraId="1E30E8C4" w14:textId="36836509" w:rsidR="00C459CD" w:rsidRPr="006A22D5" w:rsidRDefault="00C459CD" w:rsidP="00B46A90">
      <w:pPr>
        <w:pStyle w:val="Commentitalics"/>
        <w:numPr>
          <w:ilvl w:val="0"/>
          <w:numId w:val="19"/>
        </w:numPr>
        <w:spacing w:after="120"/>
        <w:rPr>
          <w:i w:val="0"/>
        </w:rPr>
      </w:pPr>
      <w:r w:rsidRPr="00BF7D88">
        <w:rPr>
          <w:i w:val="0"/>
        </w:rPr>
        <w:t>It was based on an unanchored indirect comparison of two single arm cohort studies (MOVE and the NHS). MOVE also had a high risk of Type 1 error due to a protocol change as the futility threshold was crossed</w:t>
      </w:r>
      <w:r w:rsidR="006A22D5">
        <w:rPr>
          <w:i w:val="0"/>
        </w:rPr>
        <w:t xml:space="preserve"> </w:t>
      </w:r>
      <w:r w:rsidRPr="00BF7D88">
        <w:rPr>
          <w:i w:val="0"/>
        </w:rPr>
        <w:t>and alternative post</w:t>
      </w:r>
      <w:r w:rsidR="008D4A4C" w:rsidRPr="00BF7D88">
        <w:rPr>
          <w:i w:val="0"/>
        </w:rPr>
        <w:t>-</w:t>
      </w:r>
      <w:r w:rsidRPr="00BF7D88">
        <w:rPr>
          <w:i w:val="0"/>
        </w:rPr>
        <w:t>hoc analytic methods were relied upon</w:t>
      </w:r>
      <w:r w:rsidR="006A22D5">
        <w:rPr>
          <w:i w:val="0"/>
        </w:rPr>
        <w:t>.</w:t>
      </w:r>
    </w:p>
    <w:p w14:paraId="555E779A" w14:textId="68DDF79E" w:rsidR="00C459CD" w:rsidRPr="00BF7D88" w:rsidRDefault="00C459CD" w:rsidP="00B46A90">
      <w:pPr>
        <w:pStyle w:val="Commentitalics"/>
        <w:numPr>
          <w:ilvl w:val="0"/>
          <w:numId w:val="19"/>
        </w:numPr>
        <w:spacing w:after="120"/>
        <w:rPr>
          <w:i w:val="0"/>
        </w:rPr>
      </w:pPr>
      <w:r w:rsidRPr="00BF7D88">
        <w:rPr>
          <w:i w:val="0"/>
        </w:rPr>
        <w:t>The clinical claim was reliant on a surrogacy of HO outcomes to overall survival. While this surrogacy is biologically plausible, no quantifiable relationship has been adequately demonstrated in the submission, and there may be other pathways beyond HO such as immunogenicity pathways which may lead to reduced life expectancy in FOP patients</w:t>
      </w:r>
      <w:r w:rsidR="006A22D5">
        <w:rPr>
          <w:i w:val="0"/>
        </w:rPr>
        <w:t>.</w:t>
      </w:r>
      <w:r w:rsidR="00544827">
        <w:rPr>
          <w:i w:val="0"/>
        </w:rPr>
        <w:t xml:space="preserve"> The pre-PBAC </w:t>
      </w:r>
      <w:r w:rsidR="00597117">
        <w:rPr>
          <w:i w:val="0"/>
        </w:rPr>
        <w:t xml:space="preserve">response </w:t>
      </w:r>
      <w:r w:rsidR="00544827">
        <w:rPr>
          <w:i w:val="0"/>
        </w:rPr>
        <w:t xml:space="preserve">stated that </w:t>
      </w:r>
      <w:r w:rsidR="00597117">
        <w:rPr>
          <w:i w:val="0"/>
        </w:rPr>
        <w:t xml:space="preserve">although there are </w:t>
      </w:r>
      <w:r w:rsidR="00597117">
        <w:rPr>
          <w:i w:val="0"/>
        </w:rPr>
        <w:lastRenderedPageBreak/>
        <w:t>insufficient data for the relationship between HO outcomes and overall survival to be quantifiable, ample evidence was presented to support HO volume as the major driver of the progressive nature of FOP and the corresponding shortened lifespan.</w:t>
      </w:r>
    </w:p>
    <w:p w14:paraId="59D9DF49" w14:textId="728BC67A" w:rsidR="00C459CD" w:rsidRPr="00BF7D88" w:rsidRDefault="004F7EEE" w:rsidP="00B46A90">
      <w:pPr>
        <w:pStyle w:val="ListParagraph"/>
        <w:numPr>
          <w:ilvl w:val="0"/>
          <w:numId w:val="19"/>
        </w:numPr>
        <w:jc w:val="both"/>
      </w:pPr>
      <w:r w:rsidRPr="00BF7D88">
        <w:t>A</w:t>
      </w:r>
      <w:r w:rsidR="00C459CD" w:rsidRPr="00BF7D88">
        <w:t xml:space="preserve">lthough possibly due to insufficient follow-up, MOVE did not demonstrate any statistically significant differences in clinically meaningful outcomes such as CAJIS, FOP-PFQ or PROMIS. </w:t>
      </w:r>
    </w:p>
    <w:p w14:paraId="14EF1138" w14:textId="63E990E7" w:rsidR="00C459CD" w:rsidRPr="00DB6756" w:rsidRDefault="00C459CD" w:rsidP="00C459CD">
      <w:pPr>
        <w:pStyle w:val="3-BodyText"/>
        <w:rPr>
          <w:rFonts w:eastAsia="Calibri"/>
        </w:rPr>
      </w:pPr>
      <w:r w:rsidRPr="00BF7D88">
        <w:t xml:space="preserve">With regard to the claim of inferior safety, </w:t>
      </w:r>
      <w:r w:rsidR="006A22D5" w:rsidRPr="00DB6756">
        <w:t>the ESC agreed with the commentary</w:t>
      </w:r>
      <w:r w:rsidR="006A22D5">
        <w:t xml:space="preserve"> that </w:t>
      </w:r>
      <w:r w:rsidRPr="00BF7D88">
        <w:t xml:space="preserve">this was supported by the risk of serious adverse events such as PPC and other </w:t>
      </w:r>
      <w:r w:rsidRPr="00DB6756">
        <w:t xml:space="preserve">cutaneous adverse events. </w:t>
      </w:r>
    </w:p>
    <w:p w14:paraId="0CF7BC33" w14:textId="3BF135A0" w:rsidR="00E21EB5" w:rsidRPr="00DB6756" w:rsidRDefault="00E21EB5" w:rsidP="00E21EB5">
      <w:pPr>
        <w:pStyle w:val="3-BodyText"/>
        <w:rPr>
          <w:snapToGrid w:val="0"/>
        </w:rPr>
      </w:pPr>
      <w:bookmarkStart w:id="43" w:name="_Hlk76376200"/>
      <w:r w:rsidRPr="00DB6756">
        <w:rPr>
          <w:iCs/>
          <w:snapToGrid w:val="0"/>
        </w:rPr>
        <w:t>The</w:t>
      </w:r>
      <w:r w:rsidRPr="00DB6756">
        <w:rPr>
          <w:snapToGrid w:val="0"/>
        </w:rPr>
        <w:t xml:space="preserve"> PBAC considered that the claim of superior comparative effectiveness was reasonable</w:t>
      </w:r>
      <w:r w:rsidR="00DB6756" w:rsidRPr="00DB6756">
        <w:rPr>
          <w:snapToGrid w:val="0"/>
        </w:rPr>
        <w:t xml:space="preserve">, though the </w:t>
      </w:r>
      <w:r w:rsidR="00C86244" w:rsidRPr="00383951">
        <w:rPr>
          <w:snapToGrid w:val="0"/>
        </w:rPr>
        <w:t xml:space="preserve">magnitude of benefit </w:t>
      </w:r>
      <w:r w:rsidR="00C86244">
        <w:rPr>
          <w:snapToGrid w:val="0"/>
        </w:rPr>
        <w:t xml:space="preserve">on patient function </w:t>
      </w:r>
      <w:r w:rsidR="00DB6756" w:rsidRPr="00DB6756">
        <w:rPr>
          <w:snapToGrid w:val="0"/>
        </w:rPr>
        <w:t xml:space="preserve">was </w:t>
      </w:r>
      <w:r w:rsidR="006858B4">
        <w:rPr>
          <w:snapToGrid w:val="0"/>
        </w:rPr>
        <w:t xml:space="preserve">highly </w:t>
      </w:r>
      <w:r w:rsidR="00DB6756" w:rsidRPr="00DB6756">
        <w:rPr>
          <w:snapToGrid w:val="0"/>
        </w:rPr>
        <w:t>uncertain</w:t>
      </w:r>
      <w:r w:rsidR="006858B4">
        <w:rPr>
          <w:snapToGrid w:val="0"/>
        </w:rPr>
        <w:t xml:space="preserve"> </w:t>
      </w:r>
      <w:r w:rsidR="006858B4" w:rsidRPr="00383951">
        <w:rPr>
          <w:snapToGrid w:val="0"/>
        </w:rPr>
        <w:t>due to the limitations of the clinical data</w:t>
      </w:r>
      <w:r w:rsidRPr="00DB6756">
        <w:rPr>
          <w:snapToGrid w:val="0"/>
        </w:rPr>
        <w:t>.</w:t>
      </w:r>
    </w:p>
    <w:p w14:paraId="39C44B89" w14:textId="0542B2DC" w:rsidR="00E21EB5" w:rsidRPr="00993452" w:rsidRDefault="00E21EB5" w:rsidP="00993452">
      <w:pPr>
        <w:pStyle w:val="3-BodyText"/>
        <w:rPr>
          <w:rFonts w:eastAsia="Calibri"/>
        </w:rPr>
      </w:pPr>
      <w:r w:rsidRPr="00DB6756">
        <w:rPr>
          <w:snapToGrid w:val="0"/>
        </w:rPr>
        <w:t>The PBAC considered that the claim of inferior comparative safety was reasonable.</w:t>
      </w:r>
      <w:bookmarkEnd w:id="43"/>
    </w:p>
    <w:p w14:paraId="74A1172E" w14:textId="128C170E" w:rsidR="00B60939" w:rsidRPr="0098262F" w:rsidRDefault="00B60939" w:rsidP="00E9094A">
      <w:pPr>
        <w:pStyle w:val="4-SubsectionHeading"/>
      </w:pPr>
      <w:bookmarkStart w:id="44" w:name="_Toc22897645"/>
      <w:bookmarkStart w:id="45" w:name="_Toc177559115"/>
      <w:r w:rsidRPr="0098262F">
        <w:t>Economic analysis</w:t>
      </w:r>
      <w:bookmarkEnd w:id="44"/>
      <w:bookmarkEnd w:id="45"/>
      <w:r w:rsidR="00491B3A" w:rsidRPr="0098262F">
        <w:t xml:space="preserve"> </w:t>
      </w:r>
    </w:p>
    <w:p w14:paraId="7B396649" w14:textId="77777777" w:rsidR="006425A8" w:rsidRPr="006425A8" w:rsidRDefault="006425A8" w:rsidP="00C459CD">
      <w:pPr>
        <w:pStyle w:val="3-BodyText"/>
        <w:rPr>
          <w:b/>
          <w:bCs/>
        </w:rPr>
      </w:pPr>
      <w:r w:rsidRPr="00BE5A28">
        <w:t xml:space="preserve">The submission presented </w:t>
      </w:r>
      <w:r>
        <w:t xml:space="preserve">a stepped </w:t>
      </w:r>
      <w:r w:rsidRPr="00BE5A28">
        <w:t xml:space="preserve">economic evaluation based on </w:t>
      </w:r>
      <w:r>
        <w:t xml:space="preserve">the MOVE study. </w:t>
      </w:r>
      <w:r w:rsidRPr="00BE5A28">
        <w:t>The type of economic evaluation presented was a cost-utility analysi</w:t>
      </w:r>
      <w:r>
        <w:t>s.</w:t>
      </w:r>
      <w:r w:rsidRPr="00C459CD">
        <w:rPr>
          <w:color w:val="000000" w:themeColor="text1"/>
        </w:rPr>
        <w:t xml:space="preserve"> </w:t>
      </w:r>
    </w:p>
    <w:p w14:paraId="66EE82B1" w14:textId="53F480ED" w:rsidR="00C459CD" w:rsidRPr="00BF7D88" w:rsidRDefault="00C459CD" w:rsidP="00C459CD">
      <w:pPr>
        <w:pStyle w:val="3-BodyText"/>
        <w:rPr>
          <w:b/>
          <w:bCs/>
        </w:rPr>
      </w:pPr>
      <w:r w:rsidRPr="00BF7D88">
        <w:t xml:space="preserve">The </w:t>
      </w:r>
      <w:r w:rsidR="00E54EBB">
        <w:t xml:space="preserve">evaluation considered the </w:t>
      </w:r>
      <w:r w:rsidRPr="00BF7D88">
        <w:t>base case incremental cost effectiveness ratio (ICER) was extremely high (</w:t>
      </w:r>
      <w:r w:rsidR="000D5902" w:rsidRPr="000D5902">
        <w:t>&gt;</w:t>
      </w:r>
      <w:r w:rsidR="00FF57B0">
        <w:t> </w:t>
      </w:r>
      <w:r w:rsidR="000D5902" w:rsidRPr="000D5902">
        <w:t>$1,055,000</w:t>
      </w:r>
      <w:r w:rsidRPr="00BF7D88">
        <w:t>/QALY</w:t>
      </w:r>
      <w:r w:rsidR="00836210">
        <w:t xml:space="preserve"> excluding caregiver utilities</w:t>
      </w:r>
      <w:r w:rsidRPr="00BF7D88">
        <w:t>), and it was likely that there was no plausible scenario in which palovarotene would be considered conventionally cost</w:t>
      </w:r>
      <w:r w:rsidR="004F7EEE" w:rsidRPr="00BF7D88">
        <w:t>-</w:t>
      </w:r>
      <w:r w:rsidRPr="00BF7D88">
        <w:t xml:space="preserve">effective. </w:t>
      </w:r>
      <w:r w:rsidR="001929FC" w:rsidRPr="00E21EB5">
        <w:t>The ESC considered that overall, the economic model is unlikely to be informative for decision making in this context, primarily because it relied on a number of poorly supported key assumptions, including the correlation between annualised HO and survival, and because many of the variables and approaches in the model could not be verified</w:t>
      </w:r>
      <w:r w:rsidR="001929FC" w:rsidRPr="001929FC">
        <w:rPr>
          <w:i/>
          <w:iCs/>
        </w:rPr>
        <w:t>.</w:t>
      </w:r>
      <w:r w:rsidR="001929FC">
        <w:t xml:space="preserve"> </w:t>
      </w:r>
    </w:p>
    <w:p w14:paraId="16C8653C" w14:textId="2AB530B3" w:rsidR="008C5739" w:rsidRPr="004F7EEE" w:rsidRDefault="00C459CD" w:rsidP="00C459CD">
      <w:pPr>
        <w:pStyle w:val="3-BodyText"/>
        <w:rPr>
          <w:b/>
          <w:bCs/>
        </w:rPr>
      </w:pPr>
      <w:r>
        <w:rPr>
          <w:color w:val="000000" w:themeColor="text1"/>
        </w:rPr>
        <w:fldChar w:fldCharType="begin" w:fldLock="1"/>
      </w:r>
      <w:r>
        <w:rPr>
          <w:color w:val="000000" w:themeColor="text1"/>
        </w:rPr>
        <w:instrText xml:space="preserve"> REF _Ref176525987 \h </w:instrText>
      </w:r>
      <w:r>
        <w:rPr>
          <w:color w:val="000000" w:themeColor="text1"/>
        </w:rPr>
      </w:r>
      <w:r>
        <w:rPr>
          <w:color w:val="000000" w:themeColor="text1"/>
        </w:rPr>
        <w:fldChar w:fldCharType="separate"/>
      </w:r>
      <w:r w:rsidR="0043347F" w:rsidRPr="0098262F">
        <w:t xml:space="preserve">Table </w:t>
      </w:r>
      <w:r w:rsidR="0043347F">
        <w:rPr>
          <w:noProof/>
        </w:rPr>
        <w:t>12</w:t>
      </w:r>
      <w:r>
        <w:rPr>
          <w:color w:val="000000" w:themeColor="text1"/>
        </w:rPr>
        <w:fldChar w:fldCharType="end"/>
      </w:r>
      <w:r>
        <w:rPr>
          <w:color w:val="000000" w:themeColor="text1"/>
        </w:rPr>
        <w:t xml:space="preserve"> </w:t>
      </w:r>
      <w:r w:rsidRPr="00C459CD">
        <w:rPr>
          <w:color w:val="000000" w:themeColor="text1"/>
        </w:rPr>
        <w:t>presents an overview of the economic evaluation</w:t>
      </w:r>
      <w:r w:rsidR="004F7EEE">
        <w:rPr>
          <w:color w:val="000000" w:themeColor="text1"/>
        </w:rPr>
        <w:t>.</w:t>
      </w:r>
    </w:p>
    <w:p w14:paraId="15A9AFA4" w14:textId="0C238E3E" w:rsidR="00275C5A" w:rsidRPr="0098262F" w:rsidRDefault="00E16AD8" w:rsidP="00E16AD8">
      <w:pPr>
        <w:pStyle w:val="Caption"/>
        <w:jc w:val="left"/>
        <w:rPr>
          <w:rStyle w:val="CommentReference"/>
          <w:b/>
          <w:szCs w:val="24"/>
        </w:rPr>
      </w:pPr>
      <w:bookmarkStart w:id="46" w:name="_Ref176525987"/>
      <w:r w:rsidRPr="0098262F">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12</w:t>
      </w:r>
      <w:r w:rsidR="002A4328">
        <w:rPr>
          <w:noProof/>
        </w:rPr>
        <w:fldChar w:fldCharType="end"/>
      </w:r>
      <w:bookmarkEnd w:id="46"/>
      <w:r w:rsidRPr="0098262F">
        <w:t>:</w:t>
      </w:r>
      <w:r w:rsidR="00275C5A" w:rsidRPr="0098262F">
        <w:rPr>
          <w:rStyle w:val="CommentReference"/>
          <w:b/>
          <w:szCs w:val="24"/>
        </w:rPr>
        <w:t xml:space="preserve"> Summary of model structure</w:t>
      </w:r>
      <w:r w:rsidR="00184B0E" w:rsidRPr="0098262F">
        <w:rPr>
          <w:rStyle w:val="CommentReference"/>
          <w:b/>
          <w:szCs w:val="24"/>
        </w:rPr>
        <w:t>, key inputs</w:t>
      </w:r>
      <w:r w:rsidR="00275C5A" w:rsidRPr="0098262F">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C459CD" w:rsidRPr="00BE5A28" w14:paraId="16E09A29" w14:textId="77777777" w:rsidTr="00AC00CD">
        <w:trPr>
          <w:tblHeader/>
        </w:trPr>
        <w:tc>
          <w:tcPr>
            <w:tcW w:w="784" w:type="pct"/>
            <w:shd w:val="clear" w:color="auto" w:fill="auto"/>
            <w:vAlign w:val="center"/>
          </w:tcPr>
          <w:p w14:paraId="04DBDEC8" w14:textId="77777777" w:rsidR="00C459CD" w:rsidRPr="00BE5A28" w:rsidRDefault="00C459CD" w:rsidP="00374460">
            <w:pPr>
              <w:pStyle w:val="In-tableHeading"/>
            </w:pPr>
            <w:r w:rsidRPr="00BE5A28">
              <w:t>Component</w:t>
            </w:r>
          </w:p>
        </w:tc>
        <w:tc>
          <w:tcPr>
            <w:tcW w:w="4216" w:type="pct"/>
            <w:shd w:val="clear" w:color="auto" w:fill="auto"/>
            <w:vAlign w:val="center"/>
          </w:tcPr>
          <w:p w14:paraId="01FE611F" w14:textId="77777777" w:rsidR="00C459CD" w:rsidRPr="00BE5A28" w:rsidRDefault="00C459CD" w:rsidP="00374460">
            <w:pPr>
              <w:pStyle w:val="In-tableHeading"/>
            </w:pPr>
            <w:r w:rsidRPr="00BE5A28">
              <w:t>Summary</w:t>
            </w:r>
          </w:p>
        </w:tc>
      </w:tr>
      <w:tr w:rsidR="00C459CD" w:rsidRPr="00BE5A28" w14:paraId="4A5BC48D" w14:textId="77777777" w:rsidTr="00AC00CD">
        <w:tc>
          <w:tcPr>
            <w:tcW w:w="784" w:type="pct"/>
            <w:shd w:val="clear" w:color="auto" w:fill="auto"/>
            <w:vAlign w:val="center"/>
          </w:tcPr>
          <w:p w14:paraId="4186DDB4" w14:textId="77777777" w:rsidR="00C459CD" w:rsidRPr="00BE5A28" w:rsidRDefault="00C459CD" w:rsidP="00A8482B">
            <w:pPr>
              <w:pStyle w:val="TableText0"/>
              <w:jc w:val="left"/>
            </w:pPr>
            <w:r w:rsidRPr="00BE5A28">
              <w:t>Treatments</w:t>
            </w:r>
          </w:p>
        </w:tc>
        <w:tc>
          <w:tcPr>
            <w:tcW w:w="4216" w:type="pct"/>
            <w:shd w:val="clear" w:color="auto" w:fill="auto"/>
            <w:vAlign w:val="center"/>
          </w:tcPr>
          <w:p w14:paraId="6DF425D1" w14:textId="77777777" w:rsidR="00C459CD" w:rsidRPr="00BE5A28" w:rsidRDefault="00C459CD" w:rsidP="00A8482B">
            <w:pPr>
              <w:pStyle w:val="TableText0"/>
              <w:jc w:val="left"/>
            </w:pPr>
            <w:r>
              <w:t>Palovarotene plus SoC versus SoC</w:t>
            </w:r>
          </w:p>
        </w:tc>
      </w:tr>
      <w:tr w:rsidR="00C459CD" w:rsidRPr="00BE5A28" w14:paraId="1946C71A" w14:textId="77777777" w:rsidTr="00AC00CD">
        <w:tc>
          <w:tcPr>
            <w:tcW w:w="784" w:type="pct"/>
            <w:shd w:val="clear" w:color="auto" w:fill="auto"/>
            <w:vAlign w:val="center"/>
          </w:tcPr>
          <w:p w14:paraId="3D903834" w14:textId="77777777" w:rsidR="00C459CD" w:rsidRPr="00BE5A28" w:rsidRDefault="00C459CD" w:rsidP="00A8482B">
            <w:pPr>
              <w:pStyle w:val="TableText0"/>
              <w:jc w:val="left"/>
            </w:pPr>
            <w:r w:rsidRPr="00BE5A28">
              <w:t>Time horizon</w:t>
            </w:r>
          </w:p>
        </w:tc>
        <w:tc>
          <w:tcPr>
            <w:tcW w:w="4216" w:type="pct"/>
            <w:shd w:val="clear" w:color="auto" w:fill="auto"/>
            <w:vAlign w:val="center"/>
          </w:tcPr>
          <w:p w14:paraId="60C8FAB4" w14:textId="77777777" w:rsidR="00C459CD" w:rsidRPr="00BE5A28" w:rsidRDefault="00C459CD" w:rsidP="00A8482B">
            <w:pPr>
              <w:pStyle w:val="TableText0"/>
              <w:jc w:val="left"/>
            </w:pPr>
            <w:r>
              <w:t xml:space="preserve">80 </w:t>
            </w:r>
            <w:r w:rsidRPr="00BE5A28">
              <w:t xml:space="preserve">years in the model base case versus </w:t>
            </w:r>
            <w:r>
              <w:t>18 months in the interim analysis of MOVE.</w:t>
            </w:r>
          </w:p>
        </w:tc>
      </w:tr>
      <w:tr w:rsidR="00C459CD" w:rsidRPr="00BE5A28" w14:paraId="4C032967" w14:textId="77777777" w:rsidTr="00AC00CD">
        <w:tc>
          <w:tcPr>
            <w:tcW w:w="784" w:type="pct"/>
            <w:shd w:val="clear" w:color="auto" w:fill="auto"/>
            <w:vAlign w:val="center"/>
          </w:tcPr>
          <w:p w14:paraId="4B50DFA6" w14:textId="77777777" w:rsidR="00C459CD" w:rsidRPr="00BE5A28" w:rsidRDefault="00C459CD" w:rsidP="00A8482B">
            <w:pPr>
              <w:pStyle w:val="TableText0"/>
              <w:jc w:val="left"/>
            </w:pPr>
            <w:r w:rsidRPr="00BE5A28">
              <w:t>Outcomes</w:t>
            </w:r>
          </w:p>
        </w:tc>
        <w:tc>
          <w:tcPr>
            <w:tcW w:w="4216" w:type="pct"/>
            <w:shd w:val="clear" w:color="auto" w:fill="auto"/>
            <w:vAlign w:val="center"/>
          </w:tcPr>
          <w:p w14:paraId="78A0CDC6" w14:textId="77777777" w:rsidR="00C459CD" w:rsidRPr="00BE5A28" w:rsidRDefault="00C459CD" w:rsidP="00A8482B">
            <w:pPr>
              <w:pStyle w:val="TableText0"/>
              <w:jc w:val="left"/>
            </w:pPr>
            <w:r>
              <w:t xml:space="preserve">Life years and quality-adjusted life years gained </w:t>
            </w:r>
          </w:p>
        </w:tc>
      </w:tr>
      <w:tr w:rsidR="00C459CD" w:rsidRPr="00BE5A28" w14:paraId="364360D3" w14:textId="77777777" w:rsidTr="00AC00CD">
        <w:tc>
          <w:tcPr>
            <w:tcW w:w="784" w:type="pct"/>
            <w:shd w:val="clear" w:color="auto" w:fill="auto"/>
            <w:vAlign w:val="center"/>
          </w:tcPr>
          <w:p w14:paraId="305833A7" w14:textId="77777777" w:rsidR="00C459CD" w:rsidRPr="00BE5A28" w:rsidRDefault="00C459CD" w:rsidP="00A8482B">
            <w:pPr>
              <w:pStyle w:val="TableText0"/>
              <w:jc w:val="left"/>
            </w:pPr>
            <w:r w:rsidRPr="00BE5A28">
              <w:t>Methods used to generate results</w:t>
            </w:r>
          </w:p>
        </w:tc>
        <w:tc>
          <w:tcPr>
            <w:tcW w:w="4216" w:type="pct"/>
            <w:shd w:val="clear" w:color="auto" w:fill="auto"/>
            <w:vAlign w:val="center"/>
          </w:tcPr>
          <w:p w14:paraId="42C26256" w14:textId="77777777" w:rsidR="00C459CD" w:rsidRPr="00BE5A28" w:rsidRDefault="00C459CD" w:rsidP="00A8482B">
            <w:pPr>
              <w:pStyle w:val="TableText0"/>
              <w:jc w:val="left"/>
            </w:pPr>
            <w:r w:rsidRPr="003D5200">
              <w:t>Markov model</w:t>
            </w:r>
          </w:p>
        </w:tc>
      </w:tr>
      <w:tr w:rsidR="00C459CD" w:rsidRPr="00BE5A28" w14:paraId="2389042C" w14:textId="77777777" w:rsidTr="00AC00CD">
        <w:tc>
          <w:tcPr>
            <w:tcW w:w="784" w:type="pct"/>
            <w:shd w:val="clear" w:color="auto" w:fill="auto"/>
            <w:vAlign w:val="center"/>
          </w:tcPr>
          <w:p w14:paraId="51E6417D" w14:textId="77777777" w:rsidR="00C459CD" w:rsidRPr="00BE5A28" w:rsidRDefault="00C459CD" w:rsidP="00A8482B">
            <w:pPr>
              <w:pStyle w:val="TableText0"/>
              <w:jc w:val="left"/>
            </w:pPr>
            <w:r w:rsidRPr="00BE5A28">
              <w:t>Health states</w:t>
            </w:r>
          </w:p>
        </w:tc>
        <w:tc>
          <w:tcPr>
            <w:tcW w:w="4216" w:type="pct"/>
            <w:shd w:val="clear" w:color="auto" w:fill="auto"/>
            <w:vAlign w:val="center"/>
          </w:tcPr>
          <w:p w14:paraId="096B3327" w14:textId="77777777" w:rsidR="00C459CD" w:rsidRPr="003D5200" w:rsidRDefault="00C459CD" w:rsidP="00A8482B">
            <w:pPr>
              <w:pStyle w:val="TableText0"/>
              <w:jc w:val="left"/>
              <w:rPr>
                <w:lang w:val="en-US"/>
              </w:rPr>
            </w:pPr>
            <w:r w:rsidRPr="003D5200">
              <w:rPr>
                <w:lang w:val="en-US"/>
              </w:rPr>
              <w:t>Six health states defined by HO volume categories and one absorbing health state (death)</w:t>
            </w:r>
          </w:p>
          <w:p w14:paraId="7096115E" w14:textId="77777777" w:rsidR="00C459CD" w:rsidRPr="003D5200" w:rsidRDefault="00C459CD" w:rsidP="00B46A90">
            <w:pPr>
              <w:pStyle w:val="TableText0"/>
              <w:numPr>
                <w:ilvl w:val="0"/>
                <w:numId w:val="10"/>
              </w:numPr>
              <w:jc w:val="left"/>
              <w:rPr>
                <w:lang w:val="en-US"/>
              </w:rPr>
            </w:pPr>
            <w:r w:rsidRPr="003D5200">
              <w:rPr>
                <w:lang w:val="en-US"/>
              </w:rPr>
              <w:t>HO 1: 0 - 150,000 mm</w:t>
            </w:r>
            <w:r w:rsidRPr="003D5200">
              <w:rPr>
                <w:vertAlign w:val="superscript"/>
                <w:lang w:val="en-US"/>
              </w:rPr>
              <w:t>3</w:t>
            </w:r>
            <w:r w:rsidRPr="003D5200">
              <w:rPr>
                <w:lang w:val="en-US"/>
              </w:rPr>
              <w:t xml:space="preserve">, </w:t>
            </w:r>
          </w:p>
          <w:p w14:paraId="482537D0" w14:textId="77777777" w:rsidR="00C459CD" w:rsidRPr="003D5200" w:rsidRDefault="00C459CD" w:rsidP="00B46A90">
            <w:pPr>
              <w:pStyle w:val="TableText0"/>
              <w:numPr>
                <w:ilvl w:val="0"/>
                <w:numId w:val="10"/>
              </w:numPr>
              <w:jc w:val="left"/>
              <w:rPr>
                <w:lang w:val="en-US"/>
              </w:rPr>
            </w:pPr>
            <w:r w:rsidRPr="003D5200">
              <w:rPr>
                <w:lang w:val="en-US"/>
              </w:rPr>
              <w:t>HO 2: 150,001 – 400,000 mm</w:t>
            </w:r>
            <w:r w:rsidRPr="003D5200">
              <w:rPr>
                <w:vertAlign w:val="superscript"/>
                <w:lang w:val="en-US"/>
              </w:rPr>
              <w:t>3</w:t>
            </w:r>
            <w:r w:rsidRPr="003D5200">
              <w:rPr>
                <w:lang w:val="en-US"/>
              </w:rPr>
              <w:t xml:space="preserve">, </w:t>
            </w:r>
          </w:p>
          <w:p w14:paraId="56DAF95B" w14:textId="77777777" w:rsidR="00C459CD" w:rsidRPr="003D5200" w:rsidRDefault="00C459CD" w:rsidP="00B46A90">
            <w:pPr>
              <w:pStyle w:val="TableText0"/>
              <w:numPr>
                <w:ilvl w:val="0"/>
                <w:numId w:val="10"/>
              </w:numPr>
              <w:jc w:val="left"/>
              <w:rPr>
                <w:lang w:val="en-US"/>
              </w:rPr>
            </w:pPr>
            <w:r w:rsidRPr="003D5200">
              <w:rPr>
                <w:lang w:val="en-US"/>
              </w:rPr>
              <w:t>HO 3: 400,001 - 550,000 mm</w:t>
            </w:r>
            <w:r w:rsidRPr="003D5200">
              <w:rPr>
                <w:vertAlign w:val="superscript"/>
                <w:lang w:val="en-US"/>
              </w:rPr>
              <w:t>3</w:t>
            </w:r>
            <w:r w:rsidRPr="003D5200">
              <w:rPr>
                <w:lang w:val="en-US"/>
              </w:rPr>
              <w:t xml:space="preserve">, </w:t>
            </w:r>
          </w:p>
          <w:p w14:paraId="299D0D40" w14:textId="77777777" w:rsidR="00C459CD" w:rsidRPr="003D5200" w:rsidRDefault="00C459CD" w:rsidP="00B46A90">
            <w:pPr>
              <w:pStyle w:val="TableText0"/>
              <w:numPr>
                <w:ilvl w:val="0"/>
                <w:numId w:val="10"/>
              </w:numPr>
              <w:jc w:val="left"/>
              <w:rPr>
                <w:lang w:val="en-US"/>
              </w:rPr>
            </w:pPr>
            <w:r w:rsidRPr="003D5200">
              <w:rPr>
                <w:lang w:val="en-US"/>
              </w:rPr>
              <w:t>HO 4: 550,001 -750,000 mm</w:t>
            </w:r>
            <w:r w:rsidRPr="003D5200">
              <w:rPr>
                <w:vertAlign w:val="superscript"/>
                <w:lang w:val="en-US"/>
              </w:rPr>
              <w:t>3</w:t>
            </w:r>
            <w:r w:rsidRPr="003D5200">
              <w:rPr>
                <w:lang w:val="en-US"/>
              </w:rPr>
              <w:t xml:space="preserve">, </w:t>
            </w:r>
          </w:p>
          <w:p w14:paraId="09120707" w14:textId="77777777" w:rsidR="00C459CD" w:rsidRPr="003D5200" w:rsidRDefault="00C459CD" w:rsidP="00B46A90">
            <w:pPr>
              <w:pStyle w:val="TableText0"/>
              <w:numPr>
                <w:ilvl w:val="0"/>
                <w:numId w:val="10"/>
              </w:numPr>
              <w:jc w:val="left"/>
              <w:rPr>
                <w:lang w:val="en-US"/>
              </w:rPr>
            </w:pPr>
            <w:r w:rsidRPr="003D5200">
              <w:rPr>
                <w:lang w:val="en-US"/>
              </w:rPr>
              <w:t>HO 5: 750,001 – 1,200,000 mm</w:t>
            </w:r>
            <w:r w:rsidRPr="003D5200">
              <w:rPr>
                <w:vertAlign w:val="superscript"/>
                <w:lang w:val="en-US"/>
              </w:rPr>
              <w:t>3</w:t>
            </w:r>
          </w:p>
          <w:p w14:paraId="13A4428E" w14:textId="71772E53" w:rsidR="00C459CD" w:rsidRPr="003D5200" w:rsidRDefault="00C459CD" w:rsidP="00B46A90">
            <w:pPr>
              <w:pStyle w:val="TableText0"/>
              <w:numPr>
                <w:ilvl w:val="0"/>
                <w:numId w:val="10"/>
              </w:numPr>
              <w:jc w:val="left"/>
              <w:rPr>
                <w:lang w:val="en-US"/>
              </w:rPr>
            </w:pPr>
            <w:r w:rsidRPr="003D5200">
              <w:rPr>
                <w:lang w:val="en-US"/>
              </w:rPr>
              <w:t>HO 6: &gt;1,200,000 mm</w:t>
            </w:r>
            <w:r w:rsidRPr="003D5200">
              <w:rPr>
                <w:vertAlign w:val="superscript"/>
                <w:lang w:val="en-US"/>
              </w:rPr>
              <w:t>3</w:t>
            </w:r>
            <w:r w:rsidRPr="003D5200">
              <w:rPr>
                <w:lang w:val="en-US"/>
              </w:rPr>
              <w:t xml:space="preserve"> </w:t>
            </w:r>
          </w:p>
          <w:p w14:paraId="1F99FF1B" w14:textId="77777777" w:rsidR="00C459CD" w:rsidRPr="003D5200" w:rsidRDefault="00C459CD" w:rsidP="00A8482B">
            <w:pPr>
              <w:pStyle w:val="TableText0"/>
              <w:jc w:val="left"/>
              <w:rPr>
                <w:lang w:val="en-US"/>
              </w:rPr>
            </w:pPr>
            <w:r w:rsidRPr="003D5200">
              <w:rPr>
                <w:lang w:val="en-US"/>
              </w:rPr>
              <w:t xml:space="preserve">Within each health state, patients are distributed across four CAJIS score categories: </w:t>
            </w:r>
          </w:p>
          <w:p w14:paraId="71DC6727" w14:textId="77777777" w:rsidR="00C459CD" w:rsidRPr="003D5200" w:rsidRDefault="00C459CD" w:rsidP="00B46A90">
            <w:pPr>
              <w:pStyle w:val="TableText0"/>
              <w:numPr>
                <w:ilvl w:val="0"/>
                <w:numId w:val="10"/>
              </w:numPr>
              <w:jc w:val="left"/>
              <w:rPr>
                <w:lang w:val="en-US"/>
              </w:rPr>
            </w:pPr>
            <w:r w:rsidRPr="003D5200">
              <w:rPr>
                <w:lang w:val="en-US"/>
              </w:rPr>
              <w:t>CAJIS 1 (0-8)</w:t>
            </w:r>
          </w:p>
          <w:p w14:paraId="2F6E33C9" w14:textId="77777777" w:rsidR="00C459CD" w:rsidRPr="003D5200" w:rsidRDefault="00C459CD" w:rsidP="00B46A90">
            <w:pPr>
              <w:pStyle w:val="TableText0"/>
              <w:numPr>
                <w:ilvl w:val="0"/>
                <w:numId w:val="10"/>
              </w:numPr>
              <w:jc w:val="left"/>
              <w:rPr>
                <w:lang w:val="en-US"/>
              </w:rPr>
            </w:pPr>
            <w:r w:rsidRPr="003D5200">
              <w:rPr>
                <w:lang w:val="en-US"/>
              </w:rPr>
              <w:t>CAJIS 2 (9-15)</w:t>
            </w:r>
          </w:p>
          <w:p w14:paraId="31C58029" w14:textId="77777777" w:rsidR="00C459CD" w:rsidRDefault="00C459CD" w:rsidP="00B46A90">
            <w:pPr>
              <w:pStyle w:val="TableText0"/>
              <w:numPr>
                <w:ilvl w:val="0"/>
                <w:numId w:val="10"/>
              </w:numPr>
              <w:jc w:val="left"/>
              <w:rPr>
                <w:lang w:val="en-US"/>
              </w:rPr>
            </w:pPr>
            <w:r w:rsidRPr="003D5200">
              <w:rPr>
                <w:lang w:val="en-US"/>
              </w:rPr>
              <w:t>CAJIS 3 (16-24)</w:t>
            </w:r>
          </w:p>
          <w:p w14:paraId="00D26C15" w14:textId="77777777" w:rsidR="00C459CD" w:rsidRPr="003D5200" w:rsidRDefault="00C459CD" w:rsidP="00B46A90">
            <w:pPr>
              <w:pStyle w:val="TableText0"/>
              <w:numPr>
                <w:ilvl w:val="0"/>
                <w:numId w:val="10"/>
              </w:numPr>
              <w:jc w:val="left"/>
              <w:rPr>
                <w:lang w:val="en-US"/>
              </w:rPr>
            </w:pPr>
            <w:r w:rsidRPr="003D5200">
              <w:t>CAJIS 4 (25+)</w:t>
            </w:r>
          </w:p>
        </w:tc>
      </w:tr>
      <w:tr w:rsidR="00C459CD" w:rsidRPr="00BE5A28" w14:paraId="61F32B7D" w14:textId="77777777" w:rsidTr="00AC00CD">
        <w:tc>
          <w:tcPr>
            <w:tcW w:w="784" w:type="pct"/>
            <w:shd w:val="clear" w:color="auto" w:fill="auto"/>
            <w:vAlign w:val="center"/>
          </w:tcPr>
          <w:p w14:paraId="5A71DBB5" w14:textId="77777777" w:rsidR="00C459CD" w:rsidRPr="00BE5A28" w:rsidRDefault="00C459CD" w:rsidP="00A8482B">
            <w:pPr>
              <w:pStyle w:val="TableText0"/>
              <w:jc w:val="left"/>
            </w:pPr>
            <w:r w:rsidRPr="00BE5A28">
              <w:t>Cycle length</w:t>
            </w:r>
          </w:p>
        </w:tc>
        <w:tc>
          <w:tcPr>
            <w:tcW w:w="4216" w:type="pct"/>
            <w:shd w:val="clear" w:color="auto" w:fill="auto"/>
            <w:vAlign w:val="center"/>
          </w:tcPr>
          <w:p w14:paraId="5D069E49" w14:textId="77777777" w:rsidR="00C459CD" w:rsidRPr="00BE5A28" w:rsidRDefault="00C459CD" w:rsidP="00A8482B">
            <w:pPr>
              <w:pStyle w:val="TableText0"/>
              <w:jc w:val="left"/>
            </w:pPr>
            <w:r>
              <w:t>12 months</w:t>
            </w:r>
          </w:p>
        </w:tc>
      </w:tr>
      <w:tr w:rsidR="00C459CD" w:rsidRPr="00BE5A28" w14:paraId="7D2F756C" w14:textId="77777777" w:rsidTr="00AC00CD">
        <w:tc>
          <w:tcPr>
            <w:tcW w:w="784" w:type="pct"/>
            <w:shd w:val="clear" w:color="auto" w:fill="auto"/>
            <w:vAlign w:val="center"/>
          </w:tcPr>
          <w:p w14:paraId="48D83380" w14:textId="77777777" w:rsidR="00C459CD" w:rsidRPr="00BE5A28" w:rsidRDefault="00C459CD" w:rsidP="00A8482B">
            <w:pPr>
              <w:pStyle w:val="TableText0"/>
              <w:jc w:val="left"/>
            </w:pPr>
            <w:r w:rsidRPr="00BE5A28">
              <w:t>Transition probabilities or</w:t>
            </w:r>
          </w:p>
          <w:p w14:paraId="293C8E38" w14:textId="77777777" w:rsidR="00C459CD" w:rsidRPr="00BE5A28" w:rsidRDefault="00C459CD" w:rsidP="00A8482B">
            <w:pPr>
              <w:pStyle w:val="TableText0"/>
              <w:jc w:val="left"/>
            </w:pPr>
            <w:r w:rsidRPr="00BE5A28">
              <w:t>Allocation to health states (if partitioned survival model)</w:t>
            </w:r>
          </w:p>
        </w:tc>
        <w:tc>
          <w:tcPr>
            <w:tcW w:w="4216" w:type="pct"/>
            <w:shd w:val="clear" w:color="auto" w:fill="auto"/>
            <w:vAlign w:val="center"/>
          </w:tcPr>
          <w:p w14:paraId="1328B038" w14:textId="1F5EC45C" w:rsidR="00C459CD" w:rsidRDefault="00C459CD" w:rsidP="00A8482B">
            <w:pPr>
              <w:pStyle w:val="TableText0"/>
              <w:jc w:val="left"/>
            </w:pPr>
            <w:r>
              <w:t>Health state transitions between HO volume categories are based on the annualized change in new HO volume for patients aged &lt;25 years and ≥25 years as observed in NHS.</w:t>
            </w:r>
          </w:p>
          <w:p w14:paraId="1AFD1ED3" w14:textId="77777777" w:rsidR="00C459CD" w:rsidRDefault="00C459CD" w:rsidP="00A8482B">
            <w:pPr>
              <w:pStyle w:val="TableText0"/>
              <w:jc w:val="left"/>
            </w:pPr>
            <w:r>
              <w:t xml:space="preserve"> </w:t>
            </w:r>
          </w:p>
          <w:p w14:paraId="7B944D41" w14:textId="77777777" w:rsidR="00C459CD" w:rsidRDefault="00C459CD" w:rsidP="00A8482B">
            <w:pPr>
              <w:pStyle w:val="TableText0"/>
              <w:jc w:val="left"/>
            </w:pPr>
            <w:r>
              <w:t>The treatment effect of PVO on annualised new HO volume as observed in MOVE is applied for all patients in the model who receive treatment with PVO.</w:t>
            </w:r>
          </w:p>
          <w:p w14:paraId="0364B732" w14:textId="77777777" w:rsidR="00C459CD" w:rsidRDefault="00C459CD" w:rsidP="00A8482B">
            <w:pPr>
              <w:pStyle w:val="TableText0"/>
              <w:jc w:val="left"/>
            </w:pPr>
          </w:p>
          <w:p w14:paraId="49D4A0F3" w14:textId="77777777" w:rsidR="00C459CD" w:rsidRPr="00BE5A28" w:rsidRDefault="00C459CD" w:rsidP="00A8482B">
            <w:pPr>
              <w:pStyle w:val="TableText0"/>
              <w:jc w:val="left"/>
            </w:pPr>
            <w:r w:rsidRPr="003D5200">
              <w:t>Mortality is informed by age and HO volume specific SMRs. The SMRs are then used to adjust the corresponding age specific Australian general population to derive FOP specific mortality for PVO treated and untreated patients.</w:t>
            </w:r>
          </w:p>
        </w:tc>
      </w:tr>
      <w:tr w:rsidR="00C459CD" w:rsidRPr="00BE5A28" w14:paraId="34EADEE6" w14:textId="77777777" w:rsidTr="00AC00CD">
        <w:tc>
          <w:tcPr>
            <w:tcW w:w="784" w:type="pct"/>
            <w:shd w:val="clear" w:color="auto" w:fill="auto"/>
            <w:vAlign w:val="center"/>
          </w:tcPr>
          <w:p w14:paraId="20B8A6B3" w14:textId="77777777" w:rsidR="00C459CD" w:rsidRPr="00BE5A28" w:rsidRDefault="00C459CD" w:rsidP="00A8482B">
            <w:pPr>
              <w:pStyle w:val="TableText0"/>
              <w:jc w:val="left"/>
            </w:pPr>
            <w:r w:rsidRPr="00BE5A28">
              <w:t>Health related quality of life</w:t>
            </w:r>
          </w:p>
        </w:tc>
        <w:tc>
          <w:tcPr>
            <w:tcW w:w="4216" w:type="pct"/>
            <w:shd w:val="clear" w:color="auto" w:fill="auto"/>
            <w:vAlign w:val="center"/>
          </w:tcPr>
          <w:p w14:paraId="66DFDB3F" w14:textId="77777777" w:rsidR="00C459CD" w:rsidRPr="002D2A28" w:rsidRDefault="00C459CD" w:rsidP="00A8482B">
            <w:pPr>
              <w:pStyle w:val="TableText0"/>
              <w:jc w:val="left"/>
              <w:rPr>
                <w:i/>
                <w:iCs/>
              </w:rPr>
            </w:pPr>
            <w:r w:rsidRPr="003D5200">
              <w:t>Derived from the International BOI survey and informed by patient CAJIS score</w:t>
            </w:r>
            <w:r>
              <w:t xml:space="preserve">. The submission included caregiver utilities in the base case. </w:t>
            </w:r>
            <w:r w:rsidRPr="00E032D4">
              <w:t>This was not appropriate.</w:t>
            </w:r>
            <w:r>
              <w:rPr>
                <w:i/>
                <w:iCs/>
              </w:rPr>
              <w:t xml:space="preserve"> </w:t>
            </w:r>
          </w:p>
        </w:tc>
      </w:tr>
    </w:tbl>
    <w:p w14:paraId="767C0456" w14:textId="77777777" w:rsidR="00C459CD" w:rsidRDefault="00C459CD" w:rsidP="00C459CD">
      <w:pPr>
        <w:pStyle w:val="FooterTableFigure"/>
      </w:pPr>
      <w:r w:rsidRPr="00BE5A28">
        <w:t xml:space="preserve">Source: </w:t>
      </w:r>
      <w:r>
        <w:t>Table 3.1-1, pp149-150 of the submission.</w:t>
      </w:r>
    </w:p>
    <w:p w14:paraId="14DA5E9B" w14:textId="3A27FDE2" w:rsidR="005957F1" w:rsidRDefault="00C459CD" w:rsidP="00F6127F">
      <w:pPr>
        <w:pStyle w:val="FooterTableFigure"/>
      </w:pPr>
      <w:r w:rsidRPr="003D5200">
        <w:t>BOI; burden of illness</w:t>
      </w:r>
      <w:r>
        <w:t>;</w:t>
      </w:r>
      <w:r w:rsidRPr="003D5200">
        <w:t xml:space="preserve"> CAJIS: Cumulative Analogue Joint Involvement Scale, HO: heterotropic ossification; PVO; palovarotene, </w:t>
      </w:r>
      <w:r>
        <w:t>SoC = standard of care</w:t>
      </w:r>
      <w:r w:rsidR="0042028A">
        <w:t>; SMR = standardised mortality rate</w:t>
      </w:r>
    </w:p>
    <w:p w14:paraId="78A34D43" w14:textId="1A350039" w:rsidR="005957F1" w:rsidRPr="00F6127F" w:rsidRDefault="005957F1" w:rsidP="005957F1">
      <w:pPr>
        <w:pStyle w:val="5-SubsectionSubheading"/>
      </w:pPr>
      <w:r>
        <w:t>HO and survival</w:t>
      </w:r>
    </w:p>
    <w:p w14:paraId="23E6D184" w14:textId="77777777" w:rsidR="009C5FBA" w:rsidRDefault="009C5FBA" w:rsidP="009C5FBA">
      <w:pPr>
        <w:pStyle w:val="3-BodyText"/>
      </w:pPr>
      <w:r>
        <w:t xml:space="preserve">A </w:t>
      </w:r>
      <w:r w:rsidRPr="003D5200">
        <w:t xml:space="preserve">Markov cohort model with six HO volume categories and one absorbing health state ‘death’ </w:t>
      </w:r>
      <w:r>
        <w:t>wa</w:t>
      </w:r>
      <w:r w:rsidRPr="003D5200">
        <w:t xml:space="preserve">s used to evaluate the cost-effectiveness of </w:t>
      </w:r>
      <w:r>
        <w:t>palovarotene</w:t>
      </w:r>
      <w:r w:rsidRPr="003D5200">
        <w:t xml:space="preserve"> versus </w:t>
      </w:r>
      <w:proofErr w:type="spellStart"/>
      <w:r w:rsidRPr="003D5200">
        <w:t>SoC</w:t>
      </w:r>
      <w:r>
        <w:t>.</w:t>
      </w:r>
      <w:proofErr w:type="spellEnd"/>
      <w:r>
        <w:t xml:space="preserve"> P</w:t>
      </w:r>
      <w:r w:rsidRPr="003D5200">
        <w:t xml:space="preserve">atients enter the model and are distributed between the </w:t>
      </w:r>
      <w:r>
        <w:t xml:space="preserve">different </w:t>
      </w:r>
      <w:r w:rsidRPr="003D5200">
        <w:t xml:space="preserve">HO heath states based on their baseline HO volume measurement. In each subsequent model cycle, patients may remain in their current health state, progress to the next highest HO volume health state or die. </w:t>
      </w:r>
      <w:r>
        <w:t>Patients</w:t>
      </w:r>
      <w:r w:rsidRPr="003D5200">
        <w:t xml:space="preserve"> </w:t>
      </w:r>
      <w:r>
        <w:t>do not</w:t>
      </w:r>
      <w:r w:rsidRPr="003D5200">
        <w:t xml:space="preserve"> transition back to lower HO volume health states</w:t>
      </w:r>
      <w:r>
        <w:t>.</w:t>
      </w:r>
    </w:p>
    <w:p w14:paraId="4653381E" w14:textId="5CABA45A" w:rsidR="009C5FBA" w:rsidRPr="00BF7D88" w:rsidRDefault="009C5FBA" w:rsidP="009C5FBA">
      <w:pPr>
        <w:pStyle w:val="3-BodyText"/>
      </w:pPr>
      <w:bookmarkStart w:id="47" w:name="_Ref180147656"/>
      <w:r>
        <w:t>The submission argued that t</w:t>
      </w:r>
      <w:r w:rsidRPr="003D5200">
        <w:t xml:space="preserve">o model the impact of </w:t>
      </w:r>
      <w:r>
        <w:t>palovarotene</w:t>
      </w:r>
      <w:r w:rsidRPr="003D5200">
        <w:t xml:space="preserve"> on FOP it is necessary to employ </w:t>
      </w:r>
      <w:r>
        <w:t>a lifetime horizon</w:t>
      </w:r>
      <w:r w:rsidRPr="003D5200">
        <w:t xml:space="preserve">. </w:t>
      </w:r>
      <w:r>
        <w:t>The submission noted that while</w:t>
      </w:r>
      <w:r w:rsidRPr="003D5200">
        <w:t xml:space="preserve"> patients have a significantly reduced life expectancy when compared to the general population, published data shows that patients with FOP have a median life expectancy of 56</w:t>
      </w:r>
      <w:r w:rsidR="00F939C6">
        <w:t> </w:t>
      </w:r>
      <w:r w:rsidRPr="003D5200">
        <w:t>years (</w:t>
      </w:r>
      <w:proofErr w:type="spellStart"/>
      <w:r w:rsidRPr="003D5200">
        <w:t>Pignolo</w:t>
      </w:r>
      <w:proofErr w:type="spellEnd"/>
      <w:r w:rsidRPr="003D5200">
        <w:t xml:space="preserve"> 2019</w:t>
      </w:r>
      <w:r w:rsidRPr="00BF7D88">
        <w:t xml:space="preserve">). </w:t>
      </w:r>
      <w:r>
        <w:t>The submission considered that w</w:t>
      </w:r>
      <w:r w:rsidRPr="003D5200">
        <w:t xml:space="preserve">ith the average starting age </w:t>
      </w:r>
      <w:r w:rsidR="00F13124">
        <w:t>of 19.9</w:t>
      </w:r>
      <w:r w:rsidR="00F466D9">
        <w:t> </w:t>
      </w:r>
      <w:r w:rsidR="00F13124">
        <w:t xml:space="preserve">years </w:t>
      </w:r>
      <w:r w:rsidRPr="003D5200">
        <w:t>for patients in the model corresponding to that reported in MOVE (</w:t>
      </w:r>
      <w:r w:rsidR="00F13124">
        <w:t xml:space="preserve">noting, this was actually </w:t>
      </w:r>
      <w:r w:rsidR="0044060A">
        <w:t>17.4</w:t>
      </w:r>
      <w:r w:rsidR="00F13124">
        <w:t xml:space="preserve"> years</w:t>
      </w:r>
      <w:r w:rsidR="0044060A">
        <w:t xml:space="preserve"> in the PBS population</w:t>
      </w:r>
      <w:r w:rsidR="00F13124">
        <w:t xml:space="preserve"> subgroup</w:t>
      </w:r>
      <w:r w:rsidRPr="003D5200">
        <w:t xml:space="preserve">) the lifetime time horizon </w:t>
      </w:r>
      <w:r w:rsidRPr="003D5200">
        <w:lastRenderedPageBreak/>
        <w:t xml:space="preserve">corresponds to 80 years at which time nearly all patients </w:t>
      </w:r>
      <w:r w:rsidR="001B128E">
        <w:t xml:space="preserve">(~98% in both treatment arms) </w:t>
      </w:r>
      <w:r w:rsidRPr="003D5200">
        <w:t>have died</w:t>
      </w:r>
      <w:r w:rsidRPr="00BF7D88">
        <w:t>.</w:t>
      </w:r>
      <w:r w:rsidR="00277139" w:rsidRPr="00BF7D88">
        <w:t xml:space="preserve"> It was unlikely that </w:t>
      </w:r>
      <w:r w:rsidR="001B128E">
        <w:t xml:space="preserve">any </w:t>
      </w:r>
      <w:r w:rsidR="00277139" w:rsidRPr="00BF7D88">
        <w:t>FOP pat</w:t>
      </w:r>
      <w:r w:rsidR="001B128E">
        <w:t>i</w:t>
      </w:r>
      <w:r w:rsidR="00277139" w:rsidRPr="00BF7D88">
        <w:t>ents would live to 100 years of age</w:t>
      </w:r>
      <w:r w:rsidR="00094D9A" w:rsidRPr="00BF7D88">
        <w:t>.</w:t>
      </w:r>
      <w:bookmarkEnd w:id="47"/>
      <w:r w:rsidR="0044060A" w:rsidRPr="0044060A">
        <w:t xml:space="preserve"> </w:t>
      </w:r>
    </w:p>
    <w:p w14:paraId="2EDDC525" w14:textId="7245C6C0" w:rsidR="00A541D7" w:rsidRPr="00BF7D88" w:rsidRDefault="00A541D7" w:rsidP="00A541D7">
      <w:pPr>
        <w:pStyle w:val="3-BodyText"/>
      </w:pPr>
      <w:r w:rsidRPr="003D5200">
        <w:t xml:space="preserve">To inform the transition probabilities in the base case, the rate of HO progression </w:t>
      </w:r>
      <w:r>
        <w:t>was</w:t>
      </w:r>
      <w:r w:rsidRPr="003D5200">
        <w:t xml:space="preserve"> assumed to be the same regardless of the existing HO volume of the patient, as such </w:t>
      </w:r>
      <w:r w:rsidR="00B15BB5">
        <w:t xml:space="preserve">the submission considered that </w:t>
      </w:r>
      <w:r w:rsidRPr="003D5200">
        <w:t>HO is assumed to form at a constant rate throughout the duration of the economic model</w:t>
      </w:r>
      <w:r w:rsidR="003D463C">
        <w:t xml:space="preserve"> (dependent on patient age &lt;25 years or </w:t>
      </w:r>
      <w:r w:rsidR="003D463C" w:rsidRPr="003D5200">
        <w:t>≥25</w:t>
      </w:r>
      <w:r w:rsidR="00F939C6">
        <w:t> </w:t>
      </w:r>
      <w:r w:rsidR="003D463C" w:rsidRPr="003D5200">
        <w:t>years</w:t>
      </w:r>
      <w:r w:rsidR="003D463C">
        <w:t>)</w:t>
      </w:r>
      <w:r w:rsidRPr="003D5200">
        <w:t xml:space="preserve">. </w:t>
      </w:r>
      <w:r w:rsidR="00FA564D">
        <w:t>No justification was provided to support this assumption</w:t>
      </w:r>
      <w:r w:rsidR="003D463C">
        <w:t xml:space="preserve">. </w:t>
      </w:r>
    </w:p>
    <w:p w14:paraId="21DAF472" w14:textId="41436D4A" w:rsidR="00A541D7" w:rsidRPr="00BF7D88" w:rsidRDefault="00A541D7" w:rsidP="007367D0">
      <w:pPr>
        <w:pStyle w:val="3-BodyText"/>
        <w:ind w:left="709"/>
      </w:pPr>
      <w:r w:rsidRPr="003D5200">
        <w:t>To estimate the age and treatment dependent rates of HO progression, the ratio of the raw annual mean</w:t>
      </w:r>
      <w:r>
        <w:t xml:space="preserve"> new</w:t>
      </w:r>
      <w:r w:rsidRPr="003D5200">
        <w:t xml:space="preserve"> HO volume was estimated from a</w:t>
      </w:r>
      <w:r>
        <w:t xml:space="preserve"> combined </w:t>
      </w:r>
      <w:r w:rsidRPr="003D5200">
        <w:t xml:space="preserve">analysis of MOVE and NHS </w:t>
      </w:r>
      <w:r>
        <w:t xml:space="preserve">individual patient data </w:t>
      </w:r>
      <w:r w:rsidRPr="003D5200">
        <w:t xml:space="preserve">for patients aged &lt;25 years and ≥25 years. </w:t>
      </w:r>
      <w:r w:rsidR="00CF675C">
        <w:t xml:space="preserve">The PBAC noted that calculation of these values could not be verified during the evaluation and appeared to include errors which were not addressed in the PSCR or pre-PBAC response. </w:t>
      </w:r>
      <w:r w:rsidR="00BA376F">
        <w:t>The PBAC noted that the model assumed that p</w:t>
      </w:r>
      <w:r w:rsidR="00BA376F" w:rsidRPr="00BA376F">
        <w:t>alovarotene causes a long-term constant reduction in new HO formation for up to 80 years, although the efficacy data set was only 18 months.</w:t>
      </w:r>
    </w:p>
    <w:p w14:paraId="5B8A29F9" w14:textId="128EBB83" w:rsidR="00A541D7" w:rsidRPr="00727063" w:rsidRDefault="00A541D7" w:rsidP="00B46A90">
      <w:pPr>
        <w:pStyle w:val="ListParagraph"/>
        <w:numPr>
          <w:ilvl w:val="1"/>
          <w:numId w:val="6"/>
        </w:numPr>
        <w:ind w:left="709"/>
        <w:jc w:val="both"/>
      </w:pPr>
      <w:r w:rsidRPr="00A541D7">
        <w:rPr>
          <w:color w:val="000000" w:themeColor="text1"/>
        </w:rPr>
        <w:t>The submission argued that there is a biologically plausible relationship between HO volume and OS for patients with FOP and that it is clinically plausible that medicines such as palovarotene which slow the progressive accumulation of HO volume are likely to have an impact on OS.</w:t>
      </w:r>
      <w:r w:rsidR="004A2768">
        <w:t xml:space="preserve"> </w:t>
      </w:r>
      <w:r>
        <w:t>T</w:t>
      </w:r>
      <w:r w:rsidRPr="003D5200">
        <w:t xml:space="preserve">he approach used in the economic evaluation </w:t>
      </w:r>
      <w:r>
        <w:t>was</w:t>
      </w:r>
      <w:r w:rsidRPr="003D5200">
        <w:t xml:space="preserve"> to apply age and HO volume specific standardised mortality ratios (SMRs) to Australian general population mortality to estimate the OS for </w:t>
      </w:r>
      <w:r>
        <w:t>palovarotene</w:t>
      </w:r>
      <w:r w:rsidRPr="003D5200">
        <w:t xml:space="preserve"> treated patients and those managed with </w:t>
      </w:r>
      <w:proofErr w:type="spellStart"/>
      <w:r w:rsidRPr="003D5200">
        <w:t>SoC.</w:t>
      </w:r>
      <w:proofErr w:type="spellEnd"/>
      <w:r w:rsidRPr="003D5200">
        <w:t xml:space="preserve"> </w:t>
      </w:r>
      <w:r w:rsidR="00727063" w:rsidRPr="00BF7D88">
        <w:t xml:space="preserve">The </w:t>
      </w:r>
      <w:r w:rsidR="00727063">
        <w:t xml:space="preserve">evaluation </w:t>
      </w:r>
      <w:r w:rsidR="003229AE">
        <w:t>considered</w:t>
      </w:r>
      <w:r w:rsidR="00727063">
        <w:t xml:space="preserve"> it was uncertain whether the </w:t>
      </w:r>
      <w:r w:rsidR="00727063" w:rsidRPr="00BF7D88">
        <w:t xml:space="preserve">correlation between HO and age from the NHS to segments of a survival analysis from a different study (Kaplan 2010) will accurately inform the relationship between annualised HO and survival. It was unclear if Kaplan 2010 would supply accurate survival estimates given the 86% censoring rate. </w:t>
      </w:r>
    </w:p>
    <w:p w14:paraId="5A923E88" w14:textId="346A96DC" w:rsidR="00A541D7" w:rsidRPr="00BF7D88" w:rsidRDefault="00544FEB" w:rsidP="00A541D7">
      <w:pPr>
        <w:pStyle w:val="3-BodyText"/>
        <w:rPr>
          <w:color w:val="000000" w:themeColor="text1"/>
        </w:rPr>
      </w:pPr>
      <w:r>
        <w:t>T</w:t>
      </w:r>
      <w:r w:rsidR="00A541D7" w:rsidRPr="00BF7D88">
        <w:t>he model applied two assumed survival benefits associated with palovarotene, which may indicate double counting. The two assumptions were:</w:t>
      </w:r>
    </w:p>
    <w:p w14:paraId="1AF5E22D" w14:textId="565E6B6A" w:rsidR="00A541D7" w:rsidRPr="00BF7D88" w:rsidRDefault="00A541D7" w:rsidP="00B46A90">
      <w:pPr>
        <w:pStyle w:val="ListParagraph"/>
        <w:numPr>
          <w:ilvl w:val="0"/>
          <w:numId w:val="11"/>
        </w:numPr>
        <w:ind w:left="1134" w:hanging="425"/>
        <w:jc w:val="both"/>
      </w:pPr>
      <w:r w:rsidRPr="00BF7D88">
        <w:t>That patients with higher HO volume categories will have Australian population mortality equal to older patients; and</w:t>
      </w:r>
    </w:p>
    <w:p w14:paraId="516A1E0B" w14:textId="0E4C99D1" w:rsidR="00A541D7" w:rsidRPr="00BF7D88" w:rsidRDefault="00A541D7" w:rsidP="00B46A90">
      <w:pPr>
        <w:pStyle w:val="ListParagraph"/>
        <w:numPr>
          <w:ilvl w:val="0"/>
          <w:numId w:val="11"/>
        </w:numPr>
        <w:ind w:left="1134" w:hanging="425"/>
        <w:jc w:val="both"/>
      </w:pPr>
      <w:r w:rsidRPr="00BF7D88">
        <w:t xml:space="preserve">An increased SMR applied </w:t>
      </w:r>
      <w:r w:rsidR="00DB18F6" w:rsidRPr="00BF7D88">
        <w:t xml:space="preserve">to </w:t>
      </w:r>
      <w:r w:rsidRPr="00BF7D88">
        <w:t xml:space="preserve">the calculated HO health state (which was informed by the corresponding age category mortality). </w:t>
      </w:r>
    </w:p>
    <w:p w14:paraId="59F50A93" w14:textId="6C01B2A7" w:rsidR="005957F1" w:rsidRDefault="005957F1" w:rsidP="00727063">
      <w:pPr>
        <w:pStyle w:val="3-BodyText"/>
      </w:pPr>
      <w:r>
        <w:t>The PBAC noted that the modelled survival for both treatment arms appeared implausible compared with the data from Kaplan et al (2010), as shown in</w:t>
      </w:r>
      <w:r w:rsidR="00110450">
        <w:t xml:space="preserve"> </w:t>
      </w:r>
      <w:r w:rsidR="00110450">
        <w:fldChar w:fldCharType="begin" w:fldLock="1"/>
      </w:r>
      <w:r w:rsidR="00110450">
        <w:instrText xml:space="preserve"> REF _Ref183182646 \h </w:instrText>
      </w:r>
      <w:r w:rsidR="00110450">
        <w:fldChar w:fldCharType="separate"/>
      </w:r>
      <w:r w:rsidR="00110450">
        <w:t xml:space="preserve">Figure </w:t>
      </w:r>
      <w:r w:rsidR="00110450">
        <w:rPr>
          <w:noProof/>
        </w:rPr>
        <w:t>2</w:t>
      </w:r>
      <w:r w:rsidR="00110450">
        <w:fldChar w:fldCharType="end"/>
      </w:r>
      <w:r>
        <w:t xml:space="preserve">. </w:t>
      </w:r>
    </w:p>
    <w:p w14:paraId="09B61575" w14:textId="342489E2" w:rsidR="005957F1" w:rsidRDefault="005957F1" w:rsidP="005957F1">
      <w:pPr>
        <w:pStyle w:val="TableFigureHeading"/>
      </w:pPr>
      <w:bookmarkStart w:id="48" w:name="_Ref183182646"/>
      <w:r>
        <w:lastRenderedPageBreak/>
        <w:t xml:space="preserve">Figure </w:t>
      </w:r>
      <w:fldSimple w:instr=" SEQ Figure \* MERGEFORMAT " w:fldLock="1">
        <w:r w:rsidR="0043347F">
          <w:rPr>
            <w:noProof/>
          </w:rPr>
          <w:t>2</w:t>
        </w:r>
      </w:fldSimple>
      <w:bookmarkEnd w:id="48"/>
      <w:r>
        <w:t xml:space="preserve">: </w:t>
      </w:r>
      <w:r w:rsidRPr="0033425C">
        <w:t xml:space="preserve">Kaplan-Meier for modelled overall survival of </w:t>
      </w:r>
      <w:r>
        <w:t>palovarotene</w:t>
      </w:r>
      <w:r w:rsidRPr="0033425C">
        <w:t xml:space="preserve"> treated and untreated patients compared to the Australian general population and Kaplan 2010 </w:t>
      </w:r>
    </w:p>
    <w:p w14:paraId="26533DCE" w14:textId="5CA17D69" w:rsidR="005957F1" w:rsidRDefault="005957F1" w:rsidP="005957F1">
      <w:pPr>
        <w:pStyle w:val="TableFigureHeading"/>
      </w:pPr>
      <w:r>
        <w:rPr>
          <w:noProof/>
        </w:rPr>
        <w:drawing>
          <wp:inline distT="0" distB="0" distL="0" distR="0" wp14:anchorId="3A917487" wp14:editId="72138682">
            <wp:extent cx="5346700" cy="3187921"/>
            <wp:effectExtent l="0" t="0" r="6350" b="0"/>
            <wp:docPr id="2127019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346700" cy="3187921"/>
                    </a:xfrm>
                    <a:prstGeom prst="rect">
                      <a:avLst/>
                    </a:prstGeom>
                    <a:noFill/>
                    <a:ln>
                      <a:noFill/>
                    </a:ln>
                    <a:extLst>
                      <a:ext uri="{53640926-AAD7-44D8-BBD7-CCE9431645EC}">
                        <a14:shadowObscured xmlns:a14="http://schemas.microsoft.com/office/drawing/2010/main"/>
                      </a:ext>
                    </a:extLst>
                  </pic:spPr>
                </pic:pic>
              </a:graphicData>
            </a:graphic>
          </wp:inline>
        </w:drawing>
      </w:r>
    </w:p>
    <w:p w14:paraId="1AC26B4C" w14:textId="77777777" w:rsidR="005957F1" w:rsidRPr="0033425C" w:rsidRDefault="005957F1" w:rsidP="007913E5">
      <w:pPr>
        <w:pStyle w:val="TableFigureFooter"/>
      </w:pPr>
      <w:r>
        <w:t xml:space="preserve">Source: Figure 3.7-1, p186 of the submission. </w:t>
      </w:r>
    </w:p>
    <w:p w14:paraId="4B07A22F" w14:textId="1CB4B048" w:rsidR="005957F1" w:rsidRPr="005957F1" w:rsidRDefault="00727063" w:rsidP="003229AE">
      <w:pPr>
        <w:pStyle w:val="3-BodyText"/>
        <w:rPr>
          <w:rFonts w:eastAsia="Times New Roman" w:cs="Arial"/>
          <w:szCs w:val="24"/>
        </w:rPr>
      </w:pPr>
      <w:r w:rsidRPr="00BF7D88">
        <w:t>Overall, the submission’s approach to modelling HO health states and survival is based on the complex and poorly understood connection between new HO and overall survival</w:t>
      </w:r>
      <w:r w:rsidR="00544FEB" w:rsidRPr="00E21EB5">
        <w:t>.</w:t>
      </w:r>
      <w:r w:rsidR="00544FEB">
        <w:t xml:space="preserve"> </w:t>
      </w:r>
    </w:p>
    <w:p w14:paraId="44E1F835" w14:textId="77777777" w:rsidR="00836210" w:rsidRPr="00E21EB5" w:rsidRDefault="00836210" w:rsidP="00836210">
      <w:pPr>
        <w:pStyle w:val="5-SubsectionSubheading"/>
      </w:pPr>
      <w:r>
        <w:t>Quality of life</w:t>
      </w:r>
    </w:p>
    <w:p w14:paraId="2BFBDB9A" w14:textId="61AFB773" w:rsidR="00836210" w:rsidRPr="00D14D72" w:rsidRDefault="00836210" w:rsidP="00836210">
      <w:pPr>
        <w:pStyle w:val="3-BodyText"/>
        <w:rPr>
          <w:color w:val="000000" w:themeColor="text1"/>
        </w:rPr>
      </w:pPr>
      <w:r>
        <w:t>P</w:t>
      </w:r>
      <w:r w:rsidRPr="00355FF8">
        <w:t xml:space="preserve">atients in each of the six HO volume health states </w:t>
      </w:r>
      <w:r>
        <w:t>we</w:t>
      </w:r>
      <w:r w:rsidRPr="00355FF8">
        <w:t>re distributed across four CAJIS score categories based on</w:t>
      </w:r>
      <w:r>
        <w:t xml:space="preserve"> a</w:t>
      </w:r>
      <w:r w:rsidRPr="00355FF8">
        <w:t xml:space="preserve"> visual fit exercise</w:t>
      </w:r>
      <w:r>
        <w:t xml:space="preserve">, with CAJIS scores mapped to utility values based on a published </w:t>
      </w:r>
      <w:r w:rsidR="005C67F8">
        <w:t xml:space="preserve">burden of illness (BOI) </w:t>
      </w:r>
      <w:r>
        <w:t xml:space="preserve">study </w:t>
      </w:r>
      <w:r w:rsidR="005C67F8">
        <w:t xml:space="preserve">(Al </w:t>
      </w:r>
      <w:proofErr w:type="spellStart"/>
      <w:r w:rsidR="005C67F8">
        <w:t>Mukaddam</w:t>
      </w:r>
      <w:proofErr w:type="spellEnd"/>
      <w:r w:rsidR="005C67F8">
        <w:t xml:space="preserve"> 2022) </w:t>
      </w:r>
      <w:r>
        <w:t xml:space="preserve">for both patients and carers. </w:t>
      </w:r>
      <w:r w:rsidRPr="00BF7D88">
        <w:t xml:space="preserve">There were substantial differences between the utilities estimated using the PROMIS scores in MOVE compared to the values used in the base case; for example, the utility in CAJIS 4 (25+) based on the BOI survey was 0.05 compared to 0.61 when based on MOVE. </w:t>
      </w:r>
      <w:r w:rsidRPr="00E21EB5">
        <w:t xml:space="preserve">The </w:t>
      </w:r>
      <w:r>
        <w:t>ESC</w:t>
      </w:r>
      <w:r w:rsidRPr="00E21EB5">
        <w:t xml:space="preserve"> </w:t>
      </w:r>
      <w:r w:rsidR="00465938">
        <w:t xml:space="preserve">considered </w:t>
      </w:r>
      <w:r w:rsidRPr="00E21EB5">
        <w:t>that mapping of utility values based on the proposed relationship between HO volume and CAJIS/PRMA score was another key unsupported assumption in the economic model.</w:t>
      </w:r>
      <w:r w:rsidRPr="007367D0">
        <w:rPr>
          <w:i/>
          <w:iCs/>
        </w:rPr>
        <w:t xml:space="preserve"> </w:t>
      </w:r>
    </w:p>
    <w:p w14:paraId="78246E52" w14:textId="77777777" w:rsidR="00836210" w:rsidRPr="00BF7D88" w:rsidRDefault="00836210" w:rsidP="00836210">
      <w:pPr>
        <w:pStyle w:val="3-BodyText"/>
        <w:rPr>
          <w:color w:val="000000" w:themeColor="text1"/>
        </w:rPr>
      </w:pPr>
      <w:r w:rsidRPr="00BF7D88">
        <w:t xml:space="preserve">While quality of life impacts on care givers is likely, the PBAC Guidelines (v5.0, p65) state that these should be considered as a supplementary analysis only. Consequently, inclusion of carer utility in the base case was inappropriate. Base case results presented </w:t>
      </w:r>
      <w:r>
        <w:t>herein</w:t>
      </w:r>
      <w:r w:rsidRPr="00BF7D88">
        <w:t xml:space="preserve"> refer to the results with caregiver utilities removed.</w:t>
      </w:r>
    </w:p>
    <w:p w14:paraId="77F1885E" w14:textId="0841DE10" w:rsidR="005957F1" w:rsidRPr="005957F1" w:rsidRDefault="005957F1" w:rsidP="005957F1">
      <w:pPr>
        <w:pStyle w:val="5-SubsectionSubheading"/>
      </w:pPr>
      <w:r>
        <w:t>Treatment costs</w:t>
      </w:r>
    </w:p>
    <w:p w14:paraId="144308F3" w14:textId="16AEFF08" w:rsidR="00544FEB" w:rsidRPr="00BF7D88" w:rsidRDefault="00544FEB" w:rsidP="007367D0">
      <w:pPr>
        <w:pStyle w:val="3-BodyText"/>
        <w:ind w:left="709"/>
      </w:pPr>
      <w:bookmarkStart w:id="49" w:name="_Ref180393809"/>
      <w:r w:rsidRPr="00BF7D88">
        <w:t>In estimating treatment costs, the submission assumed that the modelled cohort comprised three age groups at baseline (8 years to &lt;15 years = 37% of patients; 15</w:t>
      </w:r>
      <w:r w:rsidR="00A7333B">
        <w:t> </w:t>
      </w:r>
      <w:r w:rsidRPr="00BF7D88">
        <w:t xml:space="preserve">years to &lt;25 years = 37% of patients; ≥25 years = 26% of patients), with each group </w:t>
      </w:r>
      <w:r w:rsidRPr="00BF7D88">
        <w:lastRenderedPageBreak/>
        <w:t>having different average doses of chronic and flare-up dosing, based on differences in annual number of flare-up days in between the three groups, and the application of weight</w:t>
      </w:r>
      <w:r w:rsidR="005957F1">
        <w:t>-</w:t>
      </w:r>
      <w:r w:rsidRPr="00BF7D88">
        <w:t xml:space="preserve">based dosing in the &lt;15 age group. The submission claimed these proportions were based on IPD data from MOVE, but this could not be </w:t>
      </w:r>
      <w:r>
        <w:t>verified and did not appear to reflect data from MOVE</w:t>
      </w:r>
      <w:r w:rsidRPr="00BF7D88">
        <w:t>.</w:t>
      </w:r>
      <w:r>
        <w:t xml:space="preserve"> The proportion of patients in each group changed throughout the model but </w:t>
      </w:r>
      <w:r w:rsidRPr="00BF7D88">
        <w:t>the proportions c</w:t>
      </w:r>
      <w:r>
        <w:t>ould not</w:t>
      </w:r>
      <w:r w:rsidRPr="00BF7D88">
        <w:t xml:space="preserve"> be verified </w:t>
      </w:r>
      <w:r>
        <w:t>or</w:t>
      </w:r>
      <w:r w:rsidRPr="00BF7D88">
        <w:t xml:space="preserve"> reconciled with the information from the MOVE and NHS studies. </w:t>
      </w:r>
    </w:p>
    <w:bookmarkEnd w:id="49"/>
    <w:p w14:paraId="0A51AE43" w14:textId="4206CD10" w:rsidR="00D14D72" w:rsidRPr="00BF7D88" w:rsidRDefault="000F50DD" w:rsidP="00D14D72">
      <w:pPr>
        <w:pStyle w:val="3-BodyText"/>
        <w:rPr>
          <w:iCs/>
          <w:color w:val="000000" w:themeColor="text1"/>
        </w:rPr>
      </w:pPr>
      <w:r>
        <w:rPr>
          <w:color w:val="000000" w:themeColor="text1"/>
        </w:rPr>
        <w:t>A</w:t>
      </w:r>
      <w:r w:rsidR="00D14D72" w:rsidRPr="00D14D72">
        <w:rPr>
          <w:color w:val="000000" w:themeColor="text1"/>
        </w:rPr>
        <w:t xml:space="preserve"> higher proportion of palovarotene-treated patients in MOVE experienced a flare-up event at Month 12 compared to untreated patients in the NHS (64.6% vs 54.1%). The submission claimed that the mean number of flare-ups per annum </w:t>
      </w:r>
      <w:r w:rsidR="00DE3613">
        <w:rPr>
          <w:color w:val="000000" w:themeColor="text1"/>
        </w:rPr>
        <w:t>was</w:t>
      </w:r>
      <w:r w:rsidR="00DE3613" w:rsidRPr="00D14D72">
        <w:rPr>
          <w:color w:val="000000" w:themeColor="text1"/>
        </w:rPr>
        <w:t xml:space="preserve"> </w:t>
      </w:r>
      <w:r w:rsidR="00D14D72" w:rsidRPr="00D14D72">
        <w:rPr>
          <w:color w:val="000000" w:themeColor="text1"/>
        </w:rPr>
        <w:t>1.59 in patients treated with palovarotene in MOVE. The ratio of the annual flare-up rate for palovarotene versus untreated was reported to be 1.65, suggesting a trend for an increase in the number of flare-ups experienced per year for those on palovarotene. The submission considered that this may be due to the more frequent monitoring visits in MOVE compared with the monitoring of untreated patients in NHS. It is also possible that untreated patients in the NHS may have been less motivated to report flare-ups because flare-ups would not be treated.</w:t>
      </w:r>
      <w:r w:rsidR="009148FE">
        <w:rPr>
          <w:i/>
          <w:iCs/>
          <w:color w:val="000000" w:themeColor="text1"/>
        </w:rPr>
        <w:t xml:space="preserve"> </w:t>
      </w:r>
      <w:r w:rsidR="00D14D72" w:rsidRPr="00BF7D88">
        <w:rPr>
          <w:iCs/>
          <w:color w:val="000000" w:themeColor="text1"/>
        </w:rPr>
        <w:t>T</w:t>
      </w:r>
      <w:r w:rsidR="00D14D72" w:rsidRPr="00BF7D88">
        <w:rPr>
          <w:iCs/>
        </w:rPr>
        <w:t>he</w:t>
      </w:r>
      <w:r>
        <w:rPr>
          <w:iCs/>
        </w:rPr>
        <w:t xml:space="preserve"> mean number of flare-ups per patient</w:t>
      </w:r>
      <w:r w:rsidR="00D14D72" w:rsidRPr="00BF7D88">
        <w:rPr>
          <w:iCs/>
        </w:rPr>
        <w:t xml:space="preserve"> w</w:t>
      </w:r>
      <w:r>
        <w:rPr>
          <w:iCs/>
        </w:rPr>
        <w:t>as</w:t>
      </w:r>
      <w:r w:rsidR="00D14D72" w:rsidRPr="00BF7D88">
        <w:rPr>
          <w:iCs/>
        </w:rPr>
        <w:t xml:space="preserve"> not presented in the clinical section of the submission and could not be confirmed during the evaluation</w:t>
      </w:r>
      <w:r w:rsidR="004B7196" w:rsidRPr="00BF7D88">
        <w:rPr>
          <w:iCs/>
        </w:rPr>
        <w:t>.</w:t>
      </w:r>
    </w:p>
    <w:p w14:paraId="1F11896E" w14:textId="47FB95B8" w:rsidR="00D14D72" w:rsidRPr="002C7023" w:rsidRDefault="000F50DD" w:rsidP="00D14D72">
      <w:pPr>
        <w:pStyle w:val="3-BodyText"/>
        <w:rPr>
          <w:color w:val="000000" w:themeColor="text1"/>
        </w:rPr>
      </w:pPr>
      <w:r>
        <w:t>Despite the difference in flare-up events between MOVE and the NHS, i</w:t>
      </w:r>
      <w:r w:rsidR="00D14D72" w:rsidRPr="003D5200">
        <w:t xml:space="preserve">n the base case analysis, the rate of flare-ups </w:t>
      </w:r>
      <w:r>
        <w:t>for both treatment arms was assumed to be the same as for</w:t>
      </w:r>
      <w:r w:rsidR="00D14D72" w:rsidRPr="003D5200">
        <w:t xml:space="preserve"> </w:t>
      </w:r>
      <w:r w:rsidR="00D14D72">
        <w:t>palovarotene</w:t>
      </w:r>
      <w:r w:rsidR="00D14D72" w:rsidRPr="003D5200">
        <w:t xml:space="preserve"> treated patients </w:t>
      </w:r>
      <w:r>
        <w:t>in MOVE, with the rate</w:t>
      </w:r>
      <w:r w:rsidR="00D14D72" w:rsidRPr="003D5200">
        <w:t xml:space="preserve"> differ</w:t>
      </w:r>
      <w:r>
        <w:t>ing</w:t>
      </w:r>
      <w:r w:rsidR="00D14D72" w:rsidRPr="003D5200">
        <w:t xml:space="preserve"> by age group. </w:t>
      </w:r>
    </w:p>
    <w:p w14:paraId="6FCD82FC" w14:textId="45C34632" w:rsidR="002C7023" w:rsidRPr="00136E6B" w:rsidRDefault="002C7023" w:rsidP="00FE3878">
      <w:pPr>
        <w:pStyle w:val="3-BodyText"/>
        <w:rPr>
          <w:color w:val="000000" w:themeColor="text1"/>
        </w:rPr>
      </w:pPr>
      <w:r>
        <w:t>The submission calculated palovarotene costs for</w:t>
      </w:r>
      <w:r w:rsidRPr="001005AC">
        <w:t xml:space="preserve"> a chronic treatment regimen and flare-up treatment regimen</w:t>
      </w:r>
      <w:r>
        <w:t xml:space="preserve"> for each of the three age groups used in the model</w:t>
      </w:r>
      <w:r w:rsidR="000F50DD">
        <w:t xml:space="preserve"> based on the age-specific flare-up rate</w:t>
      </w:r>
      <w:r w:rsidRPr="001005AC">
        <w:t xml:space="preserve">. </w:t>
      </w:r>
      <w:r w:rsidRPr="00BF7D88">
        <w:t>The duration of flare-up was based on the median (12 weeks, or 84 days) rather than mean (110 days) duration of flare-ups, which may underestimate the duration of flare-up treatment.</w:t>
      </w:r>
    </w:p>
    <w:p w14:paraId="6604BEB3" w14:textId="4D1D8AAE" w:rsidR="00D14D72" w:rsidRPr="00BF7D88" w:rsidRDefault="00D14D72" w:rsidP="00D14D72">
      <w:pPr>
        <w:pStyle w:val="3-BodyText"/>
        <w:rPr>
          <w:color w:val="000000" w:themeColor="text1"/>
        </w:rPr>
      </w:pPr>
      <w:r w:rsidRPr="003D5200">
        <w:t xml:space="preserve">In the first year of MOVE, 4.70% of patients receiving chronic treatment discontinued due to adverse events. This probability was applied to all patients on </w:t>
      </w:r>
      <w:r>
        <w:t>palovarotene</w:t>
      </w:r>
      <w:r w:rsidRPr="003D5200">
        <w:t xml:space="preserve"> treatment in the first cycle of the model to estimate discontinuation. In all subsequent cycles it was assumed the 2.35% of patients still on treatment at the start of the cycle will discontinue treatment. This estimate of discontinuation </w:t>
      </w:r>
      <w:r w:rsidR="00136E6B">
        <w:t>wa</w:t>
      </w:r>
      <w:r w:rsidRPr="003D5200">
        <w:t xml:space="preserve">s based on clinician feedback. </w:t>
      </w:r>
      <w:r w:rsidR="00E2773C" w:rsidRPr="00BF7D88">
        <w:t>Based on t</w:t>
      </w:r>
      <w:r w:rsidRPr="00BF7D88">
        <w:t xml:space="preserve">he discontinuation rate applied, in combination with the estimated mortality in the submission, </w:t>
      </w:r>
      <w:r w:rsidR="00E2773C" w:rsidRPr="00BF7D88">
        <w:t>the</w:t>
      </w:r>
      <w:r w:rsidRPr="00BF7D88">
        <w:t xml:space="preserve"> mean duration of treatment </w:t>
      </w:r>
      <w:r w:rsidR="00E2773C" w:rsidRPr="00BF7D88">
        <w:t xml:space="preserve">was </w:t>
      </w:r>
      <w:r w:rsidR="00EE2531" w:rsidRPr="00BF7D88">
        <w:t>estimated</w:t>
      </w:r>
      <w:r w:rsidR="00E2773C" w:rsidRPr="00BF7D88">
        <w:t xml:space="preserve"> to be</w:t>
      </w:r>
      <w:r w:rsidRPr="00BF7D88">
        <w:t xml:space="preserve"> 26.9 years. It was unclear if this was a reasonable estimate.</w:t>
      </w:r>
    </w:p>
    <w:p w14:paraId="3DE1A7DA" w14:textId="14B5817A" w:rsidR="00D14D72" w:rsidRDefault="00D14D72" w:rsidP="00B467FE">
      <w:pPr>
        <w:pStyle w:val="3-BodyText"/>
      </w:pPr>
      <w:r>
        <w:t>The submission did</w:t>
      </w:r>
      <w:r w:rsidRPr="003D5200">
        <w:t xml:space="preserve"> not consider the cost of managing adverse events due to </w:t>
      </w:r>
      <w:r>
        <w:t>palovarotene</w:t>
      </w:r>
      <w:r w:rsidRPr="003D5200">
        <w:t xml:space="preserve"> treatment in the base case analysis</w:t>
      </w:r>
      <w:r>
        <w:t>.</w:t>
      </w:r>
      <w:r w:rsidR="00F21F9F">
        <w:rPr>
          <w:i/>
          <w:iCs/>
        </w:rPr>
        <w:t xml:space="preserve"> </w:t>
      </w:r>
      <w:r w:rsidRPr="00BF7D88">
        <w:t xml:space="preserve">This was inappropriate and </w:t>
      </w:r>
      <w:r w:rsidR="00A409C9">
        <w:t xml:space="preserve">also </w:t>
      </w:r>
      <w:r w:rsidRPr="00BF7D88">
        <w:t xml:space="preserve">inconsistent with the submission’s clinical claim of inferior safety. Furthermore, although the submission did not present a clinical comparison of safety outcomes between palovarotene and SoC, the safety profile of palovarotene is associated with risks of severe events such as PPC, which would be expected to be associated with </w:t>
      </w:r>
      <w:r w:rsidRPr="00BF7D88">
        <w:lastRenderedPageBreak/>
        <w:t>high management costs and substantial clinical harm.</w:t>
      </w:r>
      <w:r w:rsidR="00CD2E50">
        <w:t xml:space="preserve"> </w:t>
      </w:r>
      <w:r w:rsidR="00CD2E50" w:rsidRPr="00E21EB5">
        <w:t>The ESC noted that the economic model did not include any costs or disutility for PPC events or impacts on growth velocity associated with palovarotene and agreed with the commentary that that this was not reasonable.</w:t>
      </w:r>
    </w:p>
    <w:p w14:paraId="33B1C348" w14:textId="5DE4BC37" w:rsidR="007367D0" w:rsidRDefault="007367D0" w:rsidP="007367D0">
      <w:pPr>
        <w:pStyle w:val="5-SubsectionSubheading"/>
      </w:pPr>
      <w:r>
        <w:rPr>
          <w:rFonts w:eastAsiaTheme="minorHAnsi" w:cstheme="minorBidi"/>
        </w:rPr>
        <w:t>Economic evaluation base case</w:t>
      </w:r>
    </w:p>
    <w:p w14:paraId="3800EBEA" w14:textId="1F851C38" w:rsidR="00D14D72" w:rsidRPr="00BF7D88" w:rsidRDefault="002E7A26" w:rsidP="00CC1246">
      <w:pPr>
        <w:pStyle w:val="3-BodyText"/>
      </w:pPr>
      <w:r>
        <w:rPr>
          <w:rFonts w:ascii="Calibri" w:eastAsia="Times New Roman" w:hAnsi="Calibri" w:cs="Arial"/>
          <w:color w:val="0066FF"/>
          <w:szCs w:val="24"/>
        </w:rPr>
        <w:fldChar w:fldCharType="begin" w:fldLock="1"/>
      </w:r>
      <w:r>
        <w:rPr>
          <w:rFonts w:ascii="Calibri" w:eastAsia="Times New Roman" w:hAnsi="Calibri" w:cs="Arial"/>
          <w:color w:val="0066FF"/>
          <w:szCs w:val="24"/>
        </w:rPr>
        <w:instrText xml:space="preserve"> REF _Ref177437491 \h </w:instrText>
      </w:r>
      <w:r>
        <w:rPr>
          <w:rFonts w:ascii="Calibri" w:eastAsia="Times New Roman" w:hAnsi="Calibri" w:cs="Arial"/>
          <w:color w:val="0066FF"/>
          <w:szCs w:val="24"/>
        </w:rPr>
      </w:r>
      <w:r>
        <w:rPr>
          <w:rFonts w:ascii="Calibri" w:eastAsia="Times New Roman" w:hAnsi="Calibri" w:cs="Arial"/>
          <w:color w:val="0066FF"/>
          <w:szCs w:val="24"/>
        </w:rPr>
        <w:fldChar w:fldCharType="separate"/>
      </w:r>
      <w:r w:rsidR="0043347F" w:rsidRPr="0098262F">
        <w:t xml:space="preserve">Table </w:t>
      </w:r>
      <w:r w:rsidR="0043347F">
        <w:rPr>
          <w:noProof/>
        </w:rPr>
        <w:t>13</w:t>
      </w:r>
      <w:r>
        <w:rPr>
          <w:rFonts w:ascii="Calibri" w:eastAsia="Times New Roman" w:hAnsi="Calibri" w:cs="Arial"/>
          <w:color w:val="0066FF"/>
          <w:szCs w:val="24"/>
        </w:rPr>
        <w:fldChar w:fldCharType="end"/>
      </w:r>
      <w:r w:rsidR="00D14D72" w:rsidRPr="00D14D72">
        <w:rPr>
          <w:rFonts w:ascii="Calibri" w:eastAsia="Times New Roman" w:hAnsi="Calibri" w:cs="Arial"/>
          <w:color w:val="0066FF"/>
          <w:szCs w:val="24"/>
        </w:rPr>
        <w:t xml:space="preserve"> </w:t>
      </w:r>
      <w:r w:rsidR="00D14D72" w:rsidRPr="00D14D72">
        <w:rPr>
          <w:color w:val="000000" w:themeColor="text1"/>
        </w:rPr>
        <w:t>presents the results of the stepped economic analysis</w:t>
      </w:r>
      <w:r w:rsidR="00D14D72" w:rsidRPr="00BF7D88">
        <w:rPr>
          <w:color w:val="000000" w:themeColor="text1"/>
        </w:rPr>
        <w:t xml:space="preserve">. </w:t>
      </w:r>
    </w:p>
    <w:p w14:paraId="192BCADE" w14:textId="76957A2A" w:rsidR="00D14D72" w:rsidRPr="00BE5A28" w:rsidRDefault="00D14D72" w:rsidP="00D14D72">
      <w:pPr>
        <w:pStyle w:val="Caption"/>
        <w:jc w:val="left"/>
        <w:rPr>
          <w:rStyle w:val="CommentReference"/>
          <w:b/>
          <w:szCs w:val="24"/>
        </w:rPr>
      </w:pPr>
      <w:bookmarkStart w:id="50" w:name="_Ref177437491"/>
      <w:r w:rsidRPr="0098262F">
        <w:t xml:space="preserve">Table </w:t>
      </w:r>
      <w:r w:rsidR="002A4328">
        <w:fldChar w:fldCharType="begin" w:fldLock="1"/>
      </w:r>
      <w:r w:rsidR="002A4328">
        <w:instrText xml:space="preserve"> SEQ Table \* ARABIC </w:instrText>
      </w:r>
      <w:r w:rsidR="002A4328">
        <w:fldChar w:fldCharType="separate"/>
      </w:r>
      <w:r w:rsidR="0043347F">
        <w:rPr>
          <w:noProof/>
        </w:rPr>
        <w:t>13</w:t>
      </w:r>
      <w:r w:rsidR="002A4328">
        <w:rPr>
          <w:noProof/>
        </w:rPr>
        <w:fldChar w:fldCharType="end"/>
      </w:r>
      <w:bookmarkEnd w:id="50"/>
      <w:r w:rsidRPr="0098262F">
        <w:t>:</w:t>
      </w:r>
      <w:r>
        <w:rPr>
          <w:rStyle w:val="CommentReference"/>
          <w:b/>
          <w:szCs w:val="24"/>
        </w:rPr>
        <w:t xml:space="preserve"> </w:t>
      </w:r>
      <w:r w:rsidRPr="00BE5A28">
        <w:rPr>
          <w:rStyle w:val="CommentReference"/>
          <w:b/>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14D72" w:rsidRPr="00BE5A28" w14:paraId="0C61C78E" w14:textId="77777777" w:rsidTr="00AC00CD">
        <w:trPr>
          <w:tblHeader/>
        </w:trPr>
        <w:tc>
          <w:tcPr>
            <w:tcW w:w="1529" w:type="pct"/>
            <w:vAlign w:val="center"/>
          </w:tcPr>
          <w:p w14:paraId="401266DD" w14:textId="77777777" w:rsidR="00D14D72" w:rsidRPr="00BE5A28" w:rsidRDefault="00D14D72" w:rsidP="00374460">
            <w:pPr>
              <w:pStyle w:val="In-tableHeading"/>
            </w:pPr>
            <w:r w:rsidRPr="00BE5A28">
              <w:t>Step and component</w:t>
            </w:r>
          </w:p>
        </w:tc>
        <w:tc>
          <w:tcPr>
            <w:tcW w:w="1359" w:type="pct"/>
            <w:vAlign w:val="center"/>
          </w:tcPr>
          <w:p w14:paraId="1D00F950" w14:textId="77777777" w:rsidR="00D14D72" w:rsidRPr="00BE5A28" w:rsidRDefault="00D14D72" w:rsidP="00374460">
            <w:pPr>
              <w:pStyle w:val="In-tableHeading"/>
            </w:pPr>
            <w:r>
              <w:t>PVO</w:t>
            </w:r>
          </w:p>
        </w:tc>
        <w:tc>
          <w:tcPr>
            <w:tcW w:w="1274" w:type="pct"/>
            <w:vAlign w:val="center"/>
          </w:tcPr>
          <w:p w14:paraId="49694169" w14:textId="77777777" w:rsidR="00D14D72" w:rsidRPr="00BE5A28" w:rsidRDefault="00D14D72" w:rsidP="00374460">
            <w:pPr>
              <w:pStyle w:val="In-tableHeading"/>
            </w:pPr>
            <w:r>
              <w:t>SoC</w:t>
            </w:r>
          </w:p>
        </w:tc>
        <w:tc>
          <w:tcPr>
            <w:tcW w:w="838" w:type="pct"/>
            <w:vAlign w:val="center"/>
          </w:tcPr>
          <w:p w14:paraId="65FF40B2" w14:textId="77777777" w:rsidR="00D14D72" w:rsidRPr="00BE5A28" w:rsidRDefault="00D14D72" w:rsidP="00374460">
            <w:pPr>
              <w:pStyle w:val="In-tableHeading"/>
            </w:pPr>
            <w:r w:rsidRPr="00BE5A28">
              <w:t>Increment</w:t>
            </w:r>
          </w:p>
        </w:tc>
      </w:tr>
      <w:tr w:rsidR="00D14D72" w:rsidRPr="00BE5A28" w14:paraId="653F6FA0" w14:textId="77777777" w:rsidTr="00AC00CD">
        <w:tc>
          <w:tcPr>
            <w:tcW w:w="5000" w:type="pct"/>
            <w:gridSpan w:val="4"/>
            <w:vAlign w:val="center"/>
          </w:tcPr>
          <w:p w14:paraId="1E3152BA" w14:textId="77777777" w:rsidR="00D14D72" w:rsidRPr="00BE5A28" w:rsidRDefault="00D14D72" w:rsidP="00407414">
            <w:pPr>
              <w:pStyle w:val="TableText0"/>
              <w:jc w:val="left"/>
            </w:pPr>
            <w:r w:rsidRPr="00BE5A28">
              <w:t xml:space="preserve">Step 1: </w:t>
            </w:r>
            <w:r>
              <w:t xml:space="preserve">24 month time horizon and medicine costs only </w:t>
            </w:r>
          </w:p>
        </w:tc>
      </w:tr>
      <w:tr w:rsidR="00D14D72" w:rsidRPr="00BE5A28" w14:paraId="0E92B9EA" w14:textId="77777777" w:rsidTr="00AC00CD">
        <w:tc>
          <w:tcPr>
            <w:tcW w:w="1529" w:type="pct"/>
            <w:vAlign w:val="center"/>
          </w:tcPr>
          <w:p w14:paraId="4DAA46F5" w14:textId="77777777" w:rsidR="00D14D72" w:rsidRPr="00BE5A28" w:rsidRDefault="00D14D72" w:rsidP="00407414">
            <w:pPr>
              <w:pStyle w:val="TableText0"/>
              <w:jc w:val="left"/>
              <w:rPr>
                <w:rFonts w:ascii="Times" w:hAnsi="Times"/>
              </w:rPr>
            </w:pPr>
            <w:r w:rsidRPr="00BE5A28">
              <w:t>Costs</w:t>
            </w:r>
          </w:p>
        </w:tc>
        <w:tc>
          <w:tcPr>
            <w:tcW w:w="1359" w:type="pct"/>
            <w:vAlign w:val="center"/>
          </w:tcPr>
          <w:p w14:paraId="18710C2F" w14:textId="2693D246" w:rsidR="00D14D72" w:rsidRPr="00BE5A28" w:rsidRDefault="00D14D72" w:rsidP="00561983">
            <w:pPr>
              <w:pStyle w:val="TableText0"/>
              <w:rPr>
                <w:rFonts w:ascii="Times" w:hAnsi="Times"/>
              </w:rPr>
            </w:pPr>
            <w:r>
              <w:t>$</w:t>
            </w:r>
            <w:r w:rsidR="00BD51C6" w:rsidRPr="00BD51C6">
              <w:rPr>
                <w:color w:val="000000"/>
                <w:shd w:val="solid" w:color="000000" w:fill="000000"/>
                <w14:textFill>
                  <w14:solidFill>
                    <w14:srgbClr w14:val="000000">
                      <w14:alpha w14:val="100000"/>
                    </w14:srgbClr>
                  </w14:solidFill>
                </w14:textFill>
              </w:rPr>
              <w:t>|</w:t>
            </w:r>
          </w:p>
        </w:tc>
        <w:tc>
          <w:tcPr>
            <w:tcW w:w="1274" w:type="pct"/>
            <w:vAlign w:val="center"/>
          </w:tcPr>
          <w:p w14:paraId="43ED1F1F" w14:textId="77777777" w:rsidR="00D14D72" w:rsidRPr="003E3142" w:rsidRDefault="00D14D72" w:rsidP="00561983">
            <w:pPr>
              <w:pStyle w:val="TableText0"/>
              <w:rPr>
                <w:rFonts w:ascii="Times" w:hAnsi="Times"/>
              </w:rPr>
            </w:pPr>
            <w:r w:rsidRPr="003E3142">
              <w:t>$230</w:t>
            </w:r>
          </w:p>
        </w:tc>
        <w:tc>
          <w:tcPr>
            <w:tcW w:w="838" w:type="pct"/>
            <w:vAlign w:val="center"/>
          </w:tcPr>
          <w:p w14:paraId="7ACFBD01" w14:textId="28A085DB" w:rsidR="00D14D72" w:rsidRPr="00BE5A28" w:rsidRDefault="00D14D72" w:rsidP="00561983">
            <w:pPr>
              <w:pStyle w:val="TableText0"/>
              <w:rPr>
                <w:rFonts w:ascii="Times" w:hAnsi="Times"/>
              </w:rPr>
            </w:pPr>
            <w:r>
              <w:t>$</w:t>
            </w:r>
            <w:r w:rsidR="00BD51C6" w:rsidRPr="00BD51C6">
              <w:rPr>
                <w:color w:val="000000"/>
                <w:shd w:val="solid" w:color="000000" w:fill="000000"/>
                <w14:textFill>
                  <w14:solidFill>
                    <w14:srgbClr w14:val="000000">
                      <w14:alpha w14:val="100000"/>
                    </w14:srgbClr>
                  </w14:solidFill>
                </w14:textFill>
              </w:rPr>
              <w:t>|</w:t>
            </w:r>
          </w:p>
        </w:tc>
      </w:tr>
      <w:tr w:rsidR="00D14D72" w:rsidRPr="00BE5A28" w14:paraId="55D11248" w14:textId="77777777" w:rsidTr="00AC00CD">
        <w:tc>
          <w:tcPr>
            <w:tcW w:w="1529" w:type="pct"/>
            <w:vAlign w:val="center"/>
          </w:tcPr>
          <w:p w14:paraId="2DF304B9" w14:textId="77777777" w:rsidR="00D14D72" w:rsidRPr="00BE5A28" w:rsidRDefault="00D14D72" w:rsidP="00407414">
            <w:pPr>
              <w:pStyle w:val="TableText0"/>
              <w:jc w:val="left"/>
              <w:rPr>
                <w:rFonts w:ascii="Times" w:hAnsi="Times"/>
              </w:rPr>
            </w:pPr>
            <w:r w:rsidRPr="00BE5A28">
              <w:t>LYG</w:t>
            </w:r>
          </w:p>
        </w:tc>
        <w:tc>
          <w:tcPr>
            <w:tcW w:w="1359" w:type="pct"/>
            <w:vAlign w:val="center"/>
          </w:tcPr>
          <w:p w14:paraId="5F090851" w14:textId="77777777" w:rsidR="00D14D72" w:rsidRPr="00BE5A28" w:rsidRDefault="00D14D72" w:rsidP="00561983">
            <w:pPr>
              <w:pStyle w:val="TableText0"/>
              <w:rPr>
                <w:rFonts w:ascii="Times" w:hAnsi="Times"/>
              </w:rPr>
            </w:pPr>
            <w:r>
              <w:t>5.64</w:t>
            </w:r>
          </w:p>
        </w:tc>
        <w:tc>
          <w:tcPr>
            <w:tcW w:w="1274" w:type="pct"/>
            <w:vAlign w:val="center"/>
          </w:tcPr>
          <w:p w14:paraId="789106D4" w14:textId="77777777" w:rsidR="00D14D72" w:rsidRPr="003E3142" w:rsidRDefault="00D14D72" w:rsidP="00561983">
            <w:pPr>
              <w:pStyle w:val="TableText0"/>
              <w:rPr>
                <w:rFonts w:ascii="Times" w:hAnsi="Times"/>
              </w:rPr>
            </w:pPr>
            <w:r w:rsidRPr="003E3142">
              <w:t>5.61</w:t>
            </w:r>
          </w:p>
        </w:tc>
        <w:tc>
          <w:tcPr>
            <w:tcW w:w="838" w:type="pct"/>
            <w:vAlign w:val="center"/>
          </w:tcPr>
          <w:p w14:paraId="6EBFF96F" w14:textId="77777777" w:rsidR="00D14D72" w:rsidRPr="00BE5A28" w:rsidRDefault="00D14D72" w:rsidP="00561983">
            <w:pPr>
              <w:pStyle w:val="TableText0"/>
            </w:pPr>
            <w:r>
              <w:t>0.03</w:t>
            </w:r>
          </w:p>
        </w:tc>
      </w:tr>
      <w:tr w:rsidR="00D14D72" w:rsidRPr="00BE5A28" w14:paraId="1D51A4F0" w14:textId="77777777" w:rsidTr="00AC00CD">
        <w:tc>
          <w:tcPr>
            <w:tcW w:w="4162" w:type="pct"/>
            <w:gridSpan w:val="3"/>
            <w:vAlign w:val="center"/>
          </w:tcPr>
          <w:p w14:paraId="50B730D8" w14:textId="7306C76D" w:rsidR="00D14D72" w:rsidRPr="003E3142" w:rsidRDefault="00D14D72" w:rsidP="00407414">
            <w:pPr>
              <w:pStyle w:val="TableText0"/>
              <w:jc w:val="left"/>
              <w:rPr>
                <w:rFonts w:ascii="Times" w:hAnsi="Times"/>
              </w:rPr>
            </w:pPr>
            <w:r w:rsidRPr="003E3142">
              <w:t>Incremental cost/extra LY gained</w:t>
            </w:r>
          </w:p>
        </w:tc>
        <w:tc>
          <w:tcPr>
            <w:tcW w:w="838" w:type="pct"/>
            <w:vAlign w:val="center"/>
          </w:tcPr>
          <w:p w14:paraId="1ED99C66" w14:textId="4CAE90AE" w:rsidR="00D14D72" w:rsidRPr="00B55D2A" w:rsidRDefault="00D14D72" w:rsidP="00561983">
            <w:pPr>
              <w:pStyle w:val="TableText0"/>
              <w:rPr>
                <w:rFonts w:ascii="Times" w:hAnsi="Times"/>
                <w:vertAlign w:val="superscript"/>
              </w:rPr>
            </w:pPr>
            <w:r>
              <w:t>$</w:t>
            </w:r>
            <w:r w:rsidR="00BD51C6" w:rsidRPr="00BD51C6">
              <w:rPr>
                <w:color w:val="000000"/>
                <w:shd w:val="solid" w:color="000000" w:fill="000000"/>
                <w14:textFill>
                  <w14:solidFill>
                    <w14:srgbClr w14:val="000000">
                      <w14:alpha w14:val="100000"/>
                    </w14:srgbClr>
                  </w14:solidFill>
                </w14:textFill>
              </w:rPr>
              <w:t>|</w:t>
            </w:r>
            <w:r w:rsidR="00B55D2A">
              <w:rPr>
                <w:vertAlign w:val="superscript"/>
              </w:rPr>
              <w:t>1</w:t>
            </w:r>
          </w:p>
        </w:tc>
      </w:tr>
      <w:tr w:rsidR="00D14D72" w:rsidRPr="00BE5A28" w14:paraId="5CA26CE7" w14:textId="77777777" w:rsidTr="00AC00CD">
        <w:tc>
          <w:tcPr>
            <w:tcW w:w="5000" w:type="pct"/>
            <w:gridSpan w:val="4"/>
            <w:vAlign w:val="center"/>
          </w:tcPr>
          <w:p w14:paraId="60314149" w14:textId="77777777" w:rsidR="00D14D72" w:rsidRPr="003E3142" w:rsidRDefault="00D14D72" w:rsidP="00374460">
            <w:pPr>
              <w:pStyle w:val="In-tableHeading"/>
            </w:pPr>
            <w:r w:rsidRPr="003E3142">
              <w:t>Step 2: time horizon extended to 80 years</w:t>
            </w:r>
          </w:p>
        </w:tc>
      </w:tr>
      <w:tr w:rsidR="00D14D72" w:rsidRPr="00BE5A28" w14:paraId="6DB48C53" w14:textId="77777777" w:rsidTr="00AC00CD">
        <w:tc>
          <w:tcPr>
            <w:tcW w:w="1529" w:type="pct"/>
            <w:vAlign w:val="center"/>
          </w:tcPr>
          <w:p w14:paraId="5E38BC86" w14:textId="77777777" w:rsidR="00D14D72" w:rsidRPr="00BE5A28" w:rsidRDefault="00D14D72" w:rsidP="00407414">
            <w:pPr>
              <w:pStyle w:val="TableText0"/>
              <w:jc w:val="left"/>
              <w:rPr>
                <w:rFonts w:ascii="Times" w:hAnsi="Times"/>
              </w:rPr>
            </w:pPr>
            <w:r w:rsidRPr="00BE5A28">
              <w:t>Costs</w:t>
            </w:r>
          </w:p>
        </w:tc>
        <w:tc>
          <w:tcPr>
            <w:tcW w:w="1359" w:type="pct"/>
            <w:vAlign w:val="center"/>
          </w:tcPr>
          <w:p w14:paraId="41A53C04" w14:textId="3741CF3A"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c>
          <w:tcPr>
            <w:tcW w:w="1274" w:type="pct"/>
            <w:vAlign w:val="center"/>
          </w:tcPr>
          <w:p w14:paraId="7AFC4F66" w14:textId="77777777" w:rsidR="00D14D72" w:rsidRPr="003E3142" w:rsidRDefault="00D14D72" w:rsidP="00561983">
            <w:pPr>
              <w:pStyle w:val="TableText0"/>
              <w:rPr>
                <w:rFonts w:ascii="Times" w:hAnsi="Times"/>
              </w:rPr>
            </w:pPr>
            <w:r w:rsidRPr="003E3142">
              <w:t>$506</w:t>
            </w:r>
          </w:p>
        </w:tc>
        <w:tc>
          <w:tcPr>
            <w:tcW w:w="838" w:type="pct"/>
            <w:vAlign w:val="center"/>
          </w:tcPr>
          <w:p w14:paraId="3C7EF61D" w14:textId="13AAE98C"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r>
      <w:tr w:rsidR="00D14D72" w:rsidRPr="00BE5A28" w14:paraId="433A00EF" w14:textId="77777777" w:rsidTr="00AC00CD">
        <w:tc>
          <w:tcPr>
            <w:tcW w:w="1529" w:type="pct"/>
            <w:vAlign w:val="center"/>
          </w:tcPr>
          <w:p w14:paraId="42784B88" w14:textId="77777777" w:rsidR="00D14D72" w:rsidRPr="00BE5A28" w:rsidRDefault="00D14D72" w:rsidP="00407414">
            <w:pPr>
              <w:pStyle w:val="TableText0"/>
              <w:jc w:val="left"/>
              <w:rPr>
                <w:rFonts w:ascii="Times" w:hAnsi="Times"/>
              </w:rPr>
            </w:pPr>
            <w:r w:rsidRPr="00BE5A28">
              <w:t>LYG</w:t>
            </w:r>
          </w:p>
        </w:tc>
        <w:tc>
          <w:tcPr>
            <w:tcW w:w="1359" w:type="pct"/>
            <w:vAlign w:val="center"/>
          </w:tcPr>
          <w:p w14:paraId="1BF67228" w14:textId="77777777" w:rsidR="00D14D72" w:rsidRPr="00BE5A28" w:rsidRDefault="00D14D72" w:rsidP="00561983">
            <w:pPr>
              <w:pStyle w:val="TableText0"/>
              <w:rPr>
                <w:rFonts w:ascii="Times" w:hAnsi="Times"/>
              </w:rPr>
            </w:pPr>
            <w:r w:rsidRPr="007E2988">
              <w:t>16.20</w:t>
            </w:r>
          </w:p>
        </w:tc>
        <w:tc>
          <w:tcPr>
            <w:tcW w:w="1274" w:type="pct"/>
            <w:vAlign w:val="center"/>
          </w:tcPr>
          <w:p w14:paraId="58862286" w14:textId="77777777" w:rsidR="00D14D72" w:rsidRPr="003E3142" w:rsidRDefault="00D14D72" w:rsidP="00561983">
            <w:pPr>
              <w:pStyle w:val="TableText0"/>
              <w:rPr>
                <w:rFonts w:ascii="Times" w:hAnsi="Times"/>
              </w:rPr>
            </w:pPr>
            <w:r w:rsidRPr="003E3142">
              <w:t>15.14</w:t>
            </w:r>
          </w:p>
        </w:tc>
        <w:tc>
          <w:tcPr>
            <w:tcW w:w="838" w:type="pct"/>
            <w:vAlign w:val="center"/>
          </w:tcPr>
          <w:p w14:paraId="2CE75F26" w14:textId="77777777" w:rsidR="00D14D72" w:rsidRPr="00BE5A28" w:rsidRDefault="00D14D72" w:rsidP="00561983">
            <w:pPr>
              <w:pStyle w:val="TableText0"/>
            </w:pPr>
            <w:r w:rsidRPr="009B5812">
              <w:t>1.06</w:t>
            </w:r>
          </w:p>
        </w:tc>
      </w:tr>
      <w:tr w:rsidR="00D14D72" w:rsidRPr="00BE5A28" w14:paraId="743217B7" w14:textId="77777777" w:rsidTr="00AC00CD">
        <w:tc>
          <w:tcPr>
            <w:tcW w:w="4162" w:type="pct"/>
            <w:gridSpan w:val="3"/>
            <w:vAlign w:val="center"/>
          </w:tcPr>
          <w:p w14:paraId="23429948" w14:textId="3F457CB5" w:rsidR="00D14D72" w:rsidRPr="003E3142" w:rsidRDefault="00D14D72" w:rsidP="00407414">
            <w:pPr>
              <w:pStyle w:val="TableText0"/>
              <w:jc w:val="left"/>
              <w:rPr>
                <w:rFonts w:ascii="Times" w:hAnsi="Times"/>
              </w:rPr>
            </w:pPr>
            <w:r w:rsidRPr="003E3142">
              <w:t>Incremental cost/extra LY gained</w:t>
            </w:r>
          </w:p>
        </w:tc>
        <w:tc>
          <w:tcPr>
            <w:tcW w:w="838" w:type="pct"/>
            <w:vAlign w:val="center"/>
          </w:tcPr>
          <w:p w14:paraId="4CFF2B6F" w14:textId="3692756F" w:rsidR="00D14D72" w:rsidRPr="00E5343E" w:rsidRDefault="00D14D72" w:rsidP="00561983">
            <w:pPr>
              <w:pStyle w:val="TableText0"/>
              <w:rPr>
                <w:rFonts w:ascii="Times" w:hAnsi="Times"/>
                <w:vertAlign w:val="superscript"/>
              </w:rPr>
            </w:pPr>
            <w:r w:rsidRPr="009B5812">
              <w:t>$</w:t>
            </w:r>
            <w:r w:rsidR="00BD51C6" w:rsidRPr="00BD51C6">
              <w:rPr>
                <w:color w:val="000000"/>
                <w:shd w:val="solid" w:color="000000" w:fill="000000"/>
                <w14:textFill>
                  <w14:solidFill>
                    <w14:srgbClr w14:val="000000">
                      <w14:alpha w14:val="100000"/>
                    </w14:srgbClr>
                  </w14:solidFill>
                </w14:textFill>
              </w:rPr>
              <w:t>|</w:t>
            </w:r>
            <w:r w:rsidR="00CC1246">
              <w:rPr>
                <w:vertAlign w:val="superscript"/>
              </w:rPr>
              <w:t>1</w:t>
            </w:r>
          </w:p>
        </w:tc>
      </w:tr>
      <w:tr w:rsidR="00D14D72" w:rsidRPr="00BE5A28" w14:paraId="54E8DBE1" w14:textId="77777777" w:rsidTr="00AC00CD">
        <w:tc>
          <w:tcPr>
            <w:tcW w:w="5000" w:type="pct"/>
            <w:gridSpan w:val="4"/>
            <w:vAlign w:val="center"/>
          </w:tcPr>
          <w:p w14:paraId="40C4B1E1" w14:textId="77777777" w:rsidR="00D14D72" w:rsidRPr="003E3142" w:rsidRDefault="00D14D72" w:rsidP="00374460">
            <w:pPr>
              <w:pStyle w:val="In-tableHeading"/>
            </w:pPr>
            <w:r w:rsidRPr="003E3142">
              <w:t>Step 3: include resource use costs</w:t>
            </w:r>
          </w:p>
        </w:tc>
      </w:tr>
      <w:tr w:rsidR="00D14D72" w:rsidRPr="00BE5A28" w14:paraId="2A9D4B64" w14:textId="77777777" w:rsidTr="00AC00CD">
        <w:tc>
          <w:tcPr>
            <w:tcW w:w="1529" w:type="pct"/>
            <w:vAlign w:val="center"/>
          </w:tcPr>
          <w:p w14:paraId="04482A19" w14:textId="77777777" w:rsidR="00D14D72" w:rsidRPr="00BE5A28" w:rsidRDefault="00D14D72" w:rsidP="00407414">
            <w:pPr>
              <w:pStyle w:val="TableText0"/>
              <w:jc w:val="left"/>
              <w:rPr>
                <w:rFonts w:ascii="Times" w:hAnsi="Times"/>
              </w:rPr>
            </w:pPr>
            <w:r w:rsidRPr="00BE5A28">
              <w:t>Costs</w:t>
            </w:r>
          </w:p>
        </w:tc>
        <w:tc>
          <w:tcPr>
            <w:tcW w:w="1359" w:type="pct"/>
            <w:vAlign w:val="center"/>
          </w:tcPr>
          <w:p w14:paraId="5F83AF03" w14:textId="5510C4B9"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c>
          <w:tcPr>
            <w:tcW w:w="1274" w:type="pct"/>
            <w:vAlign w:val="center"/>
          </w:tcPr>
          <w:p w14:paraId="59DDED31" w14:textId="77777777" w:rsidR="00D14D72" w:rsidRPr="003E3142" w:rsidRDefault="00D14D72" w:rsidP="00561983">
            <w:pPr>
              <w:pStyle w:val="TableText0"/>
              <w:rPr>
                <w:rFonts w:ascii="Times" w:hAnsi="Times"/>
              </w:rPr>
            </w:pPr>
            <w:r w:rsidRPr="003E3142">
              <w:t>$21,113</w:t>
            </w:r>
          </w:p>
        </w:tc>
        <w:tc>
          <w:tcPr>
            <w:tcW w:w="838" w:type="pct"/>
            <w:vAlign w:val="center"/>
          </w:tcPr>
          <w:p w14:paraId="31E1483E" w14:textId="3B999129"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r>
      <w:tr w:rsidR="00D14D72" w:rsidRPr="00BE5A28" w14:paraId="2C148D52" w14:textId="77777777" w:rsidTr="00AC00CD">
        <w:tc>
          <w:tcPr>
            <w:tcW w:w="1529" w:type="pct"/>
            <w:vAlign w:val="center"/>
          </w:tcPr>
          <w:p w14:paraId="6F61FF23" w14:textId="77777777" w:rsidR="00D14D72" w:rsidRPr="00BE5A28" w:rsidRDefault="00D14D72" w:rsidP="00407414">
            <w:pPr>
              <w:pStyle w:val="TableText0"/>
              <w:jc w:val="left"/>
              <w:rPr>
                <w:rFonts w:ascii="Times" w:hAnsi="Times"/>
              </w:rPr>
            </w:pPr>
            <w:r w:rsidRPr="00BE5A28">
              <w:t>LYG</w:t>
            </w:r>
          </w:p>
        </w:tc>
        <w:tc>
          <w:tcPr>
            <w:tcW w:w="1359" w:type="pct"/>
            <w:vAlign w:val="center"/>
          </w:tcPr>
          <w:p w14:paraId="1D85CA51" w14:textId="77777777" w:rsidR="00D14D72" w:rsidRPr="00BE5A28" w:rsidRDefault="00D14D72" w:rsidP="00561983">
            <w:pPr>
              <w:pStyle w:val="TableText0"/>
              <w:rPr>
                <w:rFonts w:ascii="Times" w:hAnsi="Times"/>
              </w:rPr>
            </w:pPr>
            <w:r w:rsidRPr="007E2988">
              <w:t>16.20</w:t>
            </w:r>
          </w:p>
        </w:tc>
        <w:tc>
          <w:tcPr>
            <w:tcW w:w="1274" w:type="pct"/>
            <w:vAlign w:val="center"/>
          </w:tcPr>
          <w:p w14:paraId="30AF4EC8" w14:textId="77777777" w:rsidR="00D14D72" w:rsidRPr="003E3142" w:rsidRDefault="00D14D72" w:rsidP="00561983">
            <w:pPr>
              <w:pStyle w:val="TableText0"/>
              <w:rPr>
                <w:rFonts w:ascii="Times" w:hAnsi="Times"/>
              </w:rPr>
            </w:pPr>
            <w:r w:rsidRPr="003E3142">
              <w:t>15.14</w:t>
            </w:r>
          </w:p>
        </w:tc>
        <w:tc>
          <w:tcPr>
            <w:tcW w:w="838" w:type="pct"/>
            <w:vAlign w:val="center"/>
          </w:tcPr>
          <w:p w14:paraId="506E21D3" w14:textId="77777777" w:rsidR="00D14D72" w:rsidRPr="00BE5A28" w:rsidRDefault="00D14D72" w:rsidP="00561983">
            <w:pPr>
              <w:pStyle w:val="TableText0"/>
            </w:pPr>
            <w:r w:rsidRPr="009B5812">
              <w:t>1.06</w:t>
            </w:r>
          </w:p>
        </w:tc>
      </w:tr>
      <w:tr w:rsidR="00D14D72" w:rsidRPr="00BE5A28" w14:paraId="0603978B" w14:textId="77777777" w:rsidTr="00AC00CD">
        <w:tc>
          <w:tcPr>
            <w:tcW w:w="4162" w:type="pct"/>
            <w:gridSpan w:val="3"/>
            <w:vAlign w:val="center"/>
          </w:tcPr>
          <w:p w14:paraId="2B7E4B52" w14:textId="260B3B2A" w:rsidR="00D14D72" w:rsidRPr="003E3142" w:rsidRDefault="00D14D72" w:rsidP="00407414">
            <w:pPr>
              <w:pStyle w:val="TableText0"/>
              <w:jc w:val="left"/>
              <w:rPr>
                <w:rFonts w:ascii="Times" w:hAnsi="Times"/>
              </w:rPr>
            </w:pPr>
            <w:r w:rsidRPr="003E3142">
              <w:t>Incremental cost/extra LY gained</w:t>
            </w:r>
          </w:p>
        </w:tc>
        <w:tc>
          <w:tcPr>
            <w:tcW w:w="838" w:type="pct"/>
            <w:vAlign w:val="center"/>
          </w:tcPr>
          <w:p w14:paraId="271C5C09" w14:textId="6A68EADF"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r w:rsidR="00CC1246">
              <w:rPr>
                <w:vertAlign w:val="superscript"/>
              </w:rPr>
              <w:t>1</w:t>
            </w:r>
          </w:p>
        </w:tc>
      </w:tr>
      <w:tr w:rsidR="00D14D72" w:rsidRPr="00BE5A28" w14:paraId="7B405EE6" w14:textId="77777777" w:rsidTr="00AC00CD">
        <w:tc>
          <w:tcPr>
            <w:tcW w:w="5000" w:type="pct"/>
            <w:gridSpan w:val="4"/>
            <w:vAlign w:val="center"/>
          </w:tcPr>
          <w:p w14:paraId="52D973E8" w14:textId="77777777" w:rsidR="00D14D72" w:rsidRPr="003E3142" w:rsidRDefault="00D14D72" w:rsidP="00374460">
            <w:pPr>
              <w:pStyle w:val="In-tableHeading"/>
            </w:pPr>
            <w:r w:rsidRPr="003E3142">
              <w:t>Step 4: LYs to QALYs, FOP and caregiver QALYs</w:t>
            </w:r>
          </w:p>
        </w:tc>
      </w:tr>
      <w:tr w:rsidR="00D14D72" w:rsidRPr="00BE5A28" w14:paraId="54BC3F6F" w14:textId="77777777" w:rsidTr="00AC00CD">
        <w:tc>
          <w:tcPr>
            <w:tcW w:w="1529" w:type="pct"/>
            <w:vAlign w:val="center"/>
          </w:tcPr>
          <w:p w14:paraId="6F8592AA" w14:textId="77777777" w:rsidR="00D14D72" w:rsidRPr="00BE5A28" w:rsidRDefault="00D14D72" w:rsidP="00407414">
            <w:pPr>
              <w:pStyle w:val="TableText0"/>
              <w:jc w:val="left"/>
              <w:rPr>
                <w:rFonts w:ascii="Times" w:hAnsi="Times"/>
              </w:rPr>
            </w:pPr>
            <w:r w:rsidRPr="00BE5A28">
              <w:t>Costs</w:t>
            </w:r>
          </w:p>
        </w:tc>
        <w:tc>
          <w:tcPr>
            <w:tcW w:w="1359" w:type="pct"/>
            <w:vAlign w:val="center"/>
          </w:tcPr>
          <w:p w14:paraId="7258805C" w14:textId="6008307C"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c>
          <w:tcPr>
            <w:tcW w:w="1274" w:type="pct"/>
            <w:vAlign w:val="center"/>
          </w:tcPr>
          <w:p w14:paraId="48414C52" w14:textId="77777777" w:rsidR="00D14D72" w:rsidRPr="003E3142" w:rsidRDefault="00D14D72" w:rsidP="00561983">
            <w:pPr>
              <w:pStyle w:val="TableText0"/>
              <w:rPr>
                <w:rFonts w:ascii="Times" w:hAnsi="Times"/>
              </w:rPr>
            </w:pPr>
            <w:r w:rsidRPr="003E3142">
              <w:t>$21,113</w:t>
            </w:r>
          </w:p>
        </w:tc>
        <w:tc>
          <w:tcPr>
            <w:tcW w:w="838" w:type="pct"/>
            <w:vAlign w:val="center"/>
          </w:tcPr>
          <w:p w14:paraId="0C19CC38" w14:textId="2DDFF7EA"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r>
      <w:tr w:rsidR="00D14D72" w:rsidRPr="00BE5A28" w14:paraId="664CA8EA" w14:textId="77777777" w:rsidTr="00AC00CD">
        <w:tc>
          <w:tcPr>
            <w:tcW w:w="1529" w:type="pct"/>
            <w:vAlign w:val="center"/>
          </w:tcPr>
          <w:p w14:paraId="54DA5CEA" w14:textId="77777777" w:rsidR="00D14D72" w:rsidRPr="00BE5A28" w:rsidRDefault="00D14D72" w:rsidP="00407414">
            <w:pPr>
              <w:pStyle w:val="TableText0"/>
              <w:jc w:val="left"/>
              <w:rPr>
                <w:rFonts w:ascii="Times" w:hAnsi="Times"/>
              </w:rPr>
            </w:pPr>
            <w:r>
              <w:t>QALYs</w:t>
            </w:r>
          </w:p>
        </w:tc>
        <w:tc>
          <w:tcPr>
            <w:tcW w:w="1359" w:type="pct"/>
            <w:vAlign w:val="center"/>
          </w:tcPr>
          <w:p w14:paraId="582B63CF" w14:textId="77777777" w:rsidR="00D14D72" w:rsidRPr="00BE5A28" w:rsidRDefault="00D14D72" w:rsidP="00561983">
            <w:pPr>
              <w:pStyle w:val="TableText0"/>
            </w:pPr>
            <w:r>
              <w:t>22.21</w:t>
            </w:r>
          </w:p>
        </w:tc>
        <w:tc>
          <w:tcPr>
            <w:tcW w:w="1274" w:type="pct"/>
            <w:vAlign w:val="center"/>
          </w:tcPr>
          <w:p w14:paraId="13A0DE22" w14:textId="77777777" w:rsidR="00D14D72" w:rsidRPr="003E3142" w:rsidRDefault="00D14D72" w:rsidP="00561983">
            <w:pPr>
              <w:pStyle w:val="TableText0"/>
            </w:pPr>
            <w:r w:rsidRPr="003E3142">
              <w:t>20.29</w:t>
            </w:r>
          </w:p>
        </w:tc>
        <w:tc>
          <w:tcPr>
            <w:tcW w:w="838" w:type="pct"/>
            <w:vAlign w:val="center"/>
          </w:tcPr>
          <w:p w14:paraId="1D768157" w14:textId="77777777" w:rsidR="00D14D72" w:rsidRPr="00BE5A28" w:rsidRDefault="00D14D72" w:rsidP="00561983">
            <w:pPr>
              <w:pStyle w:val="TableText0"/>
            </w:pPr>
            <w:r>
              <w:t>1.92</w:t>
            </w:r>
          </w:p>
        </w:tc>
      </w:tr>
      <w:tr w:rsidR="00D14D72" w:rsidRPr="00BE5A28" w14:paraId="3661AE29" w14:textId="77777777" w:rsidTr="00AC00CD">
        <w:tc>
          <w:tcPr>
            <w:tcW w:w="4162" w:type="pct"/>
            <w:gridSpan w:val="3"/>
            <w:vAlign w:val="center"/>
          </w:tcPr>
          <w:p w14:paraId="25F90FB2" w14:textId="23B60B1F" w:rsidR="00D14D72" w:rsidRPr="003E3142" w:rsidRDefault="00D14D72" w:rsidP="00407414">
            <w:pPr>
              <w:pStyle w:val="TableText0"/>
              <w:jc w:val="left"/>
              <w:rPr>
                <w:rFonts w:ascii="Times" w:hAnsi="Times"/>
              </w:rPr>
            </w:pPr>
            <w:r w:rsidRPr="003E3142">
              <w:t xml:space="preserve">Incremental cost/extra </w:t>
            </w:r>
            <w:r w:rsidR="00FB6C6D" w:rsidRPr="003E3142">
              <w:t>QAL</w:t>
            </w:r>
            <w:r w:rsidRPr="003E3142">
              <w:t>Y gained</w:t>
            </w:r>
          </w:p>
        </w:tc>
        <w:tc>
          <w:tcPr>
            <w:tcW w:w="838" w:type="pct"/>
            <w:vAlign w:val="center"/>
          </w:tcPr>
          <w:p w14:paraId="5EDBEEB6" w14:textId="03EE43E7"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r w:rsidR="00CC1246">
              <w:rPr>
                <w:vertAlign w:val="superscript"/>
              </w:rPr>
              <w:t>1</w:t>
            </w:r>
          </w:p>
        </w:tc>
      </w:tr>
      <w:tr w:rsidR="00D14D72" w:rsidRPr="00BE5A28" w14:paraId="61CBC5EB" w14:textId="77777777" w:rsidTr="00AC00CD">
        <w:tc>
          <w:tcPr>
            <w:tcW w:w="5000" w:type="pct"/>
            <w:gridSpan w:val="4"/>
            <w:vAlign w:val="center"/>
          </w:tcPr>
          <w:p w14:paraId="5C631FE7" w14:textId="75883B10" w:rsidR="00D14D72" w:rsidRPr="003E3142" w:rsidRDefault="00D14D72" w:rsidP="00374460">
            <w:pPr>
              <w:pStyle w:val="In-tableHeading"/>
            </w:pPr>
            <w:r w:rsidRPr="003E3142">
              <w:t>Evaluation base case: remove caregiver utilities</w:t>
            </w:r>
          </w:p>
        </w:tc>
      </w:tr>
      <w:tr w:rsidR="00D14D72" w:rsidRPr="00BE5A28" w14:paraId="597F43AA" w14:textId="77777777" w:rsidTr="00AC00CD">
        <w:tc>
          <w:tcPr>
            <w:tcW w:w="1529" w:type="pct"/>
            <w:vAlign w:val="center"/>
          </w:tcPr>
          <w:p w14:paraId="6174C2E1" w14:textId="77777777" w:rsidR="00D14D72" w:rsidRPr="00BE5A28" w:rsidRDefault="00D14D72" w:rsidP="00407414">
            <w:pPr>
              <w:pStyle w:val="TableText0"/>
              <w:jc w:val="left"/>
              <w:rPr>
                <w:rFonts w:ascii="Times" w:hAnsi="Times"/>
              </w:rPr>
            </w:pPr>
            <w:r w:rsidRPr="00BE5A28">
              <w:t>Costs</w:t>
            </w:r>
          </w:p>
        </w:tc>
        <w:tc>
          <w:tcPr>
            <w:tcW w:w="1359" w:type="pct"/>
            <w:vAlign w:val="center"/>
          </w:tcPr>
          <w:p w14:paraId="57650AE7" w14:textId="78D9B69E"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c>
          <w:tcPr>
            <w:tcW w:w="1274" w:type="pct"/>
            <w:vAlign w:val="center"/>
          </w:tcPr>
          <w:p w14:paraId="5A601F9A" w14:textId="77777777" w:rsidR="00D14D72" w:rsidRPr="003E3142" w:rsidRDefault="00D14D72" w:rsidP="00561983">
            <w:pPr>
              <w:pStyle w:val="TableText0"/>
              <w:rPr>
                <w:rFonts w:ascii="Times" w:hAnsi="Times"/>
              </w:rPr>
            </w:pPr>
            <w:r w:rsidRPr="003E3142">
              <w:t>$21,113</w:t>
            </w:r>
          </w:p>
        </w:tc>
        <w:tc>
          <w:tcPr>
            <w:tcW w:w="838" w:type="pct"/>
            <w:vAlign w:val="center"/>
          </w:tcPr>
          <w:p w14:paraId="34A92F10" w14:textId="3C21A543"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p>
        </w:tc>
      </w:tr>
      <w:tr w:rsidR="00D14D72" w:rsidRPr="00BE5A28" w14:paraId="40FE509F" w14:textId="77777777" w:rsidTr="00AC00CD">
        <w:tc>
          <w:tcPr>
            <w:tcW w:w="1529" w:type="pct"/>
            <w:vAlign w:val="center"/>
          </w:tcPr>
          <w:p w14:paraId="0253BC36" w14:textId="77777777" w:rsidR="00D14D72" w:rsidRPr="00BE5A28" w:rsidRDefault="00D14D72" w:rsidP="00407414">
            <w:pPr>
              <w:pStyle w:val="TableText0"/>
              <w:jc w:val="left"/>
              <w:rPr>
                <w:rFonts w:ascii="Times" w:hAnsi="Times"/>
              </w:rPr>
            </w:pPr>
            <w:r w:rsidRPr="00BE5A28">
              <w:t>QALYs</w:t>
            </w:r>
          </w:p>
        </w:tc>
        <w:tc>
          <w:tcPr>
            <w:tcW w:w="1359" w:type="pct"/>
            <w:vAlign w:val="center"/>
          </w:tcPr>
          <w:p w14:paraId="616802DC" w14:textId="77777777" w:rsidR="00D14D72" w:rsidRPr="009B5812" w:rsidRDefault="00D14D72" w:rsidP="00561983">
            <w:pPr>
              <w:pStyle w:val="TableText0"/>
            </w:pPr>
            <w:r w:rsidRPr="009B5812">
              <w:t>6.49</w:t>
            </w:r>
          </w:p>
        </w:tc>
        <w:tc>
          <w:tcPr>
            <w:tcW w:w="1274" w:type="pct"/>
            <w:vAlign w:val="center"/>
          </w:tcPr>
          <w:p w14:paraId="6E42A84F" w14:textId="77777777" w:rsidR="00D14D72" w:rsidRPr="003E3142" w:rsidRDefault="00D14D72" w:rsidP="00561983">
            <w:pPr>
              <w:pStyle w:val="TableText0"/>
              <w:rPr>
                <w:rFonts w:ascii="Times" w:hAnsi="Times"/>
              </w:rPr>
            </w:pPr>
            <w:r w:rsidRPr="003E3142">
              <w:t>5.60</w:t>
            </w:r>
          </w:p>
        </w:tc>
        <w:tc>
          <w:tcPr>
            <w:tcW w:w="838" w:type="pct"/>
            <w:vAlign w:val="center"/>
          </w:tcPr>
          <w:p w14:paraId="0E3FCF3F" w14:textId="77777777" w:rsidR="00D14D72" w:rsidRPr="00BE5A28" w:rsidRDefault="00D14D72" w:rsidP="00561983">
            <w:pPr>
              <w:pStyle w:val="TableText0"/>
            </w:pPr>
            <w:r w:rsidRPr="009B5812">
              <w:t>0.89</w:t>
            </w:r>
          </w:p>
        </w:tc>
      </w:tr>
      <w:tr w:rsidR="00D14D72" w:rsidRPr="00BE5A28" w14:paraId="0438663F" w14:textId="77777777" w:rsidTr="00AC00CD">
        <w:tc>
          <w:tcPr>
            <w:tcW w:w="4162" w:type="pct"/>
            <w:gridSpan w:val="3"/>
            <w:vAlign w:val="center"/>
          </w:tcPr>
          <w:p w14:paraId="7767A818" w14:textId="77777777" w:rsidR="00D14D72" w:rsidRPr="00BE5A28" w:rsidRDefault="00D14D72" w:rsidP="00407414">
            <w:pPr>
              <w:pStyle w:val="TableText0"/>
              <w:jc w:val="left"/>
              <w:rPr>
                <w:rFonts w:ascii="Times" w:hAnsi="Times"/>
              </w:rPr>
            </w:pPr>
            <w:r w:rsidRPr="00BE5A28">
              <w:t xml:space="preserve">Incremental cost/extra QALY gained </w:t>
            </w:r>
          </w:p>
        </w:tc>
        <w:tc>
          <w:tcPr>
            <w:tcW w:w="838" w:type="pct"/>
            <w:vAlign w:val="center"/>
          </w:tcPr>
          <w:p w14:paraId="5EA893BB" w14:textId="4E958393" w:rsidR="00D14D72" w:rsidRPr="00BE5A28" w:rsidRDefault="00D14D72" w:rsidP="00561983">
            <w:pPr>
              <w:pStyle w:val="TableText0"/>
              <w:rPr>
                <w:rFonts w:ascii="Times" w:hAnsi="Times"/>
              </w:rPr>
            </w:pPr>
            <w:r w:rsidRPr="009B5812">
              <w:t>$</w:t>
            </w:r>
            <w:r w:rsidR="00BD51C6" w:rsidRPr="00BD51C6">
              <w:rPr>
                <w:color w:val="000000"/>
                <w:shd w:val="solid" w:color="000000" w:fill="000000"/>
                <w14:textFill>
                  <w14:solidFill>
                    <w14:srgbClr w14:val="000000">
                      <w14:alpha w14:val="100000"/>
                    </w14:srgbClr>
                  </w14:solidFill>
                </w14:textFill>
              </w:rPr>
              <w:t>|</w:t>
            </w:r>
            <w:r w:rsidR="00CC1246">
              <w:rPr>
                <w:vertAlign w:val="superscript"/>
              </w:rPr>
              <w:t>1</w:t>
            </w:r>
          </w:p>
        </w:tc>
      </w:tr>
    </w:tbl>
    <w:p w14:paraId="02B7354A" w14:textId="77777777" w:rsidR="00D14D72" w:rsidRDefault="00D14D72" w:rsidP="007913E5">
      <w:pPr>
        <w:pStyle w:val="TableFigureFooter"/>
      </w:pPr>
      <w:r w:rsidRPr="00BE5A28">
        <w:t xml:space="preserve">Source: </w:t>
      </w:r>
      <w:r>
        <w:t>Table 3.8-1, p190 of the submission.</w:t>
      </w:r>
    </w:p>
    <w:p w14:paraId="2E761FB0" w14:textId="6E21AA72" w:rsidR="00D14D72" w:rsidRDefault="00D14D72" w:rsidP="007913E5">
      <w:pPr>
        <w:pStyle w:val="TableFigureFooter"/>
      </w:pPr>
      <w:r w:rsidRPr="00EF0F10">
        <w:t>FOP = fibrodysplasia ossificans progressiva; LY = life years; PVO = palovarotene; QALY = quality adjusted life-year; SoC = standard of care</w:t>
      </w:r>
    </w:p>
    <w:p w14:paraId="67BC030E" w14:textId="77777777" w:rsidR="00F358C4" w:rsidRPr="00F56B14" w:rsidRDefault="00F358C4" w:rsidP="00F358C4">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B2662E0" w14:textId="3CA7B50A" w:rsidR="00B55D2A" w:rsidRPr="00EF0F10" w:rsidRDefault="00F358C4" w:rsidP="00F358C4">
      <w:pPr>
        <w:rPr>
          <w:szCs w:val="20"/>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CC1246" w:rsidRPr="00CC1246">
        <w:rPr>
          <w:rFonts w:ascii="Arial Narrow" w:hAnsi="Arial Narrow" w:cstheme="minorHAnsi"/>
          <w:bCs/>
          <w:i/>
          <w:iCs/>
          <w:sz w:val="18"/>
          <w:szCs w:val="18"/>
        </w:rPr>
        <w:t>&gt; $1,055,000</w:t>
      </w:r>
    </w:p>
    <w:p w14:paraId="2F00F6D6" w14:textId="186D6FCC" w:rsidR="007367D0" w:rsidRPr="00BF7D88" w:rsidRDefault="007367D0" w:rsidP="007367D0">
      <w:pPr>
        <w:pStyle w:val="3-BodyText"/>
      </w:pPr>
      <w:r w:rsidRPr="00BF7D88">
        <w:t>The model was most sensitive to time horizon, discount rate, manipulation of annualised HO assumptions and relationship to mortality.</w:t>
      </w:r>
      <w:r>
        <w:t xml:space="preserve"> </w:t>
      </w:r>
    </w:p>
    <w:p w14:paraId="6B300CA8" w14:textId="66FD92FE" w:rsidR="001B3786" w:rsidRPr="00BF7D88" w:rsidRDefault="001B3786" w:rsidP="001B3786">
      <w:pPr>
        <w:pStyle w:val="3-BodyText"/>
      </w:pPr>
      <w:r w:rsidRPr="00BF7D88">
        <w:t xml:space="preserve">Overall, given the concerns regarding the validity and reliability of the approach to modelling HO to survival </w:t>
      </w:r>
      <w:r w:rsidR="007367D0">
        <w:t xml:space="preserve">and quality of life </w:t>
      </w:r>
      <w:r w:rsidRPr="00BF7D88">
        <w:t xml:space="preserve">outcomes, the results of the model across all sensitivity analyses were </w:t>
      </w:r>
      <w:r w:rsidR="00AF0C19" w:rsidRPr="007367D0">
        <w:t>widely variable and</w:t>
      </w:r>
      <w:r w:rsidR="00AF0C19">
        <w:rPr>
          <w:i/>
          <w:iCs/>
        </w:rPr>
        <w:t xml:space="preserve"> </w:t>
      </w:r>
      <w:r w:rsidRPr="00BF7D88">
        <w:t xml:space="preserve">uncertain. </w:t>
      </w:r>
    </w:p>
    <w:p w14:paraId="09658D6B" w14:textId="7543D000" w:rsidR="00407414" w:rsidRPr="00BF7D88" w:rsidRDefault="00407414" w:rsidP="00407414">
      <w:pPr>
        <w:pStyle w:val="3-BodyText"/>
      </w:pPr>
      <w:r w:rsidRPr="00BF7D88">
        <w:t xml:space="preserve">With regard to costs, the greatest </w:t>
      </w:r>
      <w:r w:rsidR="008F6A74" w:rsidRPr="00BF7D88">
        <w:t xml:space="preserve">source of </w:t>
      </w:r>
      <w:r w:rsidRPr="00BF7D88">
        <w:t xml:space="preserve">uncertainty </w:t>
      </w:r>
      <w:r w:rsidR="008F6A74" w:rsidRPr="00BF7D88">
        <w:t>was</w:t>
      </w:r>
      <w:r w:rsidRPr="00BF7D88">
        <w:t xml:space="preserve"> the assumptions regarding the age of patients expected to initiate palovarotene treatment. </w:t>
      </w:r>
      <w:r w:rsidR="007367D0">
        <w:t>D</w:t>
      </w:r>
      <w:r w:rsidRPr="00BF7D88">
        <w:t xml:space="preserve">ue to the complexity of the modelling assumptions regarding </w:t>
      </w:r>
      <w:r w:rsidR="007367D0" w:rsidRPr="00BF7D88">
        <w:t>age</w:t>
      </w:r>
      <w:r w:rsidR="007367D0">
        <w:noBreakHyphen/>
      </w:r>
      <w:r w:rsidRPr="00BF7D88">
        <w:t xml:space="preserve">based dosing and outcomes, assumptions regarding the age of patients initiating treatment could not be changed during the evaluation. </w:t>
      </w:r>
      <w:r w:rsidR="007367D0">
        <w:t>S</w:t>
      </w:r>
      <w:r w:rsidRPr="00BF7D88">
        <w:t xml:space="preserve">mall changes in discontinuation rates </w:t>
      </w:r>
      <w:r w:rsidR="007367D0">
        <w:t xml:space="preserve">also </w:t>
      </w:r>
      <w:r w:rsidRPr="00BF7D88">
        <w:t>had a moderate impact on the ICER.</w:t>
      </w:r>
    </w:p>
    <w:p w14:paraId="472842D7" w14:textId="1A5049BA" w:rsidR="00C25D9C" w:rsidRPr="0098262F" w:rsidRDefault="00407414" w:rsidP="00BB732D">
      <w:pPr>
        <w:pStyle w:val="4-SubsectionHeading"/>
      </w:pPr>
      <w:bookmarkStart w:id="51" w:name="_Toc22897646"/>
      <w:bookmarkStart w:id="52" w:name="_Toc177559116"/>
      <w:r>
        <w:lastRenderedPageBreak/>
        <w:t>Drug</w:t>
      </w:r>
      <w:r w:rsidR="00C25D9C" w:rsidRPr="0098262F">
        <w:t xml:space="preserve"> cost/patient</w:t>
      </w:r>
      <w:r>
        <w:t>/</w:t>
      </w:r>
      <w:r w:rsidR="00C25D9C" w:rsidRPr="0098262F">
        <w:t>course</w:t>
      </w:r>
      <w:bookmarkEnd w:id="51"/>
      <w:bookmarkEnd w:id="52"/>
    </w:p>
    <w:p w14:paraId="51691BD3" w14:textId="240E2173" w:rsidR="00494207" w:rsidRPr="0098262F" w:rsidRDefault="00E16AD8" w:rsidP="00E16AD8">
      <w:pPr>
        <w:pStyle w:val="Caption"/>
        <w:rPr>
          <w:rStyle w:val="CommentReference"/>
          <w:b/>
          <w:szCs w:val="24"/>
        </w:rPr>
      </w:pPr>
      <w:bookmarkStart w:id="53" w:name="_Ref104805102"/>
      <w:r w:rsidRPr="0098262F">
        <w:t xml:space="preserve">Table </w:t>
      </w:r>
      <w:r w:rsidR="002A4328">
        <w:fldChar w:fldCharType="begin" w:fldLock="1"/>
      </w:r>
      <w:r w:rsidR="002A4328">
        <w:instrText xml:space="preserve"> SEQ Table \* ARABIC </w:instrText>
      </w:r>
      <w:r w:rsidR="002A4328">
        <w:fldChar w:fldCharType="separate"/>
      </w:r>
      <w:r w:rsidR="0043347F">
        <w:rPr>
          <w:noProof/>
        </w:rPr>
        <w:t>14</w:t>
      </w:r>
      <w:r w:rsidR="002A4328">
        <w:rPr>
          <w:noProof/>
        </w:rPr>
        <w:fldChar w:fldCharType="end"/>
      </w:r>
      <w:bookmarkEnd w:id="53"/>
      <w:r w:rsidRPr="0098262F">
        <w:t>:</w:t>
      </w:r>
      <w:r w:rsidR="00494207" w:rsidRPr="0098262F">
        <w:rPr>
          <w:rStyle w:val="CommentReference"/>
          <w:b/>
          <w:szCs w:val="24"/>
        </w:rPr>
        <w:t xml:space="preserve"> Drug cost per patient for p</w:t>
      </w:r>
      <w:r w:rsidR="0088518D">
        <w:rPr>
          <w:rStyle w:val="CommentReference"/>
          <w:b/>
          <w:szCs w:val="24"/>
        </w:rPr>
        <w:t>alovarotene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8"/>
        <w:gridCol w:w="1986"/>
        <w:gridCol w:w="1623"/>
        <w:gridCol w:w="1870"/>
      </w:tblGrid>
      <w:tr w:rsidR="00D61F18" w:rsidRPr="00561983" w14:paraId="3EE0A04A" w14:textId="77777777" w:rsidTr="00AF1B7B">
        <w:trPr>
          <w:cantSplit/>
          <w:tblHeader/>
        </w:trPr>
        <w:tc>
          <w:tcPr>
            <w:tcW w:w="1962" w:type="pct"/>
            <w:shd w:val="clear" w:color="auto" w:fill="auto"/>
            <w:vAlign w:val="center"/>
          </w:tcPr>
          <w:p w14:paraId="53DE6A2B" w14:textId="77777777" w:rsidR="000F3E0A" w:rsidRPr="00561983" w:rsidRDefault="000F3E0A" w:rsidP="00860383">
            <w:pPr>
              <w:pStyle w:val="TableText0"/>
              <w:jc w:val="left"/>
              <w:rPr>
                <w:b/>
                <w:bCs w:val="0"/>
              </w:rPr>
            </w:pPr>
          </w:p>
        </w:tc>
        <w:tc>
          <w:tcPr>
            <w:tcW w:w="1101" w:type="pct"/>
          </w:tcPr>
          <w:p w14:paraId="169BD747" w14:textId="77777777" w:rsidR="000F3E0A" w:rsidRPr="00561983" w:rsidRDefault="000F3E0A" w:rsidP="00860383">
            <w:pPr>
              <w:pStyle w:val="TableText0"/>
              <w:rPr>
                <w:b/>
                <w:bCs w:val="0"/>
              </w:rPr>
            </w:pPr>
            <w:r w:rsidRPr="00561983">
              <w:rPr>
                <w:b/>
                <w:bCs w:val="0"/>
              </w:rPr>
              <w:t xml:space="preserve">Palovarotene </w:t>
            </w:r>
          </w:p>
          <w:p w14:paraId="739E8898" w14:textId="77777777" w:rsidR="000F3E0A" w:rsidRPr="00561983" w:rsidRDefault="000F3E0A" w:rsidP="00860383">
            <w:pPr>
              <w:pStyle w:val="TableText0"/>
              <w:rPr>
                <w:b/>
                <w:bCs w:val="0"/>
              </w:rPr>
            </w:pPr>
            <w:r w:rsidRPr="00561983">
              <w:rPr>
                <w:b/>
                <w:bCs w:val="0"/>
              </w:rPr>
              <w:t>Trial dose and duration</w:t>
            </w:r>
          </w:p>
        </w:tc>
        <w:tc>
          <w:tcPr>
            <w:tcW w:w="900" w:type="pct"/>
            <w:shd w:val="clear" w:color="auto" w:fill="auto"/>
            <w:vAlign w:val="center"/>
          </w:tcPr>
          <w:p w14:paraId="23EB2C34" w14:textId="77777777" w:rsidR="000F3E0A" w:rsidRPr="00561983" w:rsidRDefault="000F3E0A" w:rsidP="00860383">
            <w:pPr>
              <w:pStyle w:val="TableText0"/>
              <w:rPr>
                <w:b/>
                <w:bCs w:val="0"/>
              </w:rPr>
            </w:pPr>
            <w:r w:rsidRPr="00561983">
              <w:rPr>
                <w:b/>
                <w:bCs w:val="0"/>
              </w:rPr>
              <w:t>Palovarotene</w:t>
            </w:r>
          </w:p>
          <w:p w14:paraId="100B7978" w14:textId="77777777" w:rsidR="000F3E0A" w:rsidRPr="00561983" w:rsidRDefault="000F3E0A" w:rsidP="00860383">
            <w:pPr>
              <w:pStyle w:val="TableText0"/>
              <w:rPr>
                <w:b/>
                <w:bCs w:val="0"/>
              </w:rPr>
            </w:pPr>
            <w:r w:rsidRPr="00561983">
              <w:rPr>
                <w:b/>
                <w:bCs w:val="0"/>
              </w:rPr>
              <w:t>Model</w:t>
            </w:r>
          </w:p>
        </w:tc>
        <w:tc>
          <w:tcPr>
            <w:tcW w:w="1037" w:type="pct"/>
          </w:tcPr>
          <w:p w14:paraId="233FBB60" w14:textId="77777777" w:rsidR="000F3E0A" w:rsidRPr="00561983" w:rsidRDefault="000F3E0A" w:rsidP="00860383">
            <w:pPr>
              <w:pStyle w:val="TableText0"/>
              <w:rPr>
                <w:b/>
                <w:bCs w:val="0"/>
              </w:rPr>
            </w:pPr>
            <w:r w:rsidRPr="00561983">
              <w:rPr>
                <w:b/>
                <w:bCs w:val="0"/>
              </w:rPr>
              <w:t>Palovarotene Financial estimates</w:t>
            </w:r>
          </w:p>
        </w:tc>
      </w:tr>
      <w:tr w:rsidR="00D61F18" w:rsidRPr="0098262F" w14:paraId="607BA4AA" w14:textId="77777777" w:rsidTr="00AF1B7B">
        <w:trPr>
          <w:cantSplit/>
        </w:trPr>
        <w:tc>
          <w:tcPr>
            <w:tcW w:w="1962" w:type="pct"/>
            <w:shd w:val="clear" w:color="auto" w:fill="auto"/>
            <w:vAlign w:val="center"/>
          </w:tcPr>
          <w:p w14:paraId="39E64D01" w14:textId="77777777" w:rsidR="000F3E0A" w:rsidRDefault="000F3E0A" w:rsidP="00860383">
            <w:pPr>
              <w:pStyle w:val="TableText0"/>
              <w:jc w:val="left"/>
            </w:pPr>
            <w:r>
              <w:t>Duration of Chronic treatment all patients, mean</w:t>
            </w:r>
          </w:p>
        </w:tc>
        <w:tc>
          <w:tcPr>
            <w:tcW w:w="1101" w:type="pct"/>
            <w:vAlign w:val="center"/>
          </w:tcPr>
          <w:p w14:paraId="5324EF03" w14:textId="77777777" w:rsidR="000F3E0A" w:rsidRPr="0098262F" w:rsidRDefault="000F3E0A" w:rsidP="002E7A26">
            <w:pPr>
              <w:pStyle w:val="TableText0"/>
            </w:pPr>
            <w:r>
              <w:t>365.4 days</w:t>
            </w:r>
          </w:p>
        </w:tc>
        <w:tc>
          <w:tcPr>
            <w:tcW w:w="900" w:type="pct"/>
            <w:shd w:val="clear" w:color="auto" w:fill="auto"/>
            <w:vAlign w:val="center"/>
          </w:tcPr>
          <w:p w14:paraId="4AF22327" w14:textId="77777777" w:rsidR="000F3E0A" w:rsidRPr="0098262F" w:rsidRDefault="000F3E0A" w:rsidP="002E7A26">
            <w:pPr>
              <w:pStyle w:val="TableText0"/>
            </w:pPr>
            <w:r>
              <w:t xml:space="preserve">26.9 </w:t>
            </w:r>
            <w:proofErr w:type="spellStart"/>
            <w:r>
              <w:t>years</w:t>
            </w:r>
            <w:r>
              <w:rPr>
                <w:vertAlign w:val="superscript"/>
              </w:rPr>
              <w:t>j</w:t>
            </w:r>
            <w:proofErr w:type="spellEnd"/>
          </w:p>
        </w:tc>
        <w:tc>
          <w:tcPr>
            <w:tcW w:w="1037" w:type="pct"/>
            <w:vAlign w:val="center"/>
          </w:tcPr>
          <w:p w14:paraId="463B5992" w14:textId="77777777" w:rsidR="000F3E0A" w:rsidRPr="0098262F" w:rsidRDefault="000F3E0A" w:rsidP="002E7A26">
            <w:pPr>
              <w:pStyle w:val="TableText0"/>
            </w:pPr>
            <w:r>
              <w:t>Varies based on year of initiation</w:t>
            </w:r>
          </w:p>
        </w:tc>
      </w:tr>
      <w:tr w:rsidR="00D61F18" w:rsidRPr="00E07354" w14:paraId="474F2CD9" w14:textId="77777777" w:rsidTr="000F3E0A">
        <w:trPr>
          <w:cantSplit/>
        </w:trPr>
        <w:tc>
          <w:tcPr>
            <w:tcW w:w="5000" w:type="pct"/>
            <w:gridSpan w:val="4"/>
            <w:shd w:val="clear" w:color="auto" w:fill="auto"/>
            <w:vAlign w:val="center"/>
          </w:tcPr>
          <w:p w14:paraId="66DBF191" w14:textId="77777777" w:rsidR="00E07354" w:rsidRDefault="00E07354" w:rsidP="000F3E0A">
            <w:pPr>
              <w:pStyle w:val="TableText0"/>
              <w:jc w:val="left"/>
              <w:rPr>
                <w:b/>
                <w:bCs w:val="0"/>
              </w:rPr>
            </w:pPr>
          </w:p>
          <w:p w14:paraId="10D516E5" w14:textId="3BF9526D" w:rsidR="000F3E0A" w:rsidRPr="00E07354" w:rsidRDefault="000F3E0A" w:rsidP="000F3E0A">
            <w:pPr>
              <w:pStyle w:val="TableText0"/>
              <w:jc w:val="left"/>
              <w:rPr>
                <w:b/>
                <w:bCs w:val="0"/>
              </w:rPr>
            </w:pPr>
            <w:r w:rsidRPr="00E07354">
              <w:rPr>
                <w:b/>
                <w:bCs w:val="0"/>
              </w:rPr>
              <w:t xml:space="preserve">Age 8 years to &lt; 15 years </w:t>
            </w:r>
          </w:p>
        </w:tc>
      </w:tr>
      <w:tr w:rsidR="00D61F18" w:rsidRPr="0098262F" w14:paraId="67373160" w14:textId="77777777" w:rsidTr="00BD51C6">
        <w:trPr>
          <w:cantSplit/>
        </w:trPr>
        <w:tc>
          <w:tcPr>
            <w:tcW w:w="1962" w:type="pct"/>
            <w:shd w:val="clear" w:color="auto" w:fill="auto"/>
            <w:vAlign w:val="center"/>
          </w:tcPr>
          <w:p w14:paraId="688769FB" w14:textId="7A5545E6" w:rsidR="000F3E0A" w:rsidRPr="005B1F75" w:rsidRDefault="000F3E0A" w:rsidP="00860383">
            <w:pPr>
              <w:pStyle w:val="TableText0"/>
              <w:jc w:val="left"/>
              <w:rPr>
                <w:vertAlign w:val="superscript"/>
              </w:rPr>
            </w:pPr>
            <w:r>
              <w:t xml:space="preserve">Chronic (5mg dose equivalent) Cost/ </w:t>
            </w:r>
            <w:proofErr w:type="spellStart"/>
            <w:r>
              <w:t>year</w:t>
            </w:r>
            <w:r>
              <w:rPr>
                <w:vertAlign w:val="superscript"/>
              </w:rPr>
              <w:t>a</w:t>
            </w:r>
            <w:proofErr w:type="spellEnd"/>
            <w:r w:rsidR="00DB536D" w:rsidRPr="00DB536D">
              <w:t>($)</w:t>
            </w:r>
          </w:p>
        </w:tc>
        <w:tc>
          <w:tcPr>
            <w:tcW w:w="1101" w:type="pct"/>
            <w:tcBorders>
              <w:bottom w:val="single" w:sz="4" w:space="0" w:color="auto"/>
            </w:tcBorders>
            <w:shd w:val="solid" w:color="000000" w:fill="000000"/>
            <w:vAlign w:val="center"/>
          </w:tcPr>
          <w:p w14:paraId="2DF9AE9B" w14:textId="488DECFE"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5EAC43C7" w14:textId="021A9837"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11B11079" w14:textId="091CCB1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530BCB63" w14:textId="77777777" w:rsidTr="00BD51C6">
        <w:trPr>
          <w:cantSplit/>
        </w:trPr>
        <w:tc>
          <w:tcPr>
            <w:tcW w:w="1962" w:type="pct"/>
            <w:shd w:val="clear" w:color="auto" w:fill="auto"/>
            <w:vAlign w:val="center"/>
          </w:tcPr>
          <w:p w14:paraId="1673BD1C" w14:textId="0C85E490" w:rsidR="000F3E0A" w:rsidRPr="005B1F75" w:rsidRDefault="000F3E0A" w:rsidP="00860383">
            <w:pPr>
              <w:pStyle w:val="TableText0"/>
              <w:jc w:val="left"/>
              <w:rPr>
                <w:vertAlign w:val="superscript"/>
              </w:rPr>
            </w:pPr>
            <w:r>
              <w:t>Flare-up (20mg dose equivalent) cost/</w:t>
            </w:r>
            <w:proofErr w:type="spellStart"/>
            <w:r>
              <w:t>year</w:t>
            </w:r>
            <w:r>
              <w:rPr>
                <w:vertAlign w:val="superscript"/>
              </w:rPr>
              <w:t>b</w:t>
            </w:r>
            <w:proofErr w:type="spellEnd"/>
            <w:r w:rsidR="00DB536D" w:rsidRPr="00DB536D">
              <w:t>($)</w:t>
            </w:r>
          </w:p>
        </w:tc>
        <w:tc>
          <w:tcPr>
            <w:tcW w:w="1101" w:type="pct"/>
            <w:tcBorders>
              <w:bottom w:val="single" w:sz="4" w:space="0" w:color="auto"/>
            </w:tcBorders>
            <w:shd w:val="solid" w:color="000000" w:fill="000000"/>
            <w:vAlign w:val="center"/>
          </w:tcPr>
          <w:p w14:paraId="712A9F5B" w14:textId="553408A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0B304B24" w14:textId="18161CE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56BF58E7" w14:textId="12088E1C"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39C035F3" w14:textId="77777777" w:rsidTr="00BD51C6">
        <w:trPr>
          <w:cantSplit/>
        </w:trPr>
        <w:tc>
          <w:tcPr>
            <w:tcW w:w="1962" w:type="pct"/>
            <w:shd w:val="clear" w:color="auto" w:fill="auto"/>
            <w:vAlign w:val="center"/>
          </w:tcPr>
          <w:p w14:paraId="0F999367" w14:textId="30286FA4" w:rsidR="000F3E0A" w:rsidRPr="005B1F75" w:rsidRDefault="000F3E0A" w:rsidP="00860383">
            <w:pPr>
              <w:pStyle w:val="TableText0"/>
              <w:jc w:val="left"/>
              <w:rPr>
                <w:vertAlign w:val="superscript"/>
              </w:rPr>
            </w:pPr>
            <w:r>
              <w:t>Flare-up (10mg dose equivalent) cost/</w:t>
            </w:r>
            <w:proofErr w:type="spellStart"/>
            <w:r>
              <w:t>year</w:t>
            </w:r>
            <w:r>
              <w:rPr>
                <w:vertAlign w:val="superscript"/>
              </w:rPr>
              <w:t>c</w:t>
            </w:r>
            <w:proofErr w:type="spellEnd"/>
            <w:r w:rsidR="00DB536D" w:rsidRPr="00DB536D">
              <w:t>($)</w:t>
            </w:r>
          </w:p>
        </w:tc>
        <w:tc>
          <w:tcPr>
            <w:tcW w:w="1101" w:type="pct"/>
            <w:tcBorders>
              <w:bottom w:val="single" w:sz="4" w:space="0" w:color="auto"/>
            </w:tcBorders>
            <w:shd w:val="solid" w:color="000000" w:fill="000000"/>
            <w:vAlign w:val="center"/>
          </w:tcPr>
          <w:p w14:paraId="11B88507" w14:textId="763BE91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6ED41044" w14:textId="3B9C1EA6"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5880FFC8" w14:textId="5FD3D5DC"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836210" w14:paraId="5037126D" w14:textId="77777777" w:rsidTr="00BD51C6">
        <w:trPr>
          <w:cantSplit/>
        </w:trPr>
        <w:tc>
          <w:tcPr>
            <w:tcW w:w="1962" w:type="pct"/>
            <w:shd w:val="clear" w:color="auto" w:fill="auto"/>
            <w:vAlign w:val="center"/>
          </w:tcPr>
          <w:p w14:paraId="4FC156AB" w14:textId="3AD34577" w:rsidR="000F3E0A" w:rsidRPr="00E07354" w:rsidRDefault="000F3E0A" w:rsidP="00860383">
            <w:pPr>
              <w:pStyle w:val="TableText0"/>
              <w:jc w:val="left"/>
            </w:pPr>
            <w:r w:rsidRPr="00E07354">
              <w:t>Total cost/year</w:t>
            </w:r>
            <w:r w:rsidR="00357D33">
              <w:t xml:space="preserve"> </w:t>
            </w:r>
            <w:r w:rsidRPr="00E07354">
              <w:t xml:space="preserve">8 years to &lt; 15 years </w:t>
            </w:r>
            <w:r w:rsidR="00DB536D" w:rsidRPr="00DB536D">
              <w:t>($)</w:t>
            </w:r>
          </w:p>
        </w:tc>
        <w:tc>
          <w:tcPr>
            <w:tcW w:w="1101" w:type="pct"/>
            <w:shd w:val="solid" w:color="000000" w:fill="000000"/>
            <w:vAlign w:val="center"/>
          </w:tcPr>
          <w:p w14:paraId="4726CD17" w14:textId="73B8AA7F"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shd w:val="solid" w:color="000000" w:fill="000000"/>
            <w:vAlign w:val="center"/>
          </w:tcPr>
          <w:p w14:paraId="3696C592" w14:textId="60897A63"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shd w:val="solid" w:color="000000" w:fill="000000"/>
            <w:vAlign w:val="center"/>
          </w:tcPr>
          <w:p w14:paraId="51264030" w14:textId="3CBAB983"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E07354" w14:paraId="22767F7E" w14:textId="77777777" w:rsidTr="000F3E0A">
        <w:trPr>
          <w:cantSplit/>
        </w:trPr>
        <w:tc>
          <w:tcPr>
            <w:tcW w:w="5000" w:type="pct"/>
            <w:gridSpan w:val="4"/>
            <w:shd w:val="clear" w:color="auto" w:fill="auto"/>
            <w:vAlign w:val="center"/>
          </w:tcPr>
          <w:p w14:paraId="494EAD64" w14:textId="77777777" w:rsidR="00E07354" w:rsidRDefault="00E07354" w:rsidP="000F3E0A">
            <w:pPr>
              <w:pStyle w:val="TableText0"/>
              <w:jc w:val="left"/>
              <w:rPr>
                <w:b/>
                <w:bCs w:val="0"/>
              </w:rPr>
            </w:pPr>
          </w:p>
          <w:p w14:paraId="3326AAFA" w14:textId="305BB580" w:rsidR="000F3E0A" w:rsidRPr="00E07354" w:rsidRDefault="000F3E0A" w:rsidP="000F3E0A">
            <w:pPr>
              <w:pStyle w:val="TableText0"/>
              <w:jc w:val="left"/>
              <w:rPr>
                <w:b/>
                <w:bCs w:val="0"/>
              </w:rPr>
            </w:pPr>
            <w:r w:rsidRPr="00E07354">
              <w:rPr>
                <w:b/>
                <w:bCs w:val="0"/>
              </w:rPr>
              <w:t>Age ≥ 15 to &lt; 25 years</w:t>
            </w:r>
          </w:p>
        </w:tc>
      </w:tr>
      <w:tr w:rsidR="00D61F18" w:rsidRPr="0098262F" w14:paraId="785C1BE2" w14:textId="77777777" w:rsidTr="00BD51C6">
        <w:trPr>
          <w:cantSplit/>
        </w:trPr>
        <w:tc>
          <w:tcPr>
            <w:tcW w:w="1962" w:type="pct"/>
            <w:shd w:val="clear" w:color="auto" w:fill="auto"/>
            <w:vAlign w:val="center"/>
          </w:tcPr>
          <w:p w14:paraId="7DB7DFBF" w14:textId="5E3BF29F" w:rsidR="000F3E0A" w:rsidRPr="005B1F75" w:rsidRDefault="000F3E0A" w:rsidP="00860383">
            <w:pPr>
              <w:pStyle w:val="TableText0"/>
              <w:jc w:val="left"/>
              <w:rPr>
                <w:vertAlign w:val="superscript"/>
              </w:rPr>
            </w:pPr>
            <w:r>
              <w:t xml:space="preserve">Chronic (5mg) Cost/ </w:t>
            </w:r>
            <w:proofErr w:type="spellStart"/>
            <w:r>
              <w:t>year</w:t>
            </w:r>
            <w:r>
              <w:rPr>
                <w:vertAlign w:val="superscript"/>
              </w:rPr>
              <w:t>d</w:t>
            </w:r>
            <w:proofErr w:type="spellEnd"/>
            <w:r w:rsidR="00DB536D">
              <w:rPr>
                <w:vertAlign w:val="superscript"/>
              </w:rPr>
              <w:t xml:space="preserve"> </w:t>
            </w:r>
            <w:r w:rsidR="00DB536D" w:rsidRPr="00DB536D">
              <w:t>($)</w:t>
            </w:r>
          </w:p>
        </w:tc>
        <w:tc>
          <w:tcPr>
            <w:tcW w:w="1101" w:type="pct"/>
            <w:tcBorders>
              <w:bottom w:val="single" w:sz="4" w:space="0" w:color="auto"/>
            </w:tcBorders>
            <w:shd w:val="solid" w:color="000000" w:fill="000000"/>
            <w:vAlign w:val="center"/>
          </w:tcPr>
          <w:p w14:paraId="120F9CBF" w14:textId="554E5DCF"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7BFD16B0" w14:textId="004E3243"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375C4CD5" w14:textId="7F6128B2"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3E62BD82" w14:textId="77777777" w:rsidTr="00BD51C6">
        <w:trPr>
          <w:cantSplit/>
        </w:trPr>
        <w:tc>
          <w:tcPr>
            <w:tcW w:w="1962" w:type="pct"/>
            <w:shd w:val="clear" w:color="auto" w:fill="auto"/>
            <w:vAlign w:val="center"/>
          </w:tcPr>
          <w:p w14:paraId="6E2D7E65" w14:textId="0AC6724E" w:rsidR="000F3E0A" w:rsidRPr="0098262F" w:rsidRDefault="000F3E0A" w:rsidP="00860383">
            <w:pPr>
              <w:pStyle w:val="TableText0"/>
              <w:jc w:val="left"/>
            </w:pPr>
            <w:r>
              <w:t>Flare-up (20mg) cost/</w:t>
            </w:r>
            <w:proofErr w:type="spellStart"/>
            <w:r>
              <w:t>year</w:t>
            </w:r>
            <w:r>
              <w:rPr>
                <w:vertAlign w:val="superscript"/>
              </w:rPr>
              <w:t>e</w:t>
            </w:r>
            <w:proofErr w:type="spellEnd"/>
            <w:r w:rsidR="00DB536D" w:rsidRPr="00DB536D">
              <w:t>($)</w:t>
            </w:r>
          </w:p>
        </w:tc>
        <w:tc>
          <w:tcPr>
            <w:tcW w:w="1101" w:type="pct"/>
            <w:tcBorders>
              <w:bottom w:val="single" w:sz="4" w:space="0" w:color="auto"/>
            </w:tcBorders>
            <w:shd w:val="solid" w:color="000000" w:fill="000000"/>
            <w:vAlign w:val="center"/>
          </w:tcPr>
          <w:p w14:paraId="6256D376" w14:textId="5392F726"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37FB4FED" w14:textId="2A17785A"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3F360CD1" w14:textId="0EFF542F"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4E5B03BD" w14:textId="77777777" w:rsidTr="00BD51C6">
        <w:trPr>
          <w:cantSplit/>
        </w:trPr>
        <w:tc>
          <w:tcPr>
            <w:tcW w:w="1962" w:type="pct"/>
            <w:shd w:val="clear" w:color="auto" w:fill="auto"/>
            <w:vAlign w:val="center"/>
          </w:tcPr>
          <w:p w14:paraId="03B84954" w14:textId="17536B93" w:rsidR="000F3E0A" w:rsidRPr="0098262F" w:rsidRDefault="000F3E0A" w:rsidP="00860383">
            <w:pPr>
              <w:pStyle w:val="TableText0"/>
              <w:jc w:val="left"/>
            </w:pPr>
            <w:r>
              <w:t>Flare-up (10mg) cost/</w:t>
            </w:r>
            <w:proofErr w:type="spellStart"/>
            <w:r>
              <w:t>year</w:t>
            </w:r>
            <w:r>
              <w:rPr>
                <w:vertAlign w:val="superscript"/>
              </w:rPr>
              <w:t>f</w:t>
            </w:r>
            <w:proofErr w:type="spellEnd"/>
            <w:r w:rsidR="00DB536D" w:rsidRPr="00DB536D">
              <w:t>($)</w:t>
            </w:r>
          </w:p>
        </w:tc>
        <w:tc>
          <w:tcPr>
            <w:tcW w:w="1101" w:type="pct"/>
            <w:tcBorders>
              <w:bottom w:val="single" w:sz="4" w:space="0" w:color="auto"/>
            </w:tcBorders>
            <w:shd w:val="solid" w:color="000000" w:fill="000000"/>
            <w:vAlign w:val="center"/>
          </w:tcPr>
          <w:p w14:paraId="4FE1D523" w14:textId="6F48E8A3"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25BA6D58" w14:textId="77EC9A2F"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7C018356" w14:textId="0DCAF42D"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836210" w14:paraId="1EEFC192" w14:textId="77777777" w:rsidTr="00BD51C6">
        <w:trPr>
          <w:cantSplit/>
        </w:trPr>
        <w:tc>
          <w:tcPr>
            <w:tcW w:w="1962" w:type="pct"/>
            <w:shd w:val="clear" w:color="auto" w:fill="auto"/>
            <w:vAlign w:val="center"/>
          </w:tcPr>
          <w:p w14:paraId="003B7A54" w14:textId="5F9C532C" w:rsidR="000F3E0A" w:rsidRPr="00E07354" w:rsidRDefault="000F3E0A" w:rsidP="00860383">
            <w:pPr>
              <w:pStyle w:val="TableText0"/>
              <w:jc w:val="left"/>
            </w:pPr>
            <w:r w:rsidRPr="00E07354">
              <w:t>Total cost/ year ≥ 15 to &lt; 25 years</w:t>
            </w:r>
            <w:r w:rsidR="00DB536D" w:rsidRPr="00DB536D">
              <w:t>($)</w:t>
            </w:r>
          </w:p>
        </w:tc>
        <w:tc>
          <w:tcPr>
            <w:tcW w:w="1101" w:type="pct"/>
            <w:shd w:val="solid" w:color="000000" w:fill="000000"/>
            <w:vAlign w:val="center"/>
          </w:tcPr>
          <w:p w14:paraId="04D08C7C" w14:textId="75AD2B44"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shd w:val="solid" w:color="000000" w:fill="000000"/>
            <w:vAlign w:val="center"/>
          </w:tcPr>
          <w:p w14:paraId="4FAA2BB7" w14:textId="5A9DB217"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shd w:val="solid" w:color="000000" w:fill="000000"/>
            <w:vAlign w:val="center"/>
          </w:tcPr>
          <w:p w14:paraId="4E5BFC4F" w14:textId="253CA291"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E07354" w14:paraId="4FB07032" w14:textId="77777777" w:rsidTr="000F3E0A">
        <w:trPr>
          <w:cantSplit/>
        </w:trPr>
        <w:tc>
          <w:tcPr>
            <w:tcW w:w="5000" w:type="pct"/>
            <w:gridSpan w:val="4"/>
            <w:shd w:val="clear" w:color="auto" w:fill="auto"/>
            <w:vAlign w:val="center"/>
          </w:tcPr>
          <w:p w14:paraId="0616B013" w14:textId="77777777" w:rsidR="00372A61" w:rsidRPr="00372A61" w:rsidRDefault="00372A61" w:rsidP="000F3E0A">
            <w:pPr>
              <w:pStyle w:val="TableText0"/>
              <w:jc w:val="left"/>
              <w:rPr>
                <w:b/>
                <w:bCs w:val="0"/>
              </w:rPr>
            </w:pPr>
          </w:p>
          <w:p w14:paraId="3C88E7F3" w14:textId="0A8746AC" w:rsidR="000F3E0A" w:rsidRPr="00DB536D" w:rsidRDefault="000F3E0A" w:rsidP="000F3E0A">
            <w:pPr>
              <w:pStyle w:val="TableText0"/>
              <w:jc w:val="left"/>
              <w:rPr>
                <w:b/>
                <w:bCs w:val="0"/>
                <w:highlight w:val="darkGray"/>
              </w:rPr>
            </w:pPr>
            <w:r w:rsidRPr="00BF1B31">
              <w:rPr>
                <w:b/>
                <w:bCs w:val="0"/>
              </w:rPr>
              <w:t>Age ≥ 25 years</w:t>
            </w:r>
          </w:p>
        </w:tc>
      </w:tr>
      <w:tr w:rsidR="00D61F18" w:rsidRPr="0098262F" w14:paraId="49E6860A" w14:textId="77777777" w:rsidTr="00BD51C6">
        <w:trPr>
          <w:cantSplit/>
        </w:trPr>
        <w:tc>
          <w:tcPr>
            <w:tcW w:w="1962" w:type="pct"/>
            <w:shd w:val="clear" w:color="auto" w:fill="auto"/>
            <w:vAlign w:val="center"/>
          </w:tcPr>
          <w:p w14:paraId="40173810" w14:textId="6F3F7308" w:rsidR="000F3E0A" w:rsidRPr="0098262F" w:rsidRDefault="000F3E0A" w:rsidP="00860383">
            <w:pPr>
              <w:pStyle w:val="TableText0"/>
              <w:jc w:val="left"/>
            </w:pPr>
            <w:r>
              <w:t xml:space="preserve">Chronic (5mg) Cost/ </w:t>
            </w:r>
            <w:proofErr w:type="spellStart"/>
            <w:r>
              <w:t>year</w:t>
            </w:r>
            <w:r>
              <w:rPr>
                <w:vertAlign w:val="superscript"/>
              </w:rPr>
              <w:t>g</w:t>
            </w:r>
            <w:proofErr w:type="spellEnd"/>
            <w:r w:rsidR="00DB536D">
              <w:rPr>
                <w:vertAlign w:val="superscript"/>
              </w:rPr>
              <w:t xml:space="preserve"> </w:t>
            </w:r>
            <w:r w:rsidR="00DB536D" w:rsidRPr="00DB536D">
              <w:t>($)</w:t>
            </w:r>
          </w:p>
        </w:tc>
        <w:tc>
          <w:tcPr>
            <w:tcW w:w="1101" w:type="pct"/>
            <w:tcBorders>
              <w:bottom w:val="single" w:sz="4" w:space="0" w:color="auto"/>
            </w:tcBorders>
            <w:shd w:val="solid" w:color="000000" w:fill="000000"/>
            <w:vAlign w:val="center"/>
          </w:tcPr>
          <w:p w14:paraId="55CE81C5" w14:textId="47BA7CEC"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6E55591A" w14:textId="7AC6729A"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5B4821EC" w14:textId="11FF1D6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090C4C16" w14:textId="77777777" w:rsidTr="00BD51C6">
        <w:trPr>
          <w:cantSplit/>
        </w:trPr>
        <w:tc>
          <w:tcPr>
            <w:tcW w:w="1962" w:type="pct"/>
            <w:shd w:val="clear" w:color="auto" w:fill="auto"/>
            <w:vAlign w:val="center"/>
          </w:tcPr>
          <w:p w14:paraId="2DEF872A" w14:textId="4DC1AEFF" w:rsidR="000F3E0A" w:rsidRPr="0098262F" w:rsidRDefault="000F3E0A" w:rsidP="00860383">
            <w:pPr>
              <w:pStyle w:val="TableText0"/>
              <w:jc w:val="left"/>
            </w:pPr>
            <w:r>
              <w:t>Flare-up (20mg) cost/</w:t>
            </w:r>
            <w:proofErr w:type="spellStart"/>
            <w:r>
              <w:t>year</w:t>
            </w:r>
            <w:r>
              <w:rPr>
                <w:vertAlign w:val="superscript"/>
              </w:rPr>
              <w:t>h</w:t>
            </w:r>
            <w:proofErr w:type="spellEnd"/>
            <w:r w:rsidR="00DB536D">
              <w:rPr>
                <w:vertAlign w:val="superscript"/>
              </w:rPr>
              <w:t xml:space="preserve"> </w:t>
            </w:r>
            <w:r w:rsidR="00DB536D" w:rsidRPr="00DB536D">
              <w:t>($)</w:t>
            </w:r>
          </w:p>
        </w:tc>
        <w:tc>
          <w:tcPr>
            <w:tcW w:w="1101" w:type="pct"/>
            <w:tcBorders>
              <w:bottom w:val="single" w:sz="4" w:space="0" w:color="auto"/>
            </w:tcBorders>
            <w:shd w:val="solid" w:color="000000" w:fill="000000"/>
            <w:vAlign w:val="center"/>
          </w:tcPr>
          <w:p w14:paraId="592117D2" w14:textId="77B696E6"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659BAAA7" w14:textId="00506EF4"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1FEEC0EE" w14:textId="0772E6E1"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98262F" w14:paraId="5E257F2F" w14:textId="77777777" w:rsidTr="00BD51C6">
        <w:trPr>
          <w:cantSplit/>
        </w:trPr>
        <w:tc>
          <w:tcPr>
            <w:tcW w:w="1962" w:type="pct"/>
            <w:shd w:val="clear" w:color="auto" w:fill="auto"/>
            <w:vAlign w:val="center"/>
          </w:tcPr>
          <w:p w14:paraId="42D60E8E" w14:textId="10065F37" w:rsidR="000F3E0A" w:rsidRPr="0098262F" w:rsidRDefault="000F3E0A" w:rsidP="00860383">
            <w:pPr>
              <w:pStyle w:val="TableText0"/>
              <w:jc w:val="left"/>
            </w:pPr>
            <w:r>
              <w:t>Flare-up (10mg) cost/</w:t>
            </w:r>
            <w:proofErr w:type="spellStart"/>
            <w:r>
              <w:t>year</w:t>
            </w:r>
            <w:r>
              <w:rPr>
                <w:vertAlign w:val="superscript"/>
              </w:rPr>
              <w:t>i</w:t>
            </w:r>
            <w:proofErr w:type="spellEnd"/>
            <w:r w:rsidR="00DB536D">
              <w:rPr>
                <w:vertAlign w:val="superscript"/>
              </w:rPr>
              <w:t xml:space="preserve"> </w:t>
            </w:r>
            <w:r w:rsidR="00DB536D" w:rsidRPr="00DB536D">
              <w:t>($)</w:t>
            </w:r>
          </w:p>
        </w:tc>
        <w:tc>
          <w:tcPr>
            <w:tcW w:w="1101" w:type="pct"/>
            <w:tcBorders>
              <w:bottom w:val="single" w:sz="4" w:space="0" w:color="auto"/>
            </w:tcBorders>
            <w:shd w:val="solid" w:color="000000" w:fill="000000"/>
            <w:vAlign w:val="center"/>
          </w:tcPr>
          <w:p w14:paraId="28F92A77" w14:textId="4A4A07E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single" w:sz="4" w:space="0" w:color="auto"/>
            </w:tcBorders>
            <w:shd w:val="solid" w:color="000000" w:fill="000000"/>
            <w:vAlign w:val="center"/>
          </w:tcPr>
          <w:p w14:paraId="79DED8A4" w14:textId="4A8F3A3F"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single" w:sz="4" w:space="0" w:color="auto"/>
            </w:tcBorders>
            <w:shd w:val="solid" w:color="000000" w:fill="000000"/>
            <w:vAlign w:val="center"/>
          </w:tcPr>
          <w:p w14:paraId="7529FB5E" w14:textId="6832B7C8"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836210" w14:paraId="2A9A35A7" w14:textId="77777777" w:rsidTr="00BD51C6">
        <w:trPr>
          <w:cantSplit/>
          <w:trHeight w:val="209"/>
        </w:trPr>
        <w:tc>
          <w:tcPr>
            <w:tcW w:w="1962" w:type="pct"/>
            <w:tcBorders>
              <w:bottom w:val="double" w:sz="4" w:space="0" w:color="auto"/>
            </w:tcBorders>
            <w:shd w:val="clear" w:color="auto" w:fill="auto"/>
            <w:vAlign w:val="center"/>
          </w:tcPr>
          <w:p w14:paraId="3A85DEED" w14:textId="0FE88E2C" w:rsidR="000F3E0A" w:rsidRPr="00E07354" w:rsidRDefault="000F3E0A" w:rsidP="00860383">
            <w:pPr>
              <w:pStyle w:val="TableText0"/>
              <w:jc w:val="left"/>
            </w:pPr>
            <w:r w:rsidRPr="00E07354">
              <w:t>Total cost/year ≥ 25 years</w:t>
            </w:r>
            <w:r w:rsidR="00DB536D">
              <w:t xml:space="preserve"> </w:t>
            </w:r>
            <w:r w:rsidR="00DB536D" w:rsidRPr="00DB536D">
              <w:t>($)</w:t>
            </w:r>
          </w:p>
        </w:tc>
        <w:tc>
          <w:tcPr>
            <w:tcW w:w="1101" w:type="pct"/>
            <w:tcBorders>
              <w:bottom w:val="double" w:sz="4" w:space="0" w:color="auto"/>
            </w:tcBorders>
            <w:shd w:val="solid" w:color="000000" w:fill="000000"/>
            <w:vAlign w:val="center"/>
          </w:tcPr>
          <w:p w14:paraId="3CC5F9F9" w14:textId="51EC2AEB"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900" w:type="pct"/>
            <w:tcBorders>
              <w:bottom w:val="double" w:sz="4" w:space="0" w:color="auto"/>
            </w:tcBorders>
            <w:shd w:val="solid" w:color="000000" w:fill="000000"/>
            <w:vAlign w:val="center"/>
          </w:tcPr>
          <w:p w14:paraId="12139110" w14:textId="74539569"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c>
          <w:tcPr>
            <w:tcW w:w="1037" w:type="pct"/>
            <w:tcBorders>
              <w:bottom w:val="double" w:sz="4" w:space="0" w:color="auto"/>
            </w:tcBorders>
            <w:shd w:val="solid" w:color="000000" w:fill="000000"/>
            <w:vAlign w:val="center"/>
          </w:tcPr>
          <w:p w14:paraId="13B0D0DB" w14:textId="6D168B02" w:rsidR="000F3E0A" w:rsidRPr="00DB536D" w:rsidRDefault="00BD51C6" w:rsidP="00860383">
            <w:pPr>
              <w:pStyle w:val="TableText0"/>
              <w:rPr>
                <w:highlight w:val="darkGray"/>
              </w:rPr>
            </w:pPr>
            <w:r w:rsidRPr="00BD51C6">
              <w:rPr>
                <w:color w:val="000000"/>
                <w14:textFill>
                  <w14:solidFill>
                    <w14:srgbClr w14:val="000000">
                      <w14:alpha w14:val="100000"/>
                    </w14:srgbClr>
                  </w14:solidFill>
                </w14:textFill>
              </w:rPr>
              <w:t>|</w:t>
            </w:r>
          </w:p>
        </w:tc>
      </w:tr>
      <w:tr w:rsidR="00D61F18" w:rsidRPr="00561983" w14:paraId="5DC42A28" w14:textId="77777777" w:rsidTr="00BD51C6">
        <w:trPr>
          <w:cantSplit/>
          <w:trHeight w:val="408"/>
        </w:trPr>
        <w:tc>
          <w:tcPr>
            <w:tcW w:w="1962" w:type="pct"/>
            <w:tcBorders>
              <w:top w:val="double" w:sz="4" w:space="0" w:color="auto"/>
            </w:tcBorders>
            <w:shd w:val="clear" w:color="auto" w:fill="auto"/>
            <w:vAlign w:val="center"/>
          </w:tcPr>
          <w:p w14:paraId="6E03318E" w14:textId="4167C4FC" w:rsidR="000F3E0A" w:rsidRPr="00561983" w:rsidRDefault="000F3E0A" w:rsidP="00836210">
            <w:pPr>
              <w:pStyle w:val="TableText0"/>
              <w:jc w:val="left"/>
              <w:rPr>
                <w:b/>
                <w:bCs w:val="0"/>
                <w:vertAlign w:val="superscript"/>
              </w:rPr>
            </w:pPr>
            <w:r w:rsidRPr="00561983">
              <w:rPr>
                <w:b/>
                <w:bCs w:val="0"/>
              </w:rPr>
              <w:t>Total cost/</w:t>
            </w:r>
            <w:proofErr w:type="spellStart"/>
            <w:r w:rsidRPr="00561983">
              <w:rPr>
                <w:b/>
                <w:bCs w:val="0"/>
              </w:rPr>
              <w:t>course</w:t>
            </w:r>
            <w:r w:rsidRPr="00561983">
              <w:rPr>
                <w:b/>
                <w:bCs w:val="0"/>
                <w:vertAlign w:val="superscript"/>
              </w:rPr>
              <w:t>k</w:t>
            </w:r>
            <w:proofErr w:type="spellEnd"/>
            <w:r w:rsidR="00DB536D">
              <w:rPr>
                <w:b/>
                <w:bCs w:val="0"/>
                <w:vertAlign w:val="superscript"/>
              </w:rPr>
              <w:t xml:space="preserve"> </w:t>
            </w:r>
            <w:r w:rsidR="00DB536D" w:rsidRPr="00DB536D">
              <w:t>($)</w:t>
            </w:r>
          </w:p>
        </w:tc>
        <w:tc>
          <w:tcPr>
            <w:tcW w:w="1101" w:type="pct"/>
            <w:tcBorders>
              <w:top w:val="double" w:sz="4" w:space="0" w:color="auto"/>
            </w:tcBorders>
            <w:vAlign w:val="center"/>
          </w:tcPr>
          <w:p w14:paraId="0B9117A4" w14:textId="17CEEED4" w:rsidR="000F3E0A" w:rsidRPr="00DB536D" w:rsidRDefault="00BD51C6" w:rsidP="00836210">
            <w:pPr>
              <w:pStyle w:val="TableText0"/>
              <w:rPr>
                <w:b/>
                <w:bCs w:val="0"/>
                <w:highlight w:val="darkGray"/>
                <w:vertAlign w:val="superscript"/>
              </w:rPr>
            </w:pPr>
            <w:r w:rsidRPr="00BD51C6">
              <w:rPr>
                <w:b/>
                <w:bCs w:val="0"/>
                <w:color w:val="000000"/>
                <w:shd w:val="solid" w:color="000000" w:fill="000000"/>
                <w14:textFill>
                  <w14:solidFill>
                    <w14:srgbClr w14:val="000000">
                      <w14:alpha w14:val="100000"/>
                    </w14:srgbClr>
                  </w14:solidFill>
                </w14:textFill>
              </w:rPr>
              <w:t>|</w:t>
            </w:r>
            <w:r w:rsidR="000F3E0A" w:rsidRPr="00AF1B7B">
              <w:rPr>
                <w:b/>
                <w:bCs w:val="0"/>
                <w:vertAlign w:val="superscript"/>
              </w:rPr>
              <w:t>l</w:t>
            </w:r>
          </w:p>
        </w:tc>
        <w:tc>
          <w:tcPr>
            <w:tcW w:w="900" w:type="pct"/>
            <w:tcBorders>
              <w:top w:val="double" w:sz="4" w:space="0" w:color="auto"/>
            </w:tcBorders>
            <w:shd w:val="solid" w:color="000000" w:fill="000000"/>
            <w:vAlign w:val="center"/>
          </w:tcPr>
          <w:p w14:paraId="5844A19A" w14:textId="04747F6E" w:rsidR="000F3E0A" w:rsidRPr="00DB536D" w:rsidRDefault="00BD51C6" w:rsidP="00836210">
            <w:pPr>
              <w:pStyle w:val="TableText0"/>
              <w:rPr>
                <w:b/>
                <w:bCs w:val="0"/>
                <w:highlight w:val="darkGray"/>
              </w:rPr>
            </w:pPr>
            <w:r w:rsidRPr="00BD51C6">
              <w:rPr>
                <w:b/>
                <w:bCs w:val="0"/>
                <w:color w:val="000000"/>
                <w14:textFill>
                  <w14:solidFill>
                    <w14:srgbClr w14:val="000000">
                      <w14:alpha w14:val="100000"/>
                    </w14:srgbClr>
                  </w14:solidFill>
                </w14:textFill>
              </w:rPr>
              <w:t>|</w:t>
            </w:r>
          </w:p>
        </w:tc>
        <w:tc>
          <w:tcPr>
            <w:tcW w:w="1037" w:type="pct"/>
            <w:tcBorders>
              <w:top w:val="double" w:sz="4" w:space="0" w:color="auto"/>
            </w:tcBorders>
            <w:vAlign w:val="center"/>
          </w:tcPr>
          <w:p w14:paraId="5BF88588" w14:textId="77777777" w:rsidR="000F3E0A" w:rsidRPr="00561983" w:rsidRDefault="000F3E0A" w:rsidP="00836210">
            <w:pPr>
              <w:pStyle w:val="TableText0"/>
              <w:rPr>
                <w:b/>
                <w:bCs w:val="0"/>
              </w:rPr>
            </w:pPr>
            <w:r>
              <w:rPr>
                <w:b/>
                <w:bCs w:val="0"/>
              </w:rPr>
              <w:t>NR</w:t>
            </w:r>
          </w:p>
        </w:tc>
      </w:tr>
    </w:tbl>
    <w:p w14:paraId="53DF74A8" w14:textId="77777777" w:rsidR="000F3E0A" w:rsidRDefault="000F3E0A" w:rsidP="000F3E0A">
      <w:pPr>
        <w:pStyle w:val="FooterTableFigure"/>
      </w:pPr>
      <w:r w:rsidRPr="0098262F">
        <w:t>Source:</w:t>
      </w:r>
      <w:r>
        <w:t xml:space="preserve"> Attached economic and financial models</w:t>
      </w:r>
    </w:p>
    <w:p w14:paraId="3E8B31EA" w14:textId="77777777" w:rsidR="000F3E0A" w:rsidRDefault="000F3E0A" w:rsidP="000F3E0A">
      <w:pPr>
        <w:pStyle w:val="FooterTableFigure"/>
      </w:pPr>
      <w:r>
        <w:rPr>
          <w:vertAlign w:val="superscript"/>
        </w:rPr>
        <w:t xml:space="preserve">a </w:t>
      </w:r>
      <w:r>
        <w:t xml:space="preserve">Assuming 4 x 1mg capsules (5mg dose equivalent for paediatric patients weighing between 40 and 60kg), equating to 34.04 packs per year based on 238 treatment days. </w:t>
      </w:r>
    </w:p>
    <w:p w14:paraId="7D06B286" w14:textId="6791CBE7" w:rsidR="000F3E0A" w:rsidRDefault="000F3E0A" w:rsidP="000F3E0A">
      <w:pPr>
        <w:pStyle w:val="FooterTableFigure"/>
      </w:pPr>
      <w:r>
        <w:rPr>
          <w:vertAlign w:val="superscript"/>
        </w:rPr>
        <w:t xml:space="preserve">b </w:t>
      </w:r>
      <w:r>
        <w:t>Assuming 3 x 5 mg capsules (20mg dose equivalent for paediatric patients weighing between 40 and 60kg), equating to 4.53 packs per year based on 42 treatment days</w:t>
      </w:r>
    </w:p>
    <w:p w14:paraId="04FBBAB1" w14:textId="77777777" w:rsidR="000F3E0A" w:rsidRDefault="000F3E0A" w:rsidP="000F3E0A">
      <w:pPr>
        <w:pStyle w:val="FooterTableFigure"/>
      </w:pPr>
      <w:r>
        <w:rPr>
          <w:vertAlign w:val="superscript"/>
        </w:rPr>
        <w:t>c</w:t>
      </w:r>
      <w:r>
        <w:t xml:space="preserve"> Assuming 1 x 5mg and 3 x 1mg capsules (10mg dose equivalent for paediatric patients weighing between 40 and 60kg), equating to 3.02 packs and 9.07 packs per year, respectively, based on 85 treatment days </w:t>
      </w:r>
    </w:p>
    <w:p w14:paraId="4835BD17" w14:textId="1453A29B" w:rsidR="000F3E0A" w:rsidRDefault="000F3E0A" w:rsidP="000F3E0A">
      <w:pPr>
        <w:pStyle w:val="FooterTableFigure"/>
      </w:pPr>
      <w:r>
        <w:rPr>
          <w:vertAlign w:val="superscript"/>
        </w:rPr>
        <w:t xml:space="preserve">d </w:t>
      </w:r>
      <w:r>
        <w:t>Assuming 1 x 5mg capsules, equating to 6.52 packs based on 182 treatment days</w:t>
      </w:r>
    </w:p>
    <w:p w14:paraId="50A3FC50" w14:textId="77777777" w:rsidR="000F3E0A" w:rsidRDefault="000F3E0A" w:rsidP="000F3E0A">
      <w:pPr>
        <w:pStyle w:val="FooterTableFigure"/>
      </w:pPr>
      <w:r>
        <w:rPr>
          <w:vertAlign w:val="superscript"/>
        </w:rPr>
        <w:t xml:space="preserve">e </w:t>
      </w:r>
      <w:r>
        <w:t>Assuming 2 x 10 capsules, equating to 4.35 packs, based on 61 treatment days</w:t>
      </w:r>
    </w:p>
    <w:p w14:paraId="3E13648D" w14:textId="77777777" w:rsidR="000F3E0A" w:rsidRDefault="000F3E0A" w:rsidP="000F3E0A">
      <w:pPr>
        <w:pStyle w:val="FooterTableFigure"/>
      </w:pPr>
      <w:r>
        <w:rPr>
          <w:vertAlign w:val="superscript"/>
        </w:rPr>
        <w:t>f</w:t>
      </w:r>
      <w:r>
        <w:t xml:space="preserve"> Assuming 1 x 10 capsules, equating to 4.35 packs based on 122 treatment days</w:t>
      </w:r>
    </w:p>
    <w:p w14:paraId="090546C0" w14:textId="77777777" w:rsidR="000F3E0A" w:rsidRDefault="000F3E0A" w:rsidP="000F3E0A">
      <w:pPr>
        <w:pStyle w:val="FooterTableFigure"/>
      </w:pPr>
      <w:r>
        <w:rPr>
          <w:vertAlign w:val="superscript"/>
        </w:rPr>
        <w:t>g</w:t>
      </w:r>
      <w:r>
        <w:t xml:space="preserve"> Assuming 1 x 5 mg capsules, equating to 10.22 packs per year based on 286 treatment days</w:t>
      </w:r>
    </w:p>
    <w:p w14:paraId="2A77D8D7" w14:textId="77777777" w:rsidR="000F3E0A" w:rsidRDefault="000F3E0A" w:rsidP="000F3E0A">
      <w:pPr>
        <w:pStyle w:val="FooterTableFigure"/>
      </w:pPr>
      <w:r>
        <w:rPr>
          <w:vertAlign w:val="superscript"/>
        </w:rPr>
        <w:t>h</w:t>
      </w:r>
      <w:r>
        <w:t xml:space="preserve"> Assuming 2 x 10 mg capsules, equating to 1.88 packs per year, based on 26 treatment days</w:t>
      </w:r>
    </w:p>
    <w:p w14:paraId="52C68692" w14:textId="77777777" w:rsidR="000F3E0A" w:rsidRDefault="000F3E0A" w:rsidP="000F3E0A">
      <w:pPr>
        <w:pStyle w:val="FooterTableFigure"/>
      </w:pPr>
      <w:r>
        <w:rPr>
          <w:vertAlign w:val="superscript"/>
        </w:rPr>
        <w:t xml:space="preserve">i </w:t>
      </w:r>
      <w:r>
        <w:t>Assuming 1 x 10mg capsules, equating to 1.88 packs, based on 53 treatment days</w:t>
      </w:r>
    </w:p>
    <w:p w14:paraId="25258068" w14:textId="77777777" w:rsidR="000F3E0A" w:rsidRDefault="000F3E0A" w:rsidP="000F3E0A">
      <w:pPr>
        <w:pStyle w:val="FooterTableFigure"/>
      </w:pPr>
      <w:r>
        <w:rPr>
          <w:vertAlign w:val="superscript"/>
        </w:rPr>
        <w:t>j</w:t>
      </w:r>
      <w:r>
        <w:t xml:space="preserve"> based on discontinuation rate and estimated mortality of patients over an 80 year time horizon</w:t>
      </w:r>
    </w:p>
    <w:p w14:paraId="2ABBE8CE" w14:textId="5F485494" w:rsidR="000F3E0A" w:rsidRDefault="000F3E0A" w:rsidP="000F3E0A">
      <w:pPr>
        <w:pStyle w:val="FooterTableFigure"/>
      </w:pPr>
      <w:r>
        <w:rPr>
          <w:vertAlign w:val="superscript"/>
        </w:rPr>
        <w:t>k</w:t>
      </w:r>
      <w:r>
        <w:t xml:space="preserve"> Undiscounted - </w:t>
      </w:r>
      <w:r w:rsidRPr="00911EC5">
        <w:t>based on annual cost of palovarotene by age group and changing proportions of age groups, and proportion of patients alive and on treatment each model year for the duration of the model</w:t>
      </w:r>
    </w:p>
    <w:p w14:paraId="05DEE435" w14:textId="77777777" w:rsidR="000F3E0A" w:rsidRPr="00C21739" w:rsidRDefault="000F3E0A" w:rsidP="000F3E0A">
      <w:pPr>
        <w:pStyle w:val="FooterTableFigure"/>
      </w:pPr>
      <w:r>
        <w:rPr>
          <w:vertAlign w:val="superscript"/>
        </w:rPr>
        <w:t xml:space="preserve">l </w:t>
      </w:r>
      <w:r>
        <w:t>Estimated from Year 1 palovarotene costs of the economic model, based on the distribution of age groups calculated from MOVE IPD data</w:t>
      </w:r>
    </w:p>
    <w:p w14:paraId="52E56FAA" w14:textId="77777777" w:rsidR="000F3E0A" w:rsidRPr="00911EC5" w:rsidRDefault="000F3E0A" w:rsidP="000F3E0A">
      <w:pPr>
        <w:pStyle w:val="FooterTableFigure"/>
      </w:pPr>
      <w:r>
        <w:t xml:space="preserve">Note: The economic model, though not the financials, included low cost treatments based on prednisone, several NSAID’s, antihistamines, and other drugs in both the SoC and palovarotene arms. These included complex calculations for medicines that are low cost and low impact, and thus for clarity, are not presented. </w:t>
      </w:r>
    </w:p>
    <w:p w14:paraId="0529A649" w14:textId="6CA5ACE9" w:rsidR="00494207" w:rsidRPr="000F3E0A" w:rsidRDefault="000F3E0A" w:rsidP="000F3E0A">
      <w:pPr>
        <w:pStyle w:val="FooterTableFigure"/>
        <w:rPr>
          <w:rStyle w:val="CommentReference"/>
          <w:b w:val="0"/>
          <w:sz w:val="18"/>
          <w:szCs w:val="22"/>
        </w:rPr>
      </w:pPr>
      <w:r>
        <w:t xml:space="preserve">Note: The submission claims that flare-up days on treatment were based on clinical data from MOVE, but this was not presented in the clinical evaluation of the submission. </w:t>
      </w:r>
    </w:p>
    <w:p w14:paraId="09A560E4" w14:textId="2EB4AB59" w:rsidR="00602C93" w:rsidRDefault="00602C93" w:rsidP="002B05A1">
      <w:pPr>
        <w:pStyle w:val="3-BodyText"/>
        <w:rPr>
          <w:color w:val="000000" w:themeColor="text1"/>
        </w:rPr>
      </w:pPr>
      <w:bookmarkStart w:id="54" w:name="_Hlk107307804"/>
      <w:r w:rsidRPr="00602C93">
        <w:rPr>
          <w:color w:val="000000" w:themeColor="text1"/>
        </w:rPr>
        <w:t>The submission calculated annual costs per year based on estimated doses for three age groups: 8 years to &lt;15 years, ≥15 to &lt;25 years, and ≥25 years.</w:t>
      </w:r>
      <w:r w:rsidR="00F7595C">
        <w:rPr>
          <w:color w:val="000000" w:themeColor="text1"/>
        </w:rPr>
        <w:t xml:space="preserve"> The annual costs estimated for each of these age groups </w:t>
      </w:r>
      <w:r w:rsidR="00733D78">
        <w:rPr>
          <w:color w:val="000000" w:themeColor="text1"/>
        </w:rPr>
        <w:t xml:space="preserve">were </w:t>
      </w:r>
      <w:r w:rsidR="00F7595C">
        <w:rPr>
          <w:color w:val="000000" w:themeColor="text1"/>
        </w:rPr>
        <w:t>$</w:t>
      </w:r>
      <w:r w:rsidR="00BD51C6" w:rsidRPr="00EA196D">
        <w:rPr>
          <w:color w:val="000000" w:themeColor="text1"/>
          <w:w w:val="15"/>
          <w:shd w:val="solid" w:color="000000" w:fill="000000"/>
          <w:fitText w:val="-20" w:id="-761524470"/>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70"/>
          <w14:textFill>
            <w14:solidFill>
              <w14:schemeClr w14:val="tx1">
                <w14:alpha w14:val="100000"/>
              </w14:schemeClr>
            </w14:solidFill>
          </w14:textFill>
        </w:rPr>
        <w:t>|</w:t>
      </w:r>
      <w:r w:rsidR="00F7595C">
        <w:rPr>
          <w:color w:val="000000" w:themeColor="text1"/>
        </w:rPr>
        <w:t>, $</w:t>
      </w:r>
      <w:r w:rsidR="00BD51C6" w:rsidRPr="00EA196D">
        <w:rPr>
          <w:color w:val="000000" w:themeColor="text1"/>
          <w:w w:val="15"/>
          <w:shd w:val="solid" w:color="000000" w:fill="000000"/>
          <w:fitText w:val="-20" w:id="-761524469"/>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69"/>
          <w14:textFill>
            <w14:solidFill>
              <w14:schemeClr w14:val="tx1">
                <w14:alpha w14:val="100000"/>
              </w14:schemeClr>
            </w14:solidFill>
          </w14:textFill>
        </w:rPr>
        <w:t>|</w:t>
      </w:r>
      <w:r w:rsidR="00F7595C">
        <w:rPr>
          <w:color w:val="000000" w:themeColor="text1"/>
        </w:rPr>
        <w:t>, and $</w:t>
      </w:r>
      <w:r w:rsidR="00BD51C6" w:rsidRPr="00EA196D">
        <w:rPr>
          <w:color w:val="000000" w:themeColor="text1"/>
          <w:w w:val="15"/>
          <w:shd w:val="solid" w:color="000000" w:fill="000000"/>
          <w:fitText w:val="-20" w:id="-761524468"/>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68"/>
          <w14:textFill>
            <w14:solidFill>
              <w14:schemeClr w14:val="tx1">
                <w14:alpha w14:val="100000"/>
              </w14:schemeClr>
            </w14:solidFill>
          </w14:textFill>
        </w:rPr>
        <w:t>|</w:t>
      </w:r>
      <w:r w:rsidR="00F7595C">
        <w:rPr>
          <w:color w:val="000000" w:themeColor="text1"/>
        </w:rPr>
        <w:t xml:space="preserve">, respectively. </w:t>
      </w:r>
      <w:r>
        <w:rPr>
          <w:color w:val="000000" w:themeColor="text1"/>
        </w:rPr>
        <w:t>The annual costs were calculated for each age group based on weight adjusted dosing as per the TGA PI for both chronic and treatment and flare-up treatment. Flare-up treatment was estimated based on IPD estimating duration of flare-ups, at each adjusted dose</w:t>
      </w:r>
      <w:r w:rsidR="00836210">
        <w:rPr>
          <w:color w:val="000000" w:themeColor="text1"/>
        </w:rPr>
        <w:t>.</w:t>
      </w:r>
    </w:p>
    <w:p w14:paraId="268768EF" w14:textId="3626F292" w:rsidR="00B60939" w:rsidRPr="0098262F" w:rsidRDefault="00B60939" w:rsidP="002B05A1">
      <w:pPr>
        <w:pStyle w:val="4-SubsectionHeading"/>
      </w:pPr>
      <w:bookmarkStart w:id="55" w:name="_Toc22897647"/>
      <w:bookmarkStart w:id="56" w:name="_Toc177559117"/>
      <w:bookmarkEnd w:id="54"/>
      <w:r w:rsidRPr="0098262F">
        <w:lastRenderedPageBreak/>
        <w:t>Estimated PBS usage &amp; financial implications</w:t>
      </w:r>
      <w:bookmarkEnd w:id="55"/>
      <w:bookmarkEnd w:id="56"/>
    </w:p>
    <w:p w14:paraId="72FB4D67" w14:textId="11465261" w:rsidR="00E21EB5" w:rsidRPr="00C94B76" w:rsidRDefault="00E21EB5" w:rsidP="00E21EB5">
      <w:pPr>
        <w:pStyle w:val="3-BodyText"/>
        <w:rPr>
          <w:color w:val="000000" w:themeColor="text1"/>
        </w:rPr>
      </w:pPr>
      <w:r w:rsidRPr="0098262F">
        <w:t xml:space="preserve">This submission </w:t>
      </w:r>
      <w:r w:rsidR="00F747D8" w:rsidRPr="0098262F">
        <w:t>w</w:t>
      </w:r>
      <w:r w:rsidR="00F747D8">
        <w:t>as</w:t>
      </w:r>
      <w:r w:rsidRPr="0098262F">
        <w:t xml:space="preserve"> considered by DUSC</w:t>
      </w:r>
      <w:r w:rsidRPr="0098262F">
        <w:rPr>
          <w:color w:val="0070C0"/>
        </w:rPr>
        <w:t xml:space="preserve">. </w:t>
      </w:r>
      <w:r w:rsidRPr="00C94B76">
        <w:rPr>
          <w:color w:val="000000" w:themeColor="text1"/>
        </w:rPr>
        <w:t xml:space="preserve">The submission </w:t>
      </w:r>
      <w:r w:rsidR="00F747D8">
        <w:rPr>
          <w:color w:val="000000" w:themeColor="text1"/>
        </w:rPr>
        <w:t>used</w:t>
      </w:r>
      <w:r w:rsidRPr="00C94B76">
        <w:rPr>
          <w:color w:val="000000" w:themeColor="text1"/>
        </w:rPr>
        <w:t xml:space="preserve"> an epidemiological approach to estimat</w:t>
      </w:r>
      <w:r w:rsidR="00F747D8">
        <w:rPr>
          <w:color w:val="000000" w:themeColor="text1"/>
        </w:rPr>
        <w:t>e</w:t>
      </w:r>
      <w:r w:rsidRPr="00C94B76">
        <w:rPr>
          <w:color w:val="000000" w:themeColor="text1"/>
        </w:rPr>
        <w:t xml:space="preserve"> use and financial implications. </w:t>
      </w:r>
    </w:p>
    <w:p w14:paraId="70016329" w14:textId="7067E181" w:rsidR="00E21EB5" w:rsidRPr="00A10C2F" w:rsidRDefault="00E21EB5" w:rsidP="00A10C2F">
      <w:pPr>
        <w:pStyle w:val="3-BodyText"/>
        <w:rPr>
          <w:color w:val="000000" w:themeColor="text1"/>
        </w:rPr>
      </w:pPr>
      <w:r w:rsidRPr="00C94B76">
        <w:rPr>
          <w:color w:val="000000" w:themeColor="text1"/>
        </w:rPr>
        <w:fldChar w:fldCharType="begin" w:fldLock="1"/>
      </w:r>
      <w:r w:rsidRPr="00C94B76">
        <w:rPr>
          <w:color w:val="000000" w:themeColor="text1"/>
        </w:rPr>
        <w:instrText xml:space="preserve"> REF _Ref104805262 \h  \* MERGEFORMAT </w:instrText>
      </w:r>
      <w:r w:rsidRPr="00C94B76">
        <w:rPr>
          <w:color w:val="000000" w:themeColor="text1"/>
        </w:rPr>
      </w:r>
      <w:r w:rsidRPr="00C94B76">
        <w:rPr>
          <w:color w:val="000000" w:themeColor="text1"/>
        </w:rPr>
        <w:fldChar w:fldCharType="separate"/>
      </w:r>
      <w:r w:rsidR="0043347F" w:rsidRPr="0043347F">
        <w:rPr>
          <w:color w:val="000000" w:themeColor="text1"/>
        </w:rPr>
        <w:t>Table 15</w:t>
      </w:r>
      <w:r w:rsidRPr="00C94B76">
        <w:rPr>
          <w:color w:val="000000" w:themeColor="text1"/>
        </w:rPr>
        <w:fldChar w:fldCharType="end"/>
      </w:r>
      <w:r w:rsidRPr="00C94B76">
        <w:rPr>
          <w:color w:val="000000" w:themeColor="text1"/>
        </w:rPr>
        <w:t xml:space="preserve"> presents the key inputs relied on in the financial estimates</w:t>
      </w:r>
      <w:r>
        <w:rPr>
          <w:color w:val="000000" w:themeColor="text1"/>
        </w:rPr>
        <w:t>.</w:t>
      </w:r>
    </w:p>
    <w:p w14:paraId="00460BD7" w14:textId="1B88A9B4" w:rsidR="00E21EB5" w:rsidRPr="0098262F" w:rsidRDefault="00E21EB5" w:rsidP="00E14DEC">
      <w:pPr>
        <w:pStyle w:val="Caption"/>
        <w:keepNext w:val="0"/>
        <w:rPr>
          <w:rStyle w:val="CommentReference"/>
          <w:b/>
          <w:szCs w:val="24"/>
        </w:rPr>
      </w:pPr>
      <w:bookmarkStart w:id="57" w:name="_Ref104805262"/>
      <w:r w:rsidRPr="0098262F">
        <w:t xml:space="preserve">Table </w:t>
      </w:r>
      <w:r w:rsidR="002A4328">
        <w:fldChar w:fldCharType="begin" w:fldLock="1"/>
      </w:r>
      <w:r w:rsidR="002A4328">
        <w:instrText xml:space="preserve"> SEQ Table \* ARABIC </w:instrText>
      </w:r>
      <w:r w:rsidR="002A4328">
        <w:fldChar w:fldCharType="separate"/>
      </w:r>
      <w:r w:rsidR="0043347F">
        <w:rPr>
          <w:noProof/>
        </w:rPr>
        <w:t>15</w:t>
      </w:r>
      <w:r w:rsidR="002A4328">
        <w:rPr>
          <w:noProof/>
        </w:rPr>
        <w:fldChar w:fldCharType="end"/>
      </w:r>
      <w:bookmarkEnd w:id="57"/>
      <w:r w:rsidRPr="0098262F">
        <w:t>:</w:t>
      </w:r>
      <w:r w:rsidRPr="0098262F">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13"/>
        <w:gridCol w:w="2693"/>
        <w:gridCol w:w="1843"/>
        <w:gridCol w:w="3231"/>
      </w:tblGrid>
      <w:tr w:rsidR="00E21EB5" w:rsidRPr="00BE5A28" w14:paraId="54B5D4B1" w14:textId="77777777" w:rsidTr="00A10031">
        <w:trPr>
          <w:tblHeader/>
        </w:trPr>
        <w:tc>
          <w:tcPr>
            <w:tcW w:w="1413" w:type="dxa"/>
            <w:vAlign w:val="center"/>
          </w:tcPr>
          <w:p w14:paraId="1A40F8F8" w14:textId="77777777" w:rsidR="00E21EB5" w:rsidRPr="00BE5A28" w:rsidRDefault="00E21EB5" w:rsidP="00E14DEC">
            <w:pPr>
              <w:pStyle w:val="In-tableHeading"/>
              <w:keepNext w:val="0"/>
            </w:pPr>
            <w:r w:rsidRPr="00BE5A28">
              <w:t>Data</w:t>
            </w:r>
          </w:p>
        </w:tc>
        <w:tc>
          <w:tcPr>
            <w:tcW w:w="2693" w:type="dxa"/>
            <w:vAlign w:val="center"/>
          </w:tcPr>
          <w:p w14:paraId="499C0EF9" w14:textId="77777777" w:rsidR="00E21EB5" w:rsidRPr="00BE5A28" w:rsidRDefault="00E21EB5" w:rsidP="00E14DEC">
            <w:pPr>
              <w:pStyle w:val="In-tableHeading"/>
              <w:keepNext w:val="0"/>
            </w:pPr>
            <w:r w:rsidRPr="00BE5A28">
              <w:t>Value</w:t>
            </w:r>
          </w:p>
        </w:tc>
        <w:tc>
          <w:tcPr>
            <w:tcW w:w="1843" w:type="dxa"/>
            <w:vAlign w:val="center"/>
          </w:tcPr>
          <w:p w14:paraId="02F7363E" w14:textId="77777777" w:rsidR="00E21EB5" w:rsidRPr="00BE5A28" w:rsidRDefault="00E21EB5" w:rsidP="00E14DEC">
            <w:pPr>
              <w:pStyle w:val="In-tableHeading"/>
              <w:keepNext w:val="0"/>
            </w:pPr>
            <w:r w:rsidRPr="00BE5A28">
              <w:t>Source</w:t>
            </w:r>
          </w:p>
        </w:tc>
        <w:tc>
          <w:tcPr>
            <w:tcW w:w="3231" w:type="dxa"/>
            <w:vAlign w:val="center"/>
          </w:tcPr>
          <w:p w14:paraId="60E88EA9" w14:textId="516BA2BB" w:rsidR="00E21EB5" w:rsidRPr="00BE5A28" w:rsidRDefault="00E21EB5" w:rsidP="00E14DEC">
            <w:pPr>
              <w:pStyle w:val="In-tableHeading"/>
              <w:keepNext w:val="0"/>
            </w:pPr>
            <w:r w:rsidRPr="00BE5A28">
              <w:t>Comment</w:t>
            </w:r>
            <w:r w:rsidR="00D70049">
              <w:t>/DUSC advice</w:t>
            </w:r>
          </w:p>
        </w:tc>
      </w:tr>
      <w:tr w:rsidR="00E21EB5" w:rsidRPr="00BE5A28" w14:paraId="40FAFBCE" w14:textId="77777777" w:rsidTr="00862D73">
        <w:tc>
          <w:tcPr>
            <w:tcW w:w="9180" w:type="dxa"/>
            <w:gridSpan w:val="4"/>
            <w:vAlign w:val="center"/>
          </w:tcPr>
          <w:p w14:paraId="5EAD7F56" w14:textId="77777777" w:rsidR="00E21EB5" w:rsidRPr="00BE5A28" w:rsidRDefault="00E21EB5" w:rsidP="00E14DEC">
            <w:pPr>
              <w:pStyle w:val="In-tableHeading"/>
              <w:keepNext w:val="0"/>
            </w:pPr>
            <w:r w:rsidRPr="00BE5A28">
              <w:t>Eligible population</w:t>
            </w:r>
          </w:p>
        </w:tc>
      </w:tr>
      <w:tr w:rsidR="00E21EB5" w:rsidRPr="00BE5A28" w14:paraId="689703A5" w14:textId="77777777" w:rsidTr="00A10031">
        <w:tc>
          <w:tcPr>
            <w:tcW w:w="1413" w:type="dxa"/>
            <w:vAlign w:val="center"/>
          </w:tcPr>
          <w:p w14:paraId="779AE772" w14:textId="77777777" w:rsidR="00E21EB5" w:rsidRPr="00BE5A28" w:rsidRDefault="00E21EB5" w:rsidP="00E14DEC">
            <w:pPr>
              <w:pStyle w:val="TableText0"/>
              <w:keepNext w:val="0"/>
              <w:jc w:val="left"/>
            </w:pPr>
            <w:r w:rsidRPr="00F66328">
              <w:t>Incidence of disease</w:t>
            </w:r>
          </w:p>
        </w:tc>
        <w:tc>
          <w:tcPr>
            <w:tcW w:w="2693" w:type="dxa"/>
            <w:vAlign w:val="center"/>
          </w:tcPr>
          <w:p w14:paraId="0CAE09E9" w14:textId="77777777" w:rsidR="00E21EB5" w:rsidRDefault="00E21EB5" w:rsidP="00E14DEC">
            <w:pPr>
              <w:pStyle w:val="TableText0"/>
              <w:keepNext w:val="0"/>
              <w:jc w:val="left"/>
            </w:pPr>
            <w:r>
              <w:t xml:space="preserve">Germany: 0.002 per 100,000 </w:t>
            </w:r>
          </w:p>
          <w:p w14:paraId="0BBEEF1D" w14:textId="77777777" w:rsidR="00E21EB5" w:rsidRPr="00BE5A28" w:rsidRDefault="00E21EB5" w:rsidP="00E14DEC">
            <w:pPr>
              <w:pStyle w:val="TableText0"/>
              <w:keepNext w:val="0"/>
              <w:jc w:val="left"/>
            </w:pPr>
            <w:r>
              <w:t xml:space="preserve">Australia: 0.00167 per 100,000 </w:t>
            </w:r>
          </w:p>
        </w:tc>
        <w:tc>
          <w:tcPr>
            <w:tcW w:w="1843" w:type="dxa"/>
            <w:vAlign w:val="center"/>
          </w:tcPr>
          <w:p w14:paraId="36E7D93E" w14:textId="77777777" w:rsidR="00E21EB5" w:rsidRPr="00BE5A28" w:rsidRDefault="00E21EB5" w:rsidP="00E14DEC">
            <w:pPr>
              <w:pStyle w:val="TableText0"/>
              <w:keepNext w:val="0"/>
            </w:pPr>
            <w:r>
              <w:t>Calculated using the number of FOP patients in Australia and the modelled duration of disease from economic model</w:t>
            </w:r>
          </w:p>
        </w:tc>
        <w:tc>
          <w:tcPr>
            <w:tcW w:w="3231" w:type="dxa"/>
            <w:vAlign w:val="center"/>
          </w:tcPr>
          <w:p w14:paraId="7785F1B7" w14:textId="0C86A17D" w:rsidR="00E21EB5" w:rsidRPr="00E21EB5" w:rsidRDefault="00E21EB5" w:rsidP="00E14DEC">
            <w:pPr>
              <w:pStyle w:val="TableText0"/>
              <w:keepNext w:val="0"/>
              <w:jc w:val="left"/>
            </w:pPr>
            <w:r w:rsidRPr="00E21EB5">
              <w:t>The modelled of duration of disease (expected survival) was highly uncertain and likely inaccurately estimated</w:t>
            </w:r>
            <w:r w:rsidR="00D70049">
              <w:t>.</w:t>
            </w:r>
          </w:p>
        </w:tc>
      </w:tr>
      <w:tr w:rsidR="00E21EB5" w:rsidRPr="00BE5A28" w14:paraId="3EC3D698" w14:textId="77777777" w:rsidTr="00A10031">
        <w:tc>
          <w:tcPr>
            <w:tcW w:w="1413" w:type="dxa"/>
            <w:vAlign w:val="center"/>
          </w:tcPr>
          <w:p w14:paraId="0473CF0D" w14:textId="77777777" w:rsidR="00E21EB5" w:rsidRPr="00BE5A28" w:rsidRDefault="00E21EB5" w:rsidP="00E14DEC">
            <w:pPr>
              <w:pStyle w:val="TableText0"/>
              <w:keepNext w:val="0"/>
              <w:jc w:val="left"/>
            </w:pPr>
            <w:r>
              <w:t xml:space="preserve">Prevalent patients (number of </w:t>
            </w:r>
            <w:r w:rsidRPr="00F66328">
              <w:t>registered FOP patients</w:t>
            </w:r>
            <w:r>
              <w:t>)</w:t>
            </w:r>
          </w:p>
        </w:tc>
        <w:tc>
          <w:tcPr>
            <w:tcW w:w="2693" w:type="dxa"/>
            <w:vAlign w:val="center"/>
          </w:tcPr>
          <w:p w14:paraId="69DACDBB" w14:textId="04E1CEE3" w:rsidR="00E21EB5" w:rsidRPr="004F67B1" w:rsidRDefault="00BD51C6" w:rsidP="00E14DEC">
            <w:pPr>
              <w:pStyle w:val="TableText0"/>
              <w:keepNext w:val="0"/>
              <w:jc w:val="left"/>
              <w:rPr>
                <w:vertAlign w:val="superscript"/>
              </w:rPr>
            </w:pPr>
            <w:r w:rsidRPr="00BD51C6">
              <w:rPr>
                <w:color w:val="000000"/>
                <w:spacing w:val="53"/>
                <w:shd w:val="solid" w:color="000000" w:fill="000000"/>
                <w:fitText w:val="330" w:id="-761524467"/>
                <w14:textFill>
                  <w14:solidFill>
                    <w14:srgbClr w14:val="000000">
                      <w14:alpha w14:val="100000"/>
                    </w14:srgbClr>
                  </w14:solidFill>
                </w14:textFill>
              </w:rPr>
              <w:t>|||</w:t>
            </w:r>
            <w:r w:rsidRPr="00BD51C6">
              <w:rPr>
                <w:color w:val="000000"/>
                <w:spacing w:val="1"/>
                <w:shd w:val="solid" w:color="000000" w:fill="000000"/>
                <w:fitText w:val="330" w:id="-761524467"/>
                <w14:textFill>
                  <w14:solidFill>
                    <w14:srgbClr w14:val="000000">
                      <w14:alpha w14:val="100000"/>
                    </w14:srgbClr>
                  </w14:solidFill>
                </w14:textFill>
              </w:rPr>
              <w:t>|</w:t>
            </w:r>
            <w:r w:rsidR="004F67B1">
              <w:t xml:space="preserve"> </w:t>
            </w:r>
            <w:r w:rsidR="004F67B1">
              <w:rPr>
                <w:vertAlign w:val="superscript"/>
              </w:rPr>
              <w:t>1</w:t>
            </w:r>
          </w:p>
          <w:p w14:paraId="0A137EFD" w14:textId="63C76DC1" w:rsidR="00E21EB5" w:rsidRDefault="00E21EB5" w:rsidP="00E14DEC">
            <w:pPr>
              <w:pStyle w:val="TableText0"/>
              <w:keepNext w:val="0"/>
              <w:jc w:val="left"/>
            </w:pPr>
            <w:r w:rsidRPr="00F66328">
              <w:t>Anticipated number of additional unregistered FOP patient</w:t>
            </w:r>
            <w:r>
              <w:t xml:space="preserve">: </w:t>
            </w:r>
            <w:r w:rsidR="00BD51C6" w:rsidRPr="00BD51C6">
              <w:rPr>
                <w:color w:val="000000"/>
                <w:spacing w:val="53"/>
                <w:shd w:val="solid" w:color="000000" w:fill="000000"/>
                <w:fitText w:val="330" w:id="-761524466"/>
                <w14:textFill>
                  <w14:solidFill>
                    <w14:srgbClr w14:val="000000">
                      <w14:alpha w14:val="100000"/>
                    </w14:srgbClr>
                  </w14:solidFill>
                </w14:textFill>
              </w:rPr>
              <w:t>|||</w:t>
            </w:r>
            <w:r w:rsidR="00BD51C6" w:rsidRPr="00BD51C6">
              <w:rPr>
                <w:color w:val="000000"/>
                <w:spacing w:val="1"/>
                <w:shd w:val="solid" w:color="000000" w:fill="000000"/>
                <w:fitText w:val="330" w:id="-761524466"/>
                <w14:textFill>
                  <w14:solidFill>
                    <w14:srgbClr w14:val="000000">
                      <w14:alpha w14:val="100000"/>
                    </w14:srgbClr>
                  </w14:solidFill>
                </w14:textFill>
              </w:rPr>
              <w:t>|</w:t>
            </w:r>
            <w:r w:rsidR="004F67B1">
              <w:t xml:space="preserve"> </w:t>
            </w:r>
            <w:r w:rsidR="004F67B1">
              <w:rPr>
                <w:vertAlign w:val="superscript"/>
              </w:rPr>
              <w:t>1</w:t>
            </w:r>
          </w:p>
          <w:p w14:paraId="28FB73A6" w14:textId="77777777" w:rsidR="00E21EB5" w:rsidRPr="00BE5A28" w:rsidRDefault="00E21EB5" w:rsidP="00E14DEC">
            <w:pPr>
              <w:pStyle w:val="TableText0"/>
              <w:keepNext w:val="0"/>
              <w:jc w:val="left"/>
            </w:pPr>
            <w:r>
              <w:t xml:space="preserve">Prevalence rate of 0.762 </w:t>
            </w:r>
          </w:p>
        </w:tc>
        <w:tc>
          <w:tcPr>
            <w:tcW w:w="1843" w:type="dxa"/>
            <w:vAlign w:val="center"/>
          </w:tcPr>
          <w:p w14:paraId="51906292" w14:textId="77777777" w:rsidR="00E21EB5" w:rsidRDefault="00E21EB5" w:rsidP="00E14DEC">
            <w:pPr>
              <w:pStyle w:val="TableText0"/>
              <w:keepNext w:val="0"/>
              <w:rPr>
                <w:szCs w:val="20"/>
              </w:rPr>
            </w:pPr>
            <w:r>
              <w:rPr>
                <w:szCs w:val="20"/>
              </w:rPr>
              <w:t>FOP Australia and Sponsor market data</w:t>
            </w:r>
          </w:p>
          <w:p w14:paraId="2B226EE1" w14:textId="77777777" w:rsidR="00E21EB5" w:rsidRPr="00BE5A28" w:rsidRDefault="00E21EB5" w:rsidP="00E14DEC">
            <w:pPr>
              <w:pStyle w:val="TableText0"/>
              <w:keepNext w:val="0"/>
            </w:pPr>
            <w:r>
              <w:t>Prevalence rate calculated by registered FOP patients over estimated 2024 Australian population</w:t>
            </w:r>
          </w:p>
        </w:tc>
        <w:tc>
          <w:tcPr>
            <w:tcW w:w="3231" w:type="dxa"/>
            <w:vAlign w:val="center"/>
          </w:tcPr>
          <w:p w14:paraId="63048088" w14:textId="4CEC4266" w:rsidR="00E21EB5" w:rsidRPr="00D70049" w:rsidRDefault="00D70049" w:rsidP="00E14DEC">
            <w:pPr>
              <w:pStyle w:val="TableText0"/>
              <w:keepNext w:val="0"/>
              <w:jc w:val="left"/>
            </w:pPr>
            <w:r w:rsidRPr="00D70049">
              <w:t>DUSC considered this estimate to be reasonable and noted the similarity to prevalence used in the Canadian Agency for Drugs and Technology in Health (CADITH) approval which was 1 per million people. DUSC agreed the addition of two extra patients to account for patients who may not be registered with FOP Australia was reasonable.</w:t>
            </w:r>
          </w:p>
        </w:tc>
      </w:tr>
      <w:tr w:rsidR="00E21EB5" w:rsidRPr="00BE5A28" w14:paraId="0C6F1588" w14:textId="77777777" w:rsidTr="00A10031">
        <w:tc>
          <w:tcPr>
            <w:tcW w:w="1413" w:type="dxa"/>
            <w:vAlign w:val="center"/>
          </w:tcPr>
          <w:p w14:paraId="7A0C625A" w14:textId="77777777" w:rsidR="00E21EB5" w:rsidRPr="00F66328" w:rsidRDefault="00E21EB5" w:rsidP="00E14DEC">
            <w:pPr>
              <w:pStyle w:val="TableText0"/>
              <w:keepNext w:val="0"/>
              <w:jc w:val="left"/>
            </w:pPr>
            <w:r w:rsidRPr="00F66328">
              <w:t xml:space="preserve">Distribution of </w:t>
            </w:r>
            <w:r>
              <w:t>patient age groups</w:t>
            </w:r>
          </w:p>
        </w:tc>
        <w:tc>
          <w:tcPr>
            <w:tcW w:w="2693" w:type="dxa"/>
            <w:vAlign w:val="center"/>
          </w:tcPr>
          <w:p w14:paraId="48260E6E" w14:textId="77777777" w:rsidR="00E21EB5" w:rsidRDefault="00E21EB5" w:rsidP="00E14DEC">
            <w:pPr>
              <w:pStyle w:val="TableText0"/>
              <w:keepNext w:val="0"/>
              <w:jc w:val="left"/>
            </w:pPr>
            <w:r>
              <w:t>8 years to &lt; 15 years: 41%</w:t>
            </w:r>
          </w:p>
          <w:p w14:paraId="770475FD" w14:textId="77777777" w:rsidR="00E21EB5" w:rsidRDefault="00E21EB5" w:rsidP="00E14DEC">
            <w:pPr>
              <w:pStyle w:val="TableText0"/>
              <w:keepNext w:val="0"/>
              <w:jc w:val="left"/>
            </w:pPr>
            <w:r>
              <w:t>15 years to &lt; 25 years: 34%</w:t>
            </w:r>
          </w:p>
          <w:p w14:paraId="012F578F" w14:textId="77777777" w:rsidR="00E21EB5" w:rsidRPr="00F66328" w:rsidRDefault="00E21EB5" w:rsidP="00E14DEC">
            <w:pPr>
              <w:pStyle w:val="TableText0"/>
              <w:keepNext w:val="0"/>
              <w:jc w:val="left"/>
            </w:pPr>
            <w:r>
              <w:t>25 years +: 25%</w:t>
            </w:r>
          </w:p>
        </w:tc>
        <w:tc>
          <w:tcPr>
            <w:tcW w:w="1843" w:type="dxa"/>
            <w:vAlign w:val="center"/>
          </w:tcPr>
          <w:p w14:paraId="103ECB1D" w14:textId="77777777" w:rsidR="00E21EB5" w:rsidRDefault="00E21EB5" w:rsidP="00E14DEC">
            <w:pPr>
              <w:pStyle w:val="TableText0"/>
              <w:keepNext w:val="0"/>
              <w:rPr>
                <w:szCs w:val="20"/>
              </w:rPr>
            </w:pPr>
            <w:r>
              <w:rPr>
                <w:szCs w:val="20"/>
              </w:rPr>
              <w:t>Economic model,</w:t>
            </w:r>
            <w:r w:rsidRPr="00F66328">
              <w:rPr>
                <w:szCs w:val="20"/>
              </w:rPr>
              <w:t xml:space="preserve"> </w:t>
            </w:r>
            <w:r>
              <w:rPr>
                <w:szCs w:val="20"/>
              </w:rPr>
              <w:t xml:space="preserve">based on MOVE </w:t>
            </w:r>
          </w:p>
        </w:tc>
        <w:tc>
          <w:tcPr>
            <w:tcW w:w="3231" w:type="dxa"/>
            <w:vAlign w:val="center"/>
          </w:tcPr>
          <w:p w14:paraId="5402D9EC" w14:textId="4AE4D257" w:rsidR="00E21EB5" w:rsidRPr="00E21EB5" w:rsidRDefault="00E21EB5" w:rsidP="00E14DEC">
            <w:pPr>
              <w:pStyle w:val="TableText0"/>
              <w:keepNext w:val="0"/>
              <w:jc w:val="left"/>
            </w:pPr>
            <w:r w:rsidRPr="00E21EB5">
              <w:t>There was no evidence to support that the distribution of age categories in Australia would reflect those in MOVE</w:t>
            </w:r>
            <w:r w:rsidRPr="008B2D18">
              <w:t xml:space="preserve">. </w:t>
            </w:r>
            <w:r w:rsidR="008B2D18" w:rsidRPr="008B2D18">
              <w:t>DUSC considered that the current prevalent population will be older than the emerging incident population. DUSC considered building the model according to the FOP Australia age distribution would be more appropriate to form accurate estimates.</w:t>
            </w:r>
            <w:r w:rsidR="00357D33">
              <w:t xml:space="preserve"> </w:t>
            </w:r>
          </w:p>
        </w:tc>
      </w:tr>
      <w:tr w:rsidR="00E21EB5" w:rsidRPr="00BE5A28" w14:paraId="6CA8263C" w14:textId="77777777" w:rsidTr="00A10031">
        <w:tc>
          <w:tcPr>
            <w:tcW w:w="1413" w:type="dxa"/>
            <w:vAlign w:val="center"/>
          </w:tcPr>
          <w:p w14:paraId="1C99B5A9" w14:textId="5762BB2C" w:rsidR="00E21EB5" w:rsidRPr="00F66328" w:rsidRDefault="00E21EB5" w:rsidP="00E14DEC">
            <w:pPr>
              <w:pStyle w:val="TableText0"/>
              <w:keepNext w:val="0"/>
              <w:jc w:val="left"/>
            </w:pPr>
            <w:r w:rsidRPr="00F66328">
              <w:t xml:space="preserve">Body weight category distribution of patients </w:t>
            </w:r>
            <w:r w:rsidR="00A10031" w:rsidRPr="00F66328">
              <w:t>&lt;</w:t>
            </w:r>
            <w:r w:rsidR="00A10031">
              <w:t> </w:t>
            </w:r>
            <w:r w:rsidRPr="00F66328">
              <w:t>15</w:t>
            </w:r>
            <w:r w:rsidR="00A10031">
              <w:t> </w:t>
            </w:r>
            <w:r w:rsidRPr="00F66328">
              <w:t>years</w:t>
            </w:r>
          </w:p>
        </w:tc>
        <w:tc>
          <w:tcPr>
            <w:tcW w:w="2693" w:type="dxa"/>
            <w:vAlign w:val="center"/>
          </w:tcPr>
          <w:p w14:paraId="4FDAD129" w14:textId="77777777" w:rsidR="00E21EB5" w:rsidRDefault="00E21EB5" w:rsidP="00E14DEC">
            <w:pPr>
              <w:pStyle w:val="TableText0"/>
              <w:keepNext w:val="0"/>
              <w:jc w:val="left"/>
            </w:pPr>
            <w:r>
              <w:t>Proportion skeletally immature: 63%</w:t>
            </w:r>
          </w:p>
          <w:p w14:paraId="1896F7A6" w14:textId="77777777" w:rsidR="00E21EB5" w:rsidRDefault="00E21EB5" w:rsidP="00E14DEC">
            <w:pPr>
              <w:pStyle w:val="TableText0"/>
              <w:keepNext w:val="0"/>
              <w:jc w:val="left"/>
            </w:pPr>
            <w:r>
              <w:t>&lt;20 kg: 10%</w:t>
            </w:r>
          </w:p>
          <w:p w14:paraId="72A76867" w14:textId="77777777" w:rsidR="00E21EB5" w:rsidRDefault="00E21EB5" w:rsidP="00E14DEC">
            <w:pPr>
              <w:pStyle w:val="TableText0"/>
              <w:keepNext w:val="0"/>
              <w:jc w:val="left"/>
            </w:pPr>
            <w:r>
              <w:t>20 - &lt;40 kg: 74%</w:t>
            </w:r>
          </w:p>
          <w:p w14:paraId="1B5D341A" w14:textId="77777777" w:rsidR="00E21EB5" w:rsidRDefault="00E21EB5" w:rsidP="00E14DEC">
            <w:pPr>
              <w:pStyle w:val="TableText0"/>
              <w:keepNext w:val="0"/>
              <w:jc w:val="left"/>
            </w:pPr>
            <w:r>
              <w:t>40 - &lt;60 kg: 13%</w:t>
            </w:r>
          </w:p>
          <w:p w14:paraId="61A48683" w14:textId="77777777" w:rsidR="00E21EB5" w:rsidRPr="00F66328" w:rsidRDefault="00E21EB5" w:rsidP="00E14DEC">
            <w:pPr>
              <w:pStyle w:val="TableText0"/>
              <w:keepNext w:val="0"/>
              <w:jc w:val="left"/>
            </w:pPr>
            <w:r>
              <w:t>&gt;= 60 kg: 3%</w:t>
            </w:r>
          </w:p>
        </w:tc>
        <w:tc>
          <w:tcPr>
            <w:tcW w:w="1843" w:type="dxa"/>
            <w:vAlign w:val="center"/>
          </w:tcPr>
          <w:p w14:paraId="7FC92AD9" w14:textId="77777777" w:rsidR="00E21EB5" w:rsidRDefault="00E21EB5" w:rsidP="00E14DEC">
            <w:pPr>
              <w:pStyle w:val="TableText0"/>
              <w:keepNext w:val="0"/>
              <w:rPr>
                <w:szCs w:val="20"/>
              </w:rPr>
            </w:pPr>
            <w:r>
              <w:rPr>
                <w:szCs w:val="20"/>
              </w:rPr>
              <w:t>Economic model, based on MOVE</w:t>
            </w:r>
          </w:p>
        </w:tc>
        <w:tc>
          <w:tcPr>
            <w:tcW w:w="3231" w:type="dxa"/>
            <w:vAlign w:val="center"/>
          </w:tcPr>
          <w:p w14:paraId="637DD02C" w14:textId="77777777" w:rsidR="00E21EB5" w:rsidRPr="00E21EB5" w:rsidRDefault="00E21EB5" w:rsidP="00E14DEC">
            <w:pPr>
              <w:pStyle w:val="TableText0"/>
              <w:keepNext w:val="0"/>
              <w:jc w:val="left"/>
            </w:pPr>
            <w:r w:rsidRPr="00E21EB5">
              <w:t>This likely reflected the best available evidence. However, this would likely be dependent on the age of initiating patients, which remains highly uncertain.</w:t>
            </w:r>
          </w:p>
        </w:tc>
      </w:tr>
      <w:tr w:rsidR="00E21EB5" w:rsidRPr="00BE5A28" w14:paraId="508AB958" w14:textId="77777777" w:rsidTr="00A10031">
        <w:tc>
          <w:tcPr>
            <w:tcW w:w="1413" w:type="dxa"/>
            <w:vAlign w:val="center"/>
          </w:tcPr>
          <w:p w14:paraId="09CFCE7A" w14:textId="77777777" w:rsidR="00E21EB5" w:rsidRPr="00F66328" w:rsidRDefault="00E21EB5" w:rsidP="00E14DEC">
            <w:pPr>
              <w:pStyle w:val="TableText0"/>
              <w:keepNext w:val="0"/>
              <w:jc w:val="left"/>
            </w:pPr>
            <w:r w:rsidRPr="00F66328">
              <w:t>Annual incidence rate of flare-ups</w:t>
            </w:r>
          </w:p>
        </w:tc>
        <w:tc>
          <w:tcPr>
            <w:tcW w:w="2693" w:type="dxa"/>
            <w:vAlign w:val="center"/>
          </w:tcPr>
          <w:p w14:paraId="0430C968" w14:textId="77777777" w:rsidR="00E21EB5" w:rsidRDefault="00E21EB5" w:rsidP="00E14DEC">
            <w:pPr>
              <w:pStyle w:val="TableText0"/>
              <w:keepNext w:val="0"/>
              <w:jc w:val="left"/>
            </w:pPr>
            <w:r>
              <w:t>8 years to &lt; 15 years: 1.51</w:t>
            </w:r>
          </w:p>
          <w:p w14:paraId="5EAB5F44" w14:textId="77777777" w:rsidR="00E21EB5" w:rsidRDefault="00E21EB5" w:rsidP="00E14DEC">
            <w:pPr>
              <w:pStyle w:val="TableText0"/>
              <w:keepNext w:val="0"/>
              <w:jc w:val="left"/>
            </w:pPr>
            <w:r>
              <w:t>15 years to &lt; 25 years: 2.18</w:t>
            </w:r>
          </w:p>
          <w:p w14:paraId="6F728E4A" w14:textId="77777777" w:rsidR="00E21EB5" w:rsidRDefault="00E21EB5" w:rsidP="00E14DEC">
            <w:pPr>
              <w:pStyle w:val="TableText0"/>
              <w:keepNext w:val="0"/>
              <w:jc w:val="left"/>
            </w:pPr>
            <w:r>
              <w:t>25 years +: 0.94</w:t>
            </w:r>
          </w:p>
        </w:tc>
        <w:tc>
          <w:tcPr>
            <w:tcW w:w="1843" w:type="dxa"/>
            <w:vAlign w:val="center"/>
          </w:tcPr>
          <w:p w14:paraId="18C99DE1" w14:textId="77777777" w:rsidR="00E21EB5" w:rsidRPr="00F66328" w:rsidRDefault="00E21EB5" w:rsidP="00E14DEC">
            <w:pPr>
              <w:pStyle w:val="TableText0"/>
              <w:keepNext w:val="0"/>
              <w:rPr>
                <w:szCs w:val="20"/>
              </w:rPr>
            </w:pPr>
            <w:r w:rsidRPr="00F66328">
              <w:rPr>
                <w:szCs w:val="20"/>
              </w:rPr>
              <w:t>IPD analysis of MOVE data</w:t>
            </w:r>
          </w:p>
        </w:tc>
        <w:tc>
          <w:tcPr>
            <w:tcW w:w="3231" w:type="dxa"/>
            <w:vAlign w:val="center"/>
          </w:tcPr>
          <w:p w14:paraId="09BA70EC" w14:textId="0EACF847" w:rsidR="00E21EB5" w:rsidRPr="00E21EB5" w:rsidRDefault="00E21EB5" w:rsidP="00E14DEC">
            <w:pPr>
              <w:pStyle w:val="TableText0"/>
              <w:keepNext w:val="0"/>
              <w:jc w:val="left"/>
            </w:pPr>
            <w:r w:rsidRPr="00E21EB5">
              <w:t>This likely reflected the best available evidence</w:t>
            </w:r>
            <w:r w:rsidR="008B2D18">
              <w:t>.</w:t>
            </w:r>
          </w:p>
        </w:tc>
      </w:tr>
      <w:tr w:rsidR="00E21EB5" w:rsidRPr="00BE5A28" w14:paraId="0E9759C0" w14:textId="77777777" w:rsidTr="00A10031">
        <w:tc>
          <w:tcPr>
            <w:tcW w:w="1413" w:type="dxa"/>
            <w:vAlign w:val="center"/>
          </w:tcPr>
          <w:p w14:paraId="74F533DE" w14:textId="77777777" w:rsidR="00E21EB5" w:rsidRPr="00F66328" w:rsidRDefault="00E21EB5" w:rsidP="00E14DEC">
            <w:pPr>
              <w:pStyle w:val="TableText0"/>
              <w:keepNext w:val="0"/>
              <w:jc w:val="left"/>
            </w:pPr>
            <w:r w:rsidRPr="00F66328">
              <w:t>Mortality for PVO treated patients</w:t>
            </w:r>
          </w:p>
        </w:tc>
        <w:tc>
          <w:tcPr>
            <w:tcW w:w="2693" w:type="dxa"/>
            <w:vAlign w:val="center"/>
          </w:tcPr>
          <w:p w14:paraId="7DD3AFC0" w14:textId="77777777" w:rsidR="00E21EB5" w:rsidRDefault="00E21EB5" w:rsidP="00E14DEC">
            <w:pPr>
              <w:pStyle w:val="TableText0"/>
              <w:keepNext w:val="0"/>
              <w:jc w:val="left"/>
            </w:pPr>
            <w:r>
              <w:t>Year</w:t>
            </w:r>
            <w:r>
              <w:tab/>
              <w:t>Age</w:t>
            </w:r>
            <w:r>
              <w:tab/>
              <w:t>Survival</w:t>
            </w:r>
          </w:p>
          <w:p w14:paraId="3D0A4C5D" w14:textId="77777777" w:rsidR="00E21EB5" w:rsidRDefault="00E21EB5" w:rsidP="00E14DEC">
            <w:pPr>
              <w:pStyle w:val="TableText0"/>
              <w:keepNext w:val="0"/>
              <w:jc w:val="left"/>
            </w:pPr>
            <w:r>
              <w:t>2024</w:t>
            </w:r>
            <w:r>
              <w:tab/>
              <w:t>19.9</w:t>
            </w:r>
            <w:r>
              <w:tab/>
              <w:t>1.00</w:t>
            </w:r>
          </w:p>
          <w:p w14:paraId="4F20701D" w14:textId="77777777" w:rsidR="00E21EB5" w:rsidRDefault="00E21EB5" w:rsidP="00E14DEC">
            <w:pPr>
              <w:pStyle w:val="TableText0"/>
              <w:keepNext w:val="0"/>
              <w:jc w:val="left"/>
            </w:pPr>
            <w:r>
              <w:t>2025</w:t>
            </w:r>
            <w:r>
              <w:tab/>
              <w:t>20.9</w:t>
            </w:r>
            <w:r>
              <w:tab/>
              <w:t>0.99</w:t>
            </w:r>
          </w:p>
          <w:p w14:paraId="2A79EAB1" w14:textId="77777777" w:rsidR="00E21EB5" w:rsidRDefault="00E21EB5" w:rsidP="00E14DEC">
            <w:pPr>
              <w:pStyle w:val="TableText0"/>
              <w:keepNext w:val="0"/>
              <w:jc w:val="left"/>
            </w:pPr>
            <w:r>
              <w:t>2026</w:t>
            </w:r>
            <w:r>
              <w:tab/>
              <w:t>21.9</w:t>
            </w:r>
            <w:r>
              <w:tab/>
              <w:t>0.96</w:t>
            </w:r>
          </w:p>
          <w:p w14:paraId="222D6032" w14:textId="77777777" w:rsidR="00E21EB5" w:rsidRDefault="00E21EB5" w:rsidP="00E14DEC">
            <w:pPr>
              <w:pStyle w:val="TableText0"/>
              <w:keepNext w:val="0"/>
              <w:jc w:val="left"/>
            </w:pPr>
            <w:r>
              <w:t>2027</w:t>
            </w:r>
            <w:r>
              <w:tab/>
              <w:t>22.9</w:t>
            </w:r>
            <w:r>
              <w:tab/>
              <w:t>0.94</w:t>
            </w:r>
          </w:p>
          <w:p w14:paraId="41D0141D" w14:textId="77777777" w:rsidR="00E21EB5" w:rsidRDefault="00E21EB5" w:rsidP="00E14DEC">
            <w:pPr>
              <w:pStyle w:val="TableText0"/>
              <w:keepNext w:val="0"/>
              <w:jc w:val="left"/>
            </w:pPr>
            <w:r>
              <w:t>2028</w:t>
            </w:r>
            <w:r>
              <w:tab/>
              <w:t>23.9</w:t>
            </w:r>
            <w:r>
              <w:tab/>
              <w:t>0.93</w:t>
            </w:r>
          </w:p>
          <w:p w14:paraId="66A06DFB" w14:textId="77777777" w:rsidR="00E21EB5" w:rsidRDefault="00E21EB5" w:rsidP="00E14DEC">
            <w:pPr>
              <w:pStyle w:val="TableText0"/>
              <w:keepNext w:val="0"/>
              <w:jc w:val="left"/>
            </w:pPr>
            <w:r>
              <w:t>2029</w:t>
            </w:r>
            <w:r>
              <w:tab/>
              <w:t>24.9</w:t>
            </w:r>
            <w:r>
              <w:tab/>
              <w:t>0.91</w:t>
            </w:r>
          </w:p>
          <w:p w14:paraId="33A82108" w14:textId="77777777" w:rsidR="00E21EB5" w:rsidRDefault="00E21EB5" w:rsidP="00E14DEC">
            <w:pPr>
              <w:pStyle w:val="TableText0"/>
              <w:keepNext w:val="0"/>
              <w:jc w:val="left"/>
            </w:pPr>
            <w:r>
              <w:t>2030</w:t>
            </w:r>
            <w:r>
              <w:tab/>
              <w:t>25.9</w:t>
            </w:r>
            <w:r>
              <w:tab/>
              <w:t>0.90</w:t>
            </w:r>
          </w:p>
        </w:tc>
        <w:tc>
          <w:tcPr>
            <w:tcW w:w="1843" w:type="dxa"/>
            <w:vAlign w:val="center"/>
          </w:tcPr>
          <w:p w14:paraId="54080A7E" w14:textId="77777777" w:rsidR="00E21EB5" w:rsidRPr="00F66328" w:rsidRDefault="00E21EB5" w:rsidP="00E14DEC">
            <w:pPr>
              <w:pStyle w:val="TableText0"/>
              <w:keepNext w:val="0"/>
              <w:rPr>
                <w:szCs w:val="20"/>
              </w:rPr>
            </w:pPr>
            <w:r>
              <w:rPr>
                <w:szCs w:val="20"/>
              </w:rPr>
              <w:t>Economic model</w:t>
            </w:r>
            <w:r w:rsidRPr="00F66328">
              <w:rPr>
                <w:szCs w:val="20"/>
              </w:rPr>
              <w:t xml:space="preserve"> </w:t>
            </w:r>
          </w:p>
        </w:tc>
        <w:tc>
          <w:tcPr>
            <w:tcW w:w="3231" w:type="dxa"/>
            <w:vAlign w:val="center"/>
          </w:tcPr>
          <w:p w14:paraId="538774C4" w14:textId="79860D26" w:rsidR="00E21EB5" w:rsidRPr="00E21EB5" w:rsidRDefault="00E21EB5" w:rsidP="00E14DEC">
            <w:pPr>
              <w:pStyle w:val="TableText0"/>
              <w:keepNext w:val="0"/>
              <w:jc w:val="left"/>
            </w:pPr>
            <w:r w:rsidRPr="00E21EB5">
              <w:t>As discussed in the economics section, the mortality in PVO patients was uncertain</w:t>
            </w:r>
            <w:r w:rsidR="008B2D18">
              <w:t>. DUSC noted that mortality rates would be higher for older prevalent patients with significant pre-existing morbidity.</w:t>
            </w:r>
          </w:p>
        </w:tc>
      </w:tr>
      <w:tr w:rsidR="00E21EB5" w:rsidRPr="00BE5A28" w14:paraId="38788652" w14:textId="77777777" w:rsidTr="00862D73">
        <w:tc>
          <w:tcPr>
            <w:tcW w:w="9180" w:type="dxa"/>
            <w:gridSpan w:val="4"/>
            <w:vAlign w:val="center"/>
          </w:tcPr>
          <w:p w14:paraId="5F5AC65B" w14:textId="77777777" w:rsidR="00E21EB5" w:rsidRPr="00E21EB5" w:rsidRDefault="00E21EB5" w:rsidP="00E14DEC">
            <w:pPr>
              <w:pStyle w:val="TableText0"/>
              <w:jc w:val="left"/>
            </w:pPr>
            <w:r w:rsidRPr="00E21EB5">
              <w:lastRenderedPageBreak/>
              <w:t>Treatment utilisation</w:t>
            </w:r>
          </w:p>
        </w:tc>
      </w:tr>
      <w:tr w:rsidR="008B2D18" w:rsidRPr="00BE5A28" w14:paraId="0DFAA3F9" w14:textId="77777777" w:rsidTr="00A10031">
        <w:tc>
          <w:tcPr>
            <w:tcW w:w="1413" w:type="dxa"/>
            <w:vAlign w:val="center"/>
          </w:tcPr>
          <w:p w14:paraId="451344C5" w14:textId="0E48796D" w:rsidR="008B2D18" w:rsidRPr="00F66328" w:rsidRDefault="008B2D18" w:rsidP="00E14DEC">
            <w:pPr>
              <w:pStyle w:val="TableText0"/>
              <w:keepNext w:val="0"/>
              <w:jc w:val="left"/>
            </w:pPr>
            <w:r w:rsidRPr="00F66328">
              <w:t>Treatment duration based on flare-up incidence</w:t>
            </w:r>
            <w:r>
              <w:t xml:space="preserve"> (annual)</w:t>
            </w:r>
          </w:p>
        </w:tc>
        <w:tc>
          <w:tcPr>
            <w:tcW w:w="2693" w:type="dxa"/>
            <w:vAlign w:val="center"/>
          </w:tcPr>
          <w:p w14:paraId="0D66F2FD" w14:textId="77777777" w:rsidR="008B2D18" w:rsidRDefault="008B2D18" w:rsidP="00E14DEC">
            <w:pPr>
              <w:pStyle w:val="TableText0"/>
              <w:keepNext w:val="0"/>
              <w:jc w:val="left"/>
            </w:pPr>
            <w:r>
              <w:t>Chronic treatment duration:</w:t>
            </w:r>
          </w:p>
          <w:p w14:paraId="418483B7" w14:textId="77777777" w:rsidR="008B2D18" w:rsidRDefault="008B2D18" w:rsidP="00E14DEC">
            <w:pPr>
              <w:pStyle w:val="TableText0"/>
              <w:keepNext w:val="0"/>
              <w:jc w:val="left"/>
            </w:pPr>
            <w:r>
              <w:t>8 years to &lt; 15 years: 238 days</w:t>
            </w:r>
          </w:p>
          <w:p w14:paraId="13BDD8FA" w14:textId="77777777" w:rsidR="008B2D18" w:rsidRDefault="008B2D18" w:rsidP="00E14DEC">
            <w:pPr>
              <w:pStyle w:val="TableText0"/>
              <w:keepNext w:val="0"/>
              <w:jc w:val="left"/>
            </w:pPr>
            <w:r>
              <w:t>15 years to &lt; 25 years: 182 days</w:t>
            </w:r>
          </w:p>
          <w:p w14:paraId="7539ABF5" w14:textId="77777777" w:rsidR="008B2D18" w:rsidRDefault="008B2D18" w:rsidP="00E14DEC">
            <w:pPr>
              <w:pStyle w:val="TableText0"/>
              <w:keepNext w:val="0"/>
              <w:jc w:val="left"/>
            </w:pPr>
            <w:r>
              <w:t>25 years +: 286 days</w:t>
            </w:r>
          </w:p>
          <w:p w14:paraId="4086DE99" w14:textId="77777777" w:rsidR="008B2D18" w:rsidRDefault="008B2D18" w:rsidP="00E14DEC">
            <w:pPr>
              <w:pStyle w:val="TableText0"/>
              <w:keepNext w:val="0"/>
              <w:jc w:val="left"/>
            </w:pPr>
            <w:r>
              <w:t>Flare-up treatment duration:</w:t>
            </w:r>
          </w:p>
          <w:p w14:paraId="11167285" w14:textId="77777777" w:rsidR="008B2D18" w:rsidRDefault="008B2D18" w:rsidP="00E14DEC">
            <w:pPr>
              <w:pStyle w:val="TableText0"/>
              <w:keepNext w:val="0"/>
              <w:jc w:val="left"/>
            </w:pPr>
            <w:r>
              <w:t>8 years to &lt; 15 years: 127 days</w:t>
            </w:r>
          </w:p>
          <w:p w14:paraId="2534111D" w14:textId="77777777" w:rsidR="008B2D18" w:rsidRDefault="008B2D18" w:rsidP="00E14DEC">
            <w:pPr>
              <w:pStyle w:val="TableText0"/>
              <w:keepNext w:val="0"/>
              <w:jc w:val="left"/>
            </w:pPr>
            <w:r>
              <w:t>15 years to &lt; 25 years: 183 days</w:t>
            </w:r>
          </w:p>
          <w:p w14:paraId="0F420A44" w14:textId="5981533C" w:rsidR="008B2D18" w:rsidRDefault="008B2D18" w:rsidP="00E14DEC">
            <w:pPr>
              <w:pStyle w:val="TableText0"/>
              <w:keepNext w:val="0"/>
              <w:jc w:val="left"/>
            </w:pPr>
            <w:r>
              <w:t>25 years +: 79 days</w:t>
            </w:r>
          </w:p>
        </w:tc>
        <w:tc>
          <w:tcPr>
            <w:tcW w:w="1843" w:type="dxa"/>
            <w:vAlign w:val="center"/>
          </w:tcPr>
          <w:p w14:paraId="73909E3A" w14:textId="51630C7F" w:rsidR="008B2D18" w:rsidRDefault="008B2D18" w:rsidP="00E14DEC">
            <w:pPr>
              <w:pStyle w:val="TableText0"/>
              <w:keepNext w:val="0"/>
              <w:rPr>
                <w:szCs w:val="20"/>
              </w:rPr>
            </w:pPr>
            <w:r>
              <w:rPr>
                <w:szCs w:val="20"/>
              </w:rPr>
              <w:t>Economic model</w:t>
            </w:r>
          </w:p>
        </w:tc>
        <w:tc>
          <w:tcPr>
            <w:tcW w:w="3231" w:type="dxa"/>
            <w:vAlign w:val="center"/>
          </w:tcPr>
          <w:p w14:paraId="0E131ADF" w14:textId="06D06FC3" w:rsidR="008B2D18" w:rsidRPr="00E21EB5" w:rsidRDefault="008B2D18" w:rsidP="00E14DEC">
            <w:pPr>
              <w:pStyle w:val="TableText0"/>
              <w:keepNext w:val="0"/>
              <w:jc w:val="left"/>
            </w:pPr>
            <w:r w:rsidRPr="00E21EB5">
              <w:t xml:space="preserve">Using the median </w:t>
            </w:r>
            <w:r w:rsidR="00696F17">
              <w:t xml:space="preserve">(84 days) </w:t>
            </w:r>
            <w:r w:rsidRPr="00E21EB5">
              <w:t xml:space="preserve">rather than mean </w:t>
            </w:r>
            <w:r w:rsidR="00696F17">
              <w:t xml:space="preserve">(110 days) </w:t>
            </w:r>
            <w:r w:rsidRPr="00E21EB5">
              <w:t>duration of flare-ups likely underestimated the cost of palovarotene.</w:t>
            </w:r>
            <w:r>
              <w:t xml:space="preserve"> </w:t>
            </w:r>
            <w:r w:rsidR="00696F17">
              <w:t xml:space="preserve">The frequency of flare ups applied in the economic model </w:t>
            </w:r>
            <w:r w:rsidR="00133A18">
              <w:t xml:space="preserve">could not be verified during the evaluation and was uncertain. </w:t>
            </w:r>
          </w:p>
        </w:tc>
      </w:tr>
    </w:tbl>
    <w:p w14:paraId="5E1FF972" w14:textId="77777777" w:rsidR="00E21EB5" w:rsidRDefault="00E21EB5" w:rsidP="00A10031">
      <w:pPr>
        <w:pStyle w:val="FooterTableFigure"/>
        <w:keepNext/>
        <w:keepLines/>
      </w:pPr>
      <w:r w:rsidRPr="00BE5A28">
        <w:t xml:space="preserve">Source: </w:t>
      </w:r>
      <w:r>
        <w:t xml:space="preserve">Table 4.1-1, pp196-197 of the submission. </w:t>
      </w:r>
    </w:p>
    <w:p w14:paraId="0BB1629C" w14:textId="77777777" w:rsidR="00E21EB5" w:rsidRDefault="00E21EB5" w:rsidP="00E14DEC">
      <w:pPr>
        <w:pStyle w:val="FooterTableFigure"/>
        <w:keepLines/>
        <w:spacing w:after="0"/>
      </w:pPr>
      <w:r>
        <w:t xml:space="preserve">DPMQ = dispensed price per maximum quantity; FOP = fibrodysplasia ossificans progressiva; IPD = individual patient data; PI = product information; PVO = palovarotene; </w:t>
      </w:r>
      <w:proofErr w:type="spellStart"/>
      <w:r>
        <w:t>qd</w:t>
      </w:r>
      <w:proofErr w:type="spellEnd"/>
      <w:r>
        <w:t>=daily</w:t>
      </w:r>
    </w:p>
    <w:p w14:paraId="7C325149" w14:textId="77777777" w:rsidR="00BF0CC9" w:rsidRPr="00F56B14" w:rsidRDefault="00BF0CC9" w:rsidP="00BF0CC9">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3A2CBB97" w14:textId="49FCDB49" w:rsidR="00BF0CC9" w:rsidRPr="00E14DEC" w:rsidRDefault="00BF0CC9" w:rsidP="00E14DEC">
      <w:pPr>
        <w:pStyle w:val="FooterTableFigure"/>
        <w:rPr>
          <w:rFonts w:cstheme="minorHAnsi"/>
          <w:bCs/>
          <w:i/>
          <w:iCs/>
          <w:szCs w:val="18"/>
          <w:vertAlign w:val="superscript"/>
        </w:rPr>
      </w:pPr>
      <w:r w:rsidRPr="00F56B14">
        <w:rPr>
          <w:rFonts w:cstheme="minorHAnsi"/>
          <w:bCs/>
          <w:i/>
          <w:iCs/>
          <w:szCs w:val="18"/>
          <w:vertAlign w:val="superscript"/>
        </w:rPr>
        <w:t>1</w:t>
      </w:r>
      <w:r w:rsidR="00E14DEC">
        <w:rPr>
          <w:rFonts w:cstheme="minorHAnsi"/>
          <w:bCs/>
          <w:i/>
          <w:iCs/>
          <w:szCs w:val="18"/>
          <w:vertAlign w:val="superscript"/>
        </w:rPr>
        <w:t xml:space="preserve"> </w:t>
      </w:r>
      <w:r w:rsidR="00E14DEC" w:rsidRPr="00E14DEC">
        <w:rPr>
          <w:rFonts w:cstheme="minorHAnsi"/>
          <w:bCs/>
          <w:i/>
          <w:iCs/>
          <w:szCs w:val="18"/>
        </w:rPr>
        <w:t>&lt; 500</w:t>
      </w:r>
    </w:p>
    <w:p w14:paraId="2F20A622" w14:textId="7D52B49C" w:rsidR="00E21EB5" w:rsidRPr="005F30E1" w:rsidRDefault="00E21EB5" w:rsidP="005F30E1">
      <w:pPr>
        <w:pStyle w:val="3-BodyText"/>
        <w:rPr>
          <w:bCs/>
        </w:rPr>
      </w:pPr>
      <w:r>
        <w:t>A</w:t>
      </w:r>
      <w:r w:rsidRPr="00D82739">
        <w:t xml:space="preserve"> prevalence rate of 0.762 </w:t>
      </w:r>
      <w:r>
        <w:t xml:space="preserve">per million was calculated based on the number of registered FOP patients divided by the estimated total Australian population in 2024: </w:t>
      </w:r>
      <w:r w:rsidR="005F30E1" w:rsidRPr="005F30E1">
        <w:rPr>
          <w:bCs/>
        </w:rPr>
        <w:t>&lt; 500</w:t>
      </w:r>
      <w:r>
        <w:t>/</w:t>
      </w:r>
      <w:r w:rsidRPr="00A02CAD">
        <w:t>27,562,195</w:t>
      </w:r>
      <w:r>
        <w:t>. The</w:t>
      </w:r>
      <w:r w:rsidRPr="00D82739">
        <w:t xml:space="preserve"> duration of disease (43.61 years)</w:t>
      </w:r>
      <w:r>
        <w:t xml:space="preserve"> was</w:t>
      </w:r>
      <w:r w:rsidRPr="00D82739">
        <w:t xml:space="preserve"> </w:t>
      </w:r>
      <w:r>
        <w:t xml:space="preserve">assumed to be equal to the total estimated, undiscounted, life-years in the SoC arm of the economic evaluation. </w:t>
      </w:r>
      <w:r w:rsidRPr="00E21EB5">
        <w:t>The modelling of overall survival in the economic model was highly uncertain</w:t>
      </w:r>
      <w:r w:rsidR="00133A18">
        <w:t xml:space="preserve"> and unreliable</w:t>
      </w:r>
      <w:r w:rsidRPr="00E21EB5">
        <w:t>.</w:t>
      </w:r>
    </w:p>
    <w:p w14:paraId="12922751" w14:textId="77777777" w:rsidR="00E21EB5" w:rsidRPr="00575CF4" w:rsidRDefault="00E21EB5" w:rsidP="00E21EB5">
      <w:pPr>
        <w:pStyle w:val="3-BodyText"/>
      </w:pPr>
      <w:r w:rsidRPr="00D87861">
        <w:t xml:space="preserve">The submission calculated </w:t>
      </w:r>
      <w:r>
        <w:t xml:space="preserve">palovarotene costs in a manner consistent with the economic evaluation, by calculating annual costs by age group, and calculating an average cost based on changing proportions of patients. </w:t>
      </w:r>
      <w:r w:rsidRPr="00E21EB5">
        <w:t xml:space="preserve">As discussed above, the estimates of patient age were uncertain, both in terms of the applicability of MOVE patient age to the Australian population and in terms of the method of calculation itself. </w:t>
      </w:r>
    </w:p>
    <w:p w14:paraId="0BFB146A" w14:textId="77777777" w:rsidR="00E21EB5" w:rsidRPr="00E21EB5" w:rsidRDefault="00E21EB5" w:rsidP="00E21EB5">
      <w:pPr>
        <w:pStyle w:val="3-BodyText"/>
      </w:pPr>
      <w:r>
        <w:t xml:space="preserve">The submission did not estimate changes in use and financial impact of other medicines. </w:t>
      </w:r>
      <w:r w:rsidRPr="00E21EB5">
        <w:t xml:space="preserve">SoC treatments associated with FOP was unlikely to change as palovarotene is to be used with </w:t>
      </w:r>
      <w:proofErr w:type="spellStart"/>
      <w:r w:rsidRPr="00E21EB5">
        <w:t>SoC.</w:t>
      </w:r>
      <w:proofErr w:type="spellEnd"/>
      <w:r w:rsidRPr="00E21EB5">
        <w:t xml:space="preserve"> It would be expected that palovarotene would impact use of other treatments, such as medication to manage cutaneous adverse events, although these are relatively low cost treatments compared to palovarotene. Overall use of other medicines would not be expected to impact financial estimates significantly but would likely increase with the listing of palovarotene. </w:t>
      </w:r>
    </w:p>
    <w:p w14:paraId="6299C13D" w14:textId="6450389F" w:rsidR="00E21EB5" w:rsidRPr="00575CF4" w:rsidRDefault="00E21EB5" w:rsidP="00E21EB5">
      <w:pPr>
        <w:pStyle w:val="3-BodyText"/>
      </w:pPr>
      <w:r w:rsidRPr="00550E93">
        <w:t>The average patient co-payment is estimated by applying the current patient co-payment for each beneficiary type to the corresponding total number of prescriptions in each year. Overall, the total patient co-payment</w:t>
      </w:r>
      <w:r w:rsidR="0043347F">
        <w:t>, as estimated by the submission, wa</w:t>
      </w:r>
      <w:r w:rsidRPr="00550E93">
        <w:t>s expected to be $</w:t>
      </w:r>
      <w:r w:rsidR="00133A18">
        <w:t>15,377-$17,256</w:t>
      </w:r>
      <w:r w:rsidR="0043347F">
        <w:t xml:space="preserve"> per year</w:t>
      </w:r>
      <w:r w:rsidR="00133A18">
        <w:t xml:space="preserve">. </w:t>
      </w:r>
      <w:r w:rsidRPr="00E21EB5">
        <w:t>This represents substantial out of pocket payments for patients</w:t>
      </w:r>
      <w:r w:rsidR="00133A18">
        <w:t xml:space="preserve"> (</w:t>
      </w:r>
      <w:r w:rsidRPr="00E21EB5">
        <w:t>more than $800</w:t>
      </w:r>
      <w:r w:rsidR="00133A18">
        <w:t xml:space="preserve"> per patient), however it</w:t>
      </w:r>
      <w:r w:rsidRPr="00E21EB5">
        <w:t xml:space="preserve"> is likely that co-payments were overestimated in the submission</w:t>
      </w:r>
      <w:r w:rsidR="00133A18">
        <w:t xml:space="preserve"> as most patients are likely to be concession card holders</w:t>
      </w:r>
      <w:r w:rsidRPr="00E21EB5">
        <w:t xml:space="preserve">. </w:t>
      </w:r>
    </w:p>
    <w:p w14:paraId="3F971F32" w14:textId="7E7B1F67" w:rsidR="00E21EB5" w:rsidRPr="00362690" w:rsidRDefault="00E21EB5" w:rsidP="00E21EB5">
      <w:pPr>
        <w:pStyle w:val="3-BodyText"/>
        <w:rPr>
          <w:color w:val="000000" w:themeColor="text1"/>
        </w:rPr>
      </w:pPr>
      <w:r w:rsidRPr="00362690">
        <w:rPr>
          <w:color w:val="000000" w:themeColor="text1"/>
        </w:rPr>
        <w:fldChar w:fldCharType="begin" w:fldLock="1"/>
      </w:r>
      <w:r w:rsidRPr="00362690">
        <w:rPr>
          <w:color w:val="000000" w:themeColor="text1"/>
        </w:rPr>
        <w:instrText xml:space="preserve"> REF _Ref104805295 \h  \* MERGEFORMAT </w:instrText>
      </w:r>
      <w:r w:rsidRPr="00362690">
        <w:rPr>
          <w:color w:val="000000" w:themeColor="text1"/>
        </w:rPr>
      </w:r>
      <w:r w:rsidRPr="00362690">
        <w:rPr>
          <w:color w:val="000000" w:themeColor="text1"/>
        </w:rPr>
        <w:fldChar w:fldCharType="separate"/>
      </w:r>
      <w:r w:rsidR="0043347F" w:rsidRPr="0043347F">
        <w:rPr>
          <w:color w:val="000000" w:themeColor="text1"/>
        </w:rPr>
        <w:t>Table 16</w:t>
      </w:r>
      <w:r w:rsidRPr="00362690">
        <w:rPr>
          <w:color w:val="000000" w:themeColor="text1"/>
        </w:rPr>
        <w:fldChar w:fldCharType="end"/>
      </w:r>
      <w:r w:rsidRPr="00362690">
        <w:rPr>
          <w:color w:val="000000" w:themeColor="text1"/>
        </w:rPr>
        <w:t xml:space="preserve"> presents the submission’s estimates of financial impact.</w:t>
      </w:r>
    </w:p>
    <w:p w14:paraId="2394996F" w14:textId="522F335B" w:rsidR="00E21EB5" w:rsidRPr="0098262F" w:rsidRDefault="00E21EB5" w:rsidP="0048338C">
      <w:pPr>
        <w:pStyle w:val="Caption"/>
      </w:pPr>
      <w:bookmarkStart w:id="58" w:name="_Ref104805295"/>
      <w:r w:rsidRPr="0098262F">
        <w:lastRenderedPageBreak/>
        <w:t xml:space="preserve">Table </w:t>
      </w:r>
      <w:r w:rsidR="002A4328">
        <w:fldChar w:fldCharType="begin" w:fldLock="1"/>
      </w:r>
      <w:r w:rsidR="002A4328">
        <w:instrText xml:space="preserve"> SEQ Table \* ARABIC </w:instrText>
      </w:r>
      <w:r w:rsidR="002A4328">
        <w:fldChar w:fldCharType="separate"/>
      </w:r>
      <w:r w:rsidR="0043347F">
        <w:rPr>
          <w:noProof/>
        </w:rPr>
        <w:t>16</w:t>
      </w:r>
      <w:r w:rsidR="002A4328">
        <w:rPr>
          <w:noProof/>
        </w:rPr>
        <w:fldChar w:fldCharType="end"/>
      </w:r>
      <w:bookmarkEnd w:id="58"/>
      <w:r w:rsidRPr="0098262F">
        <w:t>:</w:t>
      </w:r>
      <w:r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E21EB5" w:rsidRPr="0098262F" w14:paraId="34033E4D" w14:textId="77777777" w:rsidTr="00857F18">
        <w:trPr>
          <w:tblHeader/>
        </w:trPr>
        <w:tc>
          <w:tcPr>
            <w:tcW w:w="1334" w:type="pct"/>
            <w:shd w:val="clear" w:color="auto" w:fill="auto"/>
            <w:vAlign w:val="center"/>
          </w:tcPr>
          <w:p w14:paraId="16CEE9C1" w14:textId="77777777" w:rsidR="00E21EB5" w:rsidRPr="0098262F" w:rsidRDefault="00E21EB5" w:rsidP="0048338C">
            <w:pPr>
              <w:pStyle w:val="In-tableHeading"/>
            </w:pPr>
          </w:p>
        </w:tc>
        <w:tc>
          <w:tcPr>
            <w:tcW w:w="611" w:type="pct"/>
            <w:shd w:val="clear" w:color="auto" w:fill="auto"/>
            <w:vAlign w:val="center"/>
          </w:tcPr>
          <w:p w14:paraId="1AEA4DF5" w14:textId="77777777" w:rsidR="00E21EB5" w:rsidRPr="0098262F" w:rsidRDefault="00E21EB5" w:rsidP="0048338C">
            <w:pPr>
              <w:pStyle w:val="In-tableHeading"/>
              <w:jc w:val="center"/>
            </w:pPr>
            <w:r w:rsidRPr="0098262F">
              <w:t>Year 1</w:t>
            </w:r>
          </w:p>
        </w:tc>
        <w:tc>
          <w:tcPr>
            <w:tcW w:w="611" w:type="pct"/>
            <w:shd w:val="clear" w:color="auto" w:fill="auto"/>
            <w:vAlign w:val="center"/>
          </w:tcPr>
          <w:p w14:paraId="29BD765D" w14:textId="77777777" w:rsidR="00E21EB5" w:rsidRPr="0098262F" w:rsidRDefault="00E21EB5" w:rsidP="0048338C">
            <w:pPr>
              <w:pStyle w:val="In-tableHeading"/>
              <w:jc w:val="center"/>
            </w:pPr>
            <w:r w:rsidRPr="0098262F">
              <w:t>Year 2</w:t>
            </w:r>
          </w:p>
        </w:tc>
        <w:tc>
          <w:tcPr>
            <w:tcW w:w="611" w:type="pct"/>
            <w:shd w:val="clear" w:color="auto" w:fill="auto"/>
            <w:vAlign w:val="center"/>
          </w:tcPr>
          <w:p w14:paraId="647296C3" w14:textId="77777777" w:rsidR="00E21EB5" w:rsidRPr="0098262F" w:rsidRDefault="00E21EB5" w:rsidP="0048338C">
            <w:pPr>
              <w:pStyle w:val="In-tableHeading"/>
              <w:jc w:val="center"/>
            </w:pPr>
            <w:r w:rsidRPr="0098262F">
              <w:t>Year 3</w:t>
            </w:r>
          </w:p>
        </w:tc>
        <w:tc>
          <w:tcPr>
            <w:tcW w:w="611" w:type="pct"/>
            <w:shd w:val="clear" w:color="auto" w:fill="auto"/>
            <w:vAlign w:val="center"/>
          </w:tcPr>
          <w:p w14:paraId="1B0EB3E6" w14:textId="77777777" w:rsidR="00E21EB5" w:rsidRPr="0098262F" w:rsidRDefault="00E21EB5" w:rsidP="0048338C">
            <w:pPr>
              <w:pStyle w:val="In-tableHeading"/>
              <w:jc w:val="center"/>
            </w:pPr>
            <w:r w:rsidRPr="0098262F">
              <w:t>Year 4</w:t>
            </w:r>
          </w:p>
        </w:tc>
        <w:tc>
          <w:tcPr>
            <w:tcW w:w="611" w:type="pct"/>
            <w:shd w:val="clear" w:color="auto" w:fill="auto"/>
            <w:vAlign w:val="center"/>
          </w:tcPr>
          <w:p w14:paraId="1E18381A" w14:textId="77777777" w:rsidR="00E21EB5" w:rsidRPr="0098262F" w:rsidRDefault="00E21EB5" w:rsidP="0048338C">
            <w:pPr>
              <w:pStyle w:val="In-tableHeading"/>
              <w:jc w:val="center"/>
            </w:pPr>
            <w:r w:rsidRPr="0098262F">
              <w:t>Year 5</w:t>
            </w:r>
          </w:p>
        </w:tc>
        <w:tc>
          <w:tcPr>
            <w:tcW w:w="611" w:type="pct"/>
            <w:vAlign w:val="center"/>
          </w:tcPr>
          <w:p w14:paraId="222D041B" w14:textId="77777777" w:rsidR="00E21EB5" w:rsidRPr="0098262F" w:rsidRDefault="00E21EB5" w:rsidP="0048338C">
            <w:pPr>
              <w:pStyle w:val="In-tableHeading"/>
              <w:jc w:val="center"/>
            </w:pPr>
            <w:r w:rsidRPr="0098262F">
              <w:t>Year 6</w:t>
            </w:r>
          </w:p>
        </w:tc>
      </w:tr>
      <w:tr w:rsidR="00E21EB5" w:rsidRPr="0098262F" w14:paraId="0C1A841F" w14:textId="77777777" w:rsidTr="00862D73">
        <w:tc>
          <w:tcPr>
            <w:tcW w:w="5000" w:type="pct"/>
            <w:gridSpan w:val="7"/>
            <w:shd w:val="clear" w:color="auto" w:fill="auto"/>
            <w:vAlign w:val="center"/>
          </w:tcPr>
          <w:p w14:paraId="7B79D62D" w14:textId="77777777" w:rsidR="00E21EB5" w:rsidRPr="0098262F" w:rsidRDefault="00E21EB5" w:rsidP="0048338C">
            <w:pPr>
              <w:pStyle w:val="In-tableHeading"/>
            </w:pPr>
            <w:r w:rsidRPr="0098262F">
              <w:t>Estimated extent of use</w:t>
            </w:r>
          </w:p>
        </w:tc>
      </w:tr>
      <w:tr w:rsidR="00E21EB5" w:rsidRPr="0098262F" w14:paraId="7142407E" w14:textId="77777777" w:rsidTr="00862D73">
        <w:tc>
          <w:tcPr>
            <w:tcW w:w="1334" w:type="pct"/>
            <w:shd w:val="clear" w:color="auto" w:fill="auto"/>
            <w:vAlign w:val="center"/>
          </w:tcPr>
          <w:p w14:paraId="704B51D4" w14:textId="77777777" w:rsidR="00E21EB5" w:rsidRPr="001027A6" w:rsidRDefault="00E21EB5" w:rsidP="0048338C">
            <w:pPr>
              <w:pStyle w:val="TableText0"/>
              <w:jc w:val="left"/>
              <w:rPr>
                <w:rFonts w:ascii="Times" w:hAnsi="Times"/>
                <w:vertAlign w:val="superscript"/>
              </w:rPr>
            </w:pPr>
            <w:r>
              <w:t xml:space="preserve">Prevalent </w:t>
            </w:r>
            <w:proofErr w:type="spellStart"/>
            <w:r>
              <w:t>patients</w:t>
            </w:r>
            <w:r>
              <w:rPr>
                <w:vertAlign w:val="superscript"/>
              </w:rPr>
              <w:t>a</w:t>
            </w:r>
            <w:proofErr w:type="spellEnd"/>
          </w:p>
        </w:tc>
        <w:tc>
          <w:tcPr>
            <w:tcW w:w="611" w:type="pct"/>
            <w:shd w:val="clear" w:color="auto" w:fill="auto"/>
            <w:vAlign w:val="center"/>
          </w:tcPr>
          <w:p w14:paraId="148F378A" w14:textId="505A4D4B" w:rsidR="00E21EB5" w:rsidRPr="00AA7533" w:rsidRDefault="00BD51C6" w:rsidP="0048338C">
            <w:pPr>
              <w:pStyle w:val="TableText0"/>
              <w:rPr>
                <w:vertAlign w:val="superscript"/>
              </w:rPr>
            </w:pPr>
            <w:r w:rsidRPr="00BD51C6">
              <w:rPr>
                <w:rFonts w:hint="eastAsia"/>
                <w:color w:val="000000"/>
                <w:w w:val="18"/>
                <w:shd w:val="solid" w:color="000000" w:fill="000000"/>
                <w:fitText w:val="80" w:id="-761524465"/>
                <w14:textFill>
                  <w14:solidFill>
                    <w14:srgbClr w14:val="000000">
                      <w14:alpha w14:val="100000"/>
                    </w14:srgbClr>
                  </w14:solidFill>
                </w14:textFill>
              </w:rPr>
              <w:t xml:space="preserve">　</w:t>
            </w:r>
            <w:r w:rsidRPr="00BD51C6">
              <w:rPr>
                <w:color w:val="000000"/>
                <w:w w:val="18"/>
                <w:shd w:val="solid" w:color="000000" w:fill="000000"/>
                <w:fitText w:val="80" w:id="-761524465"/>
                <w14:textFill>
                  <w14:solidFill>
                    <w14:srgbClr w14:val="000000">
                      <w14:alpha w14:val="100000"/>
                    </w14:srgbClr>
                  </w14:solidFill>
                </w14:textFill>
              </w:rPr>
              <w:t>|</w:t>
            </w:r>
            <w:r w:rsidRPr="00BD51C6">
              <w:rPr>
                <w:rFonts w:hint="eastAsia"/>
                <w:color w:val="000000"/>
                <w:w w:val="18"/>
                <w:shd w:val="solid" w:color="000000" w:fill="000000"/>
                <w:fitText w:val="80" w:id="-761524465"/>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555276FB" w14:textId="3BA2A623" w:rsidR="00E21EB5" w:rsidRPr="0098262F" w:rsidRDefault="00BD51C6" w:rsidP="0048338C">
            <w:pPr>
              <w:pStyle w:val="TableText0"/>
            </w:pPr>
            <w:r w:rsidRPr="00BD51C6">
              <w:rPr>
                <w:rFonts w:hint="eastAsia"/>
                <w:color w:val="000000"/>
                <w:w w:val="18"/>
                <w:shd w:val="solid" w:color="000000" w:fill="000000"/>
                <w:fitText w:val="80" w:id="-761524464"/>
                <w14:textFill>
                  <w14:solidFill>
                    <w14:srgbClr w14:val="000000">
                      <w14:alpha w14:val="100000"/>
                    </w14:srgbClr>
                  </w14:solidFill>
                </w14:textFill>
              </w:rPr>
              <w:t xml:space="preserve">　</w:t>
            </w:r>
            <w:r w:rsidRPr="00BD51C6">
              <w:rPr>
                <w:color w:val="000000"/>
                <w:w w:val="18"/>
                <w:shd w:val="solid" w:color="000000" w:fill="000000"/>
                <w:fitText w:val="80" w:id="-761524464"/>
                <w14:textFill>
                  <w14:solidFill>
                    <w14:srgbClr w14:val="000000">
                      <w14:alpha w14:val="100000"/>
                    </w14:srgbClr>
                  </w14:solidFill>
                </w14:textFill>
              </w:rPr>
              <w:t>|</w:t>
            </w:r>
            <w:r w:rsidRPr="00BD51C6">
              <w:rPr>
                <w:rFonts w:hint="eastAsia"/>
                <w:color w:val="000000"/>
                <w:w w:val="18"/>
                <w:shd w:val="solid" w:color="000000" w:fill="000000"/>
                <w:fitText w:val="80" w:id="-761524464"/>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57AB70D2" w14:textId="786956F5" w:rsidR="00E21EB5" w:rsidRPr="0098262F" w:rsidRDefault="00BD51C6" w:rsidP="0048338C">
            <w:pPr>
              <w:pStyle w:val="TableText0"/>
            </w:pPr>
            <w:r w:rsidRPr="00BD51C6">
              <w:rPr>
                <w:rFonts w:hint="eastAsia"/>
                <w:color w:val="000000"/>
                <w:w w:val="18"/>
                <w:shd w:val="solid" w:color="000000" w:fill="000000"/>
                <w:fitText w:val="80" w:id="-761524480"/>
                <w14:textFill>
                  <w14:solidFill>
                    <w14:srgbClr w14:val="000000">
                      <w14:alpha w14:val="100000"/>
                    </w14:srgbClr>
                  </w14:solidFill>
                </w14:textFill>
              </w:rPr>
              <w:t xml:space="preserve">　</w:t>
            </w:r>
            <w:r w:rsidRPr="00BD51C6">
              <w:rPr>
                <w:color w:val="000000"/>
                <w:w w:val="18"/>
                <w:shd w:val="solid" w:color="000000" w:fill="000000"/>
                <w:fitText w:val="80" w:id="-761524480"/>
                <w14:textFill>
                  <w14:solidFill>
                    <w14:srgbClr w14:val="000000">
                      <w14:alpha w14:val="100000"/>
                    </w14:srgbClr>
                  </w14:solidFill>
                </w14:textFill>
              </w:rPr>
              <w:t>|</w:t>
            </w:r>
            <w:r w:rsidRPr="00BD51C6">
              <w:rPr>
                <w:rFonts w:hint="eastAsia"/>
                <w:color w:val="000000"/>
                <w:w w:val="18"/>
                <w:shd w:val="solid" w:color="000000" w:fill="000000"/>
                <w:fitText w:val="80" w:id="-761524480"/>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671408DF" w14:textId="50DA236E" w:rsidR="00E21EB5" w:rsidRPr="0098262F" w:rsidRDefault="00BD51C6" w:rsidP="0048338C">
            <w:pPr>
              <w:pStyle w:val="TableText0"/>
            </w:pPr>
            <w:r w:rsidRPr="00BD51C6">
              <w:rPr>
                <w:rFonts w:hint="eastAsia"/>
                <w:color w:val="000000"/>
                <w:w w:val="18"/>
                <w:shd w:val="solid" w:color="000000" w:fill="000000"/>
                <w:fitText w:val="80" w:id="-761524479"/>
                <w14:textFill>
                  <w14:solidFill>
                    <w14:srgbClr w14:val="000000">
                      <w14:alpha w14:val="100000"/>
                    </w14:srgbClr>
                  </w14:solidFill>
                </w14:textFill>
              </w:rPr>
              <w:t xml:space="preserve">　</w:t>
            </w:r>
            <w:r w:rsidRPr="00BD51C6">
              <w:rPr>
                <w:color w:val="000000"/>
                <w:w w:val="18"/>
                <w:shd w:val="solid" w:color="000000" w:fill="000000"/>
                <w:fitText w:val="80" w:id="-761524479"/>
                <w14:textFill>
                  <w14:solidFill>
                    <w14:srgbClr w14:val="000000">
                      <w14:alpha w14:val="100000"/>
                    </w14:srgbClr>
                  </w14:solidFill>
                </w14:textFill>
              </w:rPr>
              <w:t>|</w:t>
            </w:r>
            <w:r w:rsidRPr="00BD51C6">
              <w:rPr>
                <w:rFonts w:hint="eastAsia"/>
                <w:color w:val="000000"/>
                <w:w w:val="18"/>
                <w:shd w:val="solid" w:color="000000" w:fill="000000"/>
                <w:fitText w:val="80" w:id="-761524479"/>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06A53206" w14:textId="77C5AFD1" w:rsidR="00E21EB5" w:rsidRPr="0098262F" w:rsidRDefault="00BD51C6" w:rsidP="0048338C">
            <w:pPr>
              <w:pStyle w:val="TableText0"/>
            </w:pPr>
            <w:r w:rsidRPr="00BD51C6">
              <w:rPr>
                <w:rFonts w:hint="eastAsia"/>
                <w:color w:val="000000"/>
                <w:w w:val="18"/>
                <w:shd w:val="solid" w:color="000000" w:fill="000000"/>
                <w:fitText w:val="80" w:id="-761524478"/>
                <w14:textFill>
                  <w14:solidFill>
                    <w14:srgbClr w14:val="000000">
                      <w14:alpha w14:val="100000"/>
                    </w14:srgbClr>
                  </w14:solidFill>
                </w14:textFill>
              </w:rPr>
              <w:t xml:space="preserve">　</w:t>
            </w:r>
            <w:r w:rsidRPr="00BD51C6">
              <w:rPr>
                <w:color w:val="000000"/>
                <w:w w:val="18"/>
                <w:shd w:val="solid" w:color="000000" w:fill="000000"/>
                <w:fitText w:val="80" w:id="-761524478"/>
                <w14:textFill>
                  <w14:solidFill>
                    <w14:srgbClr w14:val="000000">
                      <w14:alpha w14:val="100000"/>
                    </w14:srgbClr>
                  </w14:solidFill>
                </w14:textFill>
              </w:rPr>
              <w:t>|</w:t>
            </w:r>
            <w:r w:rsidRPr="00BD51C6">
              <w:rPr>
                <w:rFonts w:hint="eastAsia"/>
                <w:color w:val="000000"/>
                <w:w w:val="18"/>
                <w:shd w:val="solid" w:color="000000" w:fill="000000"/>
                <w:fitText w:val="80" w:id="-761524478"/>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tcPr>
          <w:p w14:paraId="0A7CCFF2" w14:textId="5D9E6B1F" w:rsidR="00E21EB5" w:rsidRPr="0098262F" w:rsidRDefault="00BD51C6" w:rsidP="0048338C">
            <w:pPr>
              <w:pStyle w:val="TableText0"/>
            </w:pPr>
            <w:r w:rsidRPr="00BD51C6">
              <w:rPr>
                <w:rFonts w:hint="eastAsia"/>
                <w:color w:val="000000"/>
                <w:w w:val="18"/>
                <w:shd w:val="solid" w:color="000000" w:fill="000000"/>
                <w:fitText w:val="80" w:id="-761524477"/>
                <w14:textFill>
                  <w14:solidFill>
                    <w14:srgbClr w14:val="000000">
                      <w14:alpha w14:val="100000"/>
                    </w14:srgbClr>
                  </w14:solidFill>
                </w14:textFill>
              </w:rPr>
              <w:t xml:space="preserve">　</w:t>
            </w:r>
            <w:r w:rsidRPr="00BD51C6">
              <w:rPr>
                <w:color w:val="000000"/>
                <w:w w:val="18"/>
                <w:shd w:val="solid" w:color="000000" w:fill="000000"/>
                <w:fitText w:val="80" w:id="-761524477"/>
                <w14:textFill>
                  <w14:solidFill>
                    <w14:srgbClr w14:val="000000">
                      <w14:alpha w14:val="100000"/>
                    </w14:srgbClr>
                  </w14:solidFill>
                </w14:textFill>
              </w:rPr>
              <w:t>|</w:t>
            </w:r>
            <w:r w:rsidRPr="00BD51C6">
              <w:rPr>
                <w:rFonts w:hint="eastAsia"/>
                <w:color w:val="000000"/>
                <w:w w:val="18"/>
                <w:shd w:val="solid" w:color="000000" w:fill="000000"/>
                <w:fitText w:val="80" w:id="-761524477"/>
                <w14:textFill>
                  <w14:solidFill>
                    <w14:srgbClr w14:val="000000">
                      <w14:alpha w14:val="100000"/>
                    </w14:srgbClr>
                  </w14:solidFill>
                </w14:textFill>
              </w:rPr>
              <w:t xml:space="preserve">　</w:t>
            </w:r>
            <w:r w:rsidR="00AA7533">
              <w:t xml:space="preserve"> </w:t>
            </w:r>
            <w:r w:rsidR="00AA7533">
              <w:rPr>
                <w:vertAlign w:val="superscript"/>
              </w:rPr>
              <w:t>1</w:t>
            </w:r>
          </w:p>
        </w:tc>
      </w:tr>
      <w:tr w:rsidR="00E21EB5" w:rsidRPr="0098262F" w14:paraId="63543BB3" w14:textId="77777777" w:rsidTr="00862D73">
        <w:tc>
          <w:tcPr>
            <w:tcW w:w="1334" w:type="pct"/>
            <w:shd w:val="clear" w:color="auto" w:fill="auto"/>
            <w:vAlign w:val="center"/>
          </w:tcPr>
          <w:p w14:paraId="15B109DA" w14:textId="77777777" w:rsidR="00E21EB5" w:rsidRPr="0098262F" w:rsidRDefault="00E21EB5" w:rsidP="0048338C">
            <w:pPr>
              <w:pStyle w:val="TableText0"/>
              <w:jc w:val="left"/>
            </w:pPr>
            <w:r>
              <w:t>Incident &amp; persisting incident patients</w:t>
            </w:r>
          </w:p>
        </w:tc>
        <w:tc>
          <w:tcPr>
            <w:tcW w:w="611" w:type="pct"/>
            <w:shd w:val="clear" w:color="auto" w:fill="auto"/>
            <w:vAlign w:val="center"/>
          </w:tcPr>
          <w:p w14:paraId="43D3AF36" w14:textId="3C8CDC83" w:rsidR="00E21EB5" w:rsidRPr="0098262F" w:rsidRDefault="00BD51C6" w:rsidP="0048338C">
            <w:pPr>
              <w:pStyle w:val="TableText0"/>
            </w:pPr>
            <w:r w:rsidRPr="00BD51C6">
              <w:rPr>
                <w:rFonts w:hint="eastAsia"/>
                <w:color w:val="000000"/>
                <w:w w:val="18"/>
                <w:shd w:val="solid" w:color="000000" w:fill="000000"/>
                <w:fitText w:val="80" w:id="-761524476"/>
                <w14:textFill>
                  <w14:solidFill>
                    <w14:srgbClr w14:val="000000">
                      <w14:alpha w14:val="100000"/>
                    </w14:srgbClr>
                  </w14:solidFill>
                </w14:textFill>
              </w:rPr>
              <w:t xml:space="preserve">　</w:t>
            </w:r>
            <w:r w:rsidRPr="00BD51C6">
              <w:rPr>
                <w:color w:val="000000"/>
                <w:w w:val="18"/>
                <w:shd w:val="solid" w:color="000000" w:fill="000000"/>
                <w:fitText w:val="80" w:id="-761524476"/>
                <w14:textFill>
                  <w14:solidFill>
                    <w14:srgbClr w14:val="000000">
                      <w14:alpha w14:val="100000"/>
                    </w14:srgbClr>
                  </w14:solidFill>
                </w14:textFill>
              </w:rPr>
              <w:t>|</w:t>
            </w:r>
            <w:r w:rsidRPr="00BD51C6">
              <w:rPr>
                <w:rFonts w:hint="eastAsia"/>
                <w:color w:val="000000"/>
                <w:w w:val="18"/>
                <w:shd w:val="solid" w:color="000000" w:fill="000000"/>
                <w:fitText w:val="80" w:id="-761524476"/>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2AF57B3E" w14:textId="2D15EE24" w:rsidR="00E21EB5" w:rsidRPr="0098262F" w:rsidRDefault="00BD51C6" w:rsidP="0048338C">
            <w:pPr>
              <w:pStyle w:val="TableText0"/>
            </w:pPr>
            <w:r w:rsidRPr="00BD51C6">
              <w:rPr>
                <w:rFonts w:hint="eastAsia"/>
                <w:color w:val="000000"/>
                <w:w w:val="18"/>
                <w:shd w:val="solid" w:color="000000" w:fill="000000"/>
                <w:fitText w:val="80" w:id="-761524475"/>
                <w14:textFill>
                  <w14:solidFill>
                    <w14:srgbClr w14:val="000000">
                      <w14:alpha w14:val="100000"/>
                    </w14:srgbClr>
                  </w14:solidFill>
                </w14:textFill>
              </w:rPr>
              <w:t xml:space="preserve">　</w:t>
            </w:r>
            <w:r w:rsidRPr="00BD51C6">
              <w:rPr>
                <w:color w:val="000000"/>
                <w:w w:val="18"/>
                <w:shd w:val="solid" w:color="000000" w:fill="000000"/>
                <w:fitText w:val="80" w:id="-761524475"/>
                <w14:textFill>
                  <w14:solidFill>
                    <w14:srgbClr w14:val="000000">
                      <w14:alpha w14:val="100000"/>
                    </w14:srgbClr>
                  </w14:solidFill>
                </w14:textFill>
              </w:rPr>
              <w:t>|</w:t>
            </w:r>
            <w:r w:rsidRPr="00BD51C6">
              <w:rPr>
                <w:rFonts w:hint="eastAsia"/>
                <w:color w:val="000000"/>
                <w:w w:val="18"/>
                <w:shd w:val="solid" w:color="000000" w:fill="000000"/>
                <w:fitText w:val="80" w:id="-761524475"/>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2685BE16" w14:textId="36A13AA7" w:rsidR="00E21EB5" w:rsidRPr="0098262F" w:rsidRDefault="00BD51C6" w:rsidP="0048338C">
            <w:pPr>
              <w:pStyle w:val="TableText0"/>
            </w:pPr>
            <w:r w:rsidRPr="00BD51C6">
              <w:rPr>
                <w:rFonts w:hint="eastAsia"/>
                <w:color w:val="000000"/>
                <w:w w:val="18"/>
                <w:shd w:val="solid" w:color="000000" w:fill="000000"/>
                <w:fitText w:val="80" w:id="-761524474"/>
                <w14:textFill>
                  <w14:solidFill>
                    <w14:srgbClr w14:val="000000">
                      <w14:alpha w14:val="100000"/>
                    </w14:srgbClr>
                  </w14:solidFill>
                </w14:textFill>
              </w:rPr>
              <w:t xml:space="preserve">　</w:t>
            </w:r>
            <w:r w:rsidRPr="00BD51C6">
              <w:rPr>
                <w:color w:val="000000"/>
                <w:w w:val="18"/>
                <w:shd w:val="solid" w:color="000000" w:fill="000000"/>
                <w:fitText w:val="80" w:id="-761524474"/>
                <w14:textFill>
                  <w14:solidFill>
                    <w14:srgbClr w14:val="000000">
                      <w14:alpha w14:val="100000"/>
                    </w14:srgbClr>
                  </w14:solidFill>
                </w14:textFill>
              </w:rPr>
              <w:t>|</w:t>
            </w:r>
            <w:r w:rsidRPr="00BD51C6">
              <w:rPr>
                <w:rFonts w:hint="eastAsia"/>
                <w:color w:val="000000"/>
                <w:w w:val="18"/>
                <w:shd w:val="solid" w:color="000000" w:fill="000000"/>
                <w:fitText w:val="80" w:id="-761524474"/>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73DA0D2F" w14:textId="08195645" w:rsidR="00E21EB5" w:rsidRPr="0098262F" w:rsidRDefault="00BD51C6" w:rsidP="0048338C">
            <w:pPr>
              <w:pStyle w:val="TableText0"/>
            </w:pPr>
            <w:r w:rsidRPr="00BD51C6">
              <w:rPr>
                <w:rFonts w:hint="eastAsia"/>
                <w:color w:val="000000"/>
                <w:w w:val="18"/>
                <w:shd w:val="solid" w:color="000000" w:fill="000000"/>
                <w:fitText w:val="80" w:id="-761524473"/>
                <w14:textFill>
                  <w14:solidFill>
                    <w14:srgbClr w14:val="000000">
                      <w14:alpha w14:val="100000"/>
                    </w14:srgbClr>
                  </w14:solidFill>
                </w14:textFill>
              </w:rPr>
              <w:t xml:space="preserve">　</w:t>
            </w:r>
            <w:r w:rsidRPr="00BD51C6">
              <w:rPr>
                <w:color w:val="000000"/>
                <w:w w:val="18"/>
                <w:shd w:val="solid" w:color="000000" w:fill="000000"/>
                <w:fitText w:val="80" w:id="-761524473"/>
                <w14:textFill>
                  <w14:solidFill>
                    <w14:srgbClr w14:val="000000">
                      <w14:alpha w14:val="100000"/>
                    </w14:srgbClr>
                  </w14:solidFill>
                </w14:textFill>
              </w:rPr>
              <w:t>|</w:t>
            </w:r>
            <w:r w:rsidRPr="00BD51C6">
              <w:rPr>
                <w:rFonts w:hint="eastAsia"/>
                <w:color w:val="000000"/>
                <w:w w:val="18"/>
                <w:shd w:val="solid" w:color="000000" w:fill="000000"/>
                <w:fitText w:val="80" w:id="-761524473"/>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0F38B0F3" w14:textId="2D02C6B6" w:rsidR="00E21EB5" w:rsidRPr="0098262F" w:rsidRDefault="00BD51C6" w:rsidP="0048338C">
            <w:pPr>
              <w:pStyle w:val="TableText0"/>
            </w:pPr>
            <w:r w:rsidRPr="00BD51C6">
              <w:rPr>
                <w:rFonts w:hint="eastAsia"/>
                <w:color w:val="000000"/>
                <w:w w:val="18"/>
                <w:shd w:val="solid" w:color="000000" w:fill="000000"/>
                <w:fitText w:val="80" w:id="-761524472"/>
                <w14:textFill>
                  <w14:solidFill>
                    <w14:srgbClr w14:val="000000">
                      <w14:alpha w14:val="100000"/>
                    </w14:srgbClr>
                  </w14:solidFill>
                </w14:textFill>
              </w:rPr>
              <w:t xml:space="preserve">　</w:t>
            </w:r>
            <w:r w:rsidRPr="00BD51C6">
              <w:rPr>
                <w:color w:val="000000"/>
                <w:w w:val="18"/>
                <w:shd w:val="solid" w:color="000000" w:fill="000000"/>
                <w:fitText w:val="80" w:id="-761524472"/>
                <w14:textFill>
                  <w14:solidFill>
                    <w14:srgbClr w14:val="000000">
                      <w14:alpha w14:val="100000"/>
                    </w14:srgbClr>
                  </w14:solidFill>
                </w14:textFill>
              </w:rPr>
              <w:t>|</w:t>
            </w:r>
            <w:r w:rsidRPr="00BD51C6">
              <w:rPr>
                <w:rFonts w:hint="eastAsia"/>
                <w:color w:val="000000"/>
                <w:w w:val="18"/>
                <w:shd w:val="solid" w:color="000000" w:fill="000000"/>
                <w:fitText w:val="80" w:id="-761524472"/>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vAlign w:val="center"/>
          </w:tcPr>
          <w:p w14:paraId="0CE90AE9" w14:textId="4545B092" w:rsidR="00E21EB5" w:rsidRPr="0098262F" w:rsidRDefault="00BD51C6" w:rsidP="0048338C">
            <w:pPr>
              <w:pStyle w:val="TableText0"/>
            </w:pPr>
            <w:r w:rsidRPr="00BD51C6">
              <w:rPr>
                <w:rFonts w:hint="eastAsia"/>
                <w:color w:val="000000"/>
                <w:w w:val="18"/>
                <w:shd w:val="solid" w:color="000000" w:fill="000000"/>
                <w:fitText w:val="80" w:id="-761524471"/>
                <w14:textFill>
                  <w14:solidFill>
                    <w14:srgbClr w14:val="000000">
                      <w14:alpha w14:val="100000"/>
                    </w14:srgbClr>
                  </w14:solidFill>
                </w14:textFill>
              </w:rPr>
              <w:t xml:space="preserve">　</w:t>
            </w:r>
            <w:r w:rsidRPr="00BD51C6">
              <w:rPr>
                <w:color w:val="000000"/>
                <w:w w:val="18"/>
                <w:shd w:val="solid" w:color="000000" w:fill="000000"/>
                <w:fitText w:val="80" w:id="-761524471"/>
                <w14:textFill>
                  <w14:solidFill>
                    <w14:srgbClr w14:val="000000">
                      <w14:alpha w14:val="100000"/>
                    </w14:srgbClr>
                  </w14:solidFill>
                </w14:textFill>
              </w:rPr>
              <w:t>|</w:t>
            </w:r>
            <w:r w:rsidRPr="00BD51C6">
              <w:rPr>
                <w:rFonts w:hint="eastAsia"/>
                <w:color w:val="000000"/>
                <w:w w:val="18"/>
                <w:shd w:val="solid" w:color="000000" w:fill="000000"/>
                <w:fitText w:val="80" w:id="-761524471"/>
                <w14:textFill>
                  <w14:solidFill>
                    <w14:srgbClr w14:val="000000">
                      <w14:alpha w14:val="100000"/>
                    </w14:srgbClr>
                  </w14:solidFill>
                </w14:textFill>
              </w:rPr>
              <w:t xml:space="preserve">　</w:t>
            </w:r>
            <w:r w:rsidR="00AA7533">
              <w:t xml:space="preserve"> </w:t>
            </w:r>
            <w:r w:rsidR="00AA7533">
              <w:rPr>
                <w:vertAlign w:val="superscript"/>
              </w:rPr>
              <w:t>1</w:t>
            </w:r>
          </w:p>
        </w:tc>
      </w:tr>
      <w:tr w:rsidR="00E21EB5" w:rsidRPr="0098262F" w14:paraId="6A8509AA" w14:textId="77777777" w:rsidTr="00862D73">
        <w:tc>
          <w:tcPr>
            <w:tcW w:w="1334" w:type="pct"/>
            <w:shd w:val="clear" w:color="auto" w:fill="auto"/>
            <w:vAlign w:val="center"/>
          </w:tcPr>
          <w:p w14:paraId="31831E91" w14:textId="77777777" w:rsidR="00E21EB5" w:rsidRPr="0098262F" w:rsidRDefault="00E21EB5" w:rsidP="0048338C">
            <w:pPr>
              <w:pStyle w:val="TableText0"/>
              <w:jc w:val="left"/>
            </w:pPr>
            <w:r>
              <w:t>Total treated patients</w:t>
            </w:r>
          </w:p>
        </w:tc>
        <w:tc>
          <w:tcPr>
            <w:tcW w:w="611" w:type="pct"/>
            <w:shd w:val="clear" w:color="auto" w:fill="auto"/>
            <w:vAlign w:val="center"/>
          </w:tcPr>
          <w:p w14:paraId="0E3860AB" w14:textId="745D1A16" w:rsidR="00E21EB5" w:rsidRPr="0098262F" w:rsidRDefault="00BD51C6" w:rsidP="0048338C">
            <w:pPr>
              <w:pStyle w:val="TableText0"/>
            </w:pPr>
            <w:r w:rsidRPr="00BD51C6">
              <w:rPr>
                <w:rFonts w:hint="eastAsia"/>
                <w:color w:val="000000"/>
                <w:w w:val="18"/>
                <w:shd w:val="solid" w:color="000000" w:fill="000000"/>
                <w:fitText w:val="80" w:id="-761524470"/>
                <w14:textFill>
                  <w14:solidFill>
                    <w14:srgbClr w14:val="000000">
                      <w14:alpha w14:val="100000"/>
                    </w14:srgbClr>
                  </w14:solidFill>
                </w14:textFill>
              </w:rPr>
              <w:t xml:space="preserve">　</w:t>
            </w:r>
            <w:r w:rsidRPr="00BD51C6">
              <w:rPr>
                <w:color w:val="000000"/>
                <w:w w:val="18"/>
                <w:shd w:val="solid" w:color="000000" w:fill="000000"/>
                <w:fitText w:val="80" w:id="-761524470"/>
                <w14:textFill>
                  <w14:solidFill>
                    <w14:srgbClr w14:val="000000">
                      <w14:alpha w14:val="100000"/>
                    </w14:srgbClr>
                  </w14:solidFill>
                </w14:textFill>
              </w:rPr>
              <w:t>|</w:t>
            </w:r>
            <w:r w:rsidRPr="00BD51C6">
              <w:rPr>
                <w:rFonts w:hint="eastAsia"/>
                <w:color w:val="000000"/>
                <w:w w:val="18"/>
                <w:shd w:val="solid" w:color="000000" w:fill="000000"/>
                <w:fitText w:val="80" w:id="-761524470"/>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23E1383F" w14:textId="13E378BB" w:rsidR="00E21EB5" w:rsidRPr="0098262F" w:rsidRDefault="00BD51C6" w:rsidP="0048338C">
            <w:pPr>
              <w:pStyle w:val="TableText0"/>
            </w:pPr>
            <w:r w:rsidRPr="00BD51C6">
              <w:rPr>
                <w:rFonts w:hint="eastAsia"/>
                <w:color w:val="000000"/>
                <w:w w:val="18"/>
                <w:shd w:val="solid" w:color="000000" w:fill="000000"/>
                <w:fitText w:val="80" w:id="-761524469"/>
                <w14:textFill>
                  <w14:solidFill>
                    <w14:srgbClr w14:val="000000">
                      <w14:alpha w14:val="100000"/>
                    </w14:srgbClr>
                  </w14:solidFill>
                </w14:textFill>
              </w:rPr>
              <w:t xml:space="preserve">　</w:t>
            </w:r>
            <w:r w:rsidRPr="00BD51C6">
              <w:rPr>
                <w:color w:val="000000"/>
                <w:w w:val="18"/>
                <w:shd w:val="solid" w:color="000000" w:fill="000000"/>
                <w:fitText w:val="80" w:id="-761524469"/>
                <w14:textFill>
                  <w14:solidFill>
                    <w14:srgbClr w14:val="000000">
                      <w14:alpha w14:val="100000"/>
                    </w14:srgbClr>
                  </w14:solidFill>
                </w14:textFill>
              </w:rPr>
              <w:t>|</w:t>
            </w:r>
            <w:r w:rsidRPr="00BD51C6">
              <w:rPr>
                <w:rFonts w:hint="eastAsia"/>
                <w:color w:val="000000"/>
                <w:w w:val="18"/>
                <w:shd w:val="solid" w:color="000000" w:fill="000000"/>
                <w:fitText w:val="80" w:id="-761524469"/>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12377E3D" w14:textId="7DCE2F39" w:rsidR="00E21EB5" w:rsidRPr="0098262F" w:rsidRDefault="00BD51C6" w:rsidP="0048338C">
            <w:pPr>
              <w:pStyle w:val="TableText0"/>
            </w:pPr>
            <w:r w:rsidRPr="00BD51C6">
              <w:rPr>
                <w:rFonts w:hint="eastAsia"/>
                <w:color w:val="000000"/>
                <w:w w:val="18"/>
                <w:shd w:val="solid" w:color="000000" w:fill="000000"/>
                <w:fitText w:val="80" w:id="-761524468"/>
                <w14:textFill>
                  <w14:solidFill>
                    <w14:srgbClr w14:val="000000">
                      <w14:alpha w14:val="100000"/>
                    </w14:srgbClr>
                  </w14:solidFill>
                </w14:textFill>
              </w:rPr>
              <w:t xml:space="preserve">　</w:t>
            </w:r>
            <w:r w:rsidRPr="00BD51C6">
              <w:rPr>
                <w:color w:val="000000"/>
                <w:w w:val="18"/>
                <w:shd w:val="solid" w:color="000000" w:fill="000000"/>
                <w:fitText w:val="80" w:id="-761524468"/>
                <w14:textFill>
                  <w14:solidFill>
                    <w14:srgbClr w14:val="000000">
                      <w14:alpha w14:val="100000"/>
                    </w14:srgbClr>
                  </w14:solidFill>
                </w14:textFill>
              </w:rPr>
              <w:t>|</w:t>
            </w:r>
            <w:r w:rsidRPr="00BD51C6">
              <w:rPr>
                <w:rFonts w:hint="eastAsia"/>
                <w:color w:val="000000"/>
                <w:w w:val="18"/>
                <w:shd w:val="solid" w:color="000000" w:fill="000000"/>
                <w:fitText w:val="80" w:id="-761524468"/>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75F2AA39" w14:textId="2B84E435" w:rsidR="00E21EB5" w:rsidRPr="0098262F" w:rsidRDefault="00BD51C6" w:rsidP="0048338C">
            <w:pPr>
              <w:pStyle w:val="TableText0"/>
            </w:pPr>
            <w:r w:rsidRPr="00BD51C6">
              <w:rPr>
                <w:rFonts w:hint="eastAsia"/>
                <w:color w:val="000000"/>
                <w:w w:val="18"/>
                <w:shd w:val="solid" w:color="000000" w:fill="000000"/>
                <w:fitText w:val="80" w:id="-761524467"/>
                <w14:textFill>
                  <w14:solidFill>
                    <w14:srgbClr w14:val="000000">
                      <w14:alpha w14:val="100000"/>
                    </w14:srgbClr>
                  </w14:solidFill>
                </w14:textFill>
              </w:rPr>
              <w:t xml:space="preserve">　</w:t>
            </w:r>
            <w:r w:rsidRPr="00BD51C6">
              <w:rPr>
                <w:color w:val="000000"/>
                <w:w w:val="18"/>
                <w:shd w:val="solid" w:color="000000" w:fill="000000"/>
                <w:fitText w:val="80" w:id="-761524467"/>
                <w14:textFill>
                  <w14:solidFill>
                    <w14:srgbClr w14:val="000000">
                      <w14:alpha w14:val="100000"/>
                    </w14:srgbClr>
                  </w14:solidFill>
                </w14:textFill>
              </w:rPr>
              <w:t>|</w:t>
            </w:r>
            <w:r w:rsidRPr="00BD51C6">
              <w:rPr>
                <w:rFonts w:hint="eastAsia"/>
                <w:color w:val="000000"/>
                <w:w w:val="18"/>
                <w:shd w:val="solid" w:color="000000" w:fill="000000"/>
                <w:fitText w:val="80" w:id="-761524467"/>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shd w:val="clear" w:color="auto" w:fill="auto"/>
            <w:vAlign w:val="center"/>
          </w:tcPr>
          <w:p w14:paraId="79793228" w14:textId="5AEB47E8" w:rsidR="00E21EB5" w:rsidRPr="0098262F" w:rsidRDefault="00BD51C6" w:rsidP="0048338C">
            <w:pPr>
              <w:pStyle w:val="TableText0"/>
            </w:pPr>
            <w:r w:rsidRPr="00BD51C6">
              <w:rPr>
                <w:rFonts w:hint="eastAsia"/>
                <w:color w:val="000000"/>
                <w:w w:val="18"/>
                <w:shd w:val="solid" w:color="000000" w:fill="000000"/>
                <w:fitText w:val="80" w:id="-761524466"/>
                <w14:textFill>
                  <w14:solidFill>
                    <w14:srgbClr w14:val="000000">
                      <w14:alpha w14:val="100000"/>
                    </w14:srgbClr>
                  </w14:solidFill>
                </w14:textFill>
              </w:rPr>
              <w:t xml:space="preserve">　</w:t>
            </w:r>
            <w:r w:rsidRPr="00BD51C6">
              <w:rPr>
                <w:color w:val="000000"/>
                <w:w w:val="18"/>
                <w:shd w:val="solid" w:color="000000" w:fill="000000"/>
                <w:fitText w:val="80" w:id="-761524466"/>
                <w14:textFill>
                  <w14:solidFill>
                    <w14:srgbClr w14:val="000000">
                      <w14:alpha w14:val="100000"/>
                    </w14:srgbClr>
                  </w14:solidFill>
                </w14:textFill>
              </w:rPr>
              <w:t>|</w:t>
            </w:r>
            <w:r w:rsidRPr="00BD51C6">
              <w:rPr>
                <w:rFonts w:hint="eastAsia"/>
                <w:color w:val="000000"/>
                <w:w w:val="18"/>
                <w:shd w:val="solid" w:color="000000" w:fill="000000"/>
                <w:fitText w:val="80" w:id="-761524466"/>
                <w14:textFill>
                  <w14:solidFill>
                    <w14:srgbClr w14:val="000000">
                      <w14:alpha w14:val="100000"/>
                    </w14:srgbClr>
                  </w14:solidFill>
                </w14:textFill>
              </w:rPr>
              <w:t xml:space="preserve">　</w:t>
            </w:r>
            <w:r w:rsidR="00AA7533">
              <w:t xml:space="preserve"> </w:t>
            </w:r>
            <w:r w:rsidR="00AA7533">
              <w:rPr>
                <w:vertAlign w:val="superscript"/>
              </w:rPr>
              <w:t>1</w:t>
            </w:r>
          </w:p>
        </w:tc>
        <w:tc>
          <w:tcPr>
            <w:tcW w:w="611" w:type="pct"/>
          </w:tcPr>
          <w:p w14:paraId="398626A3" w14:textId="6F3A8942" w:rsidR="00E21EB5" w:rsidRPr="0098262F" w:rsidRDefault="00BD51C6" w:rsidP="0048338C">
            <w:pPr>
              <w:pStyle w:val="TableText0"/>
            </w:pPr>
            <w:r w:rsidRPr="00BD51C6">
              <w:rPr>
                <w:rFonts w:hint="eastAsia"/>
                <w:color w:val="000000"/>
                <w:w w:val="18"/>
                <w:shd w:val="solid" w:color="000000" w:fill="000000"/>
                <w:fitText w:val="80" w:id="-761524465"/>
                <w14:textFill>
                  <w14:solidFill>
                    <w14:srgbClr w14:val="000000">
                      <w14:alpha w14:val="100000"/>
                    </w14:srgbClr>
                  </w14:solidFill>
                </w14:textFill>
              </w:rPr>
              <w:t xml:space="preserve">　</w:t>
            </w:r>
            <w:r w:rsidRPr="00BD51C6">
              <w:rPr>
                <w:color w:val="000000"/>
                <w:w w:val="18"/>
                <w:shd w:val="solid" w:color="000000" w:fill="000000"/>
                <w:fitText w:val="80" w:id="-761524465"/>
                <w14:textFill>
                  <w14:solidFill>
                    <w14:srgbClr w14:val="000000">
                      <w14:alpha w14:val="100000"/>
                    </w14:srgbClr>
                  </w14:solidFill>
                </w14:textFill>
              </w:rPr>
              <w:t>|</w:t>
            </w:r>
            <w:r w:rsidRPr="00BD51C6">
              <w:rPr>
                <w:rFonts w:hint="eastAsia"/>
                <w:color w:val="000000"/>
                <w:w w:val="18"/>
                <w:shd w:val="solid" w:color="000000" w:fill="000000"/>
                <w:fitText w:val="80" w:id="-761524465"/>
                <w14:textFill>
                  <w14:solidFill>
                    <w14:srgbClr w14:val="000000">
                      <w14:alpha w14:val="100000"/>
                    </w14:srgbClr>
                  </w14:solidFill>
                </w14:textFill>
              </w:rPr>
              <w:t xml:space="preserve">　</w:t>
            </w:r>
            <w:r w:rsidR="00AA7533">
              <w:t xml:space="preserve"> </w:t>
            </w:r>
            <w:r w:rsidR="00AA7533">
              <w:rPr>
                <w:vertAlign w:val="superscript"/>
              </w:rPr>
              <w:t>1</w:t>
            </w:r>
          </w:p>
        </w:tc>
      </w:tr>
      <w:tr w:rsidR="00E21EB5" w:rsidRPr="0098262F" w14:paraId="4582B129" w14:textId="77777777" w:rsidTr="00862D73">
        <w:tc>
          <w:tcPr>
            <w:tcW w:w="1334" w:type="pct"/>
            <w:shd w:val="clear" w:color="auto" w:fill="auto"/>
            <w:vAlign w:val="center"/>
          </w:tcPr>
          <w:p w14:paraId="0CD09F6B" w14:textId="77777777" w:rsidR="00E21EB5" w:rsidRPr="0098262F" w:rsidRDefault="00E21EB5" w:rsidP="0048338C">
            <w:pPr>
              <w:pStyle w:val="TableText0"/>
              <w:jc w:val="left"/>
              <w:rPr>
                <w:rFonts w:ascii="Times" w:hAnsi="Times"/>
              </w:rPr>
            </w:pPr>
            <w:r w:rsidRPr="0098262F">
              <w:t xml:space="preserve">Number of scripts </w:t>
            </w:r>
            <w:proofErr w:type="spellStart"/>
            <w:r w:rsidRPr="0098262F">
              <w:t>dispensed</w:t>
            </w:r>
            <w:r>
              <w:rPr>
                <w:vertAlign w:val="superscript"/>
              </w:rPr>
              <w:t>b</w:t>
            </w:r>
            <w:proofErr w:type="spellEnd"/>
          </w:p>
        </w:tc>
        <w:tc>
          <w:tcPr>
            <w:tcW w:w="611" w:type="pct"/>
            <w:shd w:val="clear" w:color="auto" w:fill="auto"/>
            <w:vAlign w:val="center"/>
          </w:tcPr>
          <w:p w14:paraId="3A808B7C" w14:textId="645E8CA2" w:rsidR="00E21EB5" w:rsidRPr="0098262F" w:rsidRDefault="00BD51C6" w:rsidP="0048338C">
            <w:pPr>
              <w:pStyle w:val="TableText0"/>
            </w:pPr>
            <w:r w:rsidRPr="00BD51C6">
              <w:rPr>
                <w:rFonts w:hint="eastAsia"/>
                <w:color w:val="000000"/>
                <w:w w:val="18"/>
                <w:shd w:val="solid" w:color="000000" w:fill="000000"/>
                <w:fitText w:val="80" w:id="-761524464"/>
                <w14:textFill>
                  <w14:solidFill>
                    <w14:srgbClr w14:val="000000">
                      <w14:alpha w14:val="100000"/>
                    </w14:srgbClr>
                  </w14:solidFill>
                </w14:textFill>
              </w:rPr>
              <w:t xml:space="preserve">　</w:t>
            </w:r>
            <w:r w:rsidRPr="00BD51C6">
              <w:rPr>
                <w:color w:val="000000"/>
                <w:w w:val="18"/>
                <w:shd w:val="solid" w:color="000000" w:fill="000000"/>
                <w:fitText w:val="80" w:id="-761524464"/>
                <w14:textFill>
                  <w14:solidFill>
                    <w14:srgbClr w14:val="000000">
                      <w14:alpha w14:val="100000"/>
                    </w14:srgbClr>
                  </w14:solidFill>
                </w14:textFill>
              </w:rPr>
              <w:t>|</w:t>
            </w:r>
            <w:r w:rsidRPr="00BD51C6">
              <w:rPr>
                <w:rFonts w:hint="eastAsia"/>
                <w:color w:val="000000"/>
                <w:w w:val="18"/>
                <w:shd w:val="solid" w:color="000000" w:fill="000000"/>
                <w:fitText w:val="80" w:id="-761524464"/>
                <w14:textFill>
                  <w14:solidFill>
                    <w14:srgbClr w14:val="000000">
                      <w14:alpha w14:val="100000"/>
                    </w14:srgbClr>
                  </w14:solidFill>
                </w14:textFill>
              </w:rPr>
              <w:t xml:space="preserve">　</w:t>
            </w:r>
            <w:r w:rsidR="00AA7533">
              <w:t xml:space="preserve"> </w:t>
            </w:r>
            <w:r w:rsidR="00AA7533">
              <w:rPr>
                <w:vertAlign w:val="superscript"/>
              </w:rPr>
              <w:t>2</w:t>
            </w:r>
          </w:p>
        </w:tc>
        <w:tc>
          <w:tcPr>
            <w:tcW w:w="611" w:type="pct"/>
            <w:shd w:val="clear" w:color="auto" w:fill="auto"/>
            <w:vAlign w:val="center"/>
          </w:tcPr>
          <w:p w14:paraId="7073F60D" w14:textId="792DD162" w:rsidR="00E21EB5" w:rsidRPr="0098262F" w:rsidRDefault="00BD51C6" w:rsidP="0048338C">
            <w:pPr>
              <w:pStyle w:val="TableText0"/>
            </w:pPr>
            <w:r w:rsidRPr="00BD51C6">
              <w:rPr>
                <w:rFonts w:hint="eastAsia"/>
                <w:color w:val="000000"/>
                <w:w w:val="18"/>
                <w:shd w:val="solid" w:color="000000" w:fill="000000"/>
                <w:fitText w:val="80" w:id="-761524480"/>
                <w14:textFill>
                  <w14:solidFill>
                    <w14:srgbClr w14:val="000000">
                      <w14:alpha w14:val="100000"/>
                    </w14:srgbClr>
                  </w14:solidFill>
                </w14:textFill>
              </w:rPr>
              <w:t xml:space="preserve">　</w:t>
            </w:r>
            <w:r w:rsidRPr="00BD51C6">
              <w:rPr>
                <w:color w:val="000000"/>
                <w:w w:val="18"/>
                <w:shd w:val="solid" w:color="000000" w:fill="000000"/>
                <w:fitText w:val="80" w:id="-761524480"/>
                <w14:textFill>
                  <w14:solidFill>
                    <w14:srgbClr w14:val="000000">
                      <w14:alpha w14:val="100000"/>
                    </w14:srgbClr>
                  </w14:solidFill>
                </w14:textFill>
              </w:rPr>
              <w:t>|</w:t>
            </w:r>
            <w:r w:rsidRPr="00BD51C6">
              <w:rPr>
                <w:rFonts w:hint="eastAsia"/>
                <w:color w:val="000000"/>
                <w:w w:val="18"/>
                <w:shd w:val="solid" w:color="000000" w:fill="000000"/>
                <w:fitText w:val="80" w:id="-761524480"/>
                <w14:textFill>
                  <w14:solidFill>
                    <w14:srgbClr w14:val="000000">
                      <w14:alpha w14:val="100000"/>
                    </w14:srgbClr>
                  </w14:solidFill>
                </w14:textFill>
              </w:rPr>
              <w:t xml:space="preserve">　</w:t>
            </w:r>
            <w:r w:rsidR="00AA7533">
              <w:t xml:space="preserve"> </w:t>
            </w:r>
            <w:r w:rsidR="00AA7533">
              <w:rPr>
                <w:vertAlign w:val="superscript"/>
              </w:rPr>
              <w:t>2</w:t>
            </w:r>
          </w:p>
        </w:tc>
        <w:tc>
          <w:tcPr>
            <w:tcW w:w="611" w:type="pct"/>
            <w:shd w:val="clear" w:color="auto" w:fill="auto"/>
            <w:vAlign w:val="center"/>
          </w:tcPr>
          <w:p w14:paraId="2BB3410B" w14:textId="050C20FF" w:rsidR="00E21EB5" w:rsidRPr="0098262F" w:rsidRDefault="00BD51C6" w:rsidP="0048338C">
            <w:pPr>
              <w:pStyle w:val="TableText0"/>
            </w:pPr>
            <w:r w:rsidRPr="00BD51C6">
              <w:rPr>
                <w:rFonts w:hint="eastAsia"/>
                <w:color w:val="000000"/>
                <w:w w:val="18"/>
                <w:shd w:val="solid" w:color="000000" w:fill="000000"/>
                <w:fitText w:val="80" w:id="-761524479"/>
                <w14:textFill>
                  <w14:solidFill>
                    <w14:srgbClr w14:val="000000">
                      <w14:alpha w14:val="100000"/>
                    </w14:srgbClr>
                  </w14:solidFill>
                </w14:textFill>
              </w:rPr>
              <w:t xml:space="preserve">　</w:t>
            </w:r>
            <w:r w:rsidRPr="00BD51C6">
              <w:rPr>
                <w:color w:val="000000"/>
                <w:w w:val="18"/>
                <w:shd w:val="solid" w:color="000000" w:fill="000000"/>
                <w:fitText w:val="80" w:id="-761524479"/>
                <w14:textFill>
                  <w14:solidFill>
                    <w14:srgbClr w14:val="000000">
                      <w14:alpha w14:val="100000"/>
                    </w14:srgbClr>
                  </w14:solidFill>
                </w14:textFill>
              </w:rPr>
              <w:t>|</w:t>
            </w:r>
            <w:r w:rsidRPr="00BD51C6">
              <w:rPr>
                <w:rFonts w:hint="eastAsia"/>
                <w:color w:val="000000"/>
                <w:w w:val="18"/>
                <w:shd w:val="solid" w:color="000000" w:fill="000000"/>
                <w:fitText w:val="80" w:id="-761524479"/>
                <w14:textFill>
                  <w14:solidFill>
                    <w14:srgbClr w14:val="000000">
                      <w14:alpha w14:val="100000"/>
                    </w14:srgbClr>
                  </w14:solidFill>
                </w14:textFill>
              </w:rPr>
              <w:t xml:space="preserve">　</w:t>
            </w:r>
            <w:r w:rsidR="00AA7533">
              <w:t xml:space="preserve"> </w:t>
            </w:r>
            <w:r w:rsidR="00AA7533">
              <w:rPr>
                <w:vertAlign w:val="superscript"/>
              </w:rPr>
              <w:t>2</w:t>
            </w:r>
          </w:p>
        </w:tc>
        <w:tc>
          <w:tcPr>
            <w:tcW w:w="611" w:type="pct"/>
            <w:shd w:val="clear" w:color="auto" w:fill="auto"/>
            <w:vAlign w:val="center"/>
          </w:tcPr>
          <w:p w14:paraId="16D30144" w14:textId="77961F3D" w:rsidR="00E21EB5" w:rsidRPr="0098262F" w:rsidRDefault="00BD51C6" w:rsidP="0048338C">
            <w:pPr>
              <w:pStyle w:val="TableText0"/>
            </w:pPr>
            <w:r w:rsidRPr="00BD51C6">
              <w:rPr>
                <w:rFonts w:hint="eastAsia"/>
                <w:color w:val="000000"/>
                <w:w w:val="18"/>
                <w:shd w:val="solid" w:color="000000" w:fill="000000"/>
                <w:fitText w:val="80" w:id="-761524478"/>
                <w14:textFill>
                  <w14:solidFill>
                    <w14:srgbClr w14:val="000000">
                      <w14:alpha w14:val="100000"/>
                    </w14:srgbClr>
                  </w14:solidFill>
                </w14:textFill>
              </w:rPr>
              <w:t xml:space="preserve">　</w:t>
            </w:r>
            <w:r w:rsidRPr="00BD51C6">
              <w:rPr>
                <w:color w:val="000000"/>
                <w:w w:val="18"/>
                <w:shd w:val="solid" w:color="000000" w:fill="000000"/>
                <w:fitText w:val="80" w:id="-761524478"/>
                <w14:textFill>
                  <w14:solidFill>
                    <w14:srgbClr w14:val="000000">
                      <w14:alpha w14:val="100000"/>
                    </w14:srgbClr>
                  </w14:solidFill>
                </w14:textFill>
              </w:rPr>
              <w:t>|</w:t>
            </w:r>
            <w:r w:rsidRPr="00BD51C6">
              <w:rPr>
                <w:rFonts w:hint="eastAsia"/>
                <w:color w:val="000000"/>
                <w:w w:val="18"/>
                <w:shd w:val="solid" w:color="000000" w:fill="000000"/>
                <w:fitText w:val="80" w:id="-761524478"/>
                <w14:textFill>
                  <w14:solidFill>
                    <w14:srgbClr w14:val="000000">
                      <w14:alpha w14:val="100000"/>
                    </w14:srgbClr>
                  </w14:solidFill>
                </w14:textFill>
              </w:rPr>
              <w:t xml:space="preserve">　</w:t>
            </w:r>
            <w:r w:rsidR="00AA7533">
              <w:t xml:space="preserve"> </w:t>
            </w:r>
            <w:r w:rsidR="00AA7533">
              <w:rPr>
                <w:vertAlign w:val="superscript"/>
              </w:rPr>
              <w:t>2</w:t>
            </w:r>
          </w:p>
        </w:tc>
        <w:tc>
          <w:tcPr>
            <w:tcW w:w="611" w:type="pct"/>
            <w:shd w:val="clear" w:color="auto" w:fill="auto"/>
            <w:vAlign w:val="center"/>
          </w:tcPr>
          <w:p w14:paraId="37E43F02" w14:textId="4FD13C6A" w:rsidR="00E21EB5" w:rsidRPr="0098262F" w:rsidRDefault="00BD51C6" w:rsidP="0048338C">
            <w:pPr>
              <w:pStyle w:val="TableText0"/>
            </w:pPr>
            <w:r w:rsidRPr="00BD51C6">
              <w:rPr>
                <w:rFonts w:hint="eastAsia"/>
                <w:color w:val="000000"/>
                <w:w w:val="18"/>
                <w:shd w:val="solid" w:color="000000" w:fill="000000"/>
                <w:fitText w:val="80" w:id="-761524477"/>
                <w14:textFill>
                  <w14:solidFill>
                    <w14:srgbClr w14:val="000000">
                      <w14:alpha w14:val="100000"/>
                    </w14:srgbClr>
                  </w14:solidFill>
                </w14:textFill>
              </w:rPr>
              <w:t xml:space="preserve">　</w:t>
            </w:r>
            <w:r w:rsidRPr="00BD51C6">
              <w:rPr>
                <w:color w:val="000000"/>
                <w:w w:val="18"/>
                <w:shd w:val="solid" w:color="000000" w:fill="000000"/>
                <w:fitText w:val="80" w:id="-761524477"/>
                <w14:textFill>
                  <w14:solidFill>
                    <w14:srgbClr w14:val="000000">
                      <w14:alpha w14:val="100000"/>
                    </w14:srgbClr>
                  </w14:solidFill>
                </w14:textFill>
              </w:rPr>
              <w:t>|</w:t>
            </w:r>
            <w:r w:rsidRPr="00BD51C6">
              <w:rPr>
                <w:rFonts w:hint="eastAsia"/>
                <w:color w:val="000000"/>
                <w:w w:val="18"/>
                <w:shd w:val="solid" w:color="000000" w:fill="000000"/>
                <w:fitText w:val="80" w:id="-761524477"/>
                <w14:textFill>
                  <w14:solidFill>
                    <w14:srgbClr w14:val="000000">
                      <w14:alpha w14:val="100000"/>
                    </w14:srgbClr>
                  </w14:solidFill>
                </w14:textFill>
              </w:rPr>
              <w:t xml:space="preserve">　</w:t>
            </w:r>
            <w:r w:rsidR="00AA7533">
              <w:t xml:space="preserve"> </w:t>
            </w:r>
            <w:r w:rsidR="00AA7533">
              <w:rPr>
                <w:vertAlign w:val="superscript"/>
              </w:rPr>
              <w:t>2</w:t>
            </w:r>
          </w:p>
        </w:tc>
        <w:tc>
          <w:tcPr>
            <w:tcW w:w="611" w:type="pct"/>
          </w:tcPr>
          <w:p w14:paraId="4A51F722" w14:textId="337001DC" w:rsidR="00E21EB5" w:rsidRPr="0098262F" w:rsidRDefault="00BD51C6" w:rsidP="0048338C">
            <w:pPr>
              <w:pStyle w:val="TableText0"/>
            </w:pPr>
            <w:r w:rsidRPr="00BD51C6">
              <w:rPr>
                <w:rFonts w:hint="eastAsia"/>
                <w:color w:val="000000"/>
                <w:w w:val="18"/>
                <w:shd w:val="solid" w:color="000000" w:fill="000000"/>
                <w:fitText w:val="80" w:id="-761524476"/>
                <w14:textFill>
                  <w14:solidFill>
                    <w14:srgbClr w14:val="000000">
                      <w14:alpha w14:val="100000"/>
                    </w14:srgbClr>
                  </w14:solidFill>
                </w14:textFill>
              </w:rPr>
              <w:t xml:space="preserve">　</w:t>
            </w:r>
            <w:r w:rsidRPr="00BD51C6">
              <w:rPr>
                <w:color w:val="000000"/>
                <w:w w:val="18"/>
                <w:shd w:val="solid" w:color="000000" w:fill="000000"/>
                <w:fitText w:val="80" w:id="-761524476"/>
                <w14:textFill>
                  <w14:solidFill>
                    <w14:srgbClr w14:val="000000">
                      <w14:alpha w14:val="100000"/>
                    </w14:srgbClr>
                  </w14:solidFill>
                </w14:textFill>
              </w:rPr>
              <w:t>|</w:t>
            </w:r>
            <w:r w:rsidRPr="00BD51C6">
              <w:rPr>
                <w:rFonts w:hint="eastAsia"/>
                <w:color w:val="000000"/>
                <w:w w:val="18"/>
                <w:shd w:val="solid" w:color="000000" w:fill="000000"/>
                <w:fitText w:val="80" w:id="-761524476"/>
                <w14:textFill>
                  <w14:solidFill>
                    <w14:srgbClr w14:val="000000">
                      <w14:alpha w14:val="100000"/>
                    </w14:srgbClr>
                  </w14:solidFill>
                </w14:textFill>
              </w:rPr>
              <w:t xml:space="preserve">　</w:t>
            </w:r>
            <w:r w:rsidR="00AA7533">
              <w:t xml:space="preserve"> </w:t>
            </w:r>
            <w:r w:rsidR="00AA7533">
              <w:rPr>
                <w:vertAlign w:val="superscript"/>
              </w:rPr>
              <w:t>2</w:t>
            </w:r>
          </w:p>
        </w:tc>
      </w:tr>
      <w:tr w:rsidR="00E21EB5" w:rsidRPr="0098262F" w14:paraId="646EA18D" w14:textId="77777777" w:rsidTr="00862D73">
        <w:tc>
          <w:tcPr>
            <w:tcW w:w="5000" w:type="pct"/>
            <w:gridSpan w:val="7"/>
            <w:shd w:val="clear" w:color="auto" w:fill="auto"/>
            <w:vAlign w:val="center"/>
          </w:tcPr>
          <w:p w14:paraId="41D35B9E" w14:textId="77777777" w:rsidR="00E21EB5" w:rsidRPr="0098262F" w:rsidRDefault="00E21EB5" w:rsidP="0048338C">
            <w:pPr>
              <w:pStyle w:val="In-tableHeading"/>
            </w:pPr>
            <w:r w:rsidRPr="0098262F">
              <w:t>Estimated financial implications of</w:t>
            </w:r>
            <w:r>
              <w:t xml:space="preserve"> palovarotene</w:t>
            </w:r>
          </w:p>
        </w:tc>
      </w:tr>
      <w:tr w:rsidR="00E21EB5" w:rsidRPr="00753A17" w14:paraId="563D8A8A" w14:textId="77777777" w:rsidTr="00AA7533">
        <w:tc>
          <w:tcPr>
            <w:tcW w:w="1334" w:type="pct"/>
            <w:shd w:val="clear" w:color="auto" w:fill="auto"/>
            <w:vAlign w:val="center"/>
          </w:tcPr>
          <w:p w14:paraId="0338804F" w14:textId="77777777" w:rsidR="00E21EB5" w:rsidRPr="00753A17" w:rsidRDefault="00E21EB5" w:rsidP="0048338C">
            <w:pPr>
              <w:pStyle w:val="TableText0"/>
              <w:jc w:val="left"/>
              <w:rPr>
                <w:b/>
                <w:bCs w:val="0"/>
              </w:rPr>
            </w:pPr>
            <w:r w:rsidRPr="00753A17">
              <w:rPr>
                <w:b/>
                <w:bCs w:val="0"/>
              </w:rPr>
              <w:t>Cost to PBS/RPBS less copayments</w:t>
            </w:r>
          </w:p>
        </w:tc>
        <w:tc>
          <w:tcPr>
            <w:tcW w:w="611" w:type="pct"/>
            <w:shd w:val="clear" w:color="auto" w:fill="auto"/>
            <w:vAlign w:val="center"/>
          </w:tcPr>
          <w:p w14:paraId="299F0143" w14:textId="211B75AC"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5"/>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5"/>
                <w14:textFill>
                  <w14:solidFill>
                    <w14:srgbClr w14:val="000000">
                      <w14:alpha w14:val="100000"/>
                    </w14:srgbClr>
                  </w14:solidFill>
                </w14:textFill>
              </w:rPr>
              <w:t>|</w:t>
            </w:r>
            <w:r w:rsidR="00AA7533">
              <w:t xml:space="preserve"> </w:t>
            </w:r>
            <w:r w:rsidR="00AA7533">
              <w:rPr>
                <w:vertAlign w:val="superscript"/>
              </w:rPr>
              <w:t>3</w:t>
            </w:r>
          </w:p>
        </w:tc>
        <w:tc>
          <w:tcPr>
            <w:tcW w:w="611" w:type="pct"/>
            <w:shd w:val="clear" w:color="auto" w:fill="auto"/>
            <w:vAlign w:val="center"/>
          </w:tcPr>
          <w:p w14:paraId="54002169" w14:textId="45387266"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4"/>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4"/>
                <w14:textFill>
                  <w14:solidFill>
                    <w14:srgbClr w14:val="000000">
                      <w14:alpha w14:val="100000"/>
                    </w14:srgbClr>
                  </w14:solidFill>
                </w14:textFill>
              </w:rPr>
              <w:t>|</w:t>
            </w:r>
            <w:r w:rsidR="00AA7533">
              <w:t xml:space="preserve"> </w:t>
            </w:r>
            <w:r w:rsidR="00AA7533">
              <w:rPr>
                <w:vertAlign w:val="superscript"/>
              </w:rPr>
              <w:t>3</w:t>
            </w:r>
          </w:p>
        </w:tc>
        <w:tc>
          <w:tcPr>
            <w:tcW w:w="611" w:type="pct"/>
            <w:shd w:val="clear" w:color="auto" w:fill="auto"/>
            <w:vAlign w:val="center"/>
          </w:tcPr>
          <w:p w14:paraId="240EA139" w14:textId="19F1A887"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3"/>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3"/>
                <w14:textFill>
                  <w14:solidFill>
                    <w14:srgbClr w14:val="000000">
                      <w14:alpha w14:val="100000"/>
                    </w14:srgbClr>
                  </w14:solidFill>
                </w14:textFill>
              </w:rPr>
              <w:t>|</w:t>
            </w:r>
            <w:r w:rsidR="00AA7533">
              <w:t xml:space="preserve"> </w:t>
            </w:r>
            <w:r w:rsidR="00AA7533">
              <w:rPr>
                <w:vertAlign w:val="superscript"/>
              </w:rPr>
              <w:t>3</w:t>
            </w:r>
          </w:p>
        </w:tc>
        <w:tc>
          <w:tcPr>
            <w:tcW w:w="611" w:type="pct"/>
            <w:shd w:val="clear" w:color="auto" w:fill="auto"/>
            <w:vAlign w:val="center"/>
          </w:tcPr>
          <w:p w14:paraId="604BC6A5" w14:textId="52FD4EB7"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2"/>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2"/>
                <w14:textFill>
                  <w14:solidFill>
                    <w14:srgbClr w14:val="000000">
                      <w14:alpha w14:val="100000"/>
                    </w14:srgbClr>
                  </w14:solidFill>
                </w14:textFill>
              </w:rPr>
              <w:t>|</w:t>
            </w:r>
            <w:r w:rsidR="00AA7533">
              <w:t xml:space="preserve"> </w:t>
            </w:r>
            <w:r w:rsidR="00AA7533">
              <w:rPr>
                <w:vertAlign w:val="superscript"/>
              </w:rPr>
              <w:t>3</w:t>
            </w:r>
          </w:p>
        </w:tc>
        <w:tc>
          <w:tcPr>
            <w:tcW w:w="611" w:type="pct"/>
            <w:shd w:val="clear" w:color="auto" w:fill="auto"/>
            <w:vAlign w:val="center"/>
          </w:tcPr>
          <w:p w14:paraId="561097F5" w14:textId="595F4139"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1"/>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1"/>
                <w14:textFill>
                  <w14:solidFill>
                    <w14:srgbClr w14:val="000000">
                      <w14:alpha w14:val="100000"/>
                    </w14:srgbClr>
                  </w14:solidFill>
                </w14:textFill>
              </w:rPr>
              <w:t>|</w:t>
            </w:r>
            <w:r w:rsidR="00AA7533">
              <w:t xml:space="preserve"> </w:t>
            </w:r>
            <w:r w:rsidR="00AA7533">
              <w:rPr>
                <w:vertAlign w:val="superscript"/>
              </w:rPr>
              <w:t>3</w:t>
            </w:r>
          </w:p>
        </w:tc>
        <w:tc>
          <w:tcPr>
            <w:tcW w:w="611" w:type="pct"/>
            <w:vAlign w:val="center"/>
          </w:tcPr>
          <w:p w14:paraId="55A2810C" w14:textId="1F7F671E" w:rsidR="00E21EB5" w:rsidRPr="00753A17" w:rsidRDefault="00E21EB5" w:rsidP="0048338C">
            <w:pPr>
              <w:pStyle w:val="TableText0"/>
              <w:rPr>
                <w:b/>
                <w:bCs w:val="0"/>
              </w:rPr>
            </w:pPr>
            <w:r w:rsidRPr="00753A17">
              <w:rPr>
                <w:b/>
                <w:bCs w:val="0"/>
                <w:szCs w:val="20"/>
              </w:rPr>
              <w:t>$</w:t>
            </w:r>
            <w:r w:rsidR="00BD51C6" w:rsidRPr="00BD51C6">
              <w:rPr>
                <w:b/>
                <w:bCs w:val="0"/>
                <w:color w:val="000000"/>
                <w:spacing w:val="68"/>
                <w:szCs w:val="20"/>
                <w:shd w:val="solid" w:color="000000" w:fill="000000"/>
                <w:fitText w:val="160" w:id="-761524470"/>
                <w14:textFill>
                  <w14:solidFill>
                    <w14:srgbClr w14:val="000000">
                      <w14:alpha w14:val="100000"/>
                    </w14:srgbClr>
                  </w14:solidFill>
                </w14:textFill>
              </w:rPr>
              <w:t>|</w:t>
            </w:r>
            <w:r w:rsidR="00BD51C6" w:rsidRPr="00BD51C6">
              <w:rPr>
                <w:b/>
                <w:bCs w:val="0"/>
                <w:color w:val="000000"/>
                <w:spacing w:val="1"/>
                <w:szCs w:val="20"/>
                <w:shd w:val="solid" w:color="000000" w:fill="000000"/>
                <w:fitText w:val="160" w:id="-761524470"/>
                <w14:textFill>
                  <w14:solidFill>
                    <w14:srgbClr w14:val="000000">
                      <w14:alpha w14:val="100000"/>
                    </w14:srgbClr>
                  </w14:solidFill>
                </w14:textFill>
              </w:rPr>
              <w:t>|</w:t>
            </w:r>
            <w:r w:rsidR="00AA7533">
              <w:t xml:space="preserve"> </w:t>
            </w:r>
            <w:r w:rsidR="00AA7533">
              <w:rPr>
                <w:vertAlign w:val="superscript"/>
              </w:rPr>
              <w:t>3</w:t>
            </w:r>
          </w:p>
        </w:tc>
      </w:tr>
    </w:tbl>
    <w:p w14:paraId="11F8C087" w14:textId="77777777" w:rsidR="00E21EB5" w:rsidRDefault="00E21EB5" w:rsidP="0048338C">
      <w:pPr>
        <w:pStyle w:val="FooterTableFigure"/>
        <w:keepNext/>
        <w:keepLines/>
        <w:spacing w:after="0"/>
      </w:pPr>
      <w:r>
        <w:t>Source: Table 4.2-1, p208, Table 4.2-2, p208 and Table 4.2-7, p210 of the submission.</w:t>
      </w:r>
    </w:p>
    <w:p w14:paraId="0EFEC035" w14:textId="77777777" w:rsidR="00E21EB5" w:rsidRDefault="00E21EB5" w:rsidP="0048338C">
      <w:pPr>
        <w:pStyle w:val="TableFigureFooter"/>
        <w:keepNext/>
        <w:jc w:val="both"/>
      </w:pPr>
      <w:r w:rsidRPr="0098262F">
        <w:t xml:space="preserve">a </w:t>
      </w:r>
      <w:r w:rsidRPr="00753A17">
        <w:t>Based</w:t>
      </w:r>
      <w:r>
        <w:t xml:space="preserve"> </w:t>
      </w:r>
      <w:r w:rsidRPr="00753A17">
        <w:t>on 20% patients not being treated due to age or medical reasons and 2 unregistered patients (21x.0.8+2=19). Number of patients assumed to decline each year due to death</w:t>
      </w:r>
      <w:r>
        <w:t xml:space="preserve"> </w:t>
      </w:r>
    </w:p>
    <w:p w14:paraId="5E205777" w14:textId="77777777" w:rsidR="00E21EB5" w:rsidRDefault="00E21EB5" w:rsidP="0048338C">
      <w:pPr>
        <w:pStyle w:val="TableFigureFooter"/>
        <w:keepNext/>
        <w:jc w:val="both"/>
      </w:pPr>
      <w:r w:rsidRPr="00753A17">
        <w:t>b</w:t>
      </w:r>
      <w:r>
        <w:t xml:space="preserve"> Based on Age and weight based dosing for chronic and flare-up treatment as calculated in the economic evaluation.</w:t>
      </w:r>
    </w:p>
    <w:p w14:paraId="3D1A7C77" w14:textId="77777777" w:rsidR="008A4EBF" w:rsidRPr="00F56B14" w:rsidRDefault="008A4EBF" w:rsidP="0048338C">
      <w:pPr>
        <w:keepNext/>
        <w:keepLines/>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3C25C4BC" w14:textId="0C4BD3C3" w:rsidR="008A4EBF" w:rsidRPr="00F56B14" w:rsidRDefault="008A4EBF" w:rsidP="0048338C">
      <w:pPr>
        <w:keepNext/>
        <w:keepLines/>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2965DE" w:rsidRPr="002965DE">
        <w:rPr>
          <w:rFonts w:ascii="Arial Narrow" w:hAnsi="Arial Narrow" w:cstheme="minorHAnsi"/>
          <w:bCs/>
          <w:i/>
          <w:iCs/>
          <w:sz w:val="18"/>
          <w:szCs w:val="18"/>
        </w:rPr>
        <w:t>&lt; 500</w:t>
      </w:r>
    </w:p>
    <w:p w14:paraId="0FF94288" w14:textId="3E98D82D" w:rsidR="008A4EBF" w:rsidRPr="00F56B14" w:rsidRDefault="008A4EBF" w:rsidP="0048338C">
      <w:pPr>
        <w:keepNext/>
        <w:keepLines/>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091288" w:rsidRPr="00091288">
        <w:rPr>
          <w:rFonts w:ascii="Arial Narrow" w:hAnsi="Arial Narrow" w:cstheme="minorHAnsi"/>
          <w:bCs/>
          <w:i/>
          <w:iCs/>
          <w:sz w:val="18"/>
          <w:szCs w:val="18"/>
        </w:rPr>
        <w:t>500 to &lt; 5,000</w:t>
      </w:r>
    </w:p>
    <w:p w14:paraId="7198A942" w14:textId="28C068A0" w:rsidR="00AA7533" w:rsidRPr="00AA7533" w:rsidRDefault="008A4EBF" w:rsidP="008A4EBF">
      <w:pPr>
        <w:spacing w:after="120"/>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48338C" w:rsidRPr="0048338C">
        <w:rPr>
          <w:rFonts w:ascii="Arial Narrow" w:hAnsi="Arial Narrow" w:cstheme="minorHAnsi"/>
          <w:bCs/>
          <w:i/>
          <w:iCs/>
          <w:sz w:val="18"/>
          <w:szCs w:val="18"/>
        </w:rPr>
        <w:t>$10 million to &lt; $20 million</w:t>
      </w:r>
      <w:r w:rsidRPr="00F56B14">
        <w:rPr>
          <w:rFonts w:ascii="Arial Narrow" w:hAnsi="Arial Narrow" w:cstheme="minorHAnsi"/>
          <w:bCs/>
          <w:i/>
          <w:iCs/>
          <w:sz w:val="18"/>
          <w:szCs w:val="18"/>
        </w:rPr>
        <w:t xml:space="preserve"> </w:t>
      </w:r>
    </w:p>
    <w:p w14:paraId="19C86280" w14:textId="073CDF18" w:rsidR="00E21EB5" w:rsidRPr="00D87861" w:rsidRDefault="00E21EB5" w:rsidP="00E21EB5">
      <w:pPr>
        <w:pStyle w:val="3-BodyText"/>
      </w:pPr>
      <w:r w:rsidRPr="0098262F">
        <w:t>The total cost to the PBS/RPBS of listing</w:t>
      </w:r>
      <w:r>
        <w:t xml:space="preserve"> palovarotene </w:t>
      </w:r>
      <w:r w:rsidRPr="0098262F">
        <w:t xml:space="preserve">was estimated to be </w:t>
      </w:r>
      <w:r w:rsidR="00BD39F2" w:rsidRPr="00BD39F2">
        <w:t>$10 million to &lt; $20 million</w:t>
      </w:r>
      <w:r w:rsidR="00BD39F2" w:rsidRPr="00BD39F2" w:rsidDel="00BD39F2">
        <w:t xml:space="preserve"> </w:t>
      </w:r>
      <w:r>
        <w:t xml:space="preserve">in Year 1 increasing to </w:t>
      </w:r>
      <w:r w:rsidR="00BD39F2" w:rsidRPr="00BD39F2">
        <w:t>$10 million to &lt; $20 million</w:t>
      </w:r>
      <w:r w:rsidR="00BD39F2" w:rsidRPr="00BD39F2" w:rsidDel="00BD39F2">
        <w:t xml:space="preserve"> </w:t>
      </w:r>
      <w:r>
        <w:t>in Year</w:t>
      </w:r>
      <w:r w:rsidR="00BD39F2">
        <w:t> </w:t>
      </w:r>
      <w:r>
        <w:t xml:space="preserve">2 and decreasing to </w:t>
      </w:r>
      <w:r w:rsidR="00BD39F2" w:rsidRPr="00BD39F2">
        <w:t>$10 million to &lt; $20 million</w:t>
      </w:r>
      <w:r w:rsidR="00BD39F2" w:rsidRPr="00BD39F2" w:rsidDel="00BD39F2">
        <w:t xml:space="preserve"> </w:t>
      </w:r>
      <w:r w:rsidRPr="0098262F">
        <w:t xml:space="preserve">in Year 6, </w:t>
      </w:r>
      <w:r>
        <w:t>for</w:t>
      </w:r>
      <w:r w:rsidRPr="0098262F">
        <w:t xml:space="preserve"> a total of </w:t>
      </w:r>
      <w:r w:rsidR="00B902C2" w:rsidRPr="00B902C2">
        <w:t>$70 million to &lt; $80 million</w:t>
      </w:r>
      <w:r w:rsidR="00B902C2" w:rsidRPr="00B902C2" w:rsidDel="00B902C2">
        <w:t xml:space="preserve"> </w:t>
      </w:r>
      <w:r w:rsidRPr="0098262F">
        <w:t>in the first 6 years of listing</w:t>
      </w:r>
      <w:r w:rsidRPr="0098262F">
        <w:rPr>
          <w:color w:val="3366FF"/>
        </w:rPr>
        <w:t>.</w:t>
      </w:r>
    </w:p>
    <w:p w14:paraId="37777C0D" w14:textId="546DA72C" w:rsidR="00E21EB5" w:rsidRPr="00E21EB5" w:rsidRDefault="00E21EB5" w:rsidP="00E21EB5">
      <w:pPr>
        <w:pStyle w:val="3-BodyText"/>
        <w:rPr>
          <w:color w:val="000000" w:themeColor="text1"/>
        </w:rPr>
      </w:pPr>
      <w:bookmarkStart w:id="59" w:name="_Ref182556236"/>
      <w:r w:rsidRPr="00E21EB5">
        <w:rPr>
          <w:color w:val="000000" w:themeColor="text1"/>
        </w:rPr>
        <w:t>Overall, given the uncertainty regarding patient age, the total financial impact of palovarotene is uncertain as the annual palovarotene cost is $</w:t>
      </w:r>
      <w:r w:rsidR="00BD51C6" w:rsidRPr="00EA196D">
        <w:rPr>
          <w:color w:val="000000" w:themeColor="text1"/>
          <w:w w:val="15"/>
          <w:shd w:val="solid" w:color="000000" w:fill="000000"/>
          <w:fitText w:val="-20" w:id="-761524469"/>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69"/>
          <w14:textFill>
            <w14:solidFill>
              <w14:schemeClr w14:val="tx1">
                <w14:alpha w14:val="100000"/>
              </w14:schemeClr>
            </w14:solidFill>
          </w14:textFill>
        </w:rPr>
        <w:t>|</w:t>
      </w:r>
      <w:r w:rsidRPr="00E21EB5">
        <w:rPr>
          <w:color w:val="000000" w:themeColor="text1"/>
        </w:rPr>
        <w:t xml:space="preserve"> for patients aged 8 – &lt;15 years old, and $</w:t>
      </w:r>
      <w:r w:rsidR="00BD51C6" w:rsidRPr="00EA196D">
        <w:rPr>
          <w:color w:val="000000" w:themeColor="text1"/>
          <w:w w:val="15"/>
          <w:shd w:val="solid" w:color="000000" w:fill="000000"/>
          <w:fitText w:val="-20" w:id="-761524468"/>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68"/>
          <w14:textFill>
            <w14:solidFill>
              <w14:schemeClr w14:val="tx1">
                <w14:alpha w14:val="100000"/>
              </w14:schemeClr>
            </w14:solidFill>
          </w14:textFill>
        </w:rPr>
        <w:t>|</w:t>
      </w:r>
      <w:r w:rsidRPr="00E21EB5">
        <w:rPr>
          <w:color w:val="000000" w:themeColor="text1"/>
        </w:rPr>
        <w:t xml:space="preserve"> for patients ages 15 - &lt;25 years old, reflecting a 46% increase in costs and a $</w:t>
      </w:r>
      <w:r w:rsidR="00BD51C6" w:rsidRPr="00EA196D">
        <w:rPr>
          <w:color w:val="000000" w:themeColor="text1"/>
          <w:w w:val="15"/>
          <w:shd w:val="solid" w:color="000000" w:fill="000000"/>
          <w:fitText w:val="-20" w:id="-761524467"/>
          <w14:textFill>
            <w14:solidFill>
              <w14:schemeClr w14:val="tx1">
                <w14:alpha w14:val="100000"/>
              </w14:schemeClr>
            </w14:solidFill>
          </w14:textFill>
        </w:rPr>
        <w:t xml:space="preserve">|  </w:t>
      </w:r>
      <w:r w:rsidR="00BD51C6" w:rsidRPr="00EA196D">
        <w:rPr>
          <w:color w:val="000000" w:themeColor="text1"/>
          <w:spacing w:val="-69"/>
          <w:w w:val="15"/>
          <w:shd w:val="solid" w:color="000000" w:fill="000000"/>
          <w:fitText w:val="-20" w:id="-761524467"/>
          <w14:textFill>
            <w14:solidFill>
              <w14:schemeClr w14:val="tx1">
                <w14:alpha w14:val="100000"/>
              </w14:schemeClr>
            </w14:solidFill>
          </w14:textFill>
        </w:rPr>
        <w:t>|</w:t>
      </w:r>
      <w:r w:rsidRPr="00E21EB5">
        <w:rPr>
          <w:color w:val="000000" w:themeColor="text1"/>
        </w:rPr>
        <w:t xml:space="preserve"> difference per year for these two age groups. </w:t>
      </w:r>
      <w:r w:rsidR="00882ECA">
        <w:rPr>
          <w:color w:val="000000" w:themeColor="text1"/>
        </w:rPr>
        <w:t>As for the economic evaluation, the cost of flare-up treatment was based on the median duration from the trial, rather than the mean, which is likely to underestimate the cost to the PBS.</w:t>
      </w:r>
      <w:bookmarkEnd w:id="59"/>
    </w:p>
    <w:p w14:paraId="7DDED75C" w14:textId="77777777" w:rsidR="00E21EB5" w:rsidRPr="00133A18" w:rsidRDefault="00E21EB5" w:rsidP="00E21EB5">
      <w:pPr>
        <w:pStyle w:val="3-BodyText"/>
      </w:pPr>
      <w:r>
        <w:t xml:space="preserve">The submission noted </w:t>
      </w:r>
      <w:r w:rsidRPr="00D87861">
        <w:t xml:space="preserve">there are currently </w:t>
      </w:r>
      <w:r>
        <w:t>two</w:t>
      </w:r>
      <w:r w:rsidRPr="00D87861">
        <w:t xml:space="preserve"> patients who received treatment with </w:t>
      </w:r>
      <w:r>
        <w:t>palovarotene</w:t>
      </w:r>
      <w:r w:rsidRPr="00D87861">
        <w:t xml:space="preserve"> in the MOVE clinical trial who will transition to a company sponsored access program by the end of 2024. </w:t>
      </w:r>
      <w:r>
        <w:t>The submission</w:t>
      </w:r>
      <w:r w:rsidRPr="00D87861">
        <w:t xml:space="preserve"> anticipated that both patients will commence subsidised treatment with </w:t>
      </w:r>
      <w:r>
        <w:t xml:space="preserve">palovarotene </w:t>
      </w:r>
      <w:r w:rsidRPr="00D87861">
        <w:t>in the first year of listing</w:t>
      </w:r>
      <w:r>
        <w:t xml:space="preserve">, but considered </w:t>
      </w:r>
      <w:r w:rsidRPr="00D87861">
        <w:t>that both patients are currently registered with FOP Australia and are likely to have already been captured in the analysis</w:t>
      </w:r>
      <w:r>
        <w:t xml:space="preserve">. </w:t>
      </w:r>
      <w:r w:rsidRPr="00E21EB5">
        <w:t>This was reasonable</w:t>
      </w:r>
      <w:r w:rsidRPr="00D87861">
        <w:rPr>
          <w:i/>
          <w:iCs/>
        </w:rPr>
        <w:t>.</w:t>
      </w:r>
    </w:p>
    <w:p w14:paraId="648AF82A" w14:textId="3A084023" w:rsidR="00EE1125" w:rsidRDefault="00133A18" w:rsidP="00EE1125">
      <w:pPr>
        <w:pStyle w:val="3-BodyText"/>
      </w:pPr>
      <w:bookmarkStart w:id="60" w:name="_Ref182556297"/>
      <w:r>
        <w:t xml:space="preserve">The PBAC noted that </w:t>
      </w:r>
      <w:r w:rsidR="00CD2088">
        <w:t xml:space="preserve">communication from FOP Australia indicated that, of patients with FOP in Australia, 4 are too young to initiate treatment and 7 are over 40 years of age, with significant impairment that means they are unlikely to benefit from treatment. This suggests that the submission underestimated the number of patients not treated due to age or medical reasons. The PBAC </w:t>
      </w:r>
      <w:r w:rsidR="00875234">
        <w:t xml:space="preserve">noted </w:t>
      </w:r>
      <w:r w:rsidR="00CD2088">
        <w:t xml:space="preserve">that </w:t>
      </w:r>
      <w:r w:rsidR="00875234">
        <w:t xml:space="preserve">to reflect the FOP Australia data </w:t>
      </w:r>
      <w:r w:rsidR="00CD2088">
        <w:t xml:space="preserve">this proportion </w:t>
      </w:r>
      <w:r w:rsidR="00875234">
        <w:t xml:space="preserve">would </w:t>
      </w:r>
      <w:r w:rsidR="00CD2088">
        <w:t>be increased from 20% to 52% ((</w:t>
      </w:r>
      <w:r w:rsidR="005F30E1" w:rsidRPr="005F30E1">
        <w:rPr>
          <w:bCs/>
        </w:rPr>
        <w:t>&lt; 500</w:t>
      </w:r>
      <w:r w:rsidR="00E613D0">
        <w:t>-</w:t>
      </w:r>
      <w:r w:rsidR="00CD2088">
        <w:t>4</w:t>
      </w:r>
      <w:r w:rsidR="00E613D0">
        <w:t>-</w:t>
      </w:r>
      <w:r w:rsidR="00CD2088">
        <w:t>7)/</w:t>
      </w:r>
      <w:r w:rsidR="005F30E1" w:rsidRPr="005F30E1">
        <w:rPr>
          <w:bCs/>
        </w:rPr>
        <w:t xml:space="preserve"> &lt; 500</w:t>
      </w:r>
      <w:r w:rsidR="00CD2088">
        <w:t>)</w:t>
      </w:r>
      <w:r w:rsidR="00EE1125">
        <w:t xml:space="preserve">, which would reduce the total treated patients from </w:t>
      </w:r>
      <w:r w:rsidR="00E34F7F">
        <w:t xml:space="preserve">&lt; 500 </w:t>
      </w:r>
      <w:r w:rsidR="00EE1125">
        <w:t xml:space="preserve">to </w:t>
      </w:r>
      <w:r w:rsidR="00E34F7F">
        <w:t>&lt; 500</w:t>
      </w:r>
      <w:r w:rsidR="00EE1125">
        <w:t xml:space="preserve"> in year 1</w:t>
      </w:r>
      <w:r w:rsidR="00E613D0">
        <w:t>.</w:t>
      </w:r>
      <w:bookmarkEnd w:id="60"/>
    </w:p>
    <w:p w14:paraId="68F8E00D" w14:textId="60CB5589" w:rsidR="00E21EB5" w:rsidRPr="0098262F" w:rsidRDefault="00E21EB5" w:rsidP="00E21EB5">
      <w:pPr>
        <w:pStyle w:val="4-SubsectionHeading"/>
      </w:pPr>
      <w:bookmarkStart w:id="61" w:name="_Toc22897648"/>
      <w:bookmarkStart w:id="62" w:name="_Toc177559118"/>
      <w:r w:rsidRPr="0098262F">
        <w:t>Quality Use of Medicines</w:t>
      </w:r>
      <w:bookmarkEnd w:id="61"/>
      <w:bookmarkEnd w:id="62"/>
    </w:p>
    <w:p w14:paraId="080570DE" w14:textId="12DDDF17" w:rsidR="00E613D0" w:rsidRDefault="00E21EB5" w:rsidP="00E613D0">
      <w:pPr>
        <w:pStyle w:val="3-BodyText"/>
      </w:pPr>
      <w:r w:rsidRPr="00362690">
        <w:rPr>
          <w:color w:val="000000" w:themeColor="text1"/>
        </w:rPr>
        <w:t>The submission did not provide any details of Quality Use of Medicines activities.</w:t>
      </w:r>
      <w:r w:rsidR="00E613D0" w:rsidRPr="00E613D0">
        <w:t xml:space="preserve"> </w:t>
      </w:r>
      <w:r w:rsidR="00E613D0" w:rsidRPr="005C03DB">
        <w:t xml:space="preserve">DUSC noted it was inappropriate for a submission with limited long term safety data, </w:t>
      </w:r>
      <w:r w:rsidR="00E613D0" w:rsidRPr="005C03DB">
        <w:lastRenderedPageBreak/>
        <w:t xml:space="preserve">complex dosing regimens and the potential for severe adverse events such as premature physeal closure to not have any consideration on the quality use of medicines (QUM) with no planned training programs for patients, carers or practitioners and no planned surveillance programs. </w:t>
      </w:r>
      <w:r w:rsidR="00597117">
        <w:t xml:space="preserve">The pre-PBAC response noted </w:t>
      </w:r>
      <w:r w:rsidR="00597117" w:rsidRPr="00F639F1">
        <w:t>that active surveillance should already be implemented by prescribers since there is a special warning in the TGA PI for PPC and close monitoring is recommended in growing children every 6-12 months.</w:t>
      </w:r>
    </w:p>
    <w:p w14:paraId="6EA8B2E8" w14:textId="77777777" w:rsidR="00E21EB5" w:rsidRPr="0098262F" w:rsidRDefault="00E21EB5" w:rsidP="00E21EB5">
      <w:pPr>
        <w:pStyle w:val="4-SubsectionHeading"/>
      </w:pPr>
      <w:bookmarkStart w:id="63" w:name="_Toc22897649"/>
      <w:bookmarkStart w:id="64" w:name="_Toc177559119"/>
      <w:r w:rsidRPr="0098262F">
        <w:t>Financial Management – Risk Sharing Arrangements</w:t>
      </w:r>
      <w:bookmarkEnd w:id="63"/>
      <w:bookmarkEnd w:id="64"/>
    </w:p>
    <w:p w14:paraId="58E46A23" w14:textId="3A3314FB" w:rsidR="00E21EB5" w:rsidRPr="00E613D0" w:rsidRDefault="00E21EB5" w:rsidP="00E21EB5">
      <w:pPr>
        <w:pStyle w:val="3-BodyText"/>
      </w:pPr>
      <w:r w:rsidRPr="00E613D0">
        <w:rPr>
          <w:color w:val="000000" w:themeColor="text1"/>
        </w:rPr>
        <w:t>The submission did not include details of a risk sharing arrangement</w:t>
      </w:r>
      <w:r w:rsidR="009049C4">
        <w:rPr>
          <w:color w:val="000000" w:themeColor="text1"/>
        </w:rPr>
        <w:t xml:space="preserve"> (RSA)</w:t>
      </w:r>
      <w:r w:rsidRPr="00E613D0">
        <w:rPr>
          <w:color w:val="000000" w:themeColor="text1"/>
        </w:rPr>
        <w:t xml:space="preserve">. </w:t>
      </w:r>
    </w:p>
    <w:p w14:paraId="486A6C98" w14:textId="2A1B2EA7" w:rsidR="00A358E5" w:rsidRDefault="00E21EB5" w:rsidP="005F30E1">
      <w:pPr>
        <w:spacing w:before="120"/>
        <w:ind w:firstLine="709"/>
      </w:pPr>
      <w:r w:rsidRPr="00C33D30">
        <w:rPr>
          <w:rFonts w:asciiTheme="minorHAnsi" w:hAnsiTheme="minorHAnsi"/>
          <w:i/>
        </w:rPr>
        <w:t>For more detail on PBAC’s view, see section 7 PBAC outcome.</w:t>
      </w:r>
    </w:p>
    <w:p w14:paraId="30161677" w14:textId="0A7783FA" w:rsidR="00A358E5" w:rsidRDefault="00A358E5" w:rsidP="00A358E5">
      <w:pPr>
        <w:pStyle w:val="4-SubsectionHeading"/>
      </w:pPr>
      <w:r>
        <w:t>R</w:t>
      </w:r>
      <w:r w:rsidRPr="00407414">
        <w:t>ule of rescue</w:t>
      </w:r>
      <w:r>
        <w:t xml:space="preserve"> claim</w:t>
      </w:r>
      <w:r w:rsidRPr="00550E93">
        <w:t xml:space="preserve"> </w:t>
      </w:r>
    </w:p>
    <w:p w14:paraId="2F497842" w14:textId="6BDB52E6" w:rsidR="00DF6C27" w:rsidRDefault="00A358E5" w:rsidP="00110450">
      <w:pPr>
        <w:pStyle w:val="3-BodyText"/>
      </w:pPr>
      <w:bookmarkStart w:id="65" w:name="_Ref183183032"/>
      <w:r w:rsidRPr="00550E93">
        <w:t xml:space="preserve">The submission made a request for </w:t>
      </w:r>
      <w:r>
        <w:t>PBAC to</w:t>
      </w:r>
      <w:r w:rsidRPr="00A358E5">
        <w:t xml:space="preserve"> consider the ‘rule of rescue’ or alternatively consider a listing under the Life Savings Drugs Program</w:t>
      </w:r>
      <w:r w:rsidR="00DF6C27">
        <w:t xml:space="preserve"> (LSDP)</w:t>
      </w:r>
      <w:r>
        <w:t>, i</w:t>
      </w:r>
      <w:r w:rsidRPr="00821EF2">
        <w:t>f the PBAC accepts that PVO is clinically effective but fails to meet the cost effectiveness criteria</w:t>
      </w:r>
      <w:r w:rsidRPr="00550E93">
        <w:t>.</w:t>
      </w:r>
      <w:bookmarkEnd w:id="65"/>
      <w:r>
        <w:t xml:space="preserve"> </w:t>
      </w:r>
    </w:p>
    <w:p w14:paraId="0EF5CF3E" w14:textId="3BCA283F" w:rsidR="00A358E5" w:rsidRPr="00550E93" w:rsidRDefault="00DF6C27" w:rsidP="00110450">
      <w:pPr>
        <w:pStyle w:val="3-BodyText"/>
      </w:pPr>
      <w:r>
        <w:t>The PBAC</w:t>
      </w:r>
      <w:r w:rsidR="00A358E5">
        <w:t xml:space="preserve"> noted </w:t>
      </w:r>
      <w:r>
        <w:t>it</w:t>
      </w:r>
      <w:r w:rsidR="00A358E5">
        <w:t xml:space="preserve"> </w:t>
      </w:r>
      <w:r>
        <w:t xml:space="preserve">does not </w:t>
      </w:r>
      <w:r w:rsidRPr="00DF6C27">
        <w:t xml:space="preserve">make recommendations </w:t>
      </w:r>
      <w:r>
        <w:t>or</w:t>
      </w:r>
      <w:r w:rsidRPr="00DF6C27">
        <w:t xml:space="preserve"> give advice to the Minister about which drugs should </w:t>
      </w:r>
      <w:r w:rsidR="00B3422F">
        <w:t xml:space="preserve">be </w:t>
      </w:r>
      <w:r w:rsidRPr="00DF6C27">
        <w:t xml:space="preserve">listed on the </w:t>
      </w:r>
      <w:r>
        <w:t>LSDP.</w:t>
      </w:r>
    </w:p>
    <w:p w14:paraId="071C34C0" w14:textId="0823E716" w:rsidR="00A358E5" w:rsidRPr="00DF6C27" w:rsidRDefault="00DF6C27" w:rsidP="00110450">
      <w:pPr>
        <w:pStyle w:val="3-BodyText"/>
      </w:pPr>
      <w:r>
        <w:fldChar w:fldCharType="begin" w:fldLock="1"/>
      </w:r>
      <w:r>
        <w:instrText xml:space="preserve"> REF _Ref183078917 \h </w:instrText>
      </w:r>
      <w:r w:rsidR="00110450">
        <w:instrText xml:space="preserve"> \* MERGEFORMAT </w:instrText>
      </w:r>
      <w:r>
        <w:fldChar w:fldCharType="separate"/>
      </w:r>
      <w:r w:rsidR="0043347F">
        <w:t xml:space="preserve">Table </w:t>
      </w:r>
      <w:r w:rsidR="0043347F">
        <w:rPr>
          <w:noProof/>
        </w:rPr>
        <w:t>17</w:t>
      </w:r>
      <w:r>
        <w:fldChar w:fldCharType="end"/>
      </w:r>
      <w:r w:rsidR="00A358E5" w:rsidRPr="00DF6C27">
        <w:t xml:space="preserve"> presents the submission’s claims regarding the rule of rescue.</w:t>
      </w:r>
    </w:p>
    <w:p w14:paraId="53E4B468" w14:textId="75BD3401" w:rsidR="00A358E5" w:rsidRPr="00550E93" w:rsidRDefault="00DF6C27" w:rsidP="00DF6C27">
      <w:pPr>
        <w:pStyle w:val="Caption"/>
      </w:pPr>
      <w:bookmarkStart w:id="66" w:name="_Ref183078917"/>
      <w:r>
        <w:t xml:space="preserve">Table </w:t>
      </w:r>
      <w:r w:rsidR="002A4328">
        <w:fldChar w:fldCharType="begin" w:fldLock="1"/>
      </w:r>
      <w:r w:rsidR="002A4328">
        <w:instrText xml:space="preserve"> SEQ Table \* ARABIC </w:instrText>
      </w:r>
      <w:r w:rsidR="002A4328">
        <w:fldChar w:fldCharType="separate"/>
      </w:r>
      <w:r w:rsidR="0043347F">
        <w:rPr>
          <w:noProof/>
        </w:rPr>
        <w:t>17</w:t>
      </w:r>
      <w:r w:rsidR="002A4328">
        <w:rPr>
          <w:noProof/>
        </w:rPr>
        <w:fldChar w:fldCharType="end"/>
      </w:r>
      <w:bookmarkEnd w:id="66"/>
      <w:r w:rsidR="00A358E5" w:rsidRPr="00DF6C27">
        <w:t xml:space="preserve">: </w:t>
      </w:r>
      <w:r w:rsidR="00A358E5" w:rsidRPr="00550E93">
        <w:t xml:space="preserve">Addressing the PBS ‘rule of rescue’ in this submission </w:t>
      </w:r>
    </w:p>
    <w:tbl>
      <w:tblPr>
        <w:tblStyle w:val="TableGrid"/>
        <w:tblW w:w="5028" w:type="pct"/>
        <w:tblCellMar>
          <w:left w:w="29" w:type="dxa"/>
          <w:right w:w="29" w:type="dxa"/>
        </w:tblCellMar>
        <w:tblLook w:val="04A0" w:firstRow="1" w:lastRow="0" w:firstColumn="1" w:lastColumn="0" w:noHBand="0" w:noVBand="1"/>
      </w:tblPr>
      <w:tblGrid>
        <w:gridCol w:w="3964"/>
        <w:gridCol w:w="5103"/>
      </w:tblGrid>
      <w:tr w:rsidR="00B87DF5" w:rsidRPr="00550E93" w14:paraId="3BBD097B" w14:textId="77777777" w:rsidTr="002224FC">
        <w:tc>
          <w:tcPr>
            <w:tcW w:w="3964" w:type="dxa"/>
            <w:vAlign w:val="center"/>
          </w:tcPr>
          <w:p w14:paraId="07E9DABE" w14:textId="77777777" w:rsidR="00A358E5" w:rsidRPr="00550E93" w:rsidRDefault="00A358E5" w:rsidP="00FD0D51">
            <w:pPr>
              <w:pStyle w:val="TableText0"/>
              <w:jc w:val="left"/>
              <w:rPr>
                <w:b/>
                <w:bCs w:val="0"/>
              </w:rPr>
            </w:pPr>
            <w:r w:rsidRPr="00550E93">
              <w:rPr>
                <w:b/>
              </w:rPr>
              <w:t>PBS rule of rescue</w:t>
            </w:r>
          </w:p>
        </w:tc>
        <w:tc>
          <w:tcPr>
            <w:tcW w:w="5103" w:type="dxa"/>
            <w:vAlign w:val="center"/>
          </w:tcPr>
          <w:p w14:paraId="31796026" w14:textId="77777777" w:rsidR="00A358E5" w:rsidRPr="00550E93" w:rsidRDefault="00A358E5" w:rsidP="00FD0D51">
            <w:pPr>
              <w:pStyle w:val="TableText0"/>
              <w:jc w:val="left"/>
              <w:rPr>
                <w:b/>
                <w:bCs w:val="0"/>
              </w:rPr>
            </w:pPr>
            <w:r w:rsidRPr="00550E93">
              <w:rPr>
                <w:b/>
              </w:rPr>
              <w:t>PVO for FOP</w:t>
            </w:r>
          </w:p>
        </w:tc>
      </w:tr>
      <w:tr w:rsidR="00B87DF5" w:rsidRPr="00550E93" w14:paraId="0D93DC9D" w14:textId="77777777" w:rsidTr="002224FC">
        <w:tc>
          <w:tcPr>
            <w:tcW w:w="3964" w:type="dxa"/>
            <w:vAlign w:val="center"/>
          </w:tcPr>
          <w:p w14:paraId="447158F8" w14:textId="77777777" w:rsidR="00A358E5" w:rsidRPr="00550E93" w:rsidRDefault="00A358E5" w:rsidP="00FD0D51">
            <w:pPr>
              <w:pStyle w:val="TableText0"/>
              <w:jc w:val="left"/>
            </w:pPr>
            <w:r w:rsidRPr="00550E93">
              <w:t xml:space="preserve">The medical condition defined by the requested restriction applies to only a very small number of patients. </w:t>
            </w:r>
          </w:p>
        </w:tc>
        <w:tc>
          <w:tcPr>
            <w:tcW w:w="5103" w:type="dxa"/>
            <w:vAlign w:val="center"/>
          </w:tcPr>
          <w:p w14:paraId="4B6EF890" w14:textId="77777777" w:rsidR="00A358E5" w:rsidRPr="00550E93" w:rsidRDefault="00A358E5" w:rsidP="00FD0D51">
            <w:pPr>
              <w:pStyle w:val="TableText0"/>
              <w:jc w:val="left"/>
            </w:pPr>
            <w:r w:rsidRPr="00550E93">
              <w:t>PVO is a TGA-approved treatment for FOP, an ultra-rare condition that affects 21 Australian patients.</w:t>
            </w:r>
          </w:p>
        </w:tc>
      </w:tr>
      <w:tr w:rsidR="00B87DF5" w:rsidRPr="00550E93" w14:paraId="34B5456C" w14:textId="77777777" w:rsidTr="002224FC">
        <w:tc>
          <w:tcPr>
            <w:tcW w:w="3964" w:type="dxa"/>
            <w:vAlign w:val="center"/>
          </w:tcPr>
          <w:p w14:paraId="3FE83172" w14:textId="77777777" w:rsidR="00A358E5" w:rsidRPr="00550E93" w:rsidRDefault="00A358E5" w:rsidP="00FD0D51">
            <w:pPr>
              <w:pStyle w:val="TableText0"/>
              <w:jc w:val="left"/>
            </w:pPr>
            <w:r w:rsidRPr="00550E93">
              <w:rPr>
                <w:iCs/>
              </w:rPr>
              <w:t xml:space="preserve">The medical condition defined by the requested restriction is severe, progressive and expected to lead to premature death. </w:t>
            </w:r>
          </w:p>
        </w:tc>
        <w:tc>
          <w:tcPr>
            <w:tcW w:w="5103" w:type="dxa"/>
            <w:vAlign w:val="center"/>
          </w:tcPr>
          <w:p w14:paraId="49BDC625" w14:textId="339C1DF1" w:rsidR="00A358E5" w:rsidRPr="00550E93" w:rsidRDefault="00A358E5" w:rsidP="00FD0D51">
            <w:pPr>
              <w:pStyle w:val="TableText0"/>
              <w:jc w:val="left"/>
              <w:rPr>
                <w:iCs/>
              </w:rPr>
            </w:pPr>
            <w:r w:rsidRPr="00550E93">
              <w:rPr>
                <w:iCs/>
              </w:rPr>
              <w:t>FOP is a progressive disease which is diagnosed based on clinical features and genetic confirmation. The average age at diagnosis is approximately 7 years old. Patients with FOP have a significantly shortened life expectancy, with a median survival ranging from 44 years (</w:t>
            </w:r>
            <w:proofErr w:type="spellStart"/>
            <w:r w:rsidR="00993E73" w:rsidRPr="00550E93">
              <w:rPr>
                <w:iCs/>
              </w:rPr>
              <w:t>Liljesthröm</w:t>
            </w:r>
            <w:proofErr w:type="spellEnd"/>
            <w:r w:rsidRPr="00550E93">
              <w:rPr>
                <w:iCs/>
              </w:rPr>
              <w:t xml:space="preserve"> 2016) to 56 years (Kaplan 2010)</w:t>
            </w:r>
          </w:p>
        </w:tc>
      </w:tr>
      <w:tr w:rsidR="00B87DF5" w:rsidRPr="00550E93" w14:paraId="5DE8AE9B" w14:textId="77777777" w:rsidTr="002224FC">
        <w:tc>
          <w:tcPr>
            <w:tcW w:w="3964" w:type="dxa"/>
            <w:vMerge w:val="restart"/>
            <w:vAlign w:val="center"/>
          </w:tcPr>
          <w:p w14:paraId="6596F279" w14:textId="77777777" w:rsidR="00A358E5" w:rsidRPr="00550E93" w:rsidRDefault="00A358E5" w:rsidP="00FD0D51">
            <w:pPr>
              <w:pStyle w:val="TableText0"/>
              <w:jc w:val="left"/>
            </w:pPr>
            <w:r w:rsidRPr="00550E93">
              <w:t>The proposed medicine provides a worthwhile clinical improvement sufficient to qualify as a rescue from the medical condition.</w:t>
            </w:r>
          </w:p>
        </w:tc>
        <w:tc>
          <w:tcPr>
            <w:tcW w:w="5103" w:type="dxa"/>
            <w:vAlign w:val="center"/>
          </w:tcPr>
          <w:p w14:paraId="6AE10BA2" w14:textId="058F865F" w:rsidR="00A358E5" w:rsidRPr="00550E93" w:rsidRDefault="00757CAF" w:rsidP="00FD0D51">
            <w:pPr>
              <w:pStyle w:val="TableText0"/>
              <w:jc w:val="left"/>
            </w:pPr>
            <w:r>
              <w:t>P</w:t>
            </w:r>
            <w:r w:rsidR="00A358E5" w:rsidRPr="00550E93">
              <w:t>atients treated with PVO are expected to have improved survival compared to untreated patients.</w:t>
            </w:r>
          </w:p>
        </w:tc>
      </w:tr>
      <w:tr w:rsidR="00B87DF5" w:rsidRPr="00550E93" w14:paraId="1EE3D29B" w14:textId="77777777" w:rsidTr="002224FC">
        <w:tc>
          <w:tcPr>
            <w:tcW w:w="3964" w:type="dxa"/>
            <w:vMerge/>
            <w:vAlign w:val="center"/>
          </w:tcPr>
          <w:p w14:paraId="422B78E8" w14:textId="77777777" w:rsidR="00A358E5" w:rsidRPr="00550E93" w:rsidRDefault="00A358E5" w:rsidP="00FD0D51">
            <w:pPr>
              <w:pStyle w:val="TableText0"/>
              <w:jc w:val="left"/>
            </w:pPr>
          </w:p>
        </w:tc>
        <w:tc>
          <w:tcPr>
            <w:tcW w:w="5103" w:type="dxa"/>
            <w:vAlign w:val="center"/>
          </w:tcPr>
          <w:p w14:paraId="18CA2EDB" w14:textId="77777777" w:rsidR="00A358E5" w:rsidRPr="00550E93" w:rsidRDefault="00A358E5" w:rsidP="00FD0D51">
            <w:pPr>
              <w:pStyle w:val="TableText0"/>
              <w:jc w:val="left"/>
            </w:pPr>
            <w:r w:rsidRPr="00550E93">
              <w:t>HO is the major driver of disease progression in FOP. PVO has clinically superior efficacy compared to SoC (i.e., untreated patients) in reducing new HO volume.</w:t>
            </w:r>
          </w:p>
        </w:tc>
      </w:tr>
      <w:tr w:rsidR="00B87DF5" w:rsidRPr="00550E93" w14:paraId="633E8104" w14:textId="77777777" w:rsidTr="002224FC">
        <w:tc>
          <w:tcPr>
            <w:tcW w:w="3964" w:type="dxa"/>
            <w:vMerge w:val="restart"/>
            <w:vAlign w:val="center"/>
          </w:tcPr>
          <w:p w14:paraId="4A00CED2" w14:textId="77777777" w:rsidR="00A358E5" w:rsidRPr="00550E93" w:rsidRDefault="00A358E5" w:rsidP="00FD0D51">
            <w:pPr>
              <w:pStyle w:val="TableText0"/>
              <w:jc w:val="left"/>
            </w:pPr>
            <w:r w:rsidRPr="00550E93">
              <w:t>No alternative exists in Australia to treat patients with the specific circumstances of the medical condition meeting the criteria of the restriction. This means that there are no nonpharmacological or pharmacological interventions for these patients.</w:t>
            </w:r>
          </w:p>
        </w:tc>
        <w:tc>
          <w:tcPr>
            <w:tcW w:w="5103" w:type="dxa"/>
            <w:vAlign w:val="center"/>
          </w:tcPr>
          <w:p w14:paraId="1C0B1E8A" w14:textId="77777777" w:rsidR="00A358E5" w:rsidRPr="00550E93" w:rsidRDefault="00A358E5" w:rsidP="00FD0D51">
            <w:pPr>
              <w:pStyle w:val="TableText0"/>
              <w:jc w:val="left"/>
            </w:pPr>
            <w:r w:rsidRPr="00550E93">
              <w:t>PVO is the only TGA-approved disease-modifying treatment for FOP.</w:t>
            </w:r>
          </w:p>
        </w:tc>
      </w:tr>
      <w:tr w:rsidR="00B87DF5" w:rsidRPr="00550E93" w14:paraId="4416414C" w14:textId="77777777" w:rsidTr="002224FC">
        <w:tc>
          <w:tcPr>
            <w:tcW w:w="3964" w:type="dxa"/>
            <w:vMerge/>
            <w:vAlign w:val="center"/>
          </w:tcPr>
          <w:p w14:paraId="09A179C8" w14:textId="77777777" w:rsidR="00A358E5" w:rsidRPr="00550E93" w:rsidRDefault="00A358E5" w:rsidP="00FD0D51">
            <w:pPr>
              <w:pStyle w:val="TableText0"/>
              <w:jc w:val="left"/>
            </w:pPr>
          </w:p>
        </w:tc>
        <w:tc>
          <w:tcPr>
            <w:tcW w:w="5103" w:type="dxa"/>
            <w:vAlign w:val="center"/>
          </w:tcPr>
          <w:p w14:paraId="12C9B25E" w14:textId="77777777" w:rsidR="00A358E5" w:rsidRPr="00550E93" w:rsidRDefault="00A358E5" w:rsidP="00FD0D51">
            <w:pPr>
              <w:pStyle w:val="TableText0"/>
              <w:jc w:val="left"/>
            </w:pPr>
            <w:r w:rsidRPr="00550E93">
              <w:t xml:space="preserve">Patients are not recommended to undergo invasive procedures to remove </w:t>
            </w:r>
            <w:proofErr w:type="spellStart"/>
            <w:r w:rsidRPr="00550E93">
              <w:t>extraskeletal</w:t>
            </w:r>
            <w:proofErr w:type="spellEnd"/>
            <w:r w:rsidRPr="00550E93">
              <w:t xml:space="preserve"> bone as this exacerbates the condition. </w:t>
            </w:r>
          </w:p>
        </w:tc>
      </w:tr>
      <w:tr w:rsidR="00B87DF5" w:rsidRPr="00550E93" w14:paraId="0061E6AA" w14:textId="77777777" w:rsidTr="002224FC">
        <w:tc>
          <w:tcPr>
            <w:tcW w:w="3964" w:type="dxa"/>
            <w:vAlign w:val="center"/>
          </w:tcPr>
          <w:p w14:paraId="67BB4D6B" w14:textId="77777777" w:rsidR="00A358E5" w:rsidRPr="00550E93" w:rsidRDefault="00A358E5" w:rsidP="00FD0D51">
            <w:pPr>
              <w:pStyle w:val="TableText0"/>
              <w:jc w:val="left"/>
            </w:pPr>
          </w:p>
        </w:tc>
        <w:tc>
          <w:tcPr>
            <w:tcW w:w="5103" w:type="dxa"/>
            <w:vAlign w:val="center"/>
          </w:tcPr>
          <w:p w14:paraId="1795FFE7" w14:textId="31EF79BD" w:rsidR="00A358E5" w:rsidRPr="00550E93" w:rsidRDefault="00A358E5" w:rsidP="00FD0D51">
            <w:pPr>
              <w:pStyle w:val="TableText0"/>
              <w:jc w:val="left"/>
            </w:pPr>
            <w:r w:rsidRPr="00550E93">
              <w:t>The</w:t>
            </w:r>
            <w:r w:rsidR="00757CAF">
              <w:t xml:space="preserve"> proposed</w:t>
            </w:r>
            <w:r w:rsidRPr="00550E93">
              <w:t xml:space="preserve"> effective AEMP is $</w:t>
            </w:r>
            <w:r w:rsidR="00037826" w:rsidRPr="00037826">
              <w:rPr>
                <w:spacing w:val="51"/>
                <w:shd w:val="solid" w:color="000000" w:fill="000000"/>
                <w:fitText w:val="325" w:id="-714406400"/>
                <w14:textFill>
                  <w14:solidFill>
                    <w14:srgbClr w14:val="000000">
                      <w14:alpha w14:val="100000"/>
                    </w14:srgbClr>
                  </w14:solidFill>
                </w14:textFill>
              </w:rPr>
              <w:t>|||</w:t>
            </w:r>
            <w:r w:rsidR="00037826" w:rsidRPr="00037826">
              <w:rPr>
                <w:spacing w:val="2"/>
                <w:shd w:val="solid" w:color="000000" w:fill="000000"/>
                <w:fitText w:val="325" w:id="-714406400"/>
                <w14:textFill>
                  <w14:solidFill>
                    <w14:srgbClr w14:val="000000">
                      <w14:alpha w14:val="100000"/>
                    </w14:srgbClr>
                  </w14:solidFill>
                </w14:textFill>
              </w:rPr>
              <w:t>|</w:t>
            </w:r>
            <w:r w:rsidRPr="00550E93">
              <w:t xml:space="preserve"> for one month of chronic treatment for a patient 14 years or older which is an unreasonable financial burden.</w:t>
            </w:r>
          </w:p>
        </w:tc>
      </w:tr>
    </w:tbl>
    <w:p w14:paraId="075735F7" w14:textId="77777777" w:rsidR="00A358E5" w:rsidRPr="00550E93" w:rsidRDefault="00A358E5" w:rsidP="002224FC">
      <w:pPr>
        <w:pStyle w:val="TableFigureFooter"/>
        <w:jc w:val="both"/>
      </w:pPr>
      <w:r w:rsidRPr="00550E93">
        <w:t>Source: Table 1.1.2, p14 of the submission.</w:t>
      </w:r>
    </w:p>
    <w:p w14:paraId="10493F83" w14:textId="6D129B3D" w:rsidR="00A358E5" w:rsidRDefault="00A358E5" w:rsidP="002224FC">
      <w:pPr>
        <w:pStyle w:val="TableFigureFooter"/>
        <w:jc w:val="both"/>
      </w:pPr>
      <w:r w:rsidRPr="00550E93">
        <w:t>TGA = Therapeutic Goods Administration; FOP = Fibrodysplasia ossificans progressiva; PVO = Palovarotene; HO = Heterotopic ossification; SoC = Standard of care; AEMP = Approved ex-manufacturer’s price; PBS = Pharmaceutical Benefits Scheme</w:t>
      </w:r>
    </w:p>
    <w:p w14:paraId="6516404E" w14:textId="76834C04" w:rsidR="00A358E5" w:rsidRPr="00FE687C" w:rsidRDefault="00A358E5" w:rsidP="00F547EE">
      <w:pPr>
        <w:pStyle w:val="3-BodyText"/>
      </w:pPr>
      <w:r w:rsidRPr="00FE687C">
        <w:lastRenderedPageBreak/>
        <w:t xml:space="preserve">Regarding the requirements for a rule of rescue claim, the </w:t>
      </w:r>
      <w:r w:rsidR="00B3422F">
        <w:t xml:space="preserve">evaluation and the ESC considered the </w:t>
      </w:r>
      <w:r w:rsidRPr="00FE687C">
        <w:t>following claims were reasonable:</w:t>
      </w:r>
    </w:p>
    <w:p w14:paraId="21ADE7A0" w14:textId="77777777" w:rsidR="00A358E5" w:rsidRPr="00FE687C" w:rsidRDefault="00A358E5" w:rsidP="00B46A90">
      <w:pPr>
        <w:pStyle w:val="ListParagraph"/>
        <w:numPr>
          <w:ilvl w:val="0"/>
          <w:numId w:val="13"/>
        </w:numPr>
        <w:ind w:left="1134"/>
        <w:jc w:val="both"/>
        <w:rPr>
          <w:color w:val="000000" w:themeColor="text1"/>
        </w:rPr>
      </w:pPr>
      <w:r w:rsidRPr="00FE687C">
        <w:rPr>
          <w:color w:val="000000" w:themeColor="text1"/>
        </w:rPr>
        <w:t>The medical condition defined by the requested restriction applies to only a very small number of patients; and</w:t>
      </w:r>
    </w:p>
    <w:p w14:paraId="279B9F32" w14:textId="77777777" w:rsidR="00A358E5" w:rsidRPr="00FE687C" w:rsidRDefault="00A358E5" w:rsidP="00B46A90">
      <w:pPr>
        <w:pStyle w:val="ListParagraph"/>
        <w:numPr>
          <w:ilvl w:val="0"/>
          <w:numId w:val="13"/>
        </w:numPr>
        <w:ind w:left="1134"/>
        <w:jc w:val="both"/>
        <w:rPr>
          <w:color w:val="000000" w:themeColor="text1"/>
        </w:rPr>
      </w:pPr>
      <w:r w:rsidRPr="00FE687C">
        <w:rPr>
          <w:color w:val="000000" w:themeColor="text1"/>
        </w:rPr>
        <w:t>The medical condition defined by the requested restriction is severe, progressive and expected to lead to premature death.</w:t>
      </w:r>
    </w:p>
    <w:p w14:paraId="1837123D" w14:textId="77777777" w:rsidR="00A358E5" w:rsidRPr="00FE687C" w:rsidRDefault="00A358E5" w:rsidP="00F547EE">
      <w:pPr>
        <w:pStyle w:val="3-BodyText"/>
      </w:pPr>
      <w:r w:rsidRPr="00FE687C">
        <w:t>These claims are supported by the available epidemiological evidence that shows that FOP is rare, severe, progressive and associated with shorter life spans.</w:t>
      </w:r>
    </w:p>
    <w:p w14:paraId="4C991873" w14:textId="632ED33B" w:rsidR="00A358E5" w:rsidRPr="00FE687C" w:rsidRDefault="00A358E5" w:rsidP="00F547EE">
      <w:pPr>
        <w:pStyle w:val="3-BodyText"/>
      </w:pPr>
      <w:bookmarkStart w:id="67" w:name="_Ref183183115"/>
      <w:r w:rsidRPr="00FE687C">
        <w:t xml:space="preserve">Regarding the criteria that the proposed medicine provides a worthwhile clinical improvement sufficient to qualify as a rescue from the medical condition, this </w:t>
      </w:r>
      <w:r w:rsidR="00B3422F">
        <w:t>wa</w:t>
      </w:r>
      <w:r w:rsidRPr="00FE687C">
        <w:t>s unclear. The TGA has considered that the changes in annualised HO from the MOVE trial are meaningful, but how these translate to clinically meaningful differences is unclear. The submission’s claim that the economic evaluation provides evidence for improved survival associated with palovarotene compared to SoC, is based on flawed modelling assumptions and no clinical evidence demonstrating survival. Additionally, the MOVE trial showed no statistically significant differences between palovarotene and SoC in CAJIS range of motion outcomes or quality of life outcomes.</w:t>
      </w:r>
      <w:bookmarkEnd w:id="67"/>
      <w:r w:rsidRPr="00FE687C">
        <w:t xml:space="preserve"> </w:t>
      </w:r>
    </w:p>
    <w:p w14:paraId="21B3E4F1" w14:textId="5145214A" w:rsidR="00575CF4" w:rsidRPr="00995914" w:rsidRDefault="00A358E5" w:rsidP="00995914">
      <w:pPr>
        <w:pStyle w:val="3-BodyText"/>
        <w:rPr>
          <w:i/>
          <w:iCs/>
        </w:rPr>
      </w:pPr>
      <w:r w:rsidRPr="00FE687C">
        <w:t xml:space="preserve">Lastly, regarding the claim that no alternative exists in Australia to treat patients with the specific circumstances of the medical condition meeting the criteria of the restriction, and that there are no nonpharmacological or pharmacological interventions for these patients, this is reasonable. </w:t>
      </w:r>
      <w:r w:rsidR="00B3422F">
        <w:t>At the time of the submission, t</w:t>
      </w:r>
      <w:r w:rsidRPr="00FE687C">
        <w:t xml:space="preserve">here </w:t>
      </w:r>
      <w:r w:rsidR="00B3422F">
        <w:t>were</w:t>
      </w:r>
      <w:r w:rsidRPr="00FE687C">
        <w:t xml:space="preserve"> no effective treatment for FOP available in Australia. However, it was noted during the evaluation </w:t>
      </w:r>
      <w:r w:rsidR="00B3422F">
        <w:t xml:space="preserve">and ESC consideration </w:t>
      </w:r>
      <w:r w:rsidRPr="00FE687C">
        <w:t xml:space="preserve">that several new treatments for FOP </w:t>
      </w:r>
      <w:r w:rsidR="00B3422F">
        <w:t>we</w:t>
      </w:r>
      <w:r w:rsidRPr="00FE687C">
        <w:t xml:space="preserve">re in development and may soon be marketed in Australia. </w:t>
      </w:r>
    </w:p>
    <w:p w14:paraId="26F953BE" w14:textId="1439863C" w:rsidR="00046576" w:rsidRPr="0090150D" w:rsidRDefault="00046576" w:rsidP="00046576">
      <w:pPr>
        <w:pStyle w:val="2-SectionHeading"/>
        <w:numPr>
          <w:ilvl w:val="0"/>
          <w:numId w:val="1"/>
        </w:numPr>
      </w:pPr>
      <w:bookmarkStart w:id="68" w:name="_Hlk76381249"/>
      <w:bookmarkStart w:id="69" w:name="_Toc177559121"/>
      <w:r w:rsidRPr="0090150D">
        <w:t>PBAC Outcome</w:t>
      </w:r>
    </w:p>
    <w:p w14:paraId="721BC6B3" w14:textId="35F8F1BE" w:rsidR="00917502" w:rsidRDefault="00917502" w:rsidP="005E7E6F">
      <w:pPr>
        <w:pStyle w:val="3-BodyText"/>
        <w:rPr>
          <w:rFonts w:ascii="Aptos" w:hAnsi="Aptos" w:cs="Aptos"/>
        </w:rPr>
      </w:pPr>
      <w:r>
        <w:t xml:space="preserve">The PBAC recommended </w:t>
      </w:r>
      <w:r w:rsidR="001274A3">
        <w:t>the listing of</w:t>
      </w:r>
      <w:r>
        <w:rPr>
          <w:color w:val="FF0000"/>
        </w:rPr>
        <w:t> </w:t>
      </w:r>
      <w:r>
        <w:t xml:space="preserve">palovarotene for the treatment of fibrodysplasia ossificans progressiva (FOP). The PBAC recognised the high </w:t>
      </w:r>
      <w:r w:rsidR="00F668A9">
        <w:t xml:space="preserve">and urgent </w:t>
      </w:r>
      <w:r>
        <w:t xml:space="preserve">clinical need for treatments for FOP, which is an ultra-rare disease with very substantial impacts on quality of life for patients and their </w:t>
      </w:r>
      <w:proofErr w:type="spellStart"/>
      <w:r>
        <w:t>carers</w:t>
      </w:r>
      <w:proofErr w:type="spellEnd"/>
      <w:r>
        <w:t xml:space="preserve">. The </w:t>
      </w:r>
      <w:r w:rsidRPr="00917502">
        <w:t xml:space="preserve">PBAC was satisfied </w:t>
      </w:r>
      <w:r>
        <w:t xml:space="preserve">that palovarotene provides, for some patients, a reduction in annualised heterotropic ossification (when bone tissue develops in soft tissues) that may have a clinically relevant benefit. The PBAC considered that the </w:t>
      </w:r>
      <w:r w:rsidR="00110450">
        <w:t>proposed cost</w:t>
      </w:r>
      <w:r>
        <w:t xml:space="preserve"> was very high and uncertain as it was dependent on age-based dosing </w:t>
      </w:r>
      <w:r w:rsidR="00A86C01">
        <w:t>and</w:t>
      </w:r>
      <w:r>
        <w:t xml:space="preserve"> the frequency and duration of flares (which require higher dosing). The PBAC considered that </w:t>
      </w:r>
      <w:r w:rsidR="00A358E5" w:rsidRPr="009740C9">
        <w:rPr>
          <w:snapToGrid w:val="0"/>
          <w:lang w:val="en-GB"/>
        </w:rPr>
        <w:t xml:space="preserve">the </w:t>
      </w:r>
      <w:r w:rsidR="00A358E5" w:rsidRPr="0063556C">
        <w:rPr>
          <w:snapToGrid w:val="0"/>
          <w:lang w:val="en-GB"/>
        </w:rPr>
        <w:t xml:space="preserve">economic model presented in the submission was </w:t>
      </w:r>
      <w:r w:rsidR="00A358E5">
        <w:rPr>
          <w:snapToGrid w:val="0"/>
          <w:lang w:val="en-GB"/>
        </w:rPr>
        <w:t>not sufficiently</w:t>
      </w:r>
      <w:r w:rsidR="00A358E5" w:rsidRPr="0063556C">
        <w:rPr>
          <w:snapToGrid w:val="0"/>
          <w:lang w:val="en-GB"/>
        </w:rPr>
        <w:t xml:space="preserve"> reliable</w:t>
      </w:r>
      <w:r w:rsidR="00A358E5">
        <w:rPr>
          <w:snapToGrid w:val="0"/>
          <w:lang w:val="en-GB"/>
        </w:rPr>
        <w:t xml:space="preserve"> for decision-making in part due to the limited long-term data available </w:t>
      </w:r>
      <w:r w:rsidR="00FC01BF">
        <w:t xml:space="preserve">on changes in </w:t>
      </w:r>
      <w:r w:rsidR="006C4403">
        <w:t>heterotropic ossification</w:t>
      </w:r>
      <w:r w:rsidR="00FC01BF">
        <w:t xml:space="preserve"> volume and patient functioning </w:t>
      </w:r>
      <w:r w:rsidR="00947CBE">
        <w:t xml:space="preserve">that were </w:t>
      </w:r>
      <w:r w:rsidR="00EC3524">
        <w:t xml:space="preserve">required </w:t>
      </w:r>
      <w:r>
        <w:t xml:space="preserve">to inform the model. </w:t>
      </w:r>
      <w:r w:rsidR="00DF6FB1">
        <w:t xml:space="preserve">The PBAC also advised the clinical trial data and uncertain economic modelling meant the rule of rescue claim that palovarotene provided a worthwhile clinical </w:t>
      </w:r>
      <w:r w:rsidR="00DF6FB1">
        <w:lastRenderedPageBreak/>
        <w:t xml:space="preserve">improvement sufficient to qualify as a rescue from the condition, could not be adequately </w:t>
      </w:r>
      <w:r w:rsidR="00DF6FB1" w:rsidRPr="00F547EE">
        <w:t>supported</w:t>
      </w:r>
      <w:r w:rsidR="00F84F34" w:rsidRPr="00F547EE">
        <w:t xml:space="preserve"> (see </w:t>
      </w:r>
      <w:r w:rsidR="00B87DF5" w:rsidRPr="00F547EE">
        <w:t xml:space="preserve">paragraph </w:t>
      </w:r>
      <w:r w:rsidR="00F547EE" w:rsidRPr="00F547EE">
        <w:fldChar w:fldCharType="begin" w:fldLock="1"/>
      </w:r>
      <w:r w:rsidR="00F547EE" w:rsidRPr="00F547EE">
        <w:instrText xml:space="preserve"> REF _Ref183183115 \r \h  \* MERGEFORMAT </w:instrText>
      </w:r>
      <w:r w:rsidR="00F547EE" w:rsidRPr="00F547EE">
        <w:fldChar w:fldCharType="separate"/>
      </w:r>
      <w:r w:rsidR="00F547EE" w:rsidRPr="00F547EE">
        <w:t>6.99</w:t>
      </w:r>
      <w:r w:rsidR="00F547EE" w:rsidRPr="00F547EE">
        <w:fldChar w:fldCharType="end"/>
      </w:r>
      <w:r w:rsidR="00B87DF5" w:rsidRPr="00F547EE">
        <w:t>)</w:t>
      </w:r>
      <w:r w:rsidR="00DF6FB1" w:rsidRPr="00F547EE">
        <w:t>.</w:t>
      </w:r>
      <w:r w:rsidRPr="00F547EE">
        <w:t> In</w:t>
      </w:r>
      <w:r>
        <w:t xml:space="preserve"> the context of this </w:t>
      </w:r>
      <w:r w:rsidR="00A358E5">
        <w:t>ultra-</w:t>
      </w:r>
      <w:r>
        <w:t xml:space="preserve">rare and life-limiting disease, and the importance of even small clinical gains in limiting heterotropic ossification, the PBAC considered palovarotene would be acceptably cost-effective with a reduction </w:t>
      </w:r>
      <w:r w:rsidR="004A6CB7">
        <w:t xml:space="preserve">in cost </w:t>
      </w:r>
      <w:r>
        <w:t xml:space="preserve">that resulted </w:t>
      </w:r>
      <w:r w:rsidRPr="00CB435A">
        <w:t>in a lower cost per patient per year, in line with</w:t>
      </w:r>
      <w:r w:rsidR="005E7E6F">
        <w:t xml:space="preserve"> that for previously recommended treatments for rare diseases funded on the PBS when accounting for the clinical need, available evidence and size of the patient population.</w:t>
      </w:r>
      <w:r>
        <w:t xml:space="preserve"> The PBAC noted that the estimated utilisation of palovarotene remains difficult to predict given treatment costs increase when patients experience flares, and as such a risk-sharing arrangement would be an appropriate way to limit costs per patient per year to the agreed amount and contain overall financial expenditure.</w:t>
      </w:r>
    </w:p>
    <w:p w14:paraId="76116A03" w14:textId="634885D8" w:rsidR="00DB6756" w:rsidRPr="00A96296" w:rsidRDefault="00DB6756" w:rsidP="006425A8">
      <w:pPr>
        <w:widowControl w:val="0"/>
        <w:numPr>
          <w:ilvl w:val="1"/>
          <w:numId w:val="1"/>
        </w:numPr>
        <w:spacing w:after="120"/>
        <w:ind w:left="709"/>
        <w:rPr>
          <w:bCs/>
        </w:rPr>
      </w:pPr>
      <w:r>
        <w:t>The PBAC recognised the high</w:t>
      </w:r>
      <w:r w:rsidR="006C33B6">
        <w:t xml:space="preserve"> and urgent</w:t>
      </w:r>
      <w:r>
        <w:t xml:space="preserve"> clinical need for treatments for FOP</w:t>
      </w:r>
      <w:r w:rsidR="00B70435">
        <w:t>, for which there are currently no other disease modifying treatments. The PBAC noted that FOP</w:t>
      </w:r>
      <w:r>
        <w:t xml:space="preserve"> is an ultra-rare disease with very substantial impacts on quality of life for patients and their </w:t>
      </w:r>
      <w:proofErr w:type="spellStart"/>
      <w:r>
        <w:t>carers</w:t>
      </w:r>
      <w:proofErr w:type="spellEnd"/>
      <w:r>
        <w:t>.</w:t>
      </w:r>
      <w:r w:rsidR="00B70435">
        <w:t xml:space="preserve"> The PBAC noted the </w:t>
      </w:r>
      <w:r w:rsidR="00CA1F33">
        <w:t xml:space="preserve">sponsor hearing and the </w:t>
      </w:r>
      <w:r w:rsidR="00B70435">
        <w:t xml:space="preserve">consumer input </w:t>
      </w:r>
      <w:r w:rsidR="00CA1F33">
        <w:t xml:space="preserve">descriptions of </w:t>
      </w:r>
      <w:r w:rsidR="00B70435">
        <w:t xml:space="preserve">the </w:t>
      </w:r>
      <w:r w:rsidR="00A2118F">
        <w:t xml:space="preserve">disease progression in individuals with FOP, with </w:t>
      </w:r>
      <w:r w:rsidR="00A2118F" w:rsidRPr="00A2118F">
        <w:rPr>
          <w:bCs/>
        </w:rPr>
        <w:t xml:space="preserve">unpredictable bone growth, </w:t>
      </w:r>
      <w:r w:rsidR="00A2118F">
        <w:rPr>
          <w:bCs/>
        </w:rPr>
        <w:t xml:space="preserve">which </w:t>
      </w:r>
      <w:r w:rsidR="00A2118F" w:rsidRPr="00A2118F">
        <w:rPr>
          <w:bCs/>
        </w:rPr>
        <w:t>caus</w:t>
      </w:r>
      <w:r w:rsidR="00A2118F">
        <w:rPr>
          <w:bCs/>
        </w:rPr>
        <w:t>es</w:t>
      </w:r>
      <w:r w:rsidR="00A2118F" w:rsidRPr="00A2118F">
        <w:rPr>
          <w:bCs/>
        </w:rPr>
        <w:t xml:space="preserve"> progressive and painful loss of independence and mobility</w:t>
      </w:r>
      <w:r w:rsidR="00A2118F">
        <w:rPr>
          <w:bCs/>
        </w:rPr>
        <w:t xml:space="preserve">, and </w:t>
      </w:r>
      <w:r w:rsidR="00A2118F" w:rsidRPr="00A2118F">
        <w:rPr>
          <w:bCs/>
        </w:rPr>
        <w:t>a range of complications, including death</w:t>
      </w:r>
      <w:r w:rsidR="00A2118F">
        <w:rPr>
          <w:bCs/>
        </w:rPr>
        <w:t xml:space="preserve"> due to </w:t>
      </w:r>
      <w:r w:rsidR="00A2118F" w:rsidRPr="00BE5A28">
        <w:t>thoracic insufficiency syndrome</w:t>
      </w:r>
      <w:r w:rsidR="00CA1F33">
        <w:t xml:space="preserve">, </w:t>
      </w:r>
      <w:r w:rsidR="00CA1F33" w:rsidRPr="0003623A">
        <w:t>ankylosis of the jaw</w:t>
      </w:r>
      <w:r w:rsidR="00A2118F">
        <w:t xml:space="preserve"> and falls</w:t>
      </w:r>
      <w:r w:rsidR="00A2118F" w:rsidRPr="00A2118F">
        <w:rPr>
          <w:bCs/>
        </w:rPr>
        <w:t>.</w:t>
      </w:r>
      <w:r w:rsidR="00A2118F">
        <w:rPr>
          <w:bCs/>
        </w:rPr>
        <w:t xml:space="preserve"> As such</w:t>
      </w:r>
      <w:r w:rsidR="00A96296">
        <w:rPr>
          <w:bCs/>
        </w:rPr>
        <w:t>,</w:t>
      </w:r>
      <w:r w:rsidR="00A2118F">
        <w:rPr>
          <w:bCs/>
        </w:rPr>
        <w:t xml:space="preserve"> delaying bone growth, even by a small amount, is highly valued by patients with FOP and their </w:t>
      </w:r>
      <w:proofErr w:type="spellStart"/>
      <w:r w:rsidR="00A2118F">
        <w:rPr>
          <w:bCs/>
        </w:rPr>
        <w:t>carers</w:t>
      </w:r>
      <w:proofErr w:type="spellEnd"/>
      <w:r w:rsidR="00A2118F">
        <w:rPr>
          <w:bCs/>
        </w:rPr>
        <w:t xml:space="preserve">. </w:t>
      </w:r>
      <w:r w:rsidR="00A96296">
        <w:rPr>
          <w:bCs/>
        </w:rPr>
        <w:t xml:space="preserve">The PBAC noted the comments indicating that many patients and families are willing to accept the risk of side effects given the impact of the disease. </w:t>
      </w:r>
      <w:r w:rsidR="00A2118F">
        <w:rPr>
          <w:bCs/>
        </w:rPr>
        <w:t xml:space="preserve">The PBAC acknowledged that there is also a high financial burden and impact on quality of life for families and carers of people with FOP. </w:t>
      </w:r>
    </w:p>
    <w:p w14:paraId="0D4371B4" w14:textId="3896DF62" w:rsidR="00CA1F33" w:rsidRPr="00CA1F33" w:rsidRDefault="00D2120D" w:rsidP="0029696F">
      <w:pPr>
        <w:pStyle w:val="3-BodyText"/>
      </w:pPr>
      <w:r>
        <w:rPr>
          <w:snapToGrid w:val="0"/>
          <w:lang w:val="en-GB"/>
        </w:rPr>
        <w:t xml:space="preserve">The PBAC noted that the proposed listing was consistent with the TGA indication for palovarotene and trial inclusion criteria. The PBAC considered it was appropriate to include the population criteria specifying the minimum patient age as per the TGA indication. </w:t>
      </w:r>
      <w:r w:rsidR="00546ADE">
        <w:rPr>
          <w:snapToGrid w:val="0"/>
          <w:lang w:val="en-GB"/>
        </w:rPr>
        <w:t xml:space="preserve">The PBAC </w:t>
      </w:r>
      <w:r w:rsidR="0029696F">
        <w:rPr>
          <w:snapToGrid w:val="0"/>
          <w:lang w:val="en-GB"/>
        </w:rPr>
        <w:t>advised</w:t>
      </w:r>
      <w:r w:rsidR="00546ADE">
        <w:rPr>
          <w:snapToGrid w:val="0"/>
          <w:lang w:val="en-GB"/>
        </w:rPr>
        <w:t xml:space="preserve"> that the proposed max</w:t>
      </w:r>
      <w:r w:rsidR="0029696F">
        <w:rPr>
          <w:snapToGrid w:val="0"/>
          <w:lang w:val="en-GB"/>
        </w:rPr>
        <w:t>imum</w:t>
      </w:r>
      <w:r w:rsidR="00546ADE">
        <w:rPr>
          <w:snapToGrid w:val="0"/>
          <w:lang w:val="en-GB"/>
        </w:rPr>
        <w:t xml:space="preserve"> quantity of </w:t>
      </w:r>
      <w:r w:rsidR="00CA1F33">
        <w:rPr>
          <w:snapToGrid w:val="0"/>
          <w:lang w:val="en-GB"/>
        </w:rPr>
        <w:t xml:space="preserve">the </w:t>
      </w:r>
      <w:r w:rsidR="00546ADE">
        <w:rPr>
          <w:snapToGrid w:val="0"/>
          <w:lang w:val="en-GB"/>
        </w:rPr>
        <w:t>10</w:t>
      </w:r>
      <w:r w:rsidR="00DA1302">
        <w:rPr>
          <w:snapToGrid w:val="0"/>
          <w:lang w:val="en-GB"/>
        </w:rPr>
        <w:t> </w:t>
      </w:r>
      <w:r w:rsidR="00546ADE">
        <w:rPr>
          <w:snapToGrid w:val="0"/>
          <w:lang w:val="en-GB"/>
        </w:rPr>
        <w:t xml:space="preserve">mg capsules </w:t>
      </w:r>
      <w:r w:rsidR="0029696F">
        <w:rPr>
          <w:snapToGrid w:val="0"/>
          <w:lang w:val="en-GB"/>
        </w:rPr>
        <w:t xml:space="preserve">should be increased to 2 </w:t>
      </w:r>
      <w:r w:rsidR="00856DC8">
        <w:rPr>
          <w:snapToGrid w:val="0"/>
          <w:lang w:val="en-GB"/>
        </w:rPr>
        <w:t xml:space="preserve">packs </w:t>
      </w:r>
      <w:r w:rsidR="0029696F">
        <w:rPr>
          <w:snapToGrid w:val="0"/>
          <w:lang w:val="en-GB"/>
        </w:rPr>
        <w:t>to provide</w:t>
      </w:r>
      <w:r w:rsidR="00546ADE">
        <w:rPr>
          <w:snapToGrid w:val="0"/>
          <w:lang w:val="en-GB"/>
        </w:rPr>
        <w:t xml:space="preserve"> sufficient</w:t>
      </w:r>
      <w:r w:rsidR="0029696F">
        <w:rPr>
          <w:snapToGrid w:val="0"/>
          <w:lang w:val="en-GB"/>
        </w:rPr>
        <w:t xml:space="preserve"> treatment</w:t>
      </w:r>
      <w:r w:rsidR="00546ADE">
        <w:rPr>
          <w:snapToGrid w:val="0"/>
          <w:lang w:val="en-GB"/>
        </w:rPr>
        <w:t xml:space="preserve"> for the first 4</w:t>
      </w:r>
      <w:r w:rsidR="00DA1302">
        <w:rPr>
          <w:snapToGrid w:val="0"/>
          <w:lang w:val="en-GB"/>
        </w:rPr>
        <w:t> </w:t>
      </w:r>
      <w:r w:rsidR="00546ADE">
        <w:rPr>
          <w:snapToGrid w:val="0"/>
          <w:lang w:val="en-GB"/>
        </w:rPr>
        <w:t xml:space="preserve">weeks of the flare dosing </w:t>
      </w:r>
      <w:r w:rsidR="0029696F">
        <w:rPr>
          <w:snapToGrid w:val="0"/>
          <w:lang w:val="en-GB"/>
        </w:rPr>
        <w:t xml:space="preserve">at 20 mg per day </w:t>
      </w:r>
      <w:r w:rsidR="00546ADE">
        <w:rPr>
          <w:snapToGrid w:val="0"/>
          <w:lang w:val="en-GB"/>
        </w:rPr>
        <w:t xml:space="preserve">for patients over 14 years and/or weighing </w:t>
      </w:r>
      <w:r w:rsidR="001A2C3F">
        <w:rPr>
          <w:rFonts w:cstheme="minorHAnsi"/>
          <w:snapToGrid w:val="0"/>
          <w:lang w:val="en-GB"/>
        </w:rPr>
        <w:t>≥</w:t>
      </w:r>
      <w:r w:rsidR="00546ADE">
        <w:rPr>
          <w:snapToGrid w:val="0"/>
          <w:lang w:val="en-GB"/>
        </w:rPr>
        <w:t xml:space="preserve">60kg. </w:t>
      </w:r>
    </w:p>
    <w:p w14:paraId="45791242" w14:textId="470BCD4F" w:rsidR="00FC01BF" w:rsidRDefault="00FC01BF" w:rsidP="0029696F">
      <w:pPr>
        <w:pStyle w:val="3-BodyText"/>
      </w:pPr>
      <w:r>
        <w:t xml:space="preserve">The PBAC noted that the proposed prescribing instructions outlined symptoms of flare-ups and examples of </w:t>
      </w:r>
      <w:r w:rsidR="00CA1F33">
        <w:t>high-risk</w:t>
      </w:r>
      <w:r>
        <w:t xml:space="preserve"> substantial traumatic events consistent with the Australian PI and considered it would be appropriate for clinicians experienced in the diagnosis and treatment of FOP to make decisions regarding when to initiate flare-up dosing based on this definition.</w:t>
      </w:r>
    </w:p>
    <w:p w14:paraId="4E8246FB" w14:textId="09AE4B60" w:rsidR="00CA1F33" w:rsidRDefault="00CA1F33" w:rsidP="00CA1F33">
      <w:pPr>
        <w:pStyle w:val="3-BodyText"/>
      </w:pPr>
      <w:r>
        <w:t>The PBAC considered that given the very high cost of treatment, it was important that discontinuation from treatment be considered where patients are no longer receiving clinical benefit. However, the PBAC noted that clinical benefit is difficult to assess give</w:t>
      </w:r>
      <w:r w:rsidR="006C33B6">
        <w:t>n</w:t>
      </w:r>
      <w:r>
        <w:t xml:space="preserve"> the progressive, variable and unpredictable nature of FOP and trial outcomes of HO and CAJIS are not likely to be suitable for inclusion in the restrictions as </w:t>
      </w:r>
      <w:r>
        <w:lastRenderedPageBreak/>
        <w:t>discontinuation criteria. The PBAC considered that patients would be regularly monitored by expert clinical teams and would be expected to discontinue treatment where significant impairment from FOP means that there is little physical function or mobility to preserve.</w:t>
      </w:r>
    </w:p>
    <w:p w14:paraId="4C7AFECA" w14:textId="6ECF16D4" w:rsidR="00046576" w:rsidRPr="00C114C1" w:rsidRDefault="0029696F" w:rsidP="006425A8">
      <w:pPr>
        <w:pStyle w:val="3-BodyText"/>
        <w:rPr>
          <w:snapToGrid w:val="0"/>
          <w:lang w:val="en-GB"/>
        </w:rPr>
      </w:pPr>
      <w:r>
        <w:t>The submission nominated standard of care (SoC) as the main comparator. The PBAC considered that this was appropriate as there are no other disease-modifying treatments for FOP</w:t>
      </w:r>
      <w:r w:rsidR="000E5AE5">
        <w:t xml:space="preserve"> available</w:t>
      </w:r>
      <w:r>
        <w:t xml:space="preserve">. The PBAC noted that SoC includes symptomatic treatments that alleviate inflammation and pain during flare-ups and these treatments were also </w:t>
      </w:r>
      <w:r w:rsidR="00C114C1">
        <w:t xml:space="preserve">allowed for patients treated with palovarotene </w:t>
      </w:r>
      <w:r w:rsidRPr="0029696F">
        <w:t xml:space="preserve">in the </w:t>
      </w:r>
      <w:r w:rsidR="00C114C1">
        <w:t>pivotal</w:t>
      </w:r>
      <w:r w:rsidRPr="0029696F">
        <w:t xml:space="preserve"> study</w:t>
      </w:r>
      <w:r w:rsidR="00C114C1">
        <w:t xml:space="preserve"> (MOVE).</w:t>
      </w:r>
      <w:r w:rsidRPr="0029696F">
        <w:t xml:space="preserve"> </w:t>
      </w:r>
    </w:p>
    <w:p w14:paraId="169FECD0" w14:textId="0F049343" w:rsidR="00C114C1" w:rsidRPr="00C114C1" w:rsidRDefault="00C114C1" w:rsidP="006425A8">
      <w:pPr>
        <w:widowControl w:val="0"/>
        <w:numPr>
          <w:ilvl w:val="1"/>
          <w:numId w:val="1"/>
        </w:numPr>
        <w:spacing w:after="120"/>
        <w:ind w:left="709"/>
        <w:rPr>
          <w:rFonts w:asciiTheme="minorHAnsi" w:hAnsiTheme="minorHAnsi"/>
          <w:snapToGrid w:val="0"/>
        </w:rPr>
      </w:pPr>
      <w:r w:rsidRPr="00C114C1">
        <w:rPr>
          <w:rFonts w:asciiTheme="minorHAnsi" w:hAnsiTheme="minorHAnsi"/>
          <w:snapToGrid w:val="0"/>
        </w:rPr>
        <w:t xml:space="preserve">The pivotal evidence for palovarotene was based on a naïve indirect comparison of outcomes from MOVE (a phase 3, single-arm, open-label clinical study in </w:t>
      </w:r>
      <w:r w:rsidR="00520214">
        <w:rPr>
          <w:rFonts w:asciiTheme="minorHAnsi" w:hAnsiTheme="minorHAnsi"/>
          <w:snapToGrid w:val="0"/>
        </w:rPr>
        <w:t xml:space="preserve">107 </w:t>
      </w:r>
      <w:r w:rsidRPr="00C114C1">
        <w:rPr>
          <w:rFonts w:asciiTheme="minorHAnsi" w:hAnsiTheme="minorHAnsi"/>
          <w:snapToGrid w:val="0"/>
        </w:rPr>
        <w:t xml:space="preserve">FOP patients treated with palovarotene) and </w:t>
      </w:r>
      <w:r>
        <w:rPr>
          <w:rFonts w:asciiTheme="minorHAnsi" w:hAnsiTheme="minorHAnsi"/>
          <w:snapToGrid w:val="0"/>
        </w:rPr>
        <w:t>t</w:t>
      </w:r>
      <w:r w:rsidRPr="00C114C1">
        <w:rPr>
          <w:rFonts w:asciiTheme="minorHAnsi" w:hAnsiTheme="minorHAnsi"/>
          <w:snapToGrid w:val="0"/>
        </w:rPr>
        <w:t xml:space="preserve">he </w:t>
      </w:r>
      <w:r>
        <w:rPr>
          <w:rFonts w:asciiTheme="minorHAnsi" w:hAnsiTheme="minorHAnsi"/>
          <w:snapToGrid w:val="0"/>
        </w:rPr>
        <w:t xml:space="preserve">Natural </w:t>
      </w:r>
      <w:r w:rsidR="00520214">
        <w:rPr>
          <w:rFonts w:asciiTheme="minorHAnsi" w:hAnsiTheme="minorHAnsi"/>
          <w:snapToGrid w:val="0"/>
        </w:rPr>
        <w:t>H</w:t>
      </w:r>
      <w:r>
        <w:rPr>
          <w:rFonts w:asciiTheme="minorHAnsi" w:hAnsiTheme="minorHAnsi"/>
          <w:snapToGrid w:val="0"/>
        </w:rPr>
        <w:t xml:space="preserve">istory </w:t>
      </w:r>
      <w:r w:rsidR="00520214">
        <w:rPr>
          <w:rFonts w:asciiTheme="minorHAnsi" w:hAnsiTheme="minorHAnsi"/>
          <w:snapToGrid w:val="0"/>
        </w:rPr>
        <w:t>S</w:t>
      </w:r>
      <w:r>
        <w:rPr>
          <w:rFonts w:asciiTheme="minorHAnsi" w:hAnsiTheme="minorHAnsi"/>
          <w:snapToGrid w:val="0"/>
        </w:rPr>
        <w:t>tudy (</w:t>
      </w:r>
      <w:r w:rsidRPr="00C114C1">
        <w:rPr>
          <w:rFonts w:asciiTheme="minorHAnsi" w:hAnsiTheme="minorHAnsi"/>
          <w:snapToGrid w:val="0"/>
        </w:rPr>
        <w:t>NHS</w:t>
      </w:r>
      <w:r>
        <w:rPr>
          <w:rFonts w:asciiTheme="minorHAnsi" w:hAnsiTheme="minorHAnsi"/>
          <w:snapToGrid w:val="0"/>
        </w:rPr>
        <w:t>)</w:t>
      </w:r>
      <w:r w:rsidRPr="00C114C1">
        <w:rPr>
          <w:rFonts w:asciiTheme="minorHAnsi" w:hAnsiTheme="minorHAnsi"/>
          <w:snapToGrid w:val="0"/>
        </w:rPr>
        <w:t xml:space="preserve"> (a prospective, non-interventional, longitudinal study which assessed the natural history of </w:t>
      </w:r>
      <w:r w:rsidR="00520214">
        <w:rPr>
          <w:rFonts w:asciiTheme="minorHAnsi" w:hAnsiTheme="minorHAnsi"/>
          <w:snapToGrid w:val="0"/>
        </w:rPr>
        <w:t xml:space="preserve">114 </w:t>
      </w:r>
      <w:r w:rsidRPr="00C114C1">
        <w:rPr>
          <w:rFonts w:asciiTheme="minorHAnsi" w:hAnsiTheme="minorHAnsi"/>
          <w:snapToGrid w:val="0"/>
        </w:rPr>
        <w:t>patients with FOP over 36 months</w:t>
      </w:r>
      <w:r>
        <w:rPr>
          <w:rFonts w:asciiTheme="minorHAnsi" w:hAnsiTheme="minorHAnsi"/>
          <w:snapToGrid w:val="0"/>
        </w:rPr>
        <w:t>)</w:t>
      </w:r>
      <w:r w:rsidRPr="00C114C1">
        <w:rPr>
          <w:rFonts w:asciiTheme="minorHAnsi" w:hAnsiTheme="minorHAnsi"/>
          <w:snapToGrid w:val="0"/>
        </w:rPr>
        <w:t>.</w:t>
      </w:r>
      <w:r w:rsidR="00520214">
        <w:rPr>
          <w:rFonts w:asciiTheme="minorHAnsi" w:hAnsiTheme="minorHAnsi"/>
          <w:snapToGrid w:val="0"/>
        </w:rPr>
        <w:t xml:space="preserve"> The PBAC noted that the MOVE study was paused due to concerns with premature physeal closure (PPC) in patients &lt;14</w:t>
      </w:r>
      <w:r w:rsidR="00F44175">
        <w:rPr>
          <w:rFonts w:asciiTheme="minorHAnsi" w:hAnsiTheme="minorHAnsi"/>
          <w:snapToGrid w:val="0"/>
        </w:rPr>
        <w:t> </w:t>
      </w:r>
      <w:r w:rsidR="00520214">
        <w:rPr>
          <w:rFonts w:asciiTheme="minorHAnsi" w:hAnsiTheme="minorHAnsi"/>
          <w:snapToGrid w:val="0"/>
        </w:rPr>
        <w:t xml:space="preserve">years and the age criteria were revised to include female patients </w:t>
      </w:r>
      <w:r w:rsidR="00520214">
        <w:rPr>
          <w:rFonts w:asciiTheme="minorHAnsi" w:hAnsiTheme="minorHAnsi" w:cstheme="minorHAnsi"/>
          <w:snapToGrid w:val="0"/>
        </w:rPr>
        <w:t>≥</w:t>
      </w:r>
      <w:r w:rsidR="00520214">
        <w:rPr>
          <w:rFonts w:asciiTheme="minorHAnsi" w:hAnsiTheme="minorHAnsi"/>
          <w:snapToGrid w:val="0"/>
        </w:rPr>
        <w:t xml:space="preserve">8 years and male patients </w:t>
      </w:r>
      <w:r w:rsidR="00520214">
        <w:rPr>
          <w:rFonts w:asciiTheme="minorHAnsi" w:hAnsiTheme="minorHAnsi" w:cstheme="minorHAnsi"/>
          <w:snapToGrid w:val="0"/>
        </w:rPr>
        <w:t>≥</w:t>
      </w:r>
      <w:r w:rsidR="00520214">
        <w:rPr>
          <w:rFonts w:asciiTheme="minorHAnsi" w:hAnsiTheme="minorHAnsi"/>
          <w:snapToGrid w:val="0"/>
        </w:rPr>
        <w:t xml:space="preserve">10 years. The primary outcome (annualised HO volume) was presented for this sub-population. The PBAC also noted that the MOVE study met the futility threshold at the second interim analysis and the statistical analysis of the primary outcome was revised. </w:t>
      </w:r>
      <w:r w:rsidR="00520214" w:rsidRPr="00520214">
        <w:rPr>
          <w:rFonts w:asciiTheme="minorHAnsi" w:hAnsiTheme="minorHAnsi"/>
          <w:snapToGrid w:val="0"/>
        </w:rPr>
        <w:t>Although treatment durations for MOVE were intended to be 24 months, with a 24 month extension period, the efficacy data presented in the submission was based on 18 months of study duration, or the study duration prior to the pausing of the study due to meeting the futility threshold</w:t>
      </w:r>
      <w:r w:rsidR="00520214">
        <w:rPr>
          <w:rFonts w:asciiTheme="minorHAnsi" w:hAnsiTheme="minorHAnsi"/>
          <w:snapToGrid w:val="0"/>
        </w:rPr>
        <w:t xml:space="preserve">. </w:t>
      </w:r>
      <w:r w:rsidR="00CE3882">
        <w:rPr>
          <w:rFonts w:asciiTheme="minorHAnsi" w:hAnsiTheme="minorHAnsi"/>
          <w:snapToGrid w:val="0"/>
        </w:rPr>
        <w:t xml:space="preserve">The PBAC noted the ESC’s advice that while </w:t>
      </w:r>
      <w:r w:rsidR="00CE3882" w:rsidRPr="00E21EB5">
        <w:t>the</w:t>
      </w:r>
      <w:r w:rsidR="00CE3882">
        <w:t xml:space="preserve"> amendment to the statistical analysis protocol was reasonable, the</w:t>
      </w:r>
      <w:r w:rsidR="00CE3882" w:rsidRPr="00E21EB5">
        <w:t xml:space="preserve"> change did contribute to an increase in the potential for type I error.</w:t>
      </w:r>
      <w:r w:rsidR="00CE3882">
        <w:t xml:space="preserve"> The PBAC considered that the clinical data for palovarotene were limited by the changes in the study, the small patient population and the shortened treatment duration, but acknowledged the challenges of conducting trials in an ultra-rare condition.</w:t>
      </w:r>
    </w:p>
    <w:p w14:paraId="1B32C399" w14:textId="6E096934" w:rsidR="006425A8" w:rsidRPr="00383951" w:rsidRDefault="00E47571" w:rsidP="00034626">
      <w:pPr>
        <w:pStyle w:val="3-BodyText"/>
        <w:rPr>
          <w:snapToGrid w:val="0"/>
          <w:lang w:val="en-GB"/>
        </w:rPr>
      </w:pPr>
      <w:r w:rsidRPr="00383951">
        <w:rPr>
          <w:snapToGrid w:val="0"/>
          <w:lang w:val="en-GB"/>
        </w:rPr>
        <w:t xml:space="preserve">The PBAC noted that for the primary outcome of annualised </w:t>
      </w:r>
      <w:r w:rsidR="006425A8" w:rsidRPr="00383951">
        <w:rPr>
          <w:snapToGrid w:val="0"/>
          <w:lang w:val="en-GB"/>
        </w:rPr>
        <w:t xml:space="preserve">new </w:t>
      </w:r>
      <w:r w:rsidRPr="00383951">
        <w:rPr>
          <w:snapToGrid w:val="0"/>
          <w:lang w:val="en-GB"/>
        </w:rPr>
        <w:t xml:space="preserve">HO volume (using non-transformed values) the full analysis set (all age groups) reached statistical significance with 53.8% </w:t>
      </w:r>
      <w:r w:rsidR="00A9735E">
        <w:rPr>
          <w:snapToGrid w:val="0"/>
          <w:lang w:val="en-GB"/>
        </w:rPr>
        <w:t>LSM</w:t>
      </w:r>
      <w:r w:rsidR="00A9735E" w:rsidRPr="00383951">
        <w:rPr>
          <w:snapToGrid w:val="0"/>
          <w:lang w:val="en-GB"/>
        </w:rPr>
        <w:t xml:space="preserve"> </w:t>
      </w:r>
      <w:r w:rsidRPr="00383951">
        <w:rPr>
          <w:snapToGrid w:val="0"/>
          <w:lang w:val="en-GB"/>
        </w:rPr>
        <w:t>reduction (p=0.0003). For the PBS population subgroup (excluding younger patients) there was a 48.6% LSM reduction, which was not statistically significant and did not meet the proposed MCID of 50% reduction</w:t>
      </w:r>
      <w:r w:rsidR="006C33B6">
        <w:rPr>
          <w:snapToGrid w:val="0"/>
          <w:lang w:val="en-GB"/>
        </w:rPr>
        <w:t>.</w:t>
      </w:r>
      <w:r w:rsidR="00383951" w:rsidRPr="00383951">
        <w:rPr>
          <w:snapToGrid w:val="0"/>
          <w:lang w:val="en-GB"/>
        </w:rPr>
        <w:t xml:space="preserve"> </w:t>
      </w:r>
      <w:r w:rsidR="006C33B6">
        <w:rPr>
          <w:snapToGrid w:val="0"/>
          <w:lang w:val="en-GB"/>
        </w:rPr>
        <w:t>However,</w:t>
      </w:r>
      <w:r w:rsidR="00383951" w:rsidRPr="00383951">
        <w:rPr>
          <w:snapToGrid w:val="0"/>
          <w:lang w:val="en-GB"/>
        </w:rPr>
        <w:t xml:space="preserve"> it was acknowledged that </w:t>
      </w:r>
      <w:r w:rsidR="00383951" w:rsidRPr="00383951">
        <w:rPr>
          <w:rFonts w:eastAsia="Calibri" w:cs="Times New Roman"/>
        </w:rPr>
        <w:t xml:space="preserve">the clinical meaningfulness of a reduction in </w:t>
      </w:r>
      <w:r w:rsidR="00383951" w:rsidRPr="00383951">
        <w:rPr>
          <w:snapToGrid w:val="0"/>
          <w:lang w:val="en-GB"/>
        </w:rPr>
        <w:t>HO volume can be difficult to assess at the population level since any HO for a given patient may have a profound impact if this occurs in a location that impairs functioning.</w:t>
      </w:r>
      <w:r w:rsidRPr="00383951">
        <w:rPr>
          <w:snapToGrid w:val="0"/>
          <w:lang w:val="en-GB"/>
        </w:rPr>
        <w:t xml:space="preserve"> The PBAC noted that for secondary outcomes (proportion with new HO, difference in movement (CAJIS) and </w:t>
      </w:r>
      <w:proofErr w:type="spellStart"/>
      <w:r w:rsidRPr="00383951">
        <w:rPr>
          <w:snapToGrid w:val="0"/>
          <w:lang w:val="en-GB"/>
        </w:rPr>
        <w:t>HRQoL</w:t>
      </w:r>
      <w:proofErr w:type="spellEnd"/>
      <w:r w:rsidRPr="00383951">
        <w:rPr>
          <w:snapToGrid w:val="0"/>
          <w:lang w:val="en-GB"/>
        </w:rPr>
        <w:t xml:space="preserve">) there were no significant differences between the patients treated with palovarotene (in MOVE) and SoC (in NHS). The PBAC noted </w:t>
      </w:r>
      <w:r w:rsidR="0038247C" w:rsidRPr="00383951">
        <w:rPr>
          <w:snapToGrid w:val="0"/>
          <w:lang w:val="en-GB"/>
        </w:rPr>
        <w:t xml:space="preserve">patients treated with palovarotene appeared to experience more flare-ups than those treated with SoC, however considered that the outcome was difficult </w:t>
      </w:r>
      <w:r w:rsidR="0038247C" w:rsidRPr="00383951">
        <w:rPr>
          <w:snapToGrid w:val="0"/>
          <w:lang w:val="en-GB"/>
        </w:rPr>
        <w:lastRenderedPageBreak/>
        <w:t xml:space="preserve">to interpret due to differences in the trials that are likely to have impacted on the proportion of patients reporting flare-ups. Overall, the </w:t>
      </w:r>
      <w:r w:rsidR="0038247C" w:rsidRPr="00383951">
        <w:rPr>
          <w:snapToGrid w:val="0"/>
        </w:rPr>
        <w:t>PBAC considered that the claim of superior comparative effectiveness was reasonable</w:t>
      </w:r>
      <w:r w:rsidR="006425A8" w:rsidRPr="00383951">
        <w:rPr>
          <w:snapToGrid w:val="0"/>
        </w:rPr>
        <w:t xml:space="preserve"> based on a reduction in </w:t>
      </w:r>
      <w:r w:rsidR="00FA196E" w:rsidRPr="00383951">
        <w:rPr>
          <w:snapToGrid w:val="0"/>
        </w:rPr>
        <w:t>new HO volume</w:t>
      </w:r>
      <w:r w:rsidR="0038247C" w:rsidRPr="00383951">
        <w:rPr>
          <w:snapToGrid w:val="0"/>
        </w:rPr>
        <w:t xml:space="preserve">, though the magnitude of benefit </w:t>
      </w:r>
      <w:r w:rsidR="00066747" w:rsidRPr="00383951">
        <w:rPr>
          <w:snapToGrid w:val="0"/>
        </w:rPr>
        <w:t xml:space="preserve">is </w:t>
      </w:r>
      <w:r w:rsidR="0038247C" w:rsidRPr="00383951">
        <w:rPr>
          <w:snapToGrid w:val="0"/>
        </w:rPr>
        <w:t xml:space="preserve">highly uncertain due to the limitations of the clinical data. </w:t>
      </w:r>
    </w:p>
    <w:p w14:paraId="3EB8AA21" w14:textId="744DDFA2" w:rsidR="00046576" w:rsidRPr="00FA196E" w:rsidRDefault="00FA196E" w:rsidP="001153D1">
      <w:pPr>
        <w:pStyle w:val="3-BodyText"/>
        <w:rPr>
          <w:snapToGrid w:val="0"/>
          <w:lang w:val="en-GB"/>
        </w:rPr>
      </w:pPr>
      <w:r>
        <w:t xml:space="preserve">The PBAC noted that </w:t>
      </w:r>
      <w:r w:rsidRPr="00FA196E">
        <w:t xml:space="preserve">HO volume alone is not </w:t>
      </w:r>
      <w:r>
        <w:t xml:space="preserve">a patient </w:t>
      </w:r>
      <w:r w:rsidRPr="00FA196E">
        <w:t>relevant</w:t>
      </w:r>
      <w:r>
        <w:t xml:space="preserve"> outcome, the most</w:t>
      </w:r>
      <w:r w:rsidRPr="00FA196E">
        <w:t xml:space="preserve"> relevant clinical outcomes for </w:t>
      </w:r>
      <w:r>
        <w:t>patients with FOP</w:t>
      </w:r>
      <w:r w:rsidRPr="00FA196E">
        <w:t xml:space="preserve"> are related to </w:t>
      </w:r>
      <w:proofErr w:type="spellStart"/>
      <w:r w:rsidRPr="00FA196E">
        <w:t>HRQoL</w:t>
      </w:r>
      <w:proofErr w:type="spellEnd"/>
      <w:r w:rsidRPr="00FA196E">
        <w:t>, physical function, range of motion, and frequency of flare-ups</w:t>
      </w:r>
      <w:r>
        <w:t xml:space="preserve">. The PBAC also noted that input from consumers and clinical experts indicated that the location of HO, and functional area affected, is more important than the volume of HO. </w:t>
      </w:r>
      <w:r w:rsidRPr="00FA196E">
        <w:t xml:space="preserve">The submission argued that the effects of HO result in a shortened life-expectancy in patients with FOP; immobility and HO in the chest wall can interfere with cardiopulmonary function causing thoracic insufficiency syndrome, the most common cause of premature mortality in patients with FOP. The submission presented an assessment for translating the comparative treatment effects of palovarotene, measured by the surrogate outcome of annualised new HO volume, to the target clinical outcome of overall survival (OS) using the surrogate to final outcome (STFO) framework (Appendix 5 of the PBAC Guidelines, v.5). </w:t>
      </w:r>
      <w:r>
        <w:t xml:space="preserve">The PBAC </w:t>
      </w:r>
      <w:r w:rsidR="00C5396C">
        <w:t xml:space="preserve">considered </w:t>
      </w:r>
      <w:r w:rsidRPr="00FA196E">
        <w:t xml:space="preserve">the </w:t>
      </w:r>
      <w:r>
        <w:t>data available</w:t>
      </w:r>
      <w:r w:rsidRPr="00FA196E">
        <w:t xml:space="preserve"> </w:t>
      </w:r>
      <w:r w:rsidR="00C5396C">
        <w:t>we</w:t>
      </w:r>
      <w:r>
        <w:t>re not adequate to</w:t>
      </w:r>
      <w:r w:rsidRPr="00FA196E">
        <w:t xml:space="preserve"> demonstrate the magnitude of benefit in </w:t>
      </w:r>
      <w:r w:rsidR="006C33B6">
        <w:t>patient relevant</w:t>
      </w:r>
      <w:r w:rsidR="006C33B6" w:rsidRPr="00FA196E">
        <w:t xml:space="preserve"> </w:t>
      </w:r>
      <w:r w:rsidRPr="00FA196E">
        <w:t xml:space="preserve">outcomes gained by improvements in HO outcomes. </w:t>
      </w:r>
      <w:r>
        <w:t>However, the PBAC considered</w:t>
      </w:r>
      <w:r w:rsidRPr="00FA196E">
        <w:t xml:space="preserve"> that it is biologically plausible that reduction in new HO could lead to better survival outcomes and better quality of life (QoL) outcomes</w:t>
      </w:r>
      <w:r>
        <w:t xml:space="preserve">. </w:t>
      </w:r>
      <w:r w:rsidR="006425A8">
        <w:t xml:space="preserve">The </w:t>
      </w:r>
      <w:r w:rsidR="006425A8" w:rsidRPr="00917502">
        <w:t xml:space="preserve">PBAC was satisfied </w:t>
      </w:r>
      <w:r w:rsidR="006425A8">
        <w:t>that palovarotene provides, for some patients, a reduction in annualised HO that may have a clinically relevant benefit.</w:t>
      </w:r>
    </w:p>
    <w:p w14:paraId="709EE780" w14:textId="1A9C80EC" w:rsidR="0038247C" w:rsidRPr="006425A8" w:rsidRDefault="0038247C" w:rsidP="006425A8">
      <w:pPr>
        <w:pStyle w:val="3-BodyText"/>
      </w:pPr>
      <w:r>
        <w:t>The PBAC noted that direct comparisons with AEs reported in MOVE were not possible because in the NHS, AEs were only captured if they resulted from procedures performed during the study. For palovarotene t</w:t>
      </w:r>
      <w:r w:rsidRPr="0038247C">
        <w:t xml:space="preserve">he most commonly reported TEAEs were </w:t>
      </w:r>
      <w:r w:rsidR="00D51B46">
        <w:t>skin and subcutaneous tissue disorders</w:t>
      </w:r>
      <w:r w:rsidRPr="0038247C">
        <w:t xml:space="preserve"> </w:t>
      </w:r>
      <w:r>
        <w:t>(</w:t>
      </w:r>
      <w:r w:rsidRPr="0038247C">
        <w:t xml:space="preserve">dry skin, </w:t>
      </w:r>
      <w:r>
        <w:t>dry lips</w:t>
      </w:r>
      <w:r w:rsidRPr="0038247C">
        <w:t>, alopecia, drug eruption, pruritu</w:t>
      </w:r>
      <w:r w:rsidR="00D51B46">
        <w:t>s)</w:t>
      </w:r>
      <w:r w:rsidRPr="0038247C">
        <w:t xml:space="preserve"> </w:t>
      </w:r>
      <w:r w:rsidR="00D51B46">
        <w:t xml:space="preserve">which are known side effects of retinoids. The PBAC also noted that PPC also occurred in around a third of patients aged 8/10 to 14, who are included in the </w:t>
      </w:r>
      <w:r w:rsidR="00D51B46" w:rsidRPr="006425A8">
        <w:t xml:space="preserve">proposed PBS population, which was a significant safety concern. Overall, the PBAC considered that the claim of inferior comparative safety was reasonable and consistent with the clinical evidence. </w:t>
      </w:r>
    </w:p>
    <w:p w14:paraId="2857D591" w14:textId="6D954155" w:rsidR="006425A8" w:rsidRPr="00B951D9" w:rsidRDefault="006425A8" w:rsidP="0032650F">
      <w:pPr>
        <w:pStyle w:val="3-BodyText"/>
        <w:rPr>
          <w:snapToGrid w:val="0"/>
          <w:lang w:val="en-GB"/>
        </w:rPr>
      </w:pPr>
      <w:r w:rsidRPr="00BE5A28">
        <w:t xml:space="preserve">The submission presented </w:t>
      </w:r>
      <w:r>
        <w:t xml:space="preserve">a stepped cost-utility analysis for the </w:t>
      </w:r>
      <w:r w:rsidRPr="00BE5A28">
        <w:t>economic evaluation</w:t>
      </w:r>
      <w:r>
        <w:t>,</w:t>
      </w:r>
      <w:r w:rsidRPr="00BE5A28">
        <w:t xml:space="preserve"> based </w:t>
      </w:r>
      <w:r>
        <w:t xml:space="preserve">on results from the MOVE study and the NHS. </w:t>
      </w:r>
      <w:r w:rsidR="009720AA" w:rsidRPr="009720AA">
        <w:t>The base case ICER</w:t>
      </w:r>
      <w:r w:rsidR="009720AA">
        <w:t xml:space="preserve"> for the economic model</w:t>
      </w:r>
      <w:r w:rsidR="009720AA" w:rsidRPr="009720AA">
        <w:t xml:space="preserve"> was extremely high (</w:t>
      </w:r>
      <w:r w:rsidR="00971BFD" w:rsidRPr="00971BFD">
        <w:t>&gt; $1,055,000</w:t>
      </w:r>
      <w:r w:rsidR="009720AA" w:rsidRPr="009720AA">
        <w:t xml:space="preserve">/QALY </w:t>
      </w:r>
      <w:r w:rsidR="00EA7192">
        <w:t xml:space="preserve">gained, </w:t>
      </w:r>
      <w:r w:rsidR="009720AA" w:rsidRPr="009720AA">
        <w:t>excluding caregiver utilities</w:t>
      </w:r>
      <w:r w:rsidR="005F0185">
        <w:t xml:space="preserve">; </w:t>
      </w:r>
      <w:r w:rsidR="00971BFD" w:rsidRPr="00971BFD">
        <w:t>&gt; $1,055,000</w:t>
      </w:r>
      <w:r w:rsidR="005F0185">
        <w:t>/QALY gained, including caregiver utilities</w:t>
      </w:r>
      <w:r w:rsidR="009720AA" w:rsidRPr="009720AA">
        <w:t>)</w:t>
      </w:r>
      <w:r w:rsidR="009720AA">
        <w:t>. T</w:t>
      </w:r>
      <w:r>
        <w:t xml:space="preserve">he PBAC noted that the economic model </w:t>
      </w:r>
      <w:r w:rsidRPr="006425A8">
        <w:t>relied on a number of poorly supported key assumptions, including the correlation between annualised HO and survival</w:t>
      </w:r>
      <w:r w:rsidR="009D4A67">
        <w:t xml:space="preserve">. The PBAC considered that the data available for palovarotene were not adequate to inform the modelling of survival benefit in the economic model </w:t>
      </w:r>
      <w:r w:rsidR="00B951D9">
        <w:t>due to</w:t>
      </w:r>
      <w:r w:rsidR="009D4A67">
        <w:t xml:space="preserve"> the outcomes captured and the </w:t>
      </w:r>
      <w:r w:rsidR="00B951D9">
        <w:t xml:space="preserve">short </w:t>
      </w:r>
      <w:r w:rsidR="009D4A67">
        <w:t xml:space="preserve">duration of the trial. The PBAC also noted that </w:t>
      </w:r>
      <w:r w:rsidR="009D4A67" w:rsidRPr="00E21EB5">
        <w:t xml:space="preserve">mapping of utility values based on the proposed relationship between HO volume and CAJIS/PRMA score was another key </w:t>
      </w:r>
      <w:r w:rsidR="009D4A67" w:rsidRPr="00E21EB5">
        <w:lastRenderedPageBreak/>
        <w:t>unsupported assumption in the economic model.</w:t>
      </w:r>
      <w:r w:rsidR="009D4A67" w:rsidRPr="00B951D9">
        <w:rPr>
          <w:i/>
          <w:iCs/>
        </w:rPr>
        <w:t xml:space="preserve"> </w:t>
      </w:r>
      <w:r w:rsidR="009D4A67">
        <w:t>In addition,</w:t>
      </w:r>
      <w:r w:rsidRPr="006425A8">
        <w:t xml:space="preserve"> many of the variables and approaches in the model could not be verified</w:t>
      </w:r>
      <w:r w:rsidR="009D4A67">
        <w:t xml:space="preserve"> during the evaluation</w:t>
      </w:r>
      <w:r w:rsidRPr="006425A8">
        <w:t>.</w:t>
      </w:r>
      <w:r w:rsidR="009D4A67">
        <w:t xml:space="preserve"> </w:t>
      </w:r>
      <w:r w:rsidRPr="006425A8">
        <w:t xml:space="preserve">The </w:t>
      </w:r>
      <w:r w:rsidR="009D4A67">
        <w:t>PBAC</w:t>
      </w:r>
      <w:r w:rsidRPr="006425A8">
        <w:t xml:space="preserve"> considered that overall, the economic model </w:t>
      </w:r>
      <w:r w:rsidR="009D4A67">
        <w:t>was not</w:t>
      </w:r>
      <w:r w:rsidRPr="006425A8">
        <w:t xml:space="preserve"> informative for decision making in this context</w:t>
      </w:r>
      <w:r w:rsidR="009D4A67">
        <w:t>.</w:t>
      </w:r>
      <w:r w:rsidRPr="006425A8">
        <w:t xml:space="preserve"> The PBAC considered that </w:t>
      </w:r>
      <w:r w:rsidR="006C4403">
        <w:t xml:space="preserve">the value proposition was difficult to assess with </w:t>
      </w:r>
      <w:r w:rsidRPr="006425A8">
        <w:t xml:space="preserve">a traditional incremental cost-effectiveness ratio due to the limited long-term clinical data </w:t>
      </w:r>
      <w:r w:rsidR="00B951D9">
        <w:t xml:space="preserve">and lack of patient-relevant outcomes </w:t>
      </w:r>
      <w:r w:rsidRPr="006425A8">
        <w:t>to inform the model, the small number of patients included in the trial, and the highly individualised and unpredictable nature of FOP progression.</w:t>
      </w:r>
      <w:r w:rsidR="00B951D9">
        <w:t xml:space="preserve"> The PBAC considered </w:t>
      </w:r>
      <w:r>
        <w:t>the uncertainty in the ICER is unlikely to be adequately resolved with further revision to the model structure.</w:t>
      </w:r>
    </w:p>
    <w:p w14:paraId="28BB31DA" w14:textId="56CB8AA4" w:rsidR="00B951D9" w:rsidRPr="00611CD1" w:rsidRDefault="00B87DF5" w:rsidP="00206090">
      <w:pPr>
        <w:pStyle w:val="3-BodyText"/>
        <w:rPr>
          <w:snapToGrid w:val="0"/>
          <w:lang w:val="en-GB"/>
        </w:rPr>
      </w:pPr>
      <w:bookmarkStart w:id="70" w:name="_Ref183184113"/>
      <w:r>
        <w:t xml:space="preserve">The PBAC acknowledged the high and urgent clinical need for effective treatment of FOP, an ultra-rare and life-limiting disease, and the importance of even small clinical gains in limiting heterotropic ossification, and in this context the PBAC considered an alternative approach to achieve cost-effectiveness was required in this instance. </w:t>
      </w:r>
      <w:bookmarkStart w:id="71" w:name="_Ref183082509"/>
      <w:r w:rsidR="00611CD1">
        <w:t>T</w:t>
      </w:r>
      <w:r w:rsidR="00A6401B">
        <w:t xml:space="preserve">he PBAC reflected on previous determinations made for other rare diseases where no effective alternative therapies were available. </w:t>
      </w:r>
      <w:r w:rsidR="00A6401B" w:rsidRPr="006440C5">
        <w:rPr>
          <w:color w:val="000000" w:themeColor="text1"/>
        </w:rPr>
        <w:t>The PBAC compared the</w:t>
      </w:r>
      <w:r w:rsidR="00BE38F9">
        <w:rPr>
          <w:color w:val="000000" w:themeColor="text1"/>
        </w:rPr>
        <w:t xml:space="preserve"> nature of the benefits,</w:t>
      </w:r>
      <w:r w:rsidR="00A6401B" w:rsidRPr="006440C5">
        <w:rPr>
          <w:color w:val="000000" w:themeColor="text1"/>
        </w:rPr>
        <w:t xml:space="preserve"> </w:t>
      </w:r>
      <w:r w:rsidR="00611CD1">
        <w:rPr>
          <w:color w:val="000000" w:themeColor="text1"/>
        </w:rPr>
        <w:t xml:space="preserve">ICERs, </w:t>
      </w:r>
      <w:r w:rsidR="00A6401B">
        <w:rPr>
          <w:color w:val="000000" w:themeColor="text1"/>
        </w:rPr>
        <w:t>numbers of patients expected to be treated</w:t>
      </w:r>
      <w:r w:rsidR="00856DC8">
        <w:rPr>
          <w:color w:val="000000" w:themeColor="text1"/>
        </w:rPr>
        <w:t>,</w:t>
      </w:r>
      <w:r w:rsidR="00A6401B">
        <w:rPr>
          <w:color w:val="000000" w:themeColor="text1"/>
        </w:rPr>
        <w:t xml:space="preserve"> and the </w:t>
      </w:r>
      <w:r w:rsidR="00A6401B" w:rsidRPr="006440C5">
        <w:rPr>
          <w:color w:val="000000" w:themeColor="text1"/>
        </w:rPr>
        <w:t xml:space="preserve">cost per patient per year for palovarotene </w:t>
      </w:r>
      <w:r w:rsidR="00A6401B">
        <w:rPr>
          <w:color w:val="000000" w:themeColor="text1"/>
        </w:rPr>
        <w:t xml:space="preserve">at the proposed price, </w:t>
      </w:r>
      <w:r w:rsidR="00A6401B" w:rsidRPr="006440C5">
        <w:rPr>
          <w:color w:val="000000" w:themeColor="text1"/>
        </w:rPr>
        <w:t>with other high</w:t>
      </w:r>
      <w:r w:rsidR="00A6401B">
        <w:rPr>
          <w:color w:val="000000" w:themeColor="text1"/>
        </w:rPr>
        <w:softHyphen/>
      </w:r>
      <w:r w:rsidR="00A6401B">
        <w:rPr>
          <w:color w:val="000000" w:themeColor="text1"/>
        </w:rPr>
        <w:softHyphen/>
        <w:t>-</w:t>
      </w:r>
      <w:r w:rsidR="00A6401B" w:rsidRPr="006440C5">
        <w:rPr>
          <w:color w:val="000000" w:themeColor="text1"/>
        </w:rPr>
        <w:t xml:space="preserve">cost treatments </w:t>
      </w:r>
      <w:r w:rsidR="00A6401B">
        <w:t xml:space="preserve">for rare diseases funded on the PBS. </w:t>
      </w:r>
      <w:r w:rsidR="005E7E6F">
        <w:t xml:space="preserve">The PBAC considered palovarotene would be acceptably cost-effective with a reduction </w:t>
      </w:r>
      <w:r w:rsidR="004A6CB7">
        <w:t xml:space="preserve">in treatment costs </w:t>
      </w:r>
      <w:r w:rsidR="005E7E6F">
        <w:t>that resulted in a cost per patient per year in the order of $</w:t>
      </w:r>
      <w:r w:rsidR="00037826" w:rsidRPr="00EA196D">
        <w:rPr>
          <w:w w:val="15"/>
          <w:shd w:val="solid" w:color="000000" w:fill="000000"/>
          <w:fitText w:val="-20" w:id="-714406399"/>
          <w14:textFill>
            <w14:solidFill>
              <w14:srgbClr w14:val="000000">
                <w14:alpha w14:val="100000"/>
              </w14:srgbClr>
            </w14:solidFill>
          </w14:textFill>
        </w:rPr>
        <w:t xml:space="preserve">|  </w:t>
      </w:r>
      <w:r w:rsidR="00037826" w:rsidRPr="00EA196D">
        <w:rPr>
          <w:spacing w:val="-69"/>
          <w:w w:val="15"/>
          <w:shd w:val="solid" w:color="000000" w:fill="000000"/>
          <w:fitText w:val="-20" w:id="-714406399"/>
          <w14:textFill>
            <w14:solidFill>
              <w14:srgbClr w14:val="000000">
                <w14:alpha w14:val="100000"/>
              </w14:srgbClr>
            </w14:solidFill>
          </w14:textFill>
        </w:rPr>
        <w:t>|</w:t>
      </w:r>
      <w:r w:rsidR="00856DC8">
        <w:t xml:space="preserve">, with calculations as per </w:t>
      </w:r>
      <w:r w:rsidR="00856DC8">
        <w:fldChar w:fldCharType="begin" w:fldLock="1"/>
      </w:r>
      <w:r w:rsidR="00856DC8">
        <w:instrText xml:space="preserve"> REF _Ref104805102 \h </w:instrText>
      </w:r>
      <w:r w:rsidR="00856DC8">
        <w:fldChar w:fldCharType="separate"/>
      </w:r>
      <w:r w:rsidR="00856DC8" w:rsidRPr="0098262F">
        <w:t xml:space="preserve">Table </w:t>
      </w:r>
      <w:r w:rsidR="00856DC8">
        <w:rPr>
          <w:noProof/>
        </w:rPr>
        <w:t>14</w:t>
      </w:r>
      <w:r w:rsidR="00856DC8">
        <w:fldChar w:fldCharType="end"/>
      </w:r>
      <w:r w:rsidR="005E7E6F">
        <w:t>. The PBAC considered this would be consistent with that for previously recommended treatments for rare diseases funded on the PBS when accounting for the clinical need, available evidence and size of the patient population.</w:t>
      </w:r>
      <w:bookmarkStart w:id="72" w:name="_Ref172277582"/>
      <w:bookmarkEnd w:id="70"/>
      <w:bookmarkEnd w:id="71"/>
      <w:r w:rsidR="00486910">
        <w:t xml:space="preserve"> </w:t>
      </w:r>
      <w:bookmarkEnd w:id="72"/>
    </w:p>
    <w:p w14:paraId="0D04D105" w14:textId="500974DD" w:rsidR="00882ECA" w:rsidRPr="00882ECA" w:rsidRDefault="00882ECA" w:rsidP="001615E6">
      <w:pPr>
        <w:pStyle w:val="3-BodyText"/>
      </w:pPr>
      <w:bookmarkStart w:id="73" w:name="_Ref182559193"/>
      <w:r>
        <w:t>The PBAC noted that t</w:t>
      </w:r>
      <w:r w:rsidRPr="00882ECA">
        <w:t>he submission used an epidemiological approach to estimate use and financial implications</w:t>
      </w:r>
      <w:r>
        <w:t xml:space="preserve"> and that patient numbers were based on </w:t>
      </w:r>
      <w:r w:rsidR="00721DA5">
        <w:t xml:space="preserve">patients registered with FOP Australia with an assumption of an additional </w:t>
      </w:r>
      <w:r w:rsidR="00A67F38">
        <w:t>&lt; </w:t>
      </w:r>
      <w:r w:rsidR="00D15F0B">
        <w:t>500</w:t>
      </w:r>
      <w:r w:rsidR="00A67F38">
        <w:t xml:space="preserve"> </w:t>
      </w:r>
      <w:r w:rsidR="00721DA5">
        <w:t xml:space="preserve">unregistered patients. The PBAC considered that this approach gave a reasonable level of certainty regarding the number of FOP patients. However the PBAC noted that information from FOP Australia indicates that approximately </w:t>
      </w:r>
      <w:r w:rsidR="00721DA5" w:rsidRPr="00721DA5">
        <w:t xml:space="preserve">4 </w:t>
      </w:r>
      <w:r w:rsidR="00721DA5">
        <w:t xml:space="preserve">patients </w:t>
      </w:r>
      <w:r w:rsidR="00721DA5" w:rsidRPr="00721DA5">
        <w:t xml:space="preserve">are too young to initiate treatment and 7 are over 40 years of age, with significant impairment that means they are unlikely to benefit from treatment. </w:t>
      </w:r>
      <w:r w:rsidR="00721DA5">
        <w:t xml:space="preserve">The PBAC considered that the estimated eligible patients should be reduced to </w:t>
      </w:r>
      <w:r w:rsidR="00412C06">
        <w:t>remove</w:t>
      </w:r>
      <w:r w:rsidR="00721DA5">
        <w:t xml:space="preserve"> these patients. The PBAC noted that </w:t>
      </w:r>
      <w:r w:rsidR="00721DA5" w:rsidRPr="00721DA5">
        <w:t xml:space="preserve">the duration and rate of flare-ups was important as costs for the flare-up dosing are substantially higher than for chronic treatment and considered that </w:t>
      </w:r>
      <w:r w:rsidR="00721DA5">
        <w:t>costs for flares are uncertain and likely to be underestimated in the financial estimates</w:t>
      </w:r>
      <w:r w:rsidR="00721DA5" w:rsidRPr="00721DA5">
        <w:t xml:space="preserve">. The PBAC </w:t>
      </w:r>
      <w:r w:rsidR="00721DA5">
        <w:t xml:space="preserve">noted that costs for both chronic treatment and flare-up dosing were dependent on patient age and </w:t>
      </w:r>
      <w:r w:rsidR="00721DA5" w:rsidRPr="00721DA5">
        <w:t>considered it would be appropriate to revise the distribution of ages in the estimates to align with Australian patients according to information from FOP Australia to provide more accurate estimates of the financial implications.</w:t>
      </w:r>
      <w:r w:rsidR="00721DA5" w:rsidRPr="00721DA5">
        <w:rPr>
          <w:bCs/>
        </w:rPr>
        <w:t xml:space="preserve"> </w:t>
      </w:r>
      <w:bookmarkEnd w:id="73"/>
      <w:r w:rsidR="00873C0C" w:rsidRPr="00873C0C">
        <w:rPr>
          <w:bCs/>
        </w:rPr>
        <w:t>The PBAC considered that with these changes and a reduction in the cost such that the cost per patient per year is in the order of $</w:t>
      </w:r>
      <w:r w:rsidR="00037826" w:rsidRPr="00EA196D">
        <w:rPr>
          <w:bCs/>
          <w:w w:val="15"/>
          <w:shd w:val="solid" w:color="000000" w:fill="000000"/>
          <w:fitText w:val="-20" w:id="-714406398"/>
          <w14:textFill>
            <w14:solidFill>
              <w14:srgbClr w14:val="000000">
                <w14:alpha w14:val="100000"/>
              </w14:srgbClr>
            </w14:solidFill>
          </w14:textFill>
        </w:rPr>
        <w:t xml:space="preserve">|  </w:t>
      </w:r>
      <w:r w:rsidR="00037826" w:rsidRPr="00EA196D">
        <w:rPr>
          <w:bCs/>
          <w:spacing w:val="-69"/>
          <w:w w:val="15"/>
          <w:shd w:val="solid" w:color="000000" w:fill="000000"/>
          <w:fitText w:val="-20" w:id="-714406398"/>
          <w14:textFill>
            <w14:solidFill>
              <w14:srgbClr w14:val="000000">
                <w14:alpha w14:val="100000"/>
              </w14:srgbClr>
            </w14:solidFill>
          </w14:textFill>
        </w:rPr>
        <w:t>|</w:t>
      </w:r>
      <w:r w:rsidR="00873C0C" w:rsidRPr="00873C0C">
        <w:rPr>
          <w:bCs/>
        </w:rPr>
        <w:t xml:space="preserve"> the financial estimates would be acceptable</w:t>
      </w:r>
      <w:r w:rsidR="00873C0C">
        <w:rPr>
          <w:bCs/>
        </w:rPr>
        <w:t xml:space="preserve">. </w:t>
      </w:r>
    </w:p>
    <w:p w14:paraId="2F845E40" w14:textId="09CA568F" w:rsidR="00882ECA" w:rsidRPr="00412C06" w:rsidRDefault="00882ECA" w:rsidP="00882ECA">
      <w:pPr>
        <w:pStyle w:val="3-BodyText"/>
      </w:pPr>
      <w:r w:rsidRPr="00E613D0">
        <w:rPr>
          <w:color w:val="000000" w:themeColor="text1"/>
        </w:rPr>
        <w:lastRenderedPageBreak/>
        <w:t>The submission did not include details of a risk sharing arrangement</w:t>
      </w:r>
      <w:r>
        <w:rPr>
          <w:color w:val="000000" w:themeColor="text1"/>
        </w:rPr>
        <w:t xml:space="preserve"> (RSA)</w:t>
      </w:r>
      <w:r w:rsidRPr="00E613D0">
        <w:rPr>
          <w:color w:val="000000" w:themeColor="text1"/>
        </w:rPr>
        <w:t xml:space="preserve">. </w:t>
      </w:r>
      <w:r>
        <w:rPr>
          <w:color w:val="000000" w:themeColor="text1"/>
        </w:rPr>
        <w:t xml:space="preserve">The PBAC considered that </w:t>
      </w:r>
      <w:r w:rsidR="004D059C">
        <w:rPr>
          <w:color w:val="000000" w:themeColor="text1"/>
        </w:rPr>
        <w:t xml:space="preserve">an </w:t>
      </w:r>
      <w:r>
        <w:rPr>
          <w:color w:val="000000" w:themeColor="text1"/>
        </w:rPr>
        <w:t>RSA with expenditure caps would be required to mitigate the risk of substantially higher costs per patient due to uncertain estimates of the age distribution, duration and frequency of flare-ups. The PBAC considered that the financial estimates, with revisions as per paragraph</w:t>
      </w:r>
      <w:r w:rsidR="001615E6">
        <w:rPr>
          <w:color w:val="000000" w:themeColor="text1"/>
        </w:rPr>
        <w:t xml:space="preserve"> </w:t>
      </w:r>
      <w:r w:rsidR="001615E6">
        <w:rPr>
          <w:color w:val="000000" w:themeColor="text1"/>
        </w:rPr>
        <w:fldChar w:fldCharType="begin" w:fldLock="1"/>
      </w:r>
      <w:r w:rsidR="001615E6">
        <w:rPr>
          <w:color w:val="000000" w:themeColor="text1"/>
        </w:rPr>
        <w:instrText xml:space="preserve"> REF _Ref182559193 \r \h </w:instrText>
      </w:r>
      <w:r w:rsidR="001615E6">
        <w:rPr>
          <w:color w:val="000000" w:themeColor="text1"/>
        </w:rPr>
      </w:r>
      <w:r w:rsidR="001615E6">
        <w:rPr>
          <w:color w:val="000000" w:themeColor="text1"/>
        </w:rPr>
        <w:fldChar w:fldCharType="separate"/>
      </w:r>
      <w:r w:rsidR="0043347F">
        <w:rPr>
          <w:color w:val="000000" w:themeColor="text1"/>
        </w:rPr>
        <w:t>7.13</w:t>
      </w:r>
      <w:r w:rsidR="001615E6">
        <w:rPr>
          <w:color w:val="000000" w:themeColor="text1"/>
        </w:rPr>
        <w:fldChar w:fldCharType="end"/>
      </w:r>
      <w:r>
        <w:rPr>
          <w:color w:val="000000" w:themeColor="text1"/>
        </w:rPr>
        <w:t>, would be a reasonable basis for calculation of the expenditure caps.</w:t>
      </w:r>
      <w:r w:rsidR="001615E6">
        <w:rPr>
          <w:color w:val="000000" w:themeColor="text1"/>
        </w:rPr>
        <w:t xml:space="preserve"> The PBAC considered that given the level of uncertainty in the cost-effectiveness, the rebate level should be close to 100%. </w:t>
      </w:r>
    </w:p>
    <w:p w14:paraId="6328324D" w14:textId="0A68F248" w:rsidR="00046576" w:rsidRPr="00525B39" w:rsidRDefault="00046576" w:rsidP="001615E6">
      <w:pPr>
        <w:pStyle w:val="3-BodyText"/>
        <w:rPr>
          <w:snapToGrid w:val="0"/>
          <w:lang w:val="en-GB"/>
        </w:rPr>
      </w:pPr>
      <w:r w:rsidRPr="00525B39">
        <w:rPr>
          <w:snapToGrid w:val="0"/>
          <w:lang w:val="en-GB"/>
        </w:rPr>
        <w:t xml:space="preserve">The PBAC </w:t>
      </w:r>
      <w:r w:rsidR="001615E6">
        <w:rPr>
          <w:snapToGrid w:val="0"/>
          <w:lang w:val="en-GB"/>
        </w:rPr>
        <w:t xml:space="preserve">advised that </w:t>
      </w:r>
      <w:r w:rsidR="004E03FF">
        <w:t>palovarotene</w:t>
      </w:r>
      <w:r w:rsidR="004E03FF" w:rsidRPr="00525B39">
        <w:rPr>
          <w:snapToGrid w:val="0"/>
          <w:lang w:val="en-GB"/>
        </w:rPr>
        <w:t xml:space="preserve"> </w:t>
      </w:r>
      <w:r w:rsidRPr="00525B39">
        <w:rPr>
          <w:snapToGrid w:val="0"/>
          <w:lang w:val="en-GB"/>
        </w:rPr>
        <w:t>should not be treated as interchangeable with any other drugs</w:t>
      </w:r>
      <w:r w:rsidR="001615E6">
        <w:rPr>
          <w:snapToGrid w:val="0"/>
          <w:lang w:val="en-GB"/>
        </w:rPr>
        <w:t xml:space="preserve">. </w:t>
      </w:r>
    </w:p>
    <w:p w14:paraId="1A72A4BA" w14:textId="4B3F3818" w:rsidR="00604408" w:rsidRPr="00190F3D" w:rsidRDefault="00046576" w:rsidP="00604408">
      <w:pPr>
        <w:pStyle w:val="3-BodyText"/>
        <w:rPr>
          <w:rFonts w:cstheme="minorHAnsi"/>
        </w:rPr>
      </w:pPr>
      <w:r w:rsidRPr="00525B39">
        <w:rPr>
          <w:snapToGrid w:val="0"/>
          <w:lang w:val="en-GB"/>
        </w:rPr>
        <w:t xml:space="preserve">The PBAC advised that </w:t>
      </w:r>
      <w:r w:rsidR="001615E6">
        <w:rPr>
          <w:snapToGrid w:val="0"/>
          <w:lang w:val="en-GB"/>
        </w:rPr>
        <w:t>palovarotene</w:t>
      </w:r>
      <w:r w:rsidRPr="00525B39">
        <w:rPr>
          <w:snapToGrid w:val="0"/>
          <w:lang w:val="en-GB"/>
        </w:rPr>
        <w:t xml:space="preserve"> is not suitable for presc</w:t>
      </w:r>
      <w:r>
        <w:rPr>
          <w:snapToGrid w:val="0"/>
          <w:lang w:val="en-GB"/>
        </w:rPr>
        <w:t xml:space="preserve">ribing by nurse practitioners. </w:t>
      </w:r>
    </w:p>
    <w:p w14:paraId="6ACBC779" w14:textId="77777777" w:rsidR="00190F3D" w:rsidRPr="00D13EC8" w:rsidRDefault="00190F3D" w:rsidP="00190F3D">
      <w:pPr>
        <w:pStyle w:val="3-BodyText"/>
        <w:rPr>
          <w:snapToGrid w:val="0"/>
          <w:lang w:val="en-GB" w:eastAsia="en-US"/>
        </w:rPr>
      </w:pPr>
      <w:r w:rsidRPr="00D13EC8">
        <w:rPr>
          <w:snapToGrid w:val="0"/>
          <w:lang w:val="en-GB" w:eastAsia="en-US"/>
        </w:rPr>
        <w:t>The PBAC recommended that the Early Supply Rule should not apply.</w:t>
      </w:r>
    </w:p>
    <w:p w14:paraId="606EF2D4" w14:textId="4EE38C2E" w:rsidR="00046576" w:rsidRPr="00D121C5" w:rsidRDefault="00604408" w:rsidP="00604408">
      <w:pPr>
        <w:pStyle w:val="3-BodyText"/>
        <w:rPr>
          <w:b/>
          <w:lang w:val="en-GB"/>
        </w:rPr>
      </w:pPr>
      <w:r>
        <w:rPr>
          <w:lang w:val="en-GB"/>
        </w:rPr>
        <w:t>T</w:t>
      </w:r>
      <w:r w:rsidR="00046576" w:rsidRPr="00D121C5">
        <w:rPr>
          <w:lang w:val="en-GB"/>
        </w:rPr>
        <w:t xml:space="preserve">he PBAC found that the criteria prescribed by the </w:t>
      </w:r>
      <w:r w:rsidR="00046576" w:rsidRPr="00D121C5">
        <w:rPr>
          <w:i/>
          <w:lang w:val="en-GB"/>
        </w:rPr>
        <w:t>National Health (Pharmaceuticals and Vaccines – Cost Recovery) Regulations 20</w:t>
      </w:r>
      <w:r w:rsidR="00046576">
        <w:rPr>
          <w:i/>
          <w:lang w:val="en-GB"/>
        </w:rPr>
        <w:t>22</w:t>
      </w:r>
      <w:r w:rsidR="00046576" w:rsidRPr="00D121C5">
        <w:rPr>
          <w:lang w:val="en-GB"/>
        </w:rPr>
        <w:t xml:space="preserve"> for Pricing Pathway A were not met. </w:t>
      </w:r>
      <w:proofErr w:type="gramStart"/>
      <w:r w:rsidR="00046576" w:rsidRPr="00D54D7E">
        <w:rPr>
          <w:b/>
          <w:bCs/>
          <w:lang w:val="en-GB"/>
        </w:rPr>
        <w:t>Specifically</w:t>
      </w:r>
      <w:proofErr w:type="gramEnd"/>
      <w:r w:rsidR="00046576" w:rsidRPr="00D121C5">
        <w:rPr>
          <w:lang w:val="en-GB"/>
        </w:rPr>
        <w:t xml:space="preserve"> the PBAC found that in the circumstances of its recommendation for </w:t>
      </w:r>
      <w:r>
        <w:rPr>
          <w:lang w:val="en-GB"/>
        </w:rPr>
        <w:t>palovarotene</w:t>
      </w:r>
      <w:r w:rsidR="00046576" w:rsidRPr="00D121C5">
        <w:rPr>
          <w:lang w:val="en-GB"/>
        </w:rPr>
        <w:t>:</w:t>
      </w:r>
    </w:p>
    <w:p w14:paraId="1B66949F" w14:textId="7592D48A" w:rsidR="00046576" w:rsidRPr="00763DFB" w:rsidRDefault="00046576" w:rsidP="00B46A90">
      <w:pPr>
        <w:widowControl w:val="0"/>
        <w:numPr>
          <w:ilvl w:val="1"/>
          <w:numId w:val="17"/>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not expected to provide a substantial and clinically relevant improvement in efficacy, over alternative therapies, </w:t>
      </w:r>
      <w:r w:rsidR="00604408">
        <w:rPr>
          <w:rFonts w:asciiTheme="minorHAnsi" w:hAnsiTheme="minorHAnsi" w:cstheme="minorHAnsi"/>
          <w:lang w:val="en-GB"/>
        </w:rPr>
        <w:t>as the magnitude of clinically relevant benefit is uncertain</w:t>
      </w:r>
      <w:r w:rsidRPr="00763DFB">
        <w:rPr>
          <w:rFonts w:asciiTheme="minorHAnsi" w:hAnsiTheme="minorHAnsi" w:cstheme="minorHAnsi"/>
          <w:lang w:val="en-GB"/>
        </w:rPr>
        <w:t xml:space="preserve">; </w:t>
      </w:r>
    </w:p>
    <w:p w14:paraId="496056ED" w14:textId="5A7FAC0F" w:rsidR="00046576" w:rsidRPr="00763DFB" w:rsidRDefault="00046576" w:rsidP="00B46A90">
      <w:pPr>
        <w:widowControl w:val="0"/>
        <w:numPr>
          <w:ilvl w:val="1"/>
          <w:numId w:val="17"/>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need </w:t>
      </w:r>
      <w:r w:rsidR="00604408">
        <w:rPr>
          <w:rFonts w:asciiTheme="minorHAnsi" w:hAnsiTheme="minorHAnsi" w:cstheme="minorHAnsi"/>
          <w:lang w:val="en-GB"/>
        </w:rPr>
        <w:t>as there are no other disease-modifying treatment for FOP</w:t>
      </w:r>
      <w:r w:rsidRPr="00763DFB">
        <w:rPr>
          <w:rFonts w:asciiTheme="minorHAnsi" w:hAnsiTheme="minorHAnsi" w:cstheme="minorHAnsi"/>
          <w:lang w:val="en-GB"/>
        </w:rPr>
        <w:t>;</w:t>
      </w:r>
    </w:p>
    <w:p w14:paraId="2596E7CB" w14:textId="77777777" w:rsidR="00604408" w:rsidRPr="00604408" w:rsidRDefault="00046576" w:rsidP="00B46A90">
      <w:pPr>
        <w:widowControl w:val="0"/>
        <w:numPr>
          <w:ilvl w:val="1"/>
          <w:numId w:val="17"/>
        </w:numPr>
        <w:spacing w:after="120"/>
        <w:ind w:left="1134"/>
        <w:rPr>
          <w:rFonts w:asciiTheme="minorHAnsi" w:hAnsiTheme="minorHAnsi" w:cstheme="minorHAnsi"/>
          <w:u w:val="single"/>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604408">
        <w:rPr>
          <w:rFonts w:asciiTheme="minorHAnsi" w:hAnsiTheme="minorHAnsi" w:cstheme="minorHAnsi"/>
          <w:lang w:val="en-GB"/>
        </w:rPr>
        <w:t>.</w:t>
      </w:r>
    </w:p>
    <w:p w14:paraId="6D988ED5" w14:textId="77777777" w:rsidR="00604408" w:rsidRPr="00604408" w:rsidRDefault="00046576" w:rsidP="00604408">
      <w:pPr>
        <w:pStyle w:val="3-BodyText"/>
        <w:rPr>
          <w:bCs/>
          <w:snapToGrid w:val="0"/>
          <w:lang w:val="en-GB"/>
        </w:rPr>
      </w:pPr>
      <w:r w:rsidRPr="00525B39">
        <w:rPr>
          <w:snapToGrid w:val="0"/>
          <w:lang w:val="en-GB"/>
        </w:rPr>
        <w:t>The PBAC noted that this submission is not eligible for an Independent Review</w:t>
      </w:r>
      <w:r w:rsidR="00604408">
        <w:rPr>
          <w:snapToGrid w:val="0"/>
          <w:lang w:val="en-GB"/>
        </w:rPr>
        <w:t xml:space="preserve"> as it is a positive recommendation</w:t>
      </w:r>
      <w:r w:rsidRPr="00525B39">
        <w:rPr>
          <w:snapToGrid w:val="0"/>
          <w:lang w:val="en-GB"/>
        </w:rPr>
        <w:t xml:space="preserve">. </w:t>
      </w:r>
    </w:p>
    <w:p w14:paraId="0377A29A" w14:textId="77777777" w:rsidR="00046576" w:rsidRPr="00525B39" w:rsidRDefault="00046576" w:rsidP="0004657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FA597AF" w14:textId="7C6070F0" w:rsidR="00046576" w:rsidRPr="00525B39" w:rsidRDefault="00046576" w:rsidP="00046576">
      <w:pPr>
        <w:rPr>
          <w:rFonts w:asciiTheme="minorHAnsi" w:hAnsiTheme="minorHAnsi"/>
          <w:bCs/>
          <w:snapToGrid w:val="0"/>
          <w:lang w:val="en-GB"/>
        </w:rPr>
      </w:pPr>
      <w:r w:rsidRPr="00525B39">
        <w:rPr>
          <w:rFonts w:asciiTheme="minorHAnsi" w:hAnsiTheme="minorHAnsi"/>
          <w:bCs/>
          <w:snapToGrid w:val="0"/>
          <w:lang w:val="en-GB"/>
        </w:rPr>
        <w:t>Recommended</w:t>
      </w:r>
    </w:p>
    <w:bookmarkEnd w:id="68"/>
    <w:p w14:paraId="52FB5396" w14:textId="77777777" w:rsidR="00046576" w:rsidRPr="00907671" w:rsidRDefault="00046576" w:rsidP="00046576">
      <w:pPr>
        <w:pStyle w:val="2-SectionHeading"/>
        <w:numPr>
          <w:ilvl w:val="0"/>
          <w:numId w:val="1"/>
        </w:numPr>
      </w:pPr>
      <w:r w:rsidRPr="00907671">
        <w:t>Recommended listing</w:t>
      </w:r>
    </w:p>
    <w:p w14:paraId="751973CF" w14:textId="4F3F36CC" w:rsidR="00685A75" w:rsidRPr="00685A75" w:rsidRDefault="00046576" w:rsidP="00DF05D2">
      <w:pPr>
        <w:pStyle w:val="3-BodyText"/>
      </w:pPr>
      <w:r w:rsidRPr="00525B39">
        <w:rPr>
          <w:snapToGrid w:val="0"/>
        </w:rPr>
        <w:t>Add new item:</w:t>
      </w:r>
      <w:bookmarkEnd w:id="69"/>
    </w:p>
    <w:tbl>
      <w:tblPr>
        <w:tblW w:w="9072" w:type="dxa"/>
        <w:tblInd w:w="-5" w:type="dxa"/>
        <w:tblLayout w:type="fixed"/>
        <w:tblLook w:val="0000" w:firstRow="0" w:lastRow="0" w:firstColumn="0" w:lastColumn="0" w:noHBand="0" w:noVBand="0"/>
      </w:tblPr>
      <w:tblGrid>
        <w:gridCol w:w="567"/>
        <w:gridCol w:w="709"/>
        <w:gridCol w:w="2263"/>
        <w:gridCol w:w="1418"/>
        <w:gridCol w:w="992"/>
        <w:gridCol w:w="850"/>
        <w:gridCol w:w="851"/>
        <w:gridCol w:w="1422"/>
      </w:tblGrid>
      <w:tr w:rsidR="00182417" w:rsidRPr="00182417" w14:paraId="1AE2C8FF" w14:textId="77777777" w:rsidTr="00A1134C">
        <w:trPr>
          <w:cantSplit/>
          <w:trHeight w:val="20"/>
        </w:trPr>
        <w:tc>
          <w:tcPr>
            <w:tcW w:w="3539" w:type="dxa"/>
            <w:gridSpan w:val="3"/>
            <w:tcBorders>
              <w:top w:val="single" w:sz="4" w:space="0" w:color="auto"/>
              <w:left w:val="single" w:sz="4" w:space="0" w:color="auto"/>
              <w:bottom w:val="single" w:sz="4" w:space="0" w:color="auto"/>
              <w:right w:val="single" w:sz="4" w:space="0" w:color="auto"/>
            </w:tcBorders>
          </w:tcPr>
          <w:p w14:paraId="6C7CC9A1" w14:textId="77777777" w:rsidR="00685A75" w:rsidRPr="00182417" w:rsidRDefault="00685A75" w:rsidP="00B706FF">
            <w:pPr>
              <w:keepNext/>
              <w:ind w:left="-57"/>
              <w:rPr>
                <w:rFonts w:ascii="Arial Narrow" w:eastAsia="Calibri" w:hAnsi="Arial Narrow"/>
                <w:b/>
                <w:sz w:val="20"/>
                <w:szCs w:val="20"/>
              </w:rPr>
            </w:pPr>
            <w:bookmarkStart w:id="74" w:name="_Hlk183089665"/>
            <w:r w:rsidRPr="00182417">
              <w:rPr>
                <w:rFonts w:ascii="Arial Narrow" w:eastAsia="Calibri" w:hAnsi="Arial Narrow"/>
                <w:b/>
                <w:sz w:val="20"/>
                <w:szCs w:val="20"/>
              </w:rPr>
              <w:lastRenderedPageBreak/>
              <w:t>MEDICINAL PRODUCT</w:t>
            </w:r>
          </w:p>
          <w:p w14:paraId="0A500D6B" w14:textId="77777777" w:rsidR="00685A75" w:rsidRPr="00182417" w:rsidRDefault="00685A75" w:rsidP="00B706FF">
            <w:pPr>
              <w:keepNext/>
              <w:ind w:left="-57"/>
              <w:rPr>
                <w:rFonts w:ascii="Arial Narrow" w:eastAsia="Calibri" w:hAnsi="Arial Narrow"/>
                <w:b/>
                <w:sz w:val="20"/>
                <w:szCs w:val="20"/>
              </w:rPr>
            </w:pPr>
            <w:r w:rsidRPr="00182417">
              <w:rPr>
                <w:rFonts w:ascii="Arial Narrow" w:eastAsia="Calibri" w:hAnsi="Arial Narrow"/>
                <w:b/>
                <w:sz w:val="20"/>
                <w:szCs w:val="20"/>
              </w:rPr>
              <w:t>medicinal product pack</w:t>
            </w:r>
          </w:p>
        </w:tc>
        <w:tc>
          <w:tcPr>
            <w:tcW w:w="1418" w:type="dxa"/>
            <w:tcBorders>
              <w:top w:val="single" w:sz="4" w:space="0" w:color="auto"/>
              <w:left w:val="single" w:sz="4" w:space="0" w:color="auto"/>
              <w:bottom w:val="single" w:sz="4" w:space="0" w:color="auto"/>
              <w:right w:val="single" w:sz="4" w:space="0" w:color="auto"/>
            </w:tcBorders>
          </w:tcPr>
          <w:p w14:paraId="3C1F72F3" w14:textId="77777777" w:rsidR="00685A75" w:rsidRPr="00182417" w:rsidRDefault="00685A75" w:rsidP="00B706FF">
            <w:pPr>
              <w:keepNext/>
              <w:ind w:left="-57"/>
              <w:jc w:val="center"/>
              <w:rPr>
                <w:rFonts w:ascii="Arial Narrow" w:eastAsia="Calibri" w:hAnsi="Arial Narrow"/>
                <w:b/>
                <w:sz w:val="20"/>
                <w:szCs w:val="20"/>
              </w:rPr>
            </w:pPr>
            <w:r w:rsidRPr="00182417">
              <w:rPr>
                <w:rFonts w:ascii="Arial Narrow" w:eastAsia="Calibri"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tcPr>
          <w:p w14:paraId="1D89AD25" w14:textId="77777777" w:rsidR="00685A75" w:rsidRPr="00182417" w:rsidRDefault="00685A75" w:rsidP="00B706FF">
            <w:pPr>
              <w:keepNext/>
              <w:ind w:left="-57"/>
              <w:jc w:val="center"/>
              <w:rPr>
                <w:rFonts w:ascii="Arial Narrow" w:eastAsia="Calibri" w:hAnsi="Arial Narrow"/>
                <w:b/>
                <w:sz w:val="20"/>
                <w:szCs w:val="20"/>
              </w:rPr>
            </w:pPr>
            <w:r w:rsidRPr="00182417">
              <w:rPr>
                <w:rFonts w:ascii="Arial Narrow" w:eastAsia="Calibri" w:hAnsi="Arial Narrow"/>
                <w:b/>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45C42840" w14:textId="77777777" w:rsidR="00685A75" w:rsidRPr="00182417" w:rsidRDefault="00685A75" w:rsidP="00B706FF">
            <w:pPr>
              <w:keepNext/>
              <w:ind w:left="-57"/>
              <w:jc w:val="center"/>
              <w:rPr>
                <w:rFonts w:ascii="Arial Narrow" w:eastAsia="Calibri" w:hAnsi="Arial Narrow"/>
                <w:b/>
                <w:sz w:val="20"/>
                <w:szCs w:val="20"/>
              </w:rPr>
            </w:pPr>
            <w:r w:rsidRPr="00182417">
              <w:rPr>
                <w:rFonts w:ascii="Arial Narrow" w:eastAsia="Calibri" w:hAnsi="Arial Narrow"/>
                <w:b/>
                <w:sz w:val="20"/>
                <w:szCs w:val="20"/>
              </w:rPr>
              <w:t>Max. qty units</w:t>
            </w:r>
          </w:p>
        </w:tc>
        <w:tc>
          <w:tcPr>
            <w:tcW w:w="851" w:type="dxa"/>
            <w:tcBorders>
              <w:top w:val="single" w:sz="4" w:space="0" w:color="auto"/>
              <w:left w:val="single" w:sz="4" w:space="0" w:color="auto"/>
              <w:bottom w:val="single" w:sz="4" w:space="0" w:color="auto"/>
              <w:right w:val="single" w:sz="4" w:space="0" w:color="auto"/>
            </w:tcBorders>
          </w:tcPr>
          <w:p w14:paraId="114907DA" w14:textId="77777777" w:rsidR="00685A75" w:rsidRPr="00182417" w:rsidRDefault="00685A75" w:rsidP="00B706FF">
            <w:pPr>
              <w:keepNext/>
              <w:ind w:left="-57"/>
              <w:jc w:val="center"/>
              <w:rPr>
                <w:rFonts w:ascii="Arial Narrow" w:eastAsia="Calibri" w:hAnsi="Arial Narrow"/>
                <w:b/>
                <w:sz w:val="20"/>
                <w:szCs w:val="20"/>
              </w:rPr>
            </w:pPr>
            <w:r w:rsidRPr="00182417">
              <w:rPr>
                <w:rFonts w:ascii="Arial Narrow" w:eastAsia="Calibri" w:hAnsi="Arial Narrow"/>
                <w:b/>
                <w:sz w:val="20"/>
                <w:szCs w:val="20"/>
              </w:rPr>
              <w:t>№.of</w:t>
            </w:r>
          </w:p>
          <w:p w14:paraId="39BEFF8D" w14:textId="77777777" w:rsidR="00685A75" w:rsidRPr="00182417" w:rsidRDefault="00685A75" w:rsidP="00B706FF">
            <w:pPr>
              <w:keepNext/>
              <w:ind w:left="-57"/>
              <w:jc w:val="center"/>
              <w:rPr>
                <w:rFonts w:ascii="Arial Narrow" w:eastAsia="Calibri" w:hAnsi="Arial Narrow"/>
                <w:b/>
                <w:sz w:val="20"/>
                <w:szCs w:val="20"/>
              </w:rPr>
            </w:pPr>
            <w:r w:rsidRPr="00182417">
              <w:rPr>
                <w:rFonts w:ascii="Arial Narrow" w:eastAsia="Calibri" w:hAnsi="Arial Narrow"/>
                <w:b/>
                <w:sz w:val="20"/>
                <w:szCs w:val="20"/>
              </w:rPr>
              <w:t>Rpts</w:t>
            </w:r>
          </w:p>
        </w:tc>
        <w:tc>
          <w:tcPr>
            <w:tcW w:w="1422" w:type="dxa"/>
            <w:tcBorders>
              <w:top w:val="single" w:sz="4" w:space="0" w:color="auto"/>
              <w:left w:val="single" w:sz="4" w:space="0" w:color="auto"/>
              <w:bottom w:val="single" w:sz="4" w:space="0" w:color="auto"/>
              <w:right w:val="single" w:sz="4" w:space="0" w:color="auto"/>
            </w:tcBorders>
          </w:tcPr>
          <w:p w14:paraId="6F5E9764" w14:textId="77777777" w:rsidR="00685A75" w:rsidRPr="00182417" w:rsidRDefault="00685A75" w:rsidP="00B706FF">
            <w:pPr>
              <w:keepNext/>
              <w:ind w:left="-57"/>
              <w:rPr>
                <w:rFonts w:ascii="Arial Narrow" w:eastAsia="Calibri" w:hAnsi="Arial Narrow"/>
                <w:b/>
                <w:sz w:val="20"/>
                <w:szCs w:val="20"/>
                <w:lang w:val="fr-FR"/>
              </w:rPr>
            </w:pPr>
            <w:r w:rsidRPr="00182417">
              <w:rPr>
                <w:rFonts w:ascii="Arial Narrow" w:eastAsia="Calibri" w:hAnsi="Arial Narrow"/>
                <w:b/>
                <w:sz w:val="20"/>
                <w:szCs w:val="20"/>
              </w:rPr>
              <w:t>Available brands</w:t>
            </w:r>
          </w:p>
        </w:tc>
      </w:tr>
      <w:tr w:rsidR="00182417" w:rsidRPr="00182417" w14:paraId="502DCFBD" w14:textId="77777777" w:rsidTr="00A1134C">
        <w:trPr>
          <w:cantSplit/>
          <w:trHeight w:val="20"/>
        </w:trPr>
        <w:tc>
          <w:tcPr>
            <w:tcW w:w="9072" w:type="dxa"/>
            <w:gridSpan w:val="8"/>
            <w:tcBorders>
              <w:top w:val="single" w:sz="4" w:space="0" w:color="auto"/>
              <w:left w:val="single" w:sz="4" w:space="0" w:color="auto"/>
              <w:bottom w:val="single" w:sz="4" w:space="0" w:color="auto"/>
              <w:right w:val="single" w:sz="4" w:space="0" w:color="auto"/>
            </w:tcBorders>
          </w:tcPr>
          <w:p w14:paraId="0945A73F" w14:textId="77777777" w:rsidR="00685A75" w:rsidRPr="00182417" w:rsidRDefault="00685A75" w:rsidP="00B706FF">
            <w:pPr>
              <w:keepNext/>
              <w:ind w:left="-57"/>
              <w:rPr>
                <w:rFonts w:ascii="Arial Narrow" w:eastAsia="Calibri" w:hAnsi="Arial Narrow"/>
                <w:bCs/>
                <w:sz w:val="20"/>
                <w:szCs w:val="20"/>
              </w:rPr>
            </w:pPr>
            <w:r w:rsidRPr="00182417">
              <w:rPr>
                <w:rFonts w:ascii="Arial Narrow" w:eastAsia="Calibri" w:hAnsi="Arial Narrow"/>
                <w:bCs/>
                <w:sz w:val="20"/>
                <w:szCs w:val="20"/>
              </w:rPr>
              <w:t>PALOVAROTENE</w:t>
            </w:r>
          </w:p>
        </w:tc>
      </w:tr>
      <w:tr w:rsidR="00182417" w:rsidRPr="00182417" w14:paraId="443C8CF1" w14:textId="77777777" w:rsidTr="00A1134C">
        <w:trPr>
          <w:cantSplit/>
          <w:trHeight w:val="20"/>
        </w:trPr>
        <w:tc>
          <w:tcPr>
            <w:tcW w:w="3539" w:type="dxa"/>
            <w:gridSpan w:val="3"/>
            <w:tcBorders>
              <w:top w:val="single" w:sz="4" w:space="0" w:color="auto"/>
              <w:left w:val="single" w:sz="4" w:space="0" w:color="auto"/>
              <w:bottom w:val="single" w:sz="4" w:space="0" w:color="auto"/>
              <w:right w:val="single" w:sz="4" w:space="0" w:color="auto"/>
            </w:tcBorders>
          </w:tcPr>
          <w:p w14:paraId="088753D0"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Palovarotene 1 mg capsule, 28</w:t>
            </w:r>
          </w:p>
        </w:tc>
        <w:tc>
          <w:tcPr>
            <w:tcW w:w="1418" w:type="dxa"/>
            <w:tcBorders>
              <w:top w:val="single" w:sz="4" w:space="0" w:color="auto"/>
              <w:left w:val="single" w:sz="4" w:space="0" w:color="auto"/>
              <w:bottom w:val="single" w:sz="4" w:space="0" w:color="auto"/>
              <w:right w:val="single" w:sz="4" w:space="0" w:color="auto"/>
            </w:tcBorders>
          </w:tcPr>
          <w:p w14:paraId="4AA71759"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rPr>
              <w:t>NEW</w:t>
            </w:r>
          </w:p>
          <w:p w14:paraId="0737816F" w14:textId="77777777" w:rsidR="00685A75" w:rsidRPr="00182417" w:rsidRDefault="00685A75" w:rsidP="00B706FF">
            <w:pPr>
              <w:keepNext/>
              <w:jc w:val="center"/>
              <w:rPr>
                <w:rFonts w:ascii="Arial Narrow" w:eastAsia="Calibri" w:hAnsi="Arial Narrow"/>
                <w:sz w:val="20"/>
                <w:szCs w:val="20"/>
                <w:vertAlign w:val="subscript"/>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776D3977" w14:textId="77777777" w:rsidR="00685A75" w:rsidRPr="00182417" w:rsidRDefault="00685A75" w:rsidP="00B706FF">
            <w:pPr>
              <w:keepNext/>
              <w:ind w:left="-57"/>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44288A3"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7780992C"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5</w:t>
            </w:r>
          </w:p>
        </w:tc>
        <w:tc>
          <w:tcPr>
            <w:tcW w:w="1422" w:type="dxa"/>
            <w:tcBorders>
              <w:top w:val="single" w:sz="4" w:space="0" w:color="auto"/>
              <w:left w:val="single" w:sz="4" w:space="0" w:color="auto"/>
              <w:bottom w:val="single" w:sz="4" w:space="0" w:color="auto"/>
              <w:right w:val="single" w:sz="4" w:space="0" w:color="auto"/>
            </w:tcBorders>
          </w:tcPr>
          <w:p w14:paraId="1B812386"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7659F795" w14:textId="77777777" w:rsidTr="00A1134C">
        <w:trPr>
          <w:cantSplit/>
          <w:trHeight w:val="20"/>
        </w:trPr>
        <w:tc>
          <w:tcPr>
            <w:tcW w:w="3539" w:type="dxa"/>
            <w:gridSpan w:val="3"/>
            <w:tcBorders>
              <w:top w:val="single" w:sz="4" w:space="0" w:color="auto"/>
              <w:left w:val="single" w:sz="4" w:space="0" w:color="auto"/>
              <w:bottom w:val="single" w:sz="4" w:space="0" w:color="auto"/>
              <w:right w:val="single" w:sz="4" w:space="0" w:color="auto"/>
            </w:tcBorders>
          </w:tcPr>
          <w:p w14:paraId="61F7DB68"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Palovarotene 1.5 mg capsule, 28</w:t>
            </w:r>
          </w:p>
        </w:tc>
        <w:tc>
          <w:tcPr>
            <w:tcW w:w="1418" w:type="dxa"/>
            <w:tcBorders>
              <w:top w:val="single" w:sz="4" w:space="0" w:color="auto"/>
              <w:left w:val="single" w:sz="4" w:space="0" w:color="auto"/>
              <w:bottom w:val="single" w:sz="4" w:space="0" w:color="auto"/>
              <w:right w:val="single" w:sz="4" w:space="0" w:color="auto"/>
            </w:tcBorders>
          </w:tcPr>
          <w:p w14:paraId="7CA90729"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rPr>
              <w:t>NEW</w:t>
            </w:r>
          </w:p>
          <w:p w14:paraId="7B849CB0" w14:textId="77777777" w:rsidR="00685A75" w:rsidRPr="00182417" w:rsidRDefault="00685A75" w:rsidP="00B706FF">
            <w:pPr>
              <w:keepNext/>
              <w:jc w:val="center"/>
              <w:rPr>
                <w:rFonts w:ascii="Arial Narrow" w:eastAsia="Calibri" w:hAnsi="Arial Narrow"/>
                <w:sz w:val="20"/>
                <w:szCs w:val="20"/>
                <w:vertAlign w:val="subscript"/>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297C0240" w14:textId="77777777" w:rsidR="00685A75" w:rsidRPr="00182417" w:rsidRDefault="00685A75" w:rsidP="00B706FF">
            <w:pPr>
              <w:keepNext/>
              <w:ind w:left="-57"/>
              <w:jc w:val="center"/>
              <w:rPr>
                <w:rFonts w:ascii="Arial Narrow" w:eastAsia="Calibri" w:hAnsi="Arial Narrow"/>
                <w:i/>
                <w:iCs/>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56F23E6"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63C0EF71"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5</w:t>
            </w:r>
          </w:p>
        </w:tc>
        <w:tc>
          <w:tcPr>
            <w:tcW w:w="1422" w:type="dxa"/>
            <w:tcBorders>
              <w:top w:val="single" w:sz="4" w:space="0" w:color="auto"/>
              <w:left w:val="single" w:sz="4" w:space="0" w:color="auto"/>
              <w:bottom w:val="single" w:sz="4" w:space="0" w:color="auto"/>
              <w:right w:val="single" w:sz="4" w:space="0" w:color="auto"/>
            </w:tcBorders>
          </w:tcPr>
          <w:p w14:paraId="7BAEA76D"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64B6412B" w14:textId="77777777" w:rsidTr="00A1134C">
        <w:trPr>
          <w:cantSplit/>
          <w:trHeight w:val="20"/>
        </w:trPr>
        <w:tc>
          <w:tcPr>
            <w:tcW w:w="3539" w:type="dxa"/>
            <w:gridSpan w:val="3"/>
            <w:tcBorders>
              <w:top w:val="single" w:sz="4" w:space="0" w:color="auto"/>
              <w:left w:val="single" w:sz="4" w:space="0" w:color="auto"/>
              <w:bottom w:val="single" w:sz="4" w:space="0" w:color="auto"/>
              <w:right w:val="single" w:sz="4" w:space="0" w:color="auto"/>
            </w:tcBorders>
          </w:tcPr>
          <w:p w14:paraId="747BFA0C"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Palovarotene 2.5 mg capsule, 28</w:t>
            </w:r>
          </w:p>
        </w:tc>
        <w:tc>
          <w:tcPr>
            <w:tcW w:w="1418" w:type="dxa"/>
            <w:tcBorders>
              <w:top w:val="single" w:sz="4" w:space="0" w:color="auto"/>
              <w:left w:val="single" w:sz="4" w:space="0" w:color="auto"/>
              <w:bottom w:val="single" w:sz="4" w:space="0" w:color="auto"/>
              <w:right w:val="single" w:sz="4" w:space="0" w:color="auto"/>
            </w:tcBorders>
          </w:tcPr>
          <w:p w14:paraId="5334A65A"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rPr>
              <w:t>NEW</w:t>
            </w:r>
          </w:p>
          <w:p w14:paraId="25DEBE9C"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6D43406F" w14:textId="77777777" w:rsidR="00685A75" w:rsidRPr="00182417" w:rsidRDefault="00685A75" w:rsidP="00B706FF">
            <w:pPr>
              <w:keepNext/>
              <w:ind w:left="-57"/>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80BD364"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08B980EB"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5</w:t>
            </w:r>
          </w:p>
        </w:tc>
        <w:tc>
          <w:tcPr>
            <w:tcW w:w="1422" w:type="dxa"/>
            <w:tcBorders>
              <w:top w:val="single" w:sz="4" w:space="0" w:color="auto"/>
              <w:left w:val="single" w:sz="4" w:space="0" w:color="auto"/>
              <w:bottom w:val="single" w:sz="4" w:space="0" w:color="auto"/>
              <w:right w:val="single" w:sz="4" w:space="0" w:color="auto"/>
            </w:tcBorders>
          </w:tcPr>
          <w:p w14:paraId="4F9365D3"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3919B4A7" w14:textId="77777777" w:rsidTr="00A1134C">
        <w:trPr>
          <w:cantSplit/>
          <w:trHeight w:val="20"/>
        </w:trPr>
        <w:tc>
          <w:tcPr>
            <w:tcW w:w="3539" w:type="dxa"/>
            <w:gridSpan w:val="3"/>
            <w:tcBorders>
              <w:top w:val="single" w:sz="4" w:space="0" w:color="auto"/>
              <w:left w:val="single" w:sz="4" w:space="0" w:color="auto"/>
              <w:bottom w:val="single" w:sz="4" w:space="0" w:color="auto"/>
              <w:right w:val="single" w:sz="4" w:space="0" w:color="auto"/>
            </w:tcBorders>
          </w:tcPr>
          <w:p w14:paraId="3EEEEF94"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Palovarotene 5 mg capsule, 28</w:t>
            </w:r>
          </w:p>
        </w:tc>
        <w:tc>
          <w:tcPr>
            <w:tcW w:w="1418" w:type="dxa"/>
            <w:tcBorders>
              <w:top w:val="single" w:sz="4" w:space="0" w:color="auto"/>
              <w:left w:val="single" w:sz="4" w:space="0" w:color="auto"/>
              <w:bottom w:val="single" w:sz="4" w:space="0" w:color="auto"/>
              <w:right w:val="single" w:sz="4" w:space="0" w:color="auto"/>
            </w:tcBorders>
          </w:tcPr>
          <w:p w14:paraId="6F69DC40"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rPr>
              <w:t>NEW</w:t>
            </w:r>
          </w:p>
          <w:p w14:paraId="4B337B23" w14:textId="77777777" w:rsidR="00685A75" w:rsidRPr="00182417" w:rsidRDefault="00685A75" w:rsidP="00B706FF">
            <w:pPr>
              <w:keepNext/>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1107B92C" w14:textId="77777777" w:rsidR="00685A75" w:rsidRPr="00182417" w:rsidRDefault="00685A75" w:rsidP="00B706FF">
            <w:pPr>
              <w:keepNext/>
              <w:ind w:left="-57"/>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0577D16"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6766A65B" w14:textId="77777777" w:rsidR="00685A75" w:rsidRPr="00182417" w:rsidRDefault="00685A75" w:rsidP="00B706FF">
            <w:pPr>
              <w:keepNext/>
              <w:jc w:val="center"/>
              <w:rPr>
                <w:rFonts w:ascii="Arial Narrow" w:eastAsia="Calibri" w:hAnsi="Arial Narrow"/>
                <w:sz w:val="20"/>
                <w:szCs w:val="20"/>
              </w:rPr>
            </w:pPr>
            <w:r w:rsidRPr="00182417">
              <w:rPr>
                <w:rFonts w:ascii="Arial Narrow" w:hAnsi="Arial Narrow"/>
                <w:sz w:val="20"/>
                <w:szCs w:val="20"/>
              </w:rPr>
              <w:t>5</w:t>
            </w:r>
          </w:p>
        </w:tc>
        <w:tc>
          <w:tcPr>
            <w:tcW w:w="1422" w:type="dxa"/>
            <w:tcBorders>
              <w:top w:val="single" w:sz="4" w:space="0" w:color="auto"/>
              <w:left w:val="single" w:sz="4" w:space="0" w:color="auto"/>
              <w:bottom w:val="single" w:sz="4" w:space="0" w:color="auto"/>
              <w:right w:val="single" w:sz="4" w:space="0" w:color="auto"/>
            </w:tcBorders>
          </w:tcPr>
          <w:p w14:paraId="6808EA84" w14:textId="77777777" w:rsidR="00685A75" w:rsidRPr="00182417" w:rsidRDefault="00685A75" w:rsidP="00B706FF">
            <w:pPr>
              <w:keepNext/>
              <w:ind w:left="-57"/>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303B17A9" w14:textId="77777777" w:rsidTr="00A1134C">
        <w:trPr>
          <w:cantSplit/>
          <w:trHeight w:val="20"/>
        </w:trPr>
        <w:tc>
          <w:tcPr>
            <w:tcW w:w="9072" w:type="dxa"/>
            <w:gridSpan w:val="8"/>
            <w:tcBorders>
              <w:top w:val="single" w:sz="4" w:space="0" w:color="auto"/>
              <w:left w:val="single" w:sz="4" w:space="0" w:color="auto"/>
              <w:bottom w:val="single" w:sz="4" w:space="0" w:color="auto"/>
              <w:right w:val="single" w:sz="4" w:space="0" w:color="auto"/>
            </w:tcBorders>
          </w:tcPr>
          <w:p w14:paraId="2A343752" w14:textId="77777777" w:rsidR="00685A75" w:rsidRPr="00182417" w:rsidRDefault="00685A75" w:rsidP="00B706FF">
            <w:pPr>
              <w:keepNext/>
              <w:ind w:left="-57"/>
              <w:rPr>
                <w:rFonts w:ascii="Arial Narrow" w:eastAsia="Calibri" w:hAnsi="Arial Narrow"/>
                <w:sz w:val="20"/>
                <w:szCs w:val="20"/>
              </w:rPr>
            </w:pPr>
          </w:p>
        </w:tc>
      </w:tr>
      <w:tr w:rsidR="00182417" w:rsidRPr="00182417" w14:paraId="4966FE74"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9072" w:type="dxa"/>
            <w:gridSpan w:val="8"/>
            <w:tcBorders>
              <w:top w:val="single" w:sz="4" w:space="0" w:color="auto"/>
              <w:left w:val="single" w:sz="4" w:space="0" w:color="auto"/>
              <w:right w:val="single" w:sz="4" w:space="0" w:color="auto"/>
            </w:tcBorders>
            <w:vAlign w:val="center"/>
          </w:tcPr>
          <w:p w14:paraId="6607842F" w14:textId="77777777" w:rsidR="00685A75" w:rsidRPr="00182417" w:rsidRDefault="00685A75" w:rsidP="00B706FF">
            <w:pPr>
              <w:keepLines/>
              <w:rPr>
                <w:rFonts w:ascii="Arial Narrow" w:hAnsi="Arial Narrow"/>
                <w:b/>
                <w:sz w:val="20"/>
                <w:szCs w:val="20"/>
              </w:rPr>
            </w:pPr>
            <w:r w:rsidRPr="00182417">
              <w:rPr>
                <w:rFonts w:ascii="Arial Narrow" w:hAnsi="Arial Narrow"/>
                <w:b/>
                <w:sz w:val="20"/>
                <w:szCs w:val="20"/>
              </w:rPr>
              <w:t xml:space="preserve">Restriction Summary [new] / Treatment of Concept: [new] </w:t>
            </w:r>
          </w:p>
        </w:tc>
      </w:tr>
      <w:tr w:rsidR="00182417" w:rsidRPr="00182417" w14:paraId="53DD3DC1"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gridSpan w:val="2"/>
            <w:vMerge w:val="restart"/>
            <w:tcBorders>
              <w:top w:val="single" w:sz="4" w:space="0" w:color="auto"/>
              <w:left w:val="single" w:sz="4" w:space="0" w:color="auto"/>
              <w:right w:val="single" w:sz="4" w:space="0" w:color="auto"/>
            </w:tcBorders>
          </w:tcPr>
          <w:p w14:paraId="0F3C79E4" w14:textId="463F0DCD" w:rsidR="00685A75" w:rsidRPr="00182417" w:rsidRDefault="00685A75" w:rsidP="00B706FF">
            <w:pPr>
              <w:jc w:val="center"/>
              <w:rPr>
                <w:rFonts w:ascii="Arial Narrow" w:hAnsi="Arial Narrow"/>
                <w:b/>
                <w:sz w:val="20"/>
                <w:szCs w:val="20"/>
              </w:rPr>
            </w:pPr>
            <w:r w:rsidRPr="00182417">
              <w:rPr>
                <w:rFonts w:ascii="Arial Narrow" w:hAnsi="Arial Narrow"/>
                <w:b/>
                <w:sz w:val="20"/>
                <w:szCs w:val="20"/>
              </w:rPr>
              <w:t xml:space="preserve">Concept ID </w:t>
            </w:r>
            <w:r w:rsidRPr="00182417">
              <w:rPr>
                <w:rFonts w:ascii="Arial Narrow" w:hAnsi="Arial Narrow"/>
                <w:sz w:val="20"/>
                <w:szCs w:val="20"/>
              </w:rPr>
              <w:t>(for internal Dept. use)</w:t>
            </w: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1E1CD9D3" w14:textId="77777777" w:rsidR="00685A75" w:rsidRPr="00182417" w:rsidRDefault="00685A75" w:rsidP="00B706FF">
            <w:pPr>
              <w:keepLines/>
              <w:rPr>
                <w:rFonts w:ascii="Arial Narrow" w:hAnsi="Arial Narrow"/>
                <w:sz w:val="20"/>
                <w:szCs w:val="20"/>
              </w:rPr>
            </w:pPr>
            <w:r w:rsidRPr="00182417">
              <w:rPr>
                <w:rFonts w:ascii="Arial Narrow" w:hAnsi="Arial Narrow"/>
                <w:b/>
                <w:sz w:val="20"/>
                <w:szCs w:val="20"/>
              </w:rPr>
              <w:t xml:space="preserve">Category / Program: </w:t>
            </w:r>
            <w:r w:rsidRPr="00182417">
              <w:rPr>
                <w:rFonts w:ascii="Arial Narrow" w:eastAsia="Calibri" w:hAnsi="Arial Narrow"/>
                <w:sz w:val="20"/>
                <w:szCs w:val="20"/>
              </w:rPr>
              <w:fldChar w:fldCharType="begin" w:fldLock="1">
                <w:ffData>
                  <w:name w:val="Check1"/>
                  <w:enabled/>
                  <w:calcOnExit w:val="0"/>
                  <w:checkBox>
                    <w:sizeAuto/>
                    <w:default w:val="1"/>
                  </w:checkBox>
                </w:ffData>
              </w:fldChar>
            </w:r>
            <w:bookmarkStart w:id="75" w:name="Check1"/>
            <w:r w:rsidRPr="00182417">
              <w:rPr>
                <w:rFonts w:ascii="Arial Narrow" w:eastAsia="Calibri" w:hAnsi="Arial Narrow"/>
                <w:sz w:val="20"/>
                <w:szCs w:val="20"/>
              </w:rPr>
              <w:instrText xml:space="preserve"> FORMCHECKBOX </w:instrText>
            </w:r>
            <w:r w:rsidRPr="00182417">
              <w:rPr>
                <w:rFonts w:ascii="Arial Narrow" w:eastAsia="Calibri" w:hAnsi="Arial Narrow"/>
                <w:sz w:val="20"/>
                <w:szCs w:val="20"/>
              </w:rPr>
            </w:r>
            <w:r w:rsidRPr="00182417">
              <w:rPr>
                <w:rFonts w:ascii="Arial Narrow" w:eastAsia="Calibri" w:hAnsi="Arial Narrow"/>
                <w:sz w:val="20"/>
                <w:szCs w:val="20"/>
              </w:rPr>
              <w:fldChar w:fldCharType="separate"/>
            </w:r>
            <w:r w:rsidRPr="00182417">
              <w:rPr>
                <w:rFonts w:ascii="Arial Narrow" w:eastAsia="Calibri" w:hAnsi="Arial Narrow"/>
                <w:sz w:val="20"/>
                <w:szCs w:val="20"/>
              </w:rPr>
              <w:fldChar w:fldCharType="end"/>
            </w:r>
            <w:bookmarkEnd w:id="75"/>
            <w:r w:rsidRPr="00182417">
              <w:rPr>
                <w:rFonts w:ascii="Arial Narrow" w:eastAsia="Calibri" w:hAnsi="Arial Narrow"/>
                <w:sz w:val="20"/>
                <w:szCs w:val="20"/>
              </w:rPr>
              <w:t xml:space="preserve">GENERAL - General Schedule (Code GE) </w:t>
            </w:r>
          </w:p>
        </w:tc>
      </w:tr>
      <w:tr w:rsidR="00182417" w:rsidRPr="00182417" w14:paraId="704A647A"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gridSpan w:val="2"/>
            <w:vMerge/>
            <w:tcBorders>
              <w:left w:val="single" w:sz="4" w:space="0" w:color="auto"/>
              <w:right w:val="single" w:sz="4" w:space="0" w:color="auto"/>
            </w:tcBorders>
          </w:tcPr>
          <w:p w14:paraId="6997079A" w14:textId="77777777" w:rsidR="00685A75" w:rsidRPr="00182417" w:rsidRDefault="00685A75" w:rsidP="00B706FF">
            <w:pP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620B8DC3" w14:textId="77777777" w:rsidR="00685A75" w:rsidRPr="00182417" w:rsidRDefault="00685A75" w:rsidP="00B706FF">
            <w:pPr>
              <w:keepLines/>
              <w:rPr>
                <w:rFonts w:ascii="Arial Narrow" w:hAnsi="Arial Narrow"/>
                <w:b/>
                <w:sz w:val="20"/>
                <w:szCs w:val="20"/>
              </w:rPr>
            </w:pPr>
            <w:r w:rsidRPr="00182417">
              <w:rPr>
                <w:rFonts w:ascii="Arial Narrow" w:hAnsi="Arial Narrow"/>
                <w:b/>
                <w:sz w:val="20"/>
                <w:szCs w:val="20"/>
              </w:rPr>
              <w:t xml:space="preserve">Prescriber type: </w:t>
            </w:r>
            <w:r w:rsidRPr="00182417">
              <w:rPr>
                <w:rFonts w:ascii="Arial Narrow" w:hAnsi="Arial Narrow"/>
                <w:sz w:val="20"/>
                <w:szCs w:val="20"/>
              </w:rPr>
              <w:fldChar w:fldCharType="begin" w:fldLock="1">
                <w:ffData>
                  <w:name w:val=""/>
                  <w:enabled/>
                  <w:calcOnExit w:val="0"/>
                  <w:checkBox>
                    <w:sizeAuto/>
                    <w:default w:val="1"/>
                  </w:checkBox>
                </w:ffData>
              </w:fldChar>
            </w:r>
            <w:r w:rsidRPr="00182417">
              <w:rPr>
                <w:rFonts w:ascii="Arial Narrow" w:hAnsi="Arial Narrow"/>
                <w:sz w:val="20"/>
                <w:szCs w:val="20"/>
              </w:rPr>
              <w:instrText xml:space="preserve"> FORMCHECKBOX </w:instrText>
            </w:r>
            <w:r w:rsidRPr="00182417">
              <w:rPr>
                <w:rFonts w:ascii="Arial Narrow" w:hAnsi="Arial Narrow"/>
                <w:sz w:val="20"/>
                <w:szCs w:val="20"/>
              </w:rPr>
            </w:r>
            <w:r w:rsidRPr="00182417">
              <w:rPr>
                <w:rFonts w:ascii="Arial Narrow" w:hAnsi="Arial Narrow"/>
                <w:sz w:val="20"/>
                <w:szCs w:val="20"/>
              </w:rPr>
              <w:fldChar w:fldCharType="separate"/>
            </w:r>
            <w:r w:rsidRPr="00182417">
              <w:rPr>
                <w:rFonts w:ascii="Arial Narrow" w:hAnsi="Arial Narrow"/>
                <w:sz w:val="20"/>
                <w:szCs w:val="20"/>
              </w:rPr>
              <w:fldChar w:fldCharType="end"/>
            </w:r>
            <w:r w:rsidRPr="00182417">
              <w:rPr>
                <w:rFonts w:ascii="Arial Narrow" w:hAnsi="Arial Narrow"/>
                <w:sz w:val="20"/>
                <w:szCs w:val="20"/>
              </w:rPr>
              <w:t xml:space="preserve">Medical Practitioners </w:t>
            </w:r>
          </w:p>
        </w:tc>
      </w:tr>
      <w:tr w:rsidR="00182417" w:rsidRPr="00182417" w14:paraId="5ED9390F"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gridSpan w:val="2"/>
            <w:vMerge/>
            <w:tcBorders>
              <w:left w:val="single" w:sz="4" w:space="0" w:color="auto"/>
              <w:right w:val="single" w:sz="4" w:space="0" w:color="auto"/>
            </w:tcBorders>
          </w:tcPr>
          <w:p w14:paraId="70FD9913" w14:textId="77777777" w:rsidR="00685A75" w:rsidRPr="00182417" w:rsidRDefault="00685A75" w:rsidP="00B706FF">
            <w:pP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BE65860" w14:textId="77777777" w:rsidR="00685A75" w:rsidRPr="00182417" w:rsidRDefault="00685A75" w:rsidP="00B706FF">
            <w:pPr>
              <w:keepLines/>
              <w:rPr>
                <w:rFonts w:ascii="Arial Narrow" w:eastAsia="Calibri" w:hAnsi="Arial Narrow"/>
                <w:sz w:val="20"/>
                <w:szCs w:val="20"/>
              </w:rPr>
            </w:pPr>
            <w:r w:rsidRPr="00182417">
              <w:rPr>
                <w:rFonts w:ascii="Arial Narrow" w:hAnsi="Arial Narrow"/>
                <w:b/>
                <w:sz w:val="20"/>
                <w:szCs w:val="20"/>
              </w:rPr>
              <w:t>Restriction type:</w:t>
            </w:r>
            <w:r w:rsidRPr="00182417">
              <w:rPr>
                <w:rFonts w:ascii="Arial Narrow" w:eastAsia="Calibri" w:hAnsi="Arial Narrow"/>
                <w:sz w:val="20"/>
                <w:szCs w:val="20"/>
              </w:rPr>
              <w:t xml:space="preserve"> </w:t>
            </w:r>
            <w:r w:rsidRPr="00182417">
              <w:rPr>
                <w:rFonts w:ascii="Arial Narrow" w:eastAsia="Calibri" w:hAnsi="Arial Narrow"/>
                <w:sz w:val="20"/>
                <w:szCs w:val="20"/>
              </w:rPr>
              <w:fldChar w:fldCharType="begin" w:fldLock="1">
                <w:ffData>
                  <w:name w:val=""/>
                  <w:enabled/>
                  <w:calcOnExit w:val="0"/>
                  <w:checkBox>
                    <w:sizeAuto/>
                    <w:default w:val="1"/>
                  </w:checkBox>
                </w:ffData>
              </w:fldChar>
            </w:r>
            <w:r w:rsidRPr="00182417">
              <w:rPr>
                <w:rFonts w:ascii="Arial Narrow" w:eastAsia="Calibri" w:hAnsi="Arial Narrow"/>
                <w:sz w:val="20"/>
                <w:szCs w:val="20"/>
              </w:rPr>
              <w:instrText xml:space="preserve"> FORMCHECKBOX </w:instrText>
            </w:r>
            <w:r w:rsidRPr="00182417">
              <w:rPr>
                <w:rFonts w:ascii="Arial Narrow" w:eastAsia="Calibri" w:hAnsi="Arial Narrow"/>
                <w:sz w:val="20"/>
                <w:szCs w:val="20"/>
              </w:rPr>
            </w:r>
            <w:r w:rsidRPr="00182417">
              <w:rPr>
                <w:rFonts w:ascii="Arial Narrow" w:eastAsia="Calibri" w:hAnsi="Arial Narrow"/>
                <w:sz w:val="20"/>
                <w:szCs w:val="20"/>
              </w:rPr>
              <w:fldChar w:fldCharType="separate"/>
            </w:r>
            <w:r w:rsidRPr="00182417">
              <w:rPr>
                <w:rFonts w:ascii="Arial Narrow" w:eastAsia="Calibri" w:hAnsi="Arial Narrow"/>
                <w:sz w:val="20"/>
                <w:szCs w:val="20"/>
              </w:rPr>
              <w:fldChar w:fldCharType="end"/>
            </w:r>
            <w:r w:rsidRPr="00182417">
              <w:rPr>
                <w:rFonts w:ascii="Arial Narrow" w:eastAsia="Calibri" w:hAnsi="Arial Narrow"/>
                <w:sz w:val="20"/>
                <w:szCs w:val="20"/>
              </w:rPr>
              <w:t xml:space="preserve">Authority Required ( FULL assessment) in writing only via post/HPOS upload) </w:t>
            </w:r>
          </w:p>
        </w:tc>
      </w:tr>
      <w:tr w:rsidR="00182417" w:rsidRPr="00182417" w14:paraId="61B54EFF"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567" w:type="dxa"/>
            <w:vMerge w:val="restart"/>
            <w:tcBorders>
              <w:left w:val="single" w:sz="4" w:space="0" w:color="auto"/>
              <w:right w:val="single" w:sz="4" w:space="0" w:color="auto"/>
            </w:tcBorders>
            <w:textDirection w:val="btLr"/>
          </w:tcPr>
          <w:p w14:paraId="4E6EDAA7" w14:textId="7DDBE572" w:rsidR="00685A75" w:rsidRPr="00182417" w:rsidRDefault="00685A75" w:rsidP="00182417">
            <w:pPr>
              <w:keepNext/>
              <w:keepLines/>
              <w:ind w:left="113" w:right="113"/>
              <w:jc w:val="cente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0DC70938" w14:textId="77FE3DEC" w:rsidR="00685A75" w:rsidRPr="00182417" w:rsidRDefault="00685A75" w:rsidP="00182417">
            <w:pPr>
              <w:keepNext/>
              <w:keepLines/>
              <w:jc w:val="cente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tcPr>
          <w:p w14:paraId="27B966F0" w14:textId="77777777" w:rsidR="00685A75" w:rsidRPr="00182417" w:rsidRDefault="00685A75" w:rsidP="00182417">
            <w:pPr>
              <w:pStyle w:val="NormalWeb"/>
              <w:keepNext/>
              <w:keepLines/>
              <w:spacing w:before="0" w:after="0"/>
              <w:textAlignment w:val="baseline"/>
              <w:rPr>
                <w:rFonts w:ascii="Arial Narrow" w:hAnsi="Arial Narrow" w:cs="Open Sans"/>
                <w:sz w:val="20"/>
                <w:szCs w:val="20"/>
              </w:rPr>
            </w:pPr>
            <w:r w:rsidRPr="00182417">
              <w:rPr>
                <w:rStyle w:val="Strong"/>
                <w:rFonts w:ascii="Arial Narrow" w:hAnsi="Arial Narrow" w:cs="Open Sans"/>
                <w:sz w:val="20"/>
                <w:szCs w:val="20"/>
                <w:bdr w:val="none" w:sz="0" w:space="0" w:color="auto" w:frame="1"/>
              </w:rPr>
              <w:t>Administrative Advice:</w:t>
            </w:r>
          </w:p>
          <w:p w14:paraId="0EAEC481" w14:textId="77777777" w:rsidR="00685A75" w:rsidRPr="00182417" w:rsidRDefault="00685A75" w:rsidP="00182417">
            <w:pPr>
              <w:keepNext/>
              <w:keepLines/>
              <w:rPr>
                <w:rFonts w:ascii="Arial Narrow" w:hAnsi="Arial Narrow"/>
                <w:b/>
                <w:bCs/>
                <w:sz w:val="20"/>
                <w:szCs w:val="20"/>
              </w:rPr>
            </w:pPr>
            <w:r w:rsidRPr="00182417">
              <w:rPr>
                <w:rFonts w:ascii="Arial Narrow" w:hAnsi="Arial Narrow" w:cs="Open Sans"/>
                <w:sz w:val="20"/>
                <w:szCs w:val="20"/>
              </w:rPr>
              <w:t>No increase in the maximum number of repeats may be authorised.</w:t>
            </w:r>
          </w:p>
        </w:tc>
      </w:tr>
      <w:tr w:rsidR="00182417" w:rsidRPr="00182417" w14:paraId="700DC940"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567" w:type="dxa"/>
            <w:vMerge/>
            <w:tcBorders>
              <w:left w:val="single" w:sz="4" w:space="0" w:color="auto"/>
              <w:bottom w:val="single" w:sz="4" w:space="0" w:color="auto"/>
              <w:right w:val="single" w:sz="4" w:space="0" w:color="auto"/>
            </w:tcBorders>
          </w:tcPr>
          <w:p w14:paraId="03A46714" w14:textId="77777777" w:rsidR="00685A75" w:rsidRPr="00182417" w:rsidRDefault="00685A75" w:rsidP="00182417">
            <w:pPr>
              <w:keepNext/>
              <w:keepLines/>
              <w:rPr>
                <w:rFonts w:ascii="Arial Narrow" w:hAnsi="Arial Narrow"/>
                <w:i/>
                <w:iCs/>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551326F5" w14:textId="6F9A7C25" w:rsidR="00685A75" w:rsidRPr="00182417" w:rsidRDefault="00685A75" w:rsidP="00182417">
            <w:pPr>
              <w:keepNext/>
              <w:keepLines/>
              <w:jc w:val="center"/>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tcPr>
          <w:p w14:paraId="5ACA63C9" w14:textId="77777777" w:rsidR="00685A75" w:rsidRPr="00182417" w:rsidRDefault="00685A75" w:rsidP="00182417">
            <w:pPr>
              <w:pStyle w:val="NormalWeb"/>
              <w:keepNext/>
              <w:keepLines/>
              <w:spacing w:before="0" w:after="0"/>
              <w:textAlignment w:val="baseline"/>
              <w:rPr>
                <w:rFonts w:ascii="Arial Narrow" w:hAnsi="Arial Narrow" w:cs="Open Sans"/>
                <w:sz w:val="20"/>
                <w:szCs w:val="20"/>
              </w:rPr>
            </w:pPr>
            <w:r w:rsidRPr="00182417">
              <w:rPr>
                <w:rStyle w:val="Strong"/>
                <w:rFonts w:ascii="Arial Narrow" w:hAnsi="Arial Narrow" w:cs="Open Sans"/>
                <w:sz w:val="20"/>
                <w:szCs w:val="20"/>
                <w:bdr w:val="none" w:sz="0" w:space="0" w:color="auto" w:frame="1"/>
              </w:rPr>
              <w:t>Administrative Advice:</w:t>
            </w:r>
          </w:p>
          <w:p w14:paraId="21630D9B" w14:textId="77777777" w:rsidR="00685A75" w:rsidRPr="00182417" w:rsidRDefault="00685A75" w:rsidP="00182417">
            <w:pPr>
              <w:keepNext/>
              <w:keepLines/>
              <w:rPr>
                <w:rFonts w:ascii="Arial Narrow" w:hAnsi="Arial Narrow"/>
                <w:b/>
                <w:bCs/>
                <w:sz w:val="20"/>
                <w:szCs w:val="20"/>
              </w:rPr>
            </w:pPr>
            <w:r w:rsidRPr="00182417">
              <w:rPr>
                <w:rFonts w:ascii="Arial Narrow" w:hAnsi="Arial Narrow" w:cs="Open Sans"/>
                <w:sz w:val="20"/>
                <w:szCs w:val="20"/>
              </w:rPr>
              <w:t>Special Pricing Arrangements apply.</w:t>
            </w:r>
          </w:p>
        </w:tc>
      </w:tr>
      <w:tr w:rsidR="00182417" w:rsidRPr="00182417" w14:paraId="018F628B"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BEE8333" w14:textId="77777777" w:rsidR="00685A75" w:rsidRPr="00182417" w:rsidRDefault="00685A75" w:rsidP="00B706FF">
            <w:pPr>
              <w:keepLines/>
              <w:jc w:val="center"/>
              <w:rPr>
                <w:rFonts w:ascii="Arial Narrow" w:hAnsi="Arial Narrow"/>
                <w:sz w:val="20"/>
                <w:szCs w:val="20"/>
              </w:rPr>
            </w:pPr>
          </w:p>
        </w:tc>
        <w:tc>
          <w:tcPr>
            <w:tcW w:w="7796" w:type="dxa"/>
            <w:gridSpan w:val="6"/>
            <w:vAlign w:val="center"/>
          </w:tcPr>
          <w:p w14:paraId="682C2B8B" w14:textId="697D9C42" w:rsidR="00685A75" w:rsidRPr="00182417" w:rsidRDefault="00685A75" w:rsidP="00B706FF">
            <w:pPr>
              <w:keepLines/>
              <w:rPr>
                <w:rFonts w:ascii="Arial Narrow" w:hAnsi="Arial Narrow"/>
                <w:b/>
                <w:bCs/>
                <w:sz w:val="20"/>
                <w:szCs w:val="20"/>
              </w:rPr>
            </w:pPr>
            <w:r w:rsidRPr="00182417">
              <w:rPr>
                <w:rFonts w:ascii="Arial Narrow" w:hAnsi="Arial Narrow"/>
                <w:b/>
                <w:bCs/>
                <w:sz w:val="20"/>
                <w:szCs w:val="20"/>
              </w:rPr>
              <w:t xml:space="preserve">Condition: </w:t>
            </w:r>
            <w:r w:rsidRPr="00182417">
              <w:rPr>
                <w:rFonts w:ascii="Arial Narrow" w:hAnsi="Arial Narrow"/>
                <w:sz w:val="20"/>
                <w:szCs w:val="20"/>
              </w:rPr>
              <w:t xml:space="preserve">Fibrodysplasia ossificans progressiva (FOP) </w:t>
            </w:r>
          </w:p>
        </w:tc>
      </w:tr>
      <w:tr w:rsidR="00182417" w:rsidRPr="00182417" w14:paraId="3DA3A334"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74C42950" w14:textId="1499898F" w:rsidR="00685A75" w:rsidRPr="00182417" w:rsidRDefault="00685A75" w:rsidP="00B706FF">
            <w:pPr>
              <w:keepLines/>
              <w:jc w:val="center"/>
              <w:rPr>
                <w:rFonts w:ascii="Arial Narrow" w:hAnsi="Arial Narrow"/>
                <w:i/>
                <w:iCs/>
                <w:sz w:val="20"/>
                <w:szCs w:val="20"/>
              </w:rPr>
            </w:pPr>
          </w:p>
        </w:tc>
        <w:tc>
          <w:tcPr>
            <w:tcW w:w="7796" w:type="dxa"/>
            <w:gridSpan w:val="6"/>
            <w:vAlign w:val="center"/>
            <w:hideMark/>
          </w:tcPr>
          <w:p w14:paraId="2471D275" w14:textId="496A4484" w:rsidR="00685A75" w:rsidRPr="00182417" w:rsidRDefault="00685A75" w:rsidP="00B706FF">
            <w:pPr>
              <w:keepLines/>
              <w:rPr>
                <w:rFonts w:ascii="Arial Narrow" w:hAnsi="Arial Narrow"/>
                <w:sz w:val="20"/>
                <w:szCs w:val="20"/>
              </w:rPr>
            </w:pPr>
            <w:r w:rsidRPr="00182417">
              <w:rPr>
                <w:rFonts w:ascii="Arial Narrow" w:hAnsi="Arial Narrow"/>
                <w:b/>
                <w:bCs/>
                <w:sz w:val="20"/>
                <w:szCs w:val="20"/>
              </w:rPr>
              <w:t>Indication:</w:t>
            </w:r>
            <w:r w:rsidRPr="00182417">
              <w:rPr>
                <w:rFonts w:ascii="Arial Narrow" w:hAnsi="Arial Narrow"/>
                <w:sz w:val="20"/>
                <w:szCs w:val="20"/>
              </w:rPr>
              <w:t xml:space="preserve"> Fibrodysplasia ossificans progressiva (FOP) </w:t>
            </w:r>
          </w:p>
        </w:tc>
      </w:tr>
      <w:tr w:rsidR="00182417" w:rsidRPr="00182417" w14:paraId="032E2096"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49B8CD6B" w14:textId="77777777"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51AD5F4E" w14:textId="77777777" w:rsidR="00685A75" w:rsidRPr="00182417" w:rsidRDefault="00685A75" w:rsidP="00B706FF">
            <w:pPr>
              <w:rPr>
                <w:rFonts w:ascii="Arial Narrow" w:hAnsi="Arial Narrow"/>
                <w:sz w:val="20"/>
                <w:szCs w:val="20"/>
              </w:rPr>
            </w:pPr>
            <w:r w:rsidRPr="00182417">
              <w:rPr>
                <w:rFonts w:ascii="Arial Narrow" w:hAnsi="Arial Narrow"/>
                <w:b/>
                <w:bCs/>
                <w:sz w:val="20"/>
                <w:szCs w:val="20"/>
              </w:rPr>
              <w:t>Treatment Phase:</w:t>
            </w:r>
            <w:r w:rsidRPr="00182417">
              <w:rPr>
                <w:rFonts w:ascii="Arial Narrow" w:hAnsi="Arial Narrow"/>
                <w:sz w:val="20"/>
                <w:szCs w:val="20"/>
              </w:rPr>
              <w:t xml:space="preserve"> Chronic treatment</w:t>
            </w:r>
          </w:p>
        </w:tc>
      </w:tr>
      <w:tr w:rsidR="00182417" w:rsidRPr="00182417" w14:paraId="2EAAE100"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1BA4C787" w14:textId="613EFF00"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1B873FE4" w14:textId="77777777" w:rsidR="00685A75" w:rsidRPr="00182417" w:rsidRDefault="00685A75" w:rsidP="00B706FF">
            <w:pPr>
              <w:rPr>
                <w:rFonts w:ascii="Arial Narrow" w:hAnsi="Arial Narrow"/>
                <w:sz w:val="20"/>
                <w:szCs w:val="20"/>
              </w:rPr>
            </w:pPr>
            <w:r w:rsidRPr="00182417">
              <w:rPr>
                <w:rFonts w:ascii="Arial Narrow" w:hAnsi="Arial Narrow"/>
                <w:b/>
                <w:bCs/>
                <w:sz w:val="20"/>
                <w:szCs w:val="20"/>
              </w:rPr>
              <w:t>Clinical criteria:</w:t>
            </w:r>
          </w:p>
        </w:tc>
      </w:tr>
      <w:tr w:rsidR="00182417" w:rsidRPr="00182417" w14:paraId="14EA77E6"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C86884D" w14:textId="76E09D97"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0027E0DF" w14:textId="48088147" w:rsidR="00685A75" w:rsidRPr="00182417" w:rsidRDefault="00685A75" w:rsidP="00B706FF">
            <w:pPr>
              <w:rPr>
                <w:rFonts w:ascii="Arial Narrow" w:hAnsi="Arial Narrow"/>
                <w:sz w:val="20"/>
                <w:szCs w:val="20"/>
              </w:rPr>
            </w:pPr>
            <w:r w:rsidRPr="00182417">
              <w:rPr>
                <w:rFonts w:ascii="Arial Narrow" w:hAnsi="Arial Narrow"/>
                <w:sz w:val="20"/>
                <w:szCs w:val="20"/>
              </w:rPr>
              <w:t>Patient must have a diagnosis of FOP, confirmed by genetic testing</w:t>
            </w:r>
          </w:p>
        </w:tc>
      </w:tr>
      <w:tr w:rsidR="00182417" w:rsidRPr="00182417" w14:paraId="75F9CD83"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AAFF9C2" w14:textId="220AA63D"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0C0D516F" w14:textId="77777777" w:rsidR="00685A75" w:rsidRPr="00182417" w:rsidRDefault="00685A75" w:rsidP="00B706FF">
            <w:pPr>
              <w:rPr>
                <w:rFonts w:ascii="Arial Narrow" w:hAnsi="Arial Narrow"/>
                <w:sz w:val="20"/>
                <w:szCs w:val="20"/>
              </w:rPr>
            </w:pPr>
            <w:r w:rsidRPr="00182417">
              <w:rPr>
                <w:rFonts w:ascii="Arial Narrow" w:hAnsi="Arial Narrow"/>
                <w:b/>
                <w:bCs/>
                <w:sz w:val="20"/>
                <w:szCs w:val="20"/>
              </w:rPr>
              <w:t>Treatment criteria:</w:t>
            </w:r>
          </w:p>
        </w:tc>
      </w:tr>
      <w:tr w:rsidR="00182417" w:rsidRPr="00182417" w14:paraId="46D8DE78"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B4E11A8" w14:textId="0D9839B8"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4D07FF45" w14:textId="77777777" w:rsidR="00685A75" w:rsidRPr="00182417" w:rsidRDefault="00685A75" w:rsidP="00B706FF">
            <w:pPr>
              <w:autoSpaceDE w:val="0"/>
              <w:autoSpaceDN w:val="0"/>
              <w:adjustRightInd w:val="0"/>
              <w:rPr>
                <w:rFonts w:ascii="Arial Narrow" w:eastAsia="Calibri" w:hAnsi="Arial Narrow" w:cs="Arial Narrow"/>
                <w:sz w:val="20"/>
                <w:szCs w:val="20"/>
              </w:rPr>
            </w:pPr>
            <w:r w:rsidRPr="00182417">
              <w:rPr>
                <w:rFonts w:ascii="Arial Narrow" w:eastAsia="Calibri" w:hAnsi="Arial Narrow" w:cs="Arial Narrow"/>
                <w:sz w:val="20"/>
                <w:szCs w:val="20"/>
              </w:rPr>
              <w:t>Must be treated by a specialist medical practitioner experienced in the diagnosis and management of FOP; or in consultation with a specialist medical practitioner experienced in the diagnosis and management of FOP</w:t>
            </w:r>
          </w:p>
        </w:tc>
      </w:tr>
      <w:tr w:rsidR="00182417" w:rsidRPr="00182417" w14:paraId="7736CBB8"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8DB8AB9" w14:textId="23EB0D3B"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6965889D" w14:textId="77777777" w:rsidR="00685A75" w:rsidRPr="00182417" w:rsidRDefault="00685A75" w:rsidP="00B706FF">
            <w:pPr>
              <w:rPr>
                <w:rFonts w:ascii="Arial Narrow" w:hAnsi="Arial Narrow"/>
                <w:sz w:val="20"/>
                <w:szCs w:val="20"/>
              </w:rPr>
            </w:pPr>
            <w:r w:rsidRPr="00182417">
              <w:rPr>
                <w:rFonts w:ascii="Arial Narrow" w:hAnsi="Arial Narrow"/>
                <w:b/>
                <w:bCs/>
                <w:sz w:val="20"/>
                <w:szCs w:val="20"/>
              </w:rPr>
              <w:t>Population criteria:</w:t>
            </w:r>
          </w:p>
        </w:tc>
      </w:tr>
      <w:tr w:rsidR="00182417" w:rsidRPr="00182417" w14:paraId="5163FFC5"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6C065C0" w14:textId="0B674B8E"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1E0C1A91" w14:textId="77777777" w:rsidR="00685A75" w:rsidRPr="00182417" w:rsidRDefault="00685A75" w:rsidP="00B706FF">
            <w:pPr>
              <w:rPr>
                <w:rFonts w:ascii="Arial Narrow" w:hAnsi="Arial Narrow"/>
                <w:sz w:val="20"/>
                <w:szCs w:val="20"/>
              </w:rPr>
            </w:pPr>
            <w:r w:rsidRPr="00182417">
              <w:rPr>
                <w:rFonts w:ascii="Arial Narrow" w:hAnsi="Arial Narrow"/>
                <w:sz w:val="20"/>
                <w:szCs w:val="20"/>
              </w:rPr>
              <w:t xml:space="preserve">Patient must be a female aged 8 years or older; or </w:t>
            </w:r>
          </w:p>
        </w:tc>
      </w:tr>
      <w:tr w:rsidR="00182417" w:rsidRPr="00182417" w14:paraId="783049ED"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4581345" w14:textId="14CA4621"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1E7E45B" w14:textId="77777777" w:rsidR="00685A75" w:rsidRPr="00182417" w:rsidRDefault="00685A75" w:rsidP="00B706FF">
            <w:pPr>
              <w:rPr>
                <w:rFonts w:ascii="Arial Narrow" w:hAnsi="Arial Narrow"/>
                <w:sz w:val="20"/>
                <w:szCs w:val="20"/>
              </w:rPr>
            </w:pPr>
            <w:r w:rsidRPr="00182417">
              <w:rPr>
                <w:rFonts w:ascii="Arial Narrow" w:hAnsi="Arial Narrow"/>
                <w:sz w:val="20"/>
                <w:szCs w:val="20"/>
              </w:rPr>
              <w:t>Patient must be a male aged 10 years or older</w:t>
            </w:r>
          </w:p>
        </w:tc>
      </w:tr>
      <w:tr w:rsidR="00182417" w:rsidRPr="00182417" w14:paraId="55EDF0EA"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F910540" w14:textId="2EF114AA"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298367B4" w14:textId="77777777" w:rsidR="00685A75" w:rsidRPr="00182417" w:rsidRDefault="00685A75" w:rsidP="00B706FF">
            <w:pPr>
              <w:rPr>
                <w:rFonts w:ascii="Arial Narrow" w:hAnsi="Arial Narrow"/>
                <w:sz w:val="20"/>
                <w:szCs w:val="20"/>
              </w:rPr>
            </w:pPr>
            <w:r w:rsidRPr="00182417">
              <w:rPr>
                <w:rFonts w:ascii="Arial Narrow" w:hAnsi="Arial Narrow"/>
                <w:b/>
                <w:bCs/>
                <w:sz w:val="20"/>
                <w:szCs w:val="20"/>
              </w:rPr>
              <w:t>Prescribing Instructions:</w:t>
            </w:r>
            <w:r w:rsidRPr="00182417">
              <w:rPr>
                <w:rFonts w:ascii="Arial Narrow" w:hAnsi="Arial Narrow"/>
                <w:sz w:val="20"/>
                <w:szCs w:val="20"/>
              </w:rPr>
              <w:t xml:space="preserve"> </w:t>
            </w:r>
          </w:p>
          <w:p w14:paraId="312E3D2F" w14:textId="13D9FCD5" w:rsidR="00685A75" w:rsidRPr="00182417" w:rsidRDefault="00685A75" w:rsidP="00B706FF">
            <w:pPr>
              <w:rPr>
                <w:rFonts w:ascii="Arial Narrow" w:hAnsi="Arial Narrow"/>
                <w:sz w:val="20"/>
                <w:szCs w:val="20"/>
              </w:rPr>
            </w:pPr>
            <w:r w:rsidRPr="00182417">
              <w:rPr>
                <w:rFonts w:ascii="Arial Narrow" w:hAnsi="Arial Narrow"/>
                <w:sz w:val="20"/>
                <w:szCs w:val="20"/>
              </w:rPr>
              <w:t>At the time of the authority application, the medical practitioner must request the appropriate combination of packs</w:t>
            </w:r>
            <w:r w:rsidR="00D9560A" w:rsidRPr="00182417">
              <w:rPr>
                <w:rFonts w:ascii="Arial Narrow" w:hAnsi="Arial Narrow"/>
                <w:strike/>
                <w:sz w:val="20"/>
                <w:szCs w:val="20"/>
              </w:rPr>
              <w:t xml:space="preserve"> </w:t>
            </w:r>
            <w:r w:rsidRPr="00182417">
              <w:rPr>
                <w:rFonts w:ascii="Arial Narrow" w:hAnsi="Arial Narrow"/>
                <w:sz w:val="20"/>
                <w:szCs w:val="20"/>
              </w:rPr>
              <w:t>to provide treatment at the recommended dose for chronic treatment, based on the age and weight of the patient, adequate for 4 weeks according to the specified dosage in the approved Product Information (PI). A separate authority prescription form must be completed for each strength requested. Up to a maximum of 5 repeats will be authorised.</w:t>
            </w:r>
          </w:p>
        </w:tc>
      </w:tr>
      <w:tr w:rsidR="00182417" w:rsidRPr="00182417" w14:paraId="2C613CF0"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24402DBB" w14:textId="71B28BD5" w:rsidR="00685A75" w:rsidRPr="00182417" w:rsidRDefault="00685A75" w:rsidP="00B706FF">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D2727EA" w14:textId="77777777" w:rsidR="00685A75" w:rsidRPr="00182417" w:rsidRDefault="00685A75" w:rsidP="00B706FF">
            <w:pPr>
              <w:rPr>
                <w:rFonts w:ascii="Arial Narrow" w:hAnsi="Arial Narrow"/>
                <w:b/>
                <w:bCs/>
                <w:sz w:val="20"/>
                <w:szCs w:val="20"/>
              </w:rPr>
            </w:pPr>
            <w:r w:rsidRPr="00182417">
              <w:rPr>
                <w:rFonts w:ascii="Arial Narrow" w:hAnsi="Arial Narrow"/>
                <w:b/>
                <w:bCs/>
                <w:sz w:val="20"/>
                <w:szCs w:val="20"/>
              </w:rPr>
              <w:t xml:space="preserve">Prescriber instructions: </w:t>
            </w:r>
          </w:p>
          <w:p w14:paraId="723312B2" w14:textId="159ECA4A" w:rsidR="00685A75" w:rsidRPr="00182417" w:rsidRDefault="00685A75" w:rsidP="00B706FF">
            <w:pPr>
              <w:rPr>
                <w:rFonts w:ascii="Arial Narrow" w:hAnsi="Arial Narrow"/>
                <w:sz w:val="20"/>
                <w:szCs w:val="20"/>
              </w:rPr>
            </w:pPr>
            <w:r w:rsidRPr="00182417">
              <w:rPr>
                <w:rFonts w:ascii="Arial Narrow" w:hAnsi="Arial Narrow"/>
                <w:sz w:val="20"/>
                <w:szCs w:val="20"/>
              </w:rPr>
              <w:t xml:space="preserve">Appropriate genetic testing constitutes testing for a pathogenic variant of the Activin A receptor type </w:t>
            </w:r>
            <w:r w:rsidRPr="00182417">
              <w:rPr>
                <w:rFonts w:ascii="Arial Narrow" w:hAnsi="Arial Narrow"/>
                <w:i/>
                <w:iCs/>
                <w:sz w:val="20"/>
                <w:szCs w:val="20"/>
              </w:rPr>
              <w:t>I (ACVR1)</w:t>
            </w:r>
            <w:r w:rsidRPr="00182417">
              <w:rPr>
                <w:rFonts w:ascii="Arial Narrow" w:hAnsi="Arial Narrow"/>
                <w:sz w:val="20"/>
                <w:szCs w:val="20"/>
              </w:rPr>
              <w:t xml:space="preserve"> gene.</w:t>
            </w:r>
            <w:r w:rsidR="00F747D8" w:rsidRPr="00182417">
              <w:rPr>
                <w:rFonts w:ascii="Arial Narrow" w:hAnsi="Arial Narrow"/>
                <w:sz w:val="20"/>
                <w:szCs w:val="20"/>
              </w:rPr>
              <w:t xml:space="preserve"> </w:t>
            </w:r>
            <w:r w:rsidR="00F747D8" w:rsidRPr="00182417">
              <w:rPr>
                <w:rStyle w:val="normaltextrun"/>
                <w:rFonts w:ascii="Arial Narrow" w:hAnsi="Arial Narrow"/>
                <w:sz w:val="20"/>
                <w:szCs w:val="20"/>
                <w:shd w:val="clear" w:color="auto" w:fill="FFFFFF"/>
              </w:rPr>
              <w:t xml:space="preserve">Confirm that evidence of the presence of </w:t>
            </w:r>
            <w:r w:rsidR="00F747D8" w:rsidRPr="00182417">
              <w:rPr>
                <w:rStyle w:val="normaltextrun"/>
                <w:rFonts w:ascii="Arial Narrow" w:hAnsi="Arial Narrow"/>
                <w:sz w:val="20"/>
                <w:szCs w:val="20"/>
                <w:shd w:val="clear" w:color="auto" w:fill="FFFFFF"/>
                <w:lang w:eastAsia="en-US"/>
              </w:rPr>
              <w:t>a pathogenic mutation of the ACVR1 gene</w:t>
            </w:r>
            <w:r w:rsidR="00F747D8" w:rsidRPr="00182417">
              <w:rPr>
                <w:rStyle w:val="normaltextrun"/>
                <w:rFonts w:ascii="Arial Narrow" w:hAnsi="Arial Narrow"/>
                <w:sz w:val="20"/>
                <w:szCs w:val="20"/>
                <w:shd w:val="clear" w:color="auto" w:fill="FFFFFF"/>
              </w:rPr>
              <w:t xml:space="preserve"> is documented/retained in the patient's medical records once only with the first PBS prescription</w:t>
            </w:r>
            <w:r w:rsidR="00F747D8" w:rsidRPr="00182417">
              <w:rPr>
                <w:rStyle w:val="normaltextrun"/>
                <w:rFonts w:ascii="Arial Narrow" w:hAnsi="Arial Narrow"/>
                <w:szCs w:val="20"/>
                <w:shd w:val="clear" w:color="auto" w:fill="FFFFFF"/>
              </w:rPr>
              <w:t>.</w:t>
            </w:r>
            <w:r w:rsidRPr="00182417">
              <w:rPr>
                <w:rFonts w:ascii="Arial Narrow" w:hAnsi="Arial Narrow"/>
                <w:sz w:val="20"/>
                <w:szCs w:val="20"/>
              </w:rPr>
              <w:t xml:space="preserve"> </w:t>
            </w:r>
          </w:p>
        </w:tc>
      </w:tr>
      <w:tr w:rsidR="00182417" w:rsidRPr="00182417" w14:paraId="0629A6F7"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83A1AD3" w14:textId="57A809EF" w:rsidR="00F747D8" w:rsidRPr="00182417" w:rsidRDefault="00F747D8" w:rsidP="00F747D8">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65F29B1E" w14:textId="77777777" w:rsidR="00F747D8" w:rsidRPr="00182417" w:rsidRDefault="00F747D8" w:rsidP="00F747D8">
            <w:pPr>
              <w:rPr>
                <w:rFonts w:ascii="Arial Narrow" w:hAnsi="Arial Narrow"/>
                <w:b/>
                <w:bCs/>
                <w:sz w:val="20"/>
                <w:szCs w:val="20"/>
              </w:rPr>
            </w:pPr>
            <w:r w:rsidRPr="00182417">
              <w:rPr>
                <w:rFonts w:ascii="Arial Narrow" w:hAnsi="Arial Narrow"/>
                <w:b/>
                <w:bCs/>
                <w:sz w:val="20"/>
                <w:szCs w:val="20"/>
              </w:rPr>
              <w:t xml:space="preserve">Prescriber instructions: </w:t>
            </w:r>
          </w:p>
          <w:p w14:paraId="2735C842" w14:textId="77777777" w:rsidR="00F747D8" w:rsidRPr="00182417" w:rsidRDefault="00F747D8" w:rsidP="00F747D8">
            <w:pPr>
              <w:ind w:left="-57"/>
              <w:rPr>
                <w:rFonts w:ascii="Arial Narrow" w:hAnsi="Arial Narrow"/>
                <w:sz w:val="20"/>
                <w:szCs w:val="20"/>
              </w:rPr>
            </w:pPr>
            <w:r w:rsidRPr="00182417">
              <w:rPr>
                <w:rFonts w:ascii="Arial Narrow" w:hAnsi="Arial Narrow"/>
                <w:sz w:val="20"/>
                <w:szCs w:val="20"/>
              </w:rPr>
              <w:t>The authority application must be made in writing and must include:</w:t>
            </w:r>
          </w:p>
          <w:p w14:paraId="555064D7" w14:textId="77777777" w:rsidR="00F747D8" w:rsidRPr="00182417" w:rsidRDefault="00F747D8" w:rsidP="00F747D8">
            <w:pPr>
              <w:ind w:left="-57"/>
              <w:rPr>
                <w:rFonts w:ascii="Arial Narrow" w:hAnsi="Arial Narrow"/>
                <w:sz w:val="20"/>
                <w:szCs w:val="20"/>
              </w:rPr>
            </w:pPr>
            <w:r w:rsidRPr="00182417">
              <w:rPr>
                <w:rFonts w:ascii="Arial Narrow" w:hAnsi="Arial Narrow"/>
                <w:sz w:val="20"/>
                <w:szCs w:val="20"/>
              </w:rPr>
              <w:t>(1) details of the proposed prescription; and</w:t>
            </w:r>
          </w:p>
          <w:p w14:paraId="2823F2E3" w14:textId="08397648" w:rsidR="00F747D8" w:rsidRPr="00182417" w:rsidRDefault="00F747D8" w:rsidP="00F747D8">
            <w:pPr>
              <w:rPr>
                <w:rFonts w:ascii="Arial Narrow" w:hAnsi="Arial Narrow"/>
                <w:b/>
                <w:bCs/>
                <w:sz w:val="20"/>
                <w:szCs w:val="20"/>
              </w:rPr>
            </w:pPr>
            <w:r w:rsidRPr="00182417">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182417" w:rsidRPr="00182417" w14:paraId="7E1AF333" w14:textId="77777777" w:rsidTr="00A1134C">
        <w:tblPrEx>
          <w:tblCellMar>
            <w:top w:w="15" w:type="dxa"/>
            <w:left w:w="15" w:type="dxa"/>
            <w:bottom w:w="15" w:type="dxa"/>
            <w:right w:w="15" w:type="dxa"/>
          </w:tblCellMar>
          <w:tblLook w:val="04A0" w:firstRow="1" w:lastRow="0" w:firstColumn="1" w:lastColumn="0" w:noHBand="0" w:noVBand="1"/>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331D92C" w14:textId="77777777" w:rsidR="00F747D8" w:rsidRPr="00182417" w:rsidRDefault="00F747D8" w:rsidP="00F747D8">
            <w:pPr>
              <w:jc w:val="center"/>
              <w:rPr>
                <w:rFonts w:ascii="Arial Narrow" w:hAnsi="Arial Narrow"/>
                <w:i/>
                <w:i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7B6C4DB5" w14:textId="77777777" w:rsidR="00F747D8" w:rsidRPr="00182417" w:rsidRDefault="00F747D8" w:rsidP="00B9474B">
            <w:pPr>
              <w:ind w:right="131"/>
              <w:rPr>
                <w:rFonts w:ascii="Arial Narrow" w:hAnsi="Arial Narrow"/>
                <w:b/>
                <w:bCs/>
                <w:sz w:val="20"/>
                <w:szCs w:val="20"/>
              </w:rPr>
            </w:pPr>
            <w:r w:rsidRPr="00182417">
              <w:rPr>
                <w:rFonts w:ascii="Arial Narrow" w:hAnsi="Arial Narrow"/>
                <w:b/>
                <w:bCs/>
                <w:sz w:val="20"/>
                <w:szCs w:val="20"/>
              </w:rPr>
              <w:t>Administrative Advice:</w:t>
            </w:r>
          </w:p>
          <w:p w14:paraId="04EE07A7" w14:textId="7777777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Any queries concerning the arrangements to prescribe may be directed to</w:t>
            </w:r>
            <w:r w:rsidRPr="00182417">
              <w:rPr>
                <w:rFonts w:ascii="Arial" w:hAnsi="Arial"/>
                <w:bCs/>
                <w:sz w:val="20"/>
                <w:szCs w:val="20"/>
              </w:rPr>
              <w:t> </w:t>
            </w:r>
            <w:r w:rsidRPr="00182417">
              <w:rPr>
                <w:rFonts w:ascii="Arial Narrow" w:hAnsi="Arial Narrow"/>
                <w:bCs/>
                <w:sz w:val="20"/>
                <w:szCs w:val="20"/>
              </w:rPr>
              <w:t>Services Australia</w:t>
            </w:r>
            <w:r w:rsidRPr="00182417">
              <w:rPr>
                <w:rFonts w:ascii="Arial" w:hAnsi="Arial"/>
                <w:bCs/>
                <w:sz w:val="20"/>
                <w:szCs w:val="20"/>
              </w:rPr>
              <w:t> </w:t>
            </w:r>
            <w:r w:rsidRPr="00182417">
              <w:rPr>
                <w:rFonts w:ascii="Arial Narrow" w:hAnsi="Arial Narrow"/>
                <w:bCs/>
                <w:sz w:val="20"/>
                <w:szCs w:val="20"/>
              </w:rPr>
              <w:t>on 1800 700 270 (hours of operation 8 a.m. to 5 p.m. Monday to Friday). </w:t>
            </w:r>
          </w:p>
          <w:p w14:paraId="3AA83E8D" w14:textId="1CBDA26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lastRenderedPageBreak/>
              <w:t>Prescribing information (including Authority Application forms and other relevant documentation as applicable) is available on the</w:t>
            </w:r>
            <w:r w:rsidRPr="00182417">
              <w:rPr>
                <w:rFonts w:ascii="Arial" w:hAnsi="Arial"/>
                <w:bCs/>
                <w:sz w:val="20"/>
                <w:szCs w:val="20"/>
              </w:rPr>
              <w:t> </w:t>
            </w:r>
            <w:r w:rsidRPr="00182417">
              <w:rPr>
                <w:rFonts w:ascii="Arial Narrow" w:hAnsi="Arial Narrow"/>
                <w:bCs/>
                <w:sz w:val="20"/>
                <w:szCs w:val="20"/>
              </w:rPr>
              <w:t>Services Australia</w:t>
            </w:r>
            <w:r w:rsidRPr="00182417">
              <w:rPr>
                <w:rFonts w:ascii="Arial" w:hAnsi="Arial"/>
                <w:bCs/>
                <w:sz w:val="20"/>
                <w:szCs w:val="20"/>
              </w:rPr>
              <w:t> </w:t>
            </w:r>
            <w:r w:rsidRPr="00182417">
              <w:rPr>
                <w:rFonts w:ascii="Arial Narrow" w:hAnsi="Arial Narrow"/>
                <w:bCs/>
                <w:sz w:val="20"/>
                <w:szCs w:val="20"/>
              </w:rPr>
              <w:t xml:space="preserve">website at </w:t>
            </w:r>
            <w:hyperlink r:id="rId10" w:history="1">
              <w:r w:rsidRPr="00182417">
                <w:rPr>
                  <w:rStyle w:val="Hyperlink"/>
                  <w:rFonts w:ascii="Arial Narrow" w:hAnsi="Arial Narrow"/>
                  <w:bCs/>
                  <w:color w:val="auto"/>
                  <w:sz w:val="20"/>
                  <w:szCs w:val="20"/>
                </w:rPr>
                <w:t>www.servicesaustralia.gov.au</w:t>
              </w:r>
            </w:hyperlink>
            <w:r w:rsidRPr="00182417">
              <w:rPr>
                <w:rFonts w:ascii="Arial Narrow" w:hAnsi="Arial Narrow"/>
                <w:bCs/>
                <w:sz w:val="20"/>
                <w:szCs w:val="20"/>
              </w:rPr>
              <w:t> </w:t>
            </w:r>
          </w:p>
          <w:p w14:paraId="6374797E" w14:textId="1455C7CF"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 xml:space="preserve">Applications for authority to prescribe should be submitted online using the form upload facility in Health Professional Online Services (HPOS) at </w:t>
            </w:r>
            <w:hyperlink r:id="rId11" w:history="1">
              <w:r w:rsidRPr="00182417">
                <w:rPr>
                  <w:rStyle w:val="Hyperlink"/>
                  <w:rFonts w:ascii="Arial Narrow" w:hAnsi="Arial Narrow"/>
                  <w:bCs/>
                  <w:color w:val="auto"/>
                  <w:sz w:val="20"/>
                  <w:szCs w:val="20"/>
                </w:rPr>
                <w:t>www.servicesaustralia.gov.au/hpos</w:t>
              </w:r>
            </w:hyperlink>
            <w:r w:rsidRPr="00182417">
              <w:rPr>
                <w:rFonts w:ascii="Arial Narrow" w:hAnsi="Arial Narrow"/>
                <w:bCs/>
                <w:sz w:val="20"/>
                <w:szCs w:val="20"/>
              </w:rPr>
              <w:t> </w:t>
            </w:r>
          </w:p>
          <w:p w14:paraId="0665C18D" w14:textId="7777777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Or mailed to: </w:t>
            </w:r>
          </w:p>
          <w:p w14:paraId="08BEEB7C" w14:textId="7777777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Services Australia </w:t>
            </w:r>
          </w:p>
          <w:p w14:paraId="1F5C9C70" w14:textId="7777777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Complex Drugs </w:t>
            </w:r>
          </w:p>
          <w:p w14:paraId="3EEA247E" w14:textId="77777777" w:rsidR="00F747D8" w:rsidRPr="00182417" w:rsidRDefault="00F747D8" w:rsidP="00B9474B">
            <w:pPr>
              <w:ind w:right="131"/>
              <w:rPr>
                <w:rFonts w:ascii="Arial Narrow" w:hAnsi="Arial Narrow"/>
                <w:bCs/>
                <w:sz w:val="20"/>
                <w:szCs w:val="20"/>
              </w:rPr>
            </w:pPr>
            <w:r w:rsidRPr="00182417">
              <w:rPr>
                <w:rFonts w:ascii="Arial Narrow" w:hAnsi="Arial Narrow"/>
                <w:bCs/>
                <w:sz w:val="20"/>
                <w:szCs w:val="20"/>
              </w:rPr>
              <w:t>Reply Paid 9826 </w:t>
            </w:r>
          </w:p>
          <w:p w14:paraId="5A655FD9" w14:textId="3786CB44" w:rsidR="00F747D8" w:rsidRPr="00182417" w:rsidRDefault="00F747D8" w:rsidP="00B9474B">
            <w:pPr>
              <w:ind w:right="131"/>
              <w:rPr>
                <w:rFonts w:ascii="Arial Narrow" w:hAnsi="Arial Narrow"/>
                <w:b/>
                <w:bCs/>
                <w:sz w:val="20"/>
                <w:szCs w:val="20"/>
              </w:rPr>
            </w:pPr>
            <w:r w:rsidRPr="00182417">
              <w:rPr>
                <w:rFonts w:ascii="Arial Narrow" w:hAnsi="Arial Narrow"/>
                <w:bCs/>
                <w:sz w:val="20"/>
                <w:szCs w:val="20"/>
              </w:rPr>
              <w:t>HOBART TAS 7001</w:t>
            </w:r>
            <w:r w:rsidRPr="00182417">
              <w:rPr>
                <w:rFonts w:ascii="Arial Narrow" w:hAnsi="Arial Narrow"/>
                <w:bCs/>
                <w:i/>
                <w:iCs/>
                <w:sz w:val="20"/>
                <w:szCs w:val="20"/>
              </w:rPr>
              <w:t> </w:t>
            </w:r>
          </w:p>
        </w:tc>
      </w:tr>
    </w:tbl>
    <w:p w14:paraId="0799AFFE" w14:textId="77777777" w:rsidR="00685A75" w:rsidRDefault="00685A75" w:rsidP="00685A75"/>
    <w:tbl>
      <w:tblPr>
        <w:tblpPr w:leftFromText="180" w:rightFromText="180" w:vertAnchor="text" w:tblpY="1"/>
        <w:tblOverlap w:val="never"/>
        <w:tblW w:w="9072" w:type="dxa"/>
        <w:tblLayout w:type="fixed"/>
        <w:tblLook w:val="0000" w:firstRow="0" w:lastRow="0" w:firstColumn="0" w:lastColumn="0" w:noHBand="0" w:noVBand="0"/>
      </w:tblPr>
      <w:tblGrid>
        <w:gridCol w:w="1276"/>
        <w:gridCol w:w="2263"/>
        <w:gridCol w:w="1418"/>
        <w:gridCol w:w="992"/>
        <w:gridCol w:w="850"/>
        <w:gridCol w:w="851"/>
        <w:gridCol w:w="1422"/>
      </w:tblGrid>
      <w:tr w:rsidR="00182417" w:rsidRPr="00182417" w14:paraId="5A4464F7"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037B4029" w14:textId="77777777" w:rsidR="00685A75" w:rsidRPr="00182417" w:rsidRDefault="00685A75" w:rsidP="00D9560A">
            <w:pPr>
              <w:keepNext/>
              <w:ind w:left="-57"/>
              <w:contextualSpacing/>
              <w:rPr>
                <w:rFonts w:ascii="Arial Narrow" w:eastAsia="Calibri" w:hAnsi="Arial Narrow"/>
                <w:b/>
                <w:sz w:val="20"/>
                <w:szCs w:val="20"/>
              </w:rPr>
            </w:pPr>
            <w:r w:rsidRPr="00182417">
              <w:rPr>
                <w:rFonts w:ascii="Arial Narrow" w:eastAsia="Calibri" w:hAnsi="Arial Narrow"/>
                <w:b/>
                <w:sz w:val="20"/>
                <w:szCs w:val="20"/>
              </w:rPr>
              <w:t>MEDICINAL PRODUCT</w:t>
            </w:r>
          </w:p>
          <w:p w14:paraId="2A5914B3" w14:textId="77777777" w:rsidR="00685A75" w:rsidRPr="00182417" w:rsidRDefault="00685A75" w:rsidP="00D9560A">
            <w:pPr>
              <w:keepNext/>
              <w:ind w:left="-57"/>
              <w:contextualSpacing/>
              <w:rPr>
                <w:rFonts w:ascii="Arial Narrow" w:eastAsia="Calibri" w:hAnsi="Arial Narrow"/>
                <w:b/>
                <w:sz w:val="20"/>
                <w:szCs w:val="20"/>
              </w:rPr>
            </w:pPr>
            <w:r w:rsidRPr="00182417">
              <w:rPr>
                <w:rFonts w:ascii="Arial Narrow" w:eastAsia="Calibri" w:hAnsi="Arial Narrow"/>
                <w:b/>
                <w:sz w:val="20"/>
                <w:szCs w:val="20"/>
              </w:rPr>
              <w:t>medicinal product pack</w:t>
            </w:r>
          </w:p>
        </w:tc>
        <w:tc>
          <w:tcPr>
            <w:tcW w:w="1418" w:type="dxa"/>
            <w:tcBorders>
              <w:top w:val="single" w:sz="4" w:space="0" w:color="auto"/>
              <w:left w:val="single" w:sz="4" w:space="0" w:color="auto"/>
              <w:bottom w:val="single" w:sz="4" w:space="0" w:color="auto"/>
              <w:right w:val="single" w:sz="4" w:space="0" w:color="auto"/>
            </w:tcBorders>
          </w:tcPr>
          <w:p w14:paraId="367BEC85" w14:textId="77777777" w:rsidR="00685A75" w:rsidRPr="00182417" w:rsidRDefault="00685A75" w:rsidP="00D9560A">
            <w:pPr>
              <w:keepNext/>
              <w:ind w:left="-57"/>
              <w:contextualSpacing/>
              <w:jc w:val="center"/>
              <w:rPr>
                <w:rFonts w:ascii="Arial Narrow" w:eastAsia="Calibri" w:hAnsi="Arial Narrow"/>
                <w:b/>
                <w:sz w:val="20"/>
                <w:szCs w:val="20"/>
              </w:rPr>
            </w:pPr>
            <w:r w:rsidRPr="00182417">
              <w:rPr>
                <w:rFonts w:ascii="Arial Narrow" w:eastAsia="Calibri"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tcPr>
          <w:p w14:paraId="4B2D8DD2" w14:textId="77777777" w:rsidR="00685A75" w:rsidRPr="00182417" w:rsidRDefault="00685A75" w:rsidP="00D9560A">
            <w:pPr>
              <w:keepNext/>
              <w:ind w:left="-57"/>
              <w:contextualSpacing/>
              <w:jc w:val="center"/>
              <w:rPr>
                <w:rFonts w:ascii="Arial Narrow" w:eastAsia="Calibri" w:hAnsi="Arial Narrow"/>
                <w:b/>
                <w:sz w:val="20"/>
                <w:szCs w:val="20"/>
              </w:rPr>
            </w:pPr>
            <w:r w:rsidRPr="00182417">
              <w:rPr>
                <w:rFonts w:ascii="Arial Narrow" w:eastAsia="Calibri" w:hAnsi="Arial Narrow"/>
                <w:b/>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2DA69386" w14:textId="77777777" w:rsidR="00685A75" w:rsidRPr="00182417" w:rsidRDefault="00685A75" w:rsidP="00D9560A">
            <w:pPr>
              <w:keepNext/>
              <w:ind w:left="-57"/>
              <w:contextualSpacing/>
              <w:jc w:val="center"/>
              <w:rPr>
                <w:rFonts w:ascii="Arial Narrow" w:eastAsia="Calibri" w:hAnsi="Arial Narrow"/>
                <w:b/>
                <w:sz w:val="20"/>
                <w:szCs w:val="20"/>
              </w:rPr>
            </w:pPr>
            <w:r w:rsidRPr="00182417">
              <w:rPr>
                <w:rFonts w:ascii="Arial Narrow" w:eastAsia="Calibri" w:hAnsi="Arial Narrow"/>
                <w:b/>
                <w:sz w:val="20"/>
                <w:szCs w:val="20"/>
              </w:rPr>
              <w:t>Max. qty units</w:t>
            </w:r>
          </w:p>
        </w:tc>
        <w:tc>
          <w:tcPr>
            <w:tcW w:w="851" w:type="dxa"/>
            <w:tcBorders>
              <w:top w:val="single" w:sz="4" w:space="0" w:color="auto"/>
              <w:left w:val="single" w:sz="4" w:space="0" w:color="auto"/>
              <w:bottom w:val="single" w:sz="4" w:space="0" w:color="auto"/>
              <w:right w:val="single" w:sz="4" w:space="0" w:color="auto"/>
            </w:tcBorders>
          </w:tcPr>
          <w:p w14:paraId="6A76342C" w14:textId="77777777" w:rsidR="00685A75" w:rsidRPr="00182417" w:rsidRDefault="00685A75" w:rsidP="00D9560A">
            <w:pPr>
              <w:keepNext/>
              <w:ind w:left="-57"/>
              <w:contextualSpacing/>
              <w:jc w:val="center"/>
              <w:rPr>
                <w:rFonts w:ascii="Arial Narrow" w:eastAsia="Calibri" w:hAnsi="Arial Narrow"/>
                <w:b/>
                <w:sz w:val="20"/>
                <w:szCs w:val="20"/>
              </w:rPr>
            </w:pPr>
            <w:r w:rsidRPr="00182417">
              <w:rPr>
                <w:rFonts w:ascii="Arial Narrow" w:eastAsia="Calibri" w:hAnsi="Arial Narrow"/>
                <w:b/>
                <w:sz w:val="20"/>
                <w:szCs w:val="20"/>
              </w:rPr>
              <w:t>№.of</w:t>
            </w:r>
          </w:p>
          <w:p w14:paraId="53BC7A8A" w14:textId="77777777" w:rsidR="00685A75" w:rsidRPr="00182417" w:rsidRDefault="00685A75" w:rsidP="00D9560A">
            <w:pPr>
              <w:keepNext/>
              <w:ind w:left="-57"/>
              <w:contextualSpacing/>
              <w:jc w:val="center"/>
              <w:rPr>
                <w:rFonts w:ascii="Arial Narrow" w:eastAsia="Calibri" w:hAnsi="Arial Narrow"/>
                <w:b/>
                <w:sz w:val="20"/>
                <w:szCs w:val="20"/>
              </w:rPr>
            </w:pPr>
            <w:r w:rsidRPr="00182417">
              <w:rPr>
                <w:rFonts w:ascii="Arial Narrow" w:eastAsia="Calibri" w:hAnsi="Arial Narrow"/>
                <w:b/>
                <w:sz w:val="20"/>
                <w:szCs w:val="20"/>
              </w:rPr>
              <w:t>Rpts</w:t>
            </w:r>
          </w:p>
        </w:tc>
        <w:tc>
          <w:tcPr>
            <w:tcW w:w="1422" w:type="dxa"/>
            <w:tcBorders>
              <w:top w:val="single" w:sz="4" w:space="0" w:color="auto"/>
              <w:left w:val="single" w:sz="4" w:space="0" w:color="auto"/>
              <w:bottom w:val="single" w:sz="4" w:space="0" w:color="auto"/>
              <w:right w:val="single" w:sz="4" w:space="0" w:color="auto"/>
            </w:tcBorders>
          </w:tcPr>
          <w:p w14:paraId="00B5D1F5" w14:textId="77777777" w:rsidR="00685A75" w:rsidRPr="00182417" w:rsidRDefault="00685A75" w:rsidP="00D9560A">
            <w:pPr>
              <w:keepNext/>
              <w:ind w:left="-57"/>
              <w:contextualSpacing/>
              <w:rPr>
                <w:rFonts w:ascii="Arial Narrow" w:eastAsia="Calibri" w:hAnsi="Arial Narrow"/>
                <w:b/>
                <w:sz w:val="20"/>
                <w:szCs w:val="20"/>
                <w:lang w:val="fr-FR"/>
              </w:rPr>
            </w:pPr>
            <w:r w:rsidRPr="00182417">
              <w:rPr>
                <w:rFonts w:ascii="Arial Narrow" w:eastAsia="Calibri" w:hAnsi="Arial Narrow"/>
                <w:b/>
                <w:sz w:val="20"/>
                <w:szCs w:val="20"/>
              </w:rPr>
              <w:t>Available brands</w:t>
            </w:r>
          </w:p>
        </w:tc>
      </w:tr>
      <w:tr w:rsidR="00182417" w:rsidRPr="00182417" w14:paraId="5F5A8B3B" w14:textId="77777777" w:rsidTr="00A1134C">
        <w:trPr>
          <w:cantSplit/>
          <w:trHeight w:val="20"/>
        </w:trPr>
        <w:tc>
          <w:tcPr>
            <w:tcW w:w="9072" w:type="dxa"/>
            <w:gridSpan w:val="7"/>
            <w:tcBorders>
              <w:top w:val="single" w:sz="4" w:space="0" w:color="auto"/>
              <w:left w:val="single" w:sz="4" w:space="0" w:color="auto"/>
              <w:bottom w:val="single" w:sz="4" w:space="0" w:color="auto"/>
              <w:right w:val="single" w:sz="4" w:space="0" w:color="auto"/>
            </w:tcBorders>
          </w:tcPr>
          <w:p w14:paraId="0CE24415" w14:textId="77777777" w:rsidR="00685A75" w:rsidRPr="00182417" w:rsidRDefault="00685A75" w:rsidP="00D9560A">
            <w:pPr>
              <w:keepNext/>
              <w:ind w:left="-57"/>
              <w:contextualSpacing/>
              <w:rPr>
                <w:rFonts w:ascii="Arial Narrow" w:eastAsia="Calibri" w:hAnsi="Arial Narrow"/>
                <w:bCs/>
                <w:sz w:val="20"/>
                <w:szCs w:val="20"/>
              </w:rPr>
            </w:pPr>
            <w:r w:rsidRPr="00182417">
              <w:rPr>
                <w:rFonts w:ascii="Arial Narrow" w:eastAsia="Calibri" w:hAnsi="Arial Narrow"/>
                <w:sz w:val="20"/>
                <w:szCs w:val="20"/>
              </w:rPr>
              <w:t>PALOVAROTENE</w:t>
            </w:r>
          </w:p>
        </w:tc>
      </w:tr>
      <w:tr w:rsidR="00182417" w:rsidRPr="00182417" w14:paraId="2DA3435A"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2F9C39B7"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Palovarotene 1 mg capsule, 28</w:t>
            </w:r>
          </w:p>
        </w:tc>
        <w:tc>
          <w:tcPr>
            <w:tcW w:w="1418" w:type="dxa"/>
            <w:tcBorders>
              <w:top w:val="single" w:sz="4" w:space="0" w:color="auto"/>
              <w:left w:val="single" w:sz="4" w:space="0" w:color="auto"/>
              <w:bottom w:val="single" w:sz="4" w:space="0" w:color="auto"/>
              <w:right w:val="single" w:sz="4" w:space="0" w:color="auto"/>
            </w:tcBorders>
          </w:tcPr>
          <w:p w14:paraId="175EEECF"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rPr>
              <w:t>NEW</w:t>
            </w:r>
          </w:p>
          <w:p w14:paraId="2FFC400F" w14:textId="77777777" w:rsidR="00685A75" w:rsidRPr="00182417" w:rsidRDefault="00685A75" w:rsidP="00D9560A">
            <w:pPr>
              <w:keepNext/>
              <w:contextualSpacing/>
              <w:jc w:val="center"/>
              <w:rPr>
                <w:rFonts w:ascii="Arial Narrow" w:eastAsia="Calibri" w:hAnsi="Arial Narrow"/>
                <w:sz w:val="20"/>
                <w:szCs w:val="20"/>
                <w:vertAlign w:val="subscript"/>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7B325683" w14:textId="77777777" w:rsidR="00685A75" w:rsidRPr="00182417" w:rsidRDefault="00685A75" w:rsidP="00D9560A">
            <w:pPr>
              <w:keepNext/>
              <w:ind w:left="-57"/>
              <w:contextualSpacing/>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52DE257"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5C50FC18"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w:t>
            </w:r>
          </w:p>
        </w:tc>
        <w:tc>
          <w:tcPr>
            <w:tcW w:w="1422" w:type="dxa"/>
            <w:tcBorders>
              <w:top w:val="single" w:sz="4" w:space="0" w:color="auto"/>
              <w:left w:val="single" w:sz="4" w:space="0" w:color="auto"/>
              <w:bottom w:val="single" w:sz="4" w:space="0" w:color="auto"/>
              <w:right w:val="single" w:sz="4" w:space="0" w:color="auto"/>
            </w:tcBorders>
          </w:tcPr>
          <w:p w14:paraId="29E4126A"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1AE87565"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6B5B9B2D"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Palovarotene 1.5 mg capsule, 28</w:t>
            </w:r>
          </w:p>
        </w:tc>
        <w:tc>
          <w:tcPr>
            <w:tcW w:w="1418" w:type="dxa"/>
            <w:tcBorders>
              <w:top w:val="single" w:sz="4" w:space="0" w:color="auto"/>
              <w:left w:val="single" w:sz="4" w:space="0" w:color="auto"/>
              <w:bottom w:val="single" w:sz="4" w:space="0" w:color="auto"/>
              <w:right w:val="single" w:sz="4" w:space="0" w:color="auto"/>
            </w:tcBorders>
          </w:tcPr>
          <w:p w14:paraId="345CF221"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rPr>
              <w:t>NEW</w:t>
            </w:r>
          </w:p>
          <w:p w14:paraId="6CC19B4D"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5A6FC578" w14:textId="77777777" w:rsidR="00685A75" w:rsidRPr="00182417" w:rsidRDefault="00685A75" w:rsidP="00D9560A">
            <w:pPr>
              <w:keepNext/>
              <w:ind w:left="-57"/>
              <w:contextualSpacing/>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CF76709"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0A3880F7"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w:t>
            </w:r>
          </w:p>
        </w:tc>
        <w:tc>
          <w:tcPr>
            <w:tcW w:w="1422" w:type="dxa"/>
            <w:tcBorders>
              <w:top w:val="single" w:sz="4" w:space="0" w:color="auto"/>
              <w:left w:val="single" w:sz="4" w:space="0" w:color="auto"/>
              <w:bottom w:val="single" w:sz="4" w:space="0" w:color="auto"/>
              <w:right w:val="single" w:sz="4" w:space="0" w:color="auto"/>
            </w:tcBorders>
          </w:tcPr>
          <w:p w14:paraId="34B83C27"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1F8A7902"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62EC5345"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Palovarotene 2.5 mg capsule, 28</w:t>
            </w:r>
          </w:p>
        </w:tc>
        <w:tc>
          <w:tcPr>
            <w:tcW w:w="1418" w:type="dxa"/>
            <w:tcBorders>
              <w:top w:val="single" w:sz="4" w:space="0" w:color="auto"/>
              <w:left w:val="single" w:sz="4" w:space="0" w:color="auto"/>
              <w:bottom w:val="single" w:sz="4" w:space="0" w:color="auto"/>
              <w:right w:val="single" w:sz="4" w:space="0" w:color="auto"/>
            </w:tcBorders>
          </w:tcPr>
          <w:p w14:paraId="1F436505"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rPr>
              <w:t>NEW</w:t>
            </w:r>
          </w:p>
          <w:p w14:paraId="77873A51"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19D53CE6" w14:textId="77777777" w:rsidR="00685A75" w:rsidRPr="00182417" w:rsidRDefault="00685A75" w:rsidP="00D9560A">
            <w:pPr>
              <w:keepNext/>
              <w:ind w:left="-57"/>
              <w:contextualSpacing/>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248E069E"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77A0A4AD"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w:t>
            </w:r>
          </w:p>
        </w:tc>
        <w:tc>
          <w:tcPr>
            <w:tcW w:w="1422" w:type="dxa"/>
            <w:tcBorders>
              <w:top w:val="single" w:sz="4" w:space="0" w:color="auto"/>
              <w:left w:val="single" w:sz="4" w:space="0" w:color="auto"/>
              <w:bottom w:val="single" w:sz="4" w:space="0" w:color="auto"/>
              <w:right w:val="single" w:sz="4" w:space="0" w:color="auto"/>
            </w:tcBorders>
          </w:tcPr>
          <w:p w14:paraId="68DA7369"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71D7974B"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1E5110DA"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Palovarotene 5 mg capsule, 28</w:t>
            </w:r>
          </w:p>
        </w:tc>
        <w:tc>
          <w:tcPr>
            <w:tcW w:w="1418" w:type="dxa"/>
            <w:tcBorders>
              <w:top w:val="single" w:sz="4" w:space="0" w:color="auto"/>
              <w:left w:val="single" w:sz="4" w:space="0" w:color="auto"/>
              <w:bottom w:val="single" w:sz="4" w:space="0" w:color="auto"/>
              <w:right w:val="single" w:sz="4" w:space="0" w:color="auto"/>
            </w:tcBorders>
          </w:tcPr>
          <w:p w14:paraId="27004DD8"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rPr>
              <w:t>NEW</w:t>
            </w:r>
          </w:p>
          <w:p w14:paraId="51B7185B"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782E406F" w14:textId="77777777" w:rsidR="00685A75" w:rsidRPr="00182417" w:rsidRDefault="00685A75" w:rsidP="00D9560A">
            <w:pPr>
              <w:keepNext/>
              <w:ind w:left="-57"/>
              <w:contextualSpacing/>
              <w:jc w:val="center"/>
              <w:rPr>
                <w:rFonts w:ascii="Arial Narrow" w:eastAsia="Calibri" w:hAnsi="Arial Narrow"/>
                <w:sz w:val="20"/>
                <w:szCs w:val="20"/>
              </w:rPr>
            </w:pPr>
            <w:r w:rsidRPr="00182417">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216AD950"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1B1F96A0"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w:t>
            </w:r>
          </w:p>
        </w:tc>
        <w:tc>
          <w:tcPr>
            <w:tcW w:w="1422" w:type="dxa"/>
            <w:tcBorders>
              <w:top w:val="single" w:sz="4" w:space="0" w:color="auto"/>
              <w:left w:val="single" w:sz="4" w:space="0" w:color="auto"/>
              <w:bottom w:val="single" w:sz="4" w:space="0" w:color="auto"/>
              <w:right w:val="single" w:sz="4" w:space="0" w:color="auto"/>
            </w:tcBorders>
          </w:tcPr>
          <w:p w14:paraId="25E23352"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0A6496D3" w14:textId="77777777" w:rsidTr="00A1134C">
        <w:trPr>
          <w:cantSplit/>
          <w:trHeight w:val="20"/>
        </w:trPr>
        <w:tc>
          <w:tcPr>
            <w:tcW w:w="3539" w:type="dxa"/>
            <w:gridSpan w:val="2"/>
            <w:tcBorders>
              <w:top w:val="single" w:sz="4" w:space="0" w:color="auto"/>
              <w:left w:val="single" w:sz="4" w:space="0" w:color="auto"/>
              <w:bottom w:val="single" w:sz="4" w:space="0" w:color="auto"/>
              <w:right w:val="single" w:sz="4" w:space="0" w:color="auto"/>
            </w:tcBorders>
          </w:tcPr>
          <w:p w14:paraId="76D41586"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Palovarotene 10 mg capsule, 28</w:t>
            </w:r>
          </w:p>
        </w:tc>
        <w:tc>
          <w:tcPr>
            <w:tcW w:w="1418" w:type="dxa"/>
            <w:tcBorders>
              <w:top w:val="single" w:sz="4" w:space="0" w:color="auto"/>
              <w:left w:val="single" w:sz="4" w:space="0" w:color="auto"/>
              <w:bottom w:val="single" w:sz="4" w:space="0" w:color="auto"/>
              <w:right w:val="single" w:sz="4" w:space="0" w:color="auto"/>
            </w:tcBorders>
          </w:tcPr>
          <w:p w14:paraId="414AAA7E"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rPr>
              <w:t>NEW</w:t>
            </w:r>
          </w:p>
          <w:p w14:paraId="687B8481"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eastAsia="Calibri"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659735CF" w14:textId="77777777" w:rsidR="00685A75" w:rsidRPr="00182417" w:rsidRDefault="00685A75" w:rsidP="00D9560A">
            <w:pPr>
              <w:keepNext/>
              <w:ind w:left="-57"/>
              <w:contextualSpacing/>
              <w:jc w:val="center"/>
              <w:rPr>
                <w:rFonts w:ascii="Arial Narrow" w:eastAsia="Calibri" w:hAnsi="Arial Narrow"/>
                <w:sz w:val="20"/>
                <w:szCs w:val="20"/>
              </w:rPr>
            </w:pPr>
            <w:r w:rsidRPr="00182417">
              <w:rPr>
                <w:rFonts w:ascii="Arial Narrow" w:eastAsia="Calibri" w:hAnsi="Arial Narrow"/>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74F82415" w14:textId="77777777" w:rsidR="00685A75" w:rsidRPr="00182417" w:rsidRDefault="00685A75" w:rsidP="00D9560A">
            <w:pPr>
              <w:keepNext/>
              <w:contextualSpacing/>
              <w:jc w:val="center"/>
              <w:rPr>
                <w:rFonts w:ascii="Arial Narrow" w:eastAsia="Calibri" w:hAnsi="Arial Narrow"/>
                <w:sz w:val="20"/>
                <w:szCs w:val="20"/>
              </w:rPr>
            </w:pPr>
            <w:r w:rsidRPr="00182417">
              <w:rPr>
                <w:rFonts w:ascii="Arial Narrow" w:hAnsi="Arial Narrow"/>
                <w:sz w:val="20"/>
                <w:szCs w:val="20"/>
              </w:rPr>
              <w:t>28</w:t>
            </w:r>
          </w:p>
        </w:tc>
        <w:tc>
          <w:tcPr>
            <w:tcW w:w="851" w:type="dxa"/>
            <w:tcBorders>
              <w:top w:val="single" w:sz="4" w:space="0" w:color="auto"/>
              <w:left w:val="single" w:sz="4" w:space="0" w:color="auto"/>
              <w:bottom w:val="single" w:sz="4" w:space="0" w:color="auto"/>
              <w:right w:val="single" w:sz="4" w:space="0" w:color="auto"/>
            </w:tcBorders>
          </w:tcPr>
          <w:p w14:paraId="6E8D2A52" w14:textId="2EBB24D8" w:rsidR="00685A75" w:rsidRPr="00182417" w:rsidRDefault="00D2120D" w:rsidP="00D9560A">
            <w:pPr>
              <w:keepNext/>
              <w:contextualSpacing/>
              <w:jc w:val="center"/>
              <w:rPr>
                <w:rFonts w:ascii="Arial Narrow" w:eastAsia="Calibri" w:hAnsi="Arial Narrow"/>
                <w:strike/>
                <w:sz w:val="20"/>
                <w:szCs w:val="20"/>
              </w:rPr>
            </w:pPr>
            <w:r w:rsidRPr="00182417">
              <w:rPr>
                <w:rFonts w:ascii="Arial Narrow" w:hAnsi="Arial Narrow"/>
                <w:sz w:val="20"/>
                <w:szCs w:val="20"/>
              </w:rPr>
              <w:t>2</w:t>
            </w:r>
          </w:p>
        </w:tc>
        <w:tc>
          <w:tcPr>
            <w:tcW w:w="1422" w:type="dxa"/>
            <w:tcBorders>
              <w:top w:val="single" w:sz="4" w:space="0" w:color="auto"/>
              <w:left w:val="single" w:sz="4" w:space="0" w:color="auto"/>
              <w:bottom w:val="single" w:sz="4" w:space="0" w:color="auto"/>
              <w:right w:val="single" w:sz="4" w:space="0" w:color="auto"/>
            </w:tcBorders>
          </w:tcPr>
          <w:p w14:paraId="389D6CD2" w14:textId="77777777" w:rsidR="00685A75" w:rsidRPr="00182417" w:rsidRDefault="00685A75" w:rsidP="00D9560A">
            <w:pPr>
              <w:keepNext/>
              <w:ind w:left="-57"/>
              <w:contextualSpacing/>
              <w:rPr>
                <w:rFonts w:ascii="Arial Narrow" w:eastAsia="Calibri" w:hAnsi="Arial Narrow"/>
                <w:sz w:val="20"/>
                <w:szCs w:val="20"/>
              </w:rPr>
            </w:pPr>
            <w:r w:rsidRPr="00182417">
              <w:rPr>
                <w:rFonts w:ascii="Arial Narrow" w:eastAsia="Calibri" w:hAnsi="Arial Narrow"/>
                <w:sz w:val="20"/>
                <w:szCs w:val="20"/>
              </w:rPr>
              <w:t>SOHONOS</w:t>
            </w:r>
          </w:p>
        </w:tc>
      </w:tr>
      <w:tr w:rsidR="00182417" w:rsidRPr="00182417" w14:paraId="633D7D19" w14:textId="77777777" w:rsidTr="00A1134C">
        <w:trPr>
          <w:cantSplit/>
          <w:trHeight w:val="20"/>
        </w:trPr>
        <w:tc>
          <w:tcPr>
            <w:tcW w:w="9072" w:type="dxa"/>
            <w:gridSpan w:val="7"/>
            <w:tcBorders>
              <w:top w:val="single" w:sz="4" w:space="0" w:color="auto"/>
              <w:left w:val="single" w:sz="4" w:space="0" w:color="auto"/>
              <w:bottom w:val="single" w:sz="4" w:space="0" w:color="auto"/>
              <w:right w:val="single" w:sz="4" w:space="0" w:color="auto"/>
            </w:tcBorders>
          </w:tcPr>
          <w:p w14:paraId="4FFACAA8" w14:textId="77777777" w:rsidR="00685A75" w:rsidRPr="00182417" w:rsidRDefault="00685A75" w:rsidP="00D9560A">
            <w:pPr>
              <w:keepNext/>
              <w:ind w:left="-57"/>
              <w:contextualSpacing/>
              <w:rPr>
                <w:rFonts w:ascii="Arial Narrow" w:eastAsia="Calibri" w:hAnsi="Arial Narrow"/>
                <w:sz w:val="18"/>
                <w:szCs w:val="18"/>
              </w:rPr>
            </w:pPr>
          </w:p>
        </w:tc>
      </w:tr>
      <w:tr w:rsidR="00182417" w:rsidRPr="00182417" w14:paraId="7F1D3570"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48F521C4" w14:textId="77777777" w:rsidR="00685A75" w:rsidRPr="00182417" w:rsidRDefault="00685A75" w:rsidP="00D9560A">
            <w:pPr>
              <w:keepLines/>
              <w:contextualSpacing/>
              <w:rPr>
                <w:rFonts w:ascii="Arial Narrow" w:hAnsi="Arial Narrow"/>
                <w:b/>
                <w:sz w:val="20"/>
                <w:szCs w:val="20"/>
              </w:rPr>
            </w:pPr>
            <w:r w:rsidRPr="00182417">
              <w:rPr>
                <w:rFonts w:ascii="Arial Narrow" w:hAnsi="Arial Narrow"/>
                <w:b/>
                <w:sz w:val="20"/>
                <w:szCs w:val="20"/>
              </w:rPr>
              <w:t xml:space="preserve">Restriction Summary [new] / Treatment of Concept: [new] </w:t>
            </w:r>
          </w:p>
        </w:tc>
      </w:tr>
      <w:tr w:rsidR="00182417" w:rsidRPr="00182417" w14:paraId="18AC1FF0"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1E9816B4" w14:textId="3669A3CD" w:rsidR="00685A75" w:rsidRPr="00182417" w:rsidRDefault="00685A75" w:rsidP="00D9560A">
            <w:pPr>
              <w:contextualSpacing/>
              <w:jc w:val="center"/>
              <w:rPr>
                <w:rFonts w:ascii="Arial Narrow" w:hAnsi="Arial Narrow"/>
                <w:b/>
                <w:sz w:val="20"/>
                <w:szCs w:val="20"/>
              </w:rPr>
            </w:pPr>
            <w:r w:rsidRPr="00182417">
              <w:rPr>
                <w:rFonts w:ascii="Arial Narrow" w:hAnsi="Arial Narrow"/>
                <w:b/>
                <w:sz w:val="20"/>
                <w:szCs w:val="20"/>
              </w:rPr>
              <w:t xml:space="preserve">Concept ID </w:t>
            </w:r>
            <w:r w:rsidRPr="00182417">
              <w:rPr>
                <w:rFonts w:ascii="Arial Narrow" w:hAnsi="Arial Narrow"/>
                <w:sz w:val="20"/>
                <w:szCs w:val="20"/>
              </w:rPr>
              <w:t>(for internal Dept. use)</w:t>
            </w: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BABCB89" w14:textId="77777777" w:rsidR="00685A75" w:rsidRPr="00182417" w:rsidRDefault="00685A75" w:rsidP="00D9560A">
            <w:pPr>
              <w:keepLines/>
              <w:contextualSpacing/>
              <w:rPr>
                <w:rFonts w:ascii="Arial Narrow" w:hAnsi="Arial Narrow"/>
                <w:sz w:val="20"/>
                <w:szCs w:val="20"/>
              </w:rPr>
            </w:pPr>
            <w:r w:rsidRPr="00182417">
              <w:rPr>
                <w:rFonts w:ascii="Arial Narrow" w:hAnsi="Arial Narrow"/>
                <w:b/>
                <w:sz w:val="20"/>
                <w:szCs w:val="20"/>
              </w:rPr>
              <w:t>Category / Program:</w:t>
            </w:r>
            <w:r w:rsidRPr="00182417">
              <w:rPr>
                <w:rFonts w:ascii="Arial Narrow" w:hAnsi="Arial Narrow"/>
                <w:sz w:val="20"/>
                <w:szCs w:val="20"/>
              </w:rPr>
              <w:t xml:space="preserve"> </w:t>
            </w:r>
            <w:r w:rsidRPr="00182417">
              <w:rPr>
                <w:rFonts w:ascii="Arial Narrow" w:eastAsia="Calibri" w:hAnsi="Arial Narrow"/>
                <w:sz w:val="20"/>
                <w:szCs w:val="20"/>
              </w:rPr>
              <w:fldChar w:fldCharType="begin" w:fldLock="1">
                <w:ffData>
                  <w:name w:val=""/>
                  <w:enabled/>
                  <w:calcOnExit w:val="0"/>
                  <w:checkBox>
                    <w:sizeAuto/>
                    <w:default w:val="1"/>
                  </w:checkBox>
                </w:ffData>
              </w:fldChar>
            </w:r>
            <w:r w:rsidRPr="00182417">
              <w:rPr>
                <w:rFonts w:ascii="Arial Narrow" w:eastAsia="Calibri" w:hAnsi="Arial Narrow"/>
                <w:sz w:val="20"/>
                <w:szCs w:val="20"/>
              </w:rPr>
              <w:instrText xml:space="preserve"> FORMCHECKBOX </w:instrText>
            </w:r>
            <w:r w:rsidRPr="00182417">
              <w:rPr>
                <w:rFonts w:ascii="Arial Narrow" w:eastAsia="Calibri" w:hAnsi="Arial Narrow"/>
                <w:sz w:val="20"/>
                <w:szCs w:val="20"/>
              </w:rPr>
            </w:r>
            <w:r w:rsidRPr="00182417">
              <w:rPr>
                <w:rFonts w:ascii="Arial Narrow" w:eastAsia="Calibri" w:hAnsi="Arial Narrow"/>
                <w:sz w:val="20"/>
                <w:szCs w:val="20"/>
              </w:rPr>
              <w:fldChar w:fldCharType="separate"/>
            </w:r>
            <w:r w:rsidRPr="00182417">
              <w:rPr>
                <w:rFonts w:ascii="Arial Narrow" w:eastAsia="Calibri" w:hAnsi="Arial Narrow"/>
                <w:sz w:val="20"/>
                <w:szCs w:val="20"/>
              </w:rPr>
              <w:fldChar w:fldCharType="end"/>
            </w:r>
            <w:r w:rsidRPr="00182417">
              <w:rPr>
                <w:rFonts w:ascii="Arial Narrow" w:eastAsia="Calibri" w:hAnsi="Arial Narrow"/>
                <w:sz w:val="20"/>
                <w:szCs w:val="20"/>
              </w:rPr>
              <w:t xml:space="preserve"> GENERAL - General Schedule (Code GE) </w:t>
            </w:r>
          </w:p>
        </w:tc>
      </w:tr>
      <w:tr w:rsidR="00182417" w:rsidRPr="00182417" w14:paraId="5DE8ECD2"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1E51F383" w14:textId="77777777" w:rsidR="00685A75" w:rsidRPr="00182417" w:rsidRDefault="00685A75" w:rsidP="00D9560A">
            <w:pPr>
              <w:contextualSpacing/>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48F79A58" w14:textId="77777777" w:rsidR="00685A75" w:rsidRPr="00182417" w:rsidRDefault="00685A75" w:rsidP="00D9560A">
            <w:pPr>
              <w:keepLines/>
              <w:contextualSpacing/>
              <w:rPr>
                <w:rFonts w:ascii="Arial Narrow" w:hAnsi="Arial Narrow"/>
                <w:b/>
                <w:sz w:val="20"/>
                <w:szCs w:val="20"/>
              </w:rPr>
            </w:pPr>
            <w:r w:rsidRPr="00182417">
              <w:rPr>
                <w:rFonts w:ascii="Arial Narrow" w:hAnsi="Arial Narrow"/>
                <w:b/>
                <w:sz w:val="20"/>
                <w:szCs w:val="20"/>
              </w:rPr>
              <w:t xml:space="preserve">Prescriber type: </w:t>
            </w:r>
            <w:r w:rsidRPr="00182417">
              <w:rPr>
                <w:rFonts w:ascii="Arial Narrow" w:hAnsi="Arial Narrow"/>
                <w:sz w:val="20"/>
                <w:szCs w:val="20"/>
              </w:rPr>
              <w:fldChar w:fldCharType="begin" w:fldLock="1">
                <w:ffData>
                  <w:name w:val=""/>
                  <w:enabled/>
                  <w:calcOnExit w:val="0"/>
                  <w:checkBox>
                    <w:sizeAuto/>
                    <w:default w:val="1"/>
                  </w:checkBox>
                </w:ffData>
              </w:fldChar>
            </w:r>
            <w:r w:rsidRPr="00182417">
              <w:rPr>
                <w:rFonts w:ascii="Arial Narrow" w:hAnsi="Arial Narrow"/>
                <w:sz w:val="20"/>
                <w:szCs w:val="20"/>
              </w:rPr>
              <w:instrText xml:space="preserve"> FORMCHECKBOX </w:instrText>
            </w:r>
            <w:r w:rsidRPr="00182417">
              <w:rPr>
                <w:rFonts w:ascii="Arial Narrow" w:hAnsi="Arial Narrow"/>
                <w:sz w:val="20"/>
                <w:szCs w:val="20"/>
              </w:rPr>
            </w:r>
            <w:r w:rsidRPr="00182417">
              <w:rPr>
                <w:rFonts w:ascii="Arial Narrow" w:hAnsi="Arial Narrow"/>
                <w:sz w:val="20"/>
                <w:szCs w:val="20"/>
              </w:rPr>
              <w:fldChar w:fldCharType="separate"/>
            </w:r>
            <w:r w:rsidRPr="00182417">
              <w:rPr>
                <w:rFonts w:ascii="Arial Narrow" w:hAnsi="Arial Narrow"/>
                <w:sz w:val="20"/>
                <w:szCs w:val="20"/>
              </w:rPr>
              <w:fldChar w:fldCharType="end"/>
            </w:r>
            <w:r w:rsidRPr="00182417">
              <w:rPr>
                <w:rFonts w:ascii="Arial Narrow" w:hAnsi="Arial Narrow"/>
                <w:sz w:val="20"/>
                <w:szCs w:val="20"/>
              </w:rPr>
              <w:t xml:space="preserve">Medical Practitioners </w:t>
            </w:r>
          </w:p>
        </w:tc>
      </w:tr>
      <w:tr w:rsidR="00182417" w:rsidRPr="00182417" w14:paraId="5C723617" w14:textId="77777777" w:rsidTr="00A1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4BD21FBC" w14:textId="77777777" w:rsidR="00685A75" w:rsidRPr="00182417" w:rsidRDefault="00685A75" w:rsidP="00D9560A">
            <w:pPr>
              <w:contextualSpacing/>
              <w:rPr>
                <w:rFonts w:ascii="Arial Narrow" w:hAnsi="Arial Narrow"/>
                <w:sz w:val="20"/>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57185B44" w14:textId="77777777" w:rsidR="00685A75" w:rsidRPr="00182417" w:rsidRDefault="00685A75" w:rsidP="00D9560A">
            <w:pPr>
              <w:keepLines/>
              <w:contextualSpacing/>
              <w:rPr>
                <w:rFonts w:ascii="Arial Narrow" w:eastAsia="Calibri" w:hAnsi="Arial Narrow"/>
                <w:sz w:val="20"/>
                <w:szCs w:val="20"/>
              </w:rPr>
            </w:pPr>
            <w:r w:rsidRPr="00182417">
              <w:rPr>
                <w:rFonts w:ascii="Arial Narrow" w:hAnsi="Arial Narrow"/>
                <w:b/>
                <w:sz w:val="20"/>
                <w:szCs w:val="20"/>
              </w:rPr>
              <w:t xml:space="preserve">Restriction type: </w:t>
            </w:r>
            <w:r w:rsidRPr="00182417">
              <w:rPr>
                <w:rFonts w:ascii="Arial Narrow" w:eastAsia="Calibri" w:hAnsi="Arial Narrow"/>
                <w:sz w:val="20"/>
                <w:szCs w:val="20"/>
              </w:rPr>
              <w:fldChar w:fldCharType="begin" w:fldLock="1">
                <w:ffData>
                  <w:name w:val=""/>
                  <w:enabled/>
                  <w:calcOnExit w:val="0"/>
                  <w:checkBox>
                    <w:sizeAuto/>
                    <w:default w:val="1"/>
                  </w:checkBox>
                </w:ffData>
              </w:fldChar>
            </w:r>
            <w:r w:rsidRPr="00182417">
              <w:rPr>
                <w:rFonts w:ascii="Arial Narrow" w:eastAsia="Calibri" w:hAnsi="Arial Narrow"/>
                <w:sz w:val="20"/>
                <w:szCs w:val="20"/>
              </w:rPr>
              <w:instrText xml:space="preserve"> FORMCHECKBOX </w:instrText>
            </w:r>
            <w:r w:rsidRPr="00182417">
              <w:rPr>
                <w:rFonts w:ascii="Arial Narrow" w:eastAsia="Calibri" w:hAnsi="Arial Narrow"/>
                <w:sz w:val="20"/>
                <w:szCs w:val="20"/>
              </w:rPr>
            </w:r>
            <w:r w:rsidRPr="00182417">
              <w:rPr>
                <w:rFonts w:ascii="Arial Narrow" w:eastAsia="Calibri" w:hAnsi="Arial Narrow"/>
                <w:sz w:val="20"/>
                <w:szCs w:val="20"/>
              </w:rPr>
              <w:fldChar w:fldCharType="separate"/>
            </w:r>
            <w:r w:rsidRPr="00182417">
              <w:rPr>
                <w:rFonts w:ascii="Arial Narrow" w:eastAsia="Calibri" w:hAnsi="Arial Narrow"/>
                <w:sz w:val="20"/>
                <w:szCs w:val="20"/>
              </w:rPr>
              <w:fldChar w:fldCharType="end"/>
            </w:r>
            <w:r w:rsidRPr="00182417">
              <w:rPr>
                <w:rFonts w:ascii="Arial Narrow" w:eastAsia="Calibri" w:hAnsi="Arial Narrow"/>
                <w:sz w:val="20"/>
                <w:szCs w:val="20"/>
              </w:rPr>
              <w:t xml:space="preserve">Authority Required (Streamlined) [new/existing code] </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67"/>
        <w:gridCol w:w="709"/>
        <w:gridCol w:w="7796"/>
      </w:tblGrid>
      <w:tr w:rsidR="00685A75" w:rsidRPr="00EC3847" w14:paraId="256B420B" w14:textId="77777777" w:rsidTr="00807665">
        <w:trPr>
          <w:trHeight w:val="20"/>
        </w:trPr>
        <w:tc>
          <w:tcPr>
            <w:tcW w:w="567" w:type="dxa"/>
            <w:vMerge w:val="restart"/>
            <w:tcBorders>
              <w:left w:val="single" w:sz="4" w:space="0" w:color="auto"/>
              <w:right w:val="single" w:sz="4" w:space="0" w:color="auto"/>
            </w:tcBorders>
            <w:textDirection w:val="btLr"/>
          </w:tcPr>
          <w:p w14:paraId="2491E9E6" w14:textId="7D75BE6B" w:rsidR="00685A75" w:rsidRPr="00EC3847" w:rsidRDefault="00685A75" w:rsidP="00B706FF">
            <w:pPr>
              <w:ind w:left="113" w:right="113"/>
              <w:contextualSpacing/>
              <w:rPr>
                <w:rFonts w:ascii="Arial Narrow" w:hAnsi="Arial Narrow"/>
                <w:i/>
                <w:iCs/>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0CC6D25B" w14:textId="1DB34A45" w:rsidR="00685A75" w:rsidRPr="00EC3847" w:rsidRDefault="00685A75" w:rsidP="00B706FF">
            <w:pPr>
              <w:contextualSpacing/>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280B092" w14:textId="77777777" w:rsidR="00685A75" w:rsidRPr="00683C1D" w:rsidRDefault="00685A75" w:rsidP="00B706FF">
            <w:pPr>
              <w:pStyle w:val="NormalWeb"/>
              <w:spacing w:before="0" w:after="0"/>
              <w:contextualSpacing/>
              <w:textAlignment w:val="baseline"/>
              <w:rPr>
                <w:rFonts w:ascii="Arial Narrow" w:hAnsi="Arial Narrow" w:cs="Open Sans"/>
                <w:color w:val="333333"/>
                <w:sz w:val="20"/>
                <w:szCs w:val="20"/>
              </w:rPr>
            </w:pPr>
            <w:r w:rsidRPr="00683C1D">
              <w:rPr>
                <w:rStyle w:val="Strong"/>
                <w:rFonts w:ascii="Arial Narrow" w:hAnsi="Arial Narrow" w:cs="Open Sans"/>
                <w:color w:val="333333"/>
                <w:sz w:val="20"/>
                <w:szCs w:val="20"/>
                <w:bdr w:val="none" w:sz="0" w:space="0" w:color="auto" w:frame="1"/>
              </w:rPr>
              <w:t>Administrative Advice:</w:t>
            </w:r>
          </w:p>
          <w:p w14:paraId="5E029DC4" w14:textId="77777777" w:rsidR="00685A75" w:rsidRPr="00683C1D" w:rsidRDefault="00685A75" w:rsidP="00B706FF">
            <w:pPr>
              <w:contextualSpacing/>
              <w:rPr>
                <w:rFonts w:ascii="Arial Narrow" w:hAnsi="Arial Narrow"/>
                <w:b/>
                <w:bCs/>
                <w:color w:val="333333"/>
                <w:sz w:val="20"/>
                <w:szCs w:val="20"/>
              </w:rPr>
            </w:pPr>
            <w:r w:rsidRPr="00683C1D">
              <w:rPr>
                <w:rFonts w:ascii="Arial Narrow" w:hAnsi="Arial Narrow" w:cs="Open Sans"/>
                <w:color w:val="333333"/>
                <w:sz w:val="20"/>
                <w:szCs w:val="20"/>
              </w:rPr>
              <w:t>No increase in the maximum number of repeats may be authorised.</w:t>
            </w:r>
          </w:p>
        </w:tc>
      </w:tr>
      <w:tr w:rsidR="00685A75" w:rsidRPr="00EC3847" w14:paraId="74A22D2F" w14:textId="77777777" w:rsidTr="00807665">
        <w:trPr>
          <w:trHeight w:val="20"/>
        </w:trPr>
        <w:tc>
          <w:tcPr>
            <w:tcW w:w="567" w:type="dxa"/>
            <w:vMerge/>
            <w:tcBorders>
              <w:left w:val="single" w:sz="4" w:space="0" w:color="auto"/>
              <w:bottom w:val="single" w:sz="4" w:space="0" w:color="auto"/>
              <w:right w:val="single" w:sz="4" w:space="0" w:color="auto"/>
            </w:tcBorders>
          </w:tcPr>
          <w:p w14:paraId="1ED171AC" w14:textId="77777777" w:rsidR="00685A75" w:rsidRPr="00EC3847" w:rsidRDefault="00685A75" w:rsidP="00B706FF">
            <w:pPr>
              <w:contextualSpacing/>
              <w:rPr>
                <w:rFonts w:ascii="Arial Narrow" w:hAnsi="Arial Narrow"/>
                <w:i/>
                <w:iCs/>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64028682" w14:textId="0234EB6C" w:rsidR="00685A75" w:rsidRPr="00EC3847" w:rsidRDefault="00685A75" w:rsidP="00B706FF">
            <w:pPr>
              <w:contextualSpacing/>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EF1DD0" w14:textId="77777777" w:rsidR="00685A75" w:rsidRPr="00683C1D" w:rsidRDefault="00685A75" w:rsidP="00B706FF">
            <w:pPr>
              <w:pStyle w:val="NormalWeb"/>
              <w:spacing w:before="0" w:after="0"/>
              <w:contextualSpacing/>
              <w:textAlignment w:val="baseline"/>
              <w:rPr>
                <w:rFonts w:ascii="Arial Narrow" w:hAnsi="Arial Narrow" w:cs="Open Sans"/>
                <w:color w:val="333333"/>
                <w:sz w:val="20"/>
                <w:szCs w:val="20"/>
              </w:rPr>
            </w:pPr>
            <w:r w:rsidRPr="00683C1D">
              <w:rPr>
                <w:rStyle w:val="Strong"/>
                <w:rFonts w:ascii="Arial Narrow" w:hAnsi="Arial Narrow" w:cs="Open Sans"/>
                <w:color w:val="333333"/>
                <w:sz w:val="20"/>
                <w:szCs w:val="20"/>
                <w:bdr w:val="none" w:sz="0" w:space="0" w:color="auto" w:frame="1"/>
              </w:rPr>
              <w:t>Administrative Advice:</w:t>
            </w:r>
          </w:p>
          <w:p w14:paraId="2357A6AE" w14:textId="77777777" w:rsidR="00685A75" w:rsidRPr="00683C1D" w:rsidRDefault="00685A75" w:rsidP="00B706FF">
            <w:pPr>
              <w:contextualSpacing/>
              <w:rPr>
                <w:rFonts w:ascii="Arial Narrow" w:hAnsi="Arial Narrow"/>
                <w:b/>
                <w:bCs/>
                <w:color w:val="333333"/>
                <w:sz w:val="20"/>
                <w:szCs w:val="20"/>
              </w:rPr>
            </w:pPr>
            <w:r w:rsidRPr="00683C1D">
              <w:rPr>
                <w:rFonts w:ascii="Arial Narrow" w:hAnsi="Arial Narrow" w:cs="Open Sans"/>
                <w:color w:val="333333"/>
                <w:sz w:val="20"/>
                <w:szCs w:val="20"/>
              </w:rPr>
              <w:t>Special Pricing Arrangements apply.</w:t>
            </w:r>
          </w:p>
        </w:tc>
      </w:tr>
      <w:tr w:rsidR="00685A75" w:rsidRPr="001428E9" w14:paraId="410E7537" w14:textId="77777777" w:rsidTr="00807665">
        <w:trPr>
          <w:cantSplit/>
          <w:trHeight w:val="20"/>
        </w:trPr>
        <w:tc>
          <w:tcPr>
            <w:tcW w:w="1276" w:type="dxa"/>
            <w:gridSpan w:val="2"/>
            <w:vAlign w:val="center"/>
          </w:tcPr>
          <w:p w14:paraId="0CAC6B53" w14:textId="77777777" w:rsidR="00685A75" w:rsidRPr="001428E9" w:rsidRDefault="00685A75" w:rsidP="00B706FF">
            <w:pPr>
              <w:keepLines/>
              <w:contextualSpacing/>
              <w:jc w:val="center"/>
              <w:rPr>
                <w:rFonts w:ascii="Arial Narrow" w:hAnsi="Arial Narrow"/>
                <w:color w:val="333333"/>
                <w:sz w:val="20"/>
                <w:szCs w:val="20"/>
              </w:rPr>
            </w:pPr>
          </w:p>
        </w:tc>
        <w:tc>
          <w:tcPr>
            <w:tcW w:w="7796" w:type="dxa"/>
            <w:vAlign w:val="center"/>
          </w:tcPr>
          <w:p w14:paraId="4D9DFD62" w14:textId="77777777" w:rsidR="00685A75" w:rsidRPr="00683C1D" w:rsidRDefault="00685A75" w:rsidP="00B706FF">
            <w:pPr>
              <w:keepLines/>
              <w:contextualSpacing/>
              <w:rPr>
                <w:rFonts w:ascii="Arial Narrow" w:hAnsi="Arial Narrow"/>
                <w:b/>
                <w:bCs/>
                <w:color w:val="333333"/>
                <w:sz w:val="20"/>
                <w:szCs w:val="20"/>
              </w:rPr>
            </w:pPr>
            <w:r w:rsidRPr="00683C1D">
              <w:rPr>
                <w:rFonts w:ascii="Arial Narrow" w:hAnsi="Arial Narrow"/>
                <w:b/>
                <w:bCs/>
                <w:color w:val="333333"/>
                <w:sz w:val="20"/>
                <w:szCs w:val="20"/>
              </w:rPr>
              <w:t xml:space="preserve">Condition: </w:t>
            </w:r>
            <w:r w:rsidRPr="00683C1D">
              <w:rPr>
                <w:rFonts w:ascii="Arial Narrow" w:hAnsi="Arial Narrow"/>
                <w:color w:val="333333"/>
                <w:sz w:val="20"/>
                <w:szCs w:val="20"/>
              </w:rPr>
              <w:t>Fibrodysplasia ossificans progressiva (FOP)</w:t>
            </w:r>
          </w:p>
        </w:tc>
      </w:tr>
      <w:tr w:rsidR="00685A75" w:rsidRPr="001428E9" w14:paraId="7E08574E" w14:textId="77777777" w:rsidTr="00807665">
        <w:trPr>
          <w:cantSplit/>
          <w:trHeight w:val="20"/>
        </w:trPr>
        <w:tc>
          <w:tcPr>
            <w:tcW w:w="1276" w:type="dxa"/>
            <w:gridSpan w:val="2"/>
            <w:vAlign w:val="center"/>
          </w:tcPr>
          <w:p w14:paraId="62B385F0" w14:textId="4338441C" w:rsidR="00685A75" w:rsidRPr="001428E9" w:rsidRDefault="00685A75" w:rsidP="00B706FF">
            <w:pPr>
              <w:keepLines/>
              <w:contextualSpacing/>
              <w:jc w:val="center"/>
              <w:rPr>
                <w:rFonts w:ascii="Arial Narrow" w:hAnsi="Arial Narrow"/>
                <w:color w:val="333333"/>
                <w:sz w:val="20"/>
                <w:szCs w:val="20"/>
              </w:rPr>
            </w:pPr>
          </w:p>
        </w:tc>
        <w:tc>
          <w:tcPr>
            <w:tcW w:w="7796" w:type="dxa"/>
            <w:vAlign w:val="center"/>
            <w:hideMark/>
          </w:tcPr>
          <w:p w14:paraId="1C26228E" w14:textId="77777777" w:rsidR="00685A75" w:rsidRPr="00683C1D" w:rsidRDefault="00685A75" w:rsidP="00B706FF">
            <w:pPr>
              <w:keepLines/>
              <w:contextualSpacing/>
              <w:rPr>
                <w:rFonts w:ascii="Arial Narrow" w:hAnsi="Arial Narrow"/>
                <w:color w:val="333333"/>
                <w:sz w:val="20"/>
                <w:szCs w:val="20"/>
              </w:rPr>
            </w:pPr>
            <w:r w:rsidRPr="00683C1D">
              <w:rPr>
                <w:rFonts w:ascii="Arial Narrow" w:hAnsi="Arial Narrow"/>
                <w:b/>
                <w:bCs/>
                <w:color w:val="333333"/>
                <w:sz w:val="20"/>
                <w:szCs w:val="20"/>
              </w:rPr>
              <w:t>Indication:</w:t>
            </w:r>
            <w:r w:rsidRPr="00683C1D">
              <w:rPr>
                <w:rFonts w:ascii="Arial Narrow" w:hAnsi="Arial Narrow"/>
                <w:color w:val="333333"/>
                <w:sz w:val="20"/>
                <w:szCs w:val="20"/>
              </w:rPr>
              <w:t xml:space="preserve"> Fibrodysplasia ossificans progressiva (FOP)</w:t>
            </w:r>
            <w:r w:rsidRPr="00683C1D" w:rsidDel="00BE0FE9">
              <w:rPr>
                <w:rFonts w:ascii="Arial Narrow" w:hAnsi="Arial Narrow"/>
                <w:color w:val="333333"/>
                <w:sz w:val="20"/>
                <w:szCs w:val="20"/>
              </w:rPr>
              <w:t xml:space="preserve"> </w:t>
            </w:r>
          </w:p>
        </w:tc>
      </w:tr>
      <w:tr w:rsidR="00685A75" w:rsidRPr="008C7740" w14:paraId="0DECCB00"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210A549B" w14:textId="77777777" w:rsidR="00685A75" w:rsidRPr="008C7740" w:rsidRDefault="00685A75" w:rsidP="00B706FF">
            <w:pPr>
              <w:contextualSpacing/>
              <w:jc w:val="center"/>
              <w:rPr>
                <w:rFonts w:ascii="Arial Narrow" w:hAnsi="Arial Narrow"/>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245C8F29" w14:textId="77777777" w:rsidR="00685A75" w:rsidRPr="00683C1D" w:rsidRDefault="00685A75" w:rsidP="00B706FF">
            <w:pPr>
              <w:contextualSpacing/>
              <w:rPr>
                <w:rFonts w:ascii="Arial Narrow" w:hAnsi="Arial Narrow"/>
                <w:color w:val="333333"/>
                <w:sz w:val="20"/>
                <w:szCs w:val="20"/>
              </w:rPr>
            </w:pPr>
            <w:r w:rsidRPr="00683C1D">
              <w:rPr>
                <w:rFonts w:ascii="Arial Narrow" w:hAnsi="Arial Narrow"/>
                <w:b/>
                <w:bCs/>
                <w:color w:val="333333"/>
                <w:sz w:val="20"/>
                <w:szCs w:val="20"/>
              </w:rPr>
              <w:t>Treatment Phase:</w:t>
            </w:r>
            <w:r w:rsidRPr="00683C1D">
              <w:rPr>
                <w:rFonts w:ascii="Arial Narrow" w:hAnsi="Arial Narrow"/>
                <w:color w:val="333333"/>
                <w:sz w:val="20"/>
                <w:szCs w:val="20"/>
              </w:rPr>
              <w:t xml:space="preserve"> Flare-up (acute) treatment</w:t>
            </w:r>
          </w:p>
        </w:tc>
      </w:tr>
      <w:tr w:rsidR="00685A75" w:rsidRPr="008C7740" w14:paraId="1D7EDB72"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50346DD4" w14:textId="6099B0A7" w:rsidR="00685A75" w:rsidRPr="00B74CA9" w:rsidRDefault="00685A75" w:rsidP="00B706FF">
            <w:pPr>
              <w:contextualSpacing/>
              <w:jc w:val="center"/>
              <w:rPr>
                <w:rFonts w:ascii="Arial Narrow" w:hAnsi="Arial Narrow"/>
                <w:i/>
                <w:iCs/>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06664C04" w14:textId="77777777" w:rsidR="00685A75" w:rsidRPr="001809D0" w:rsidRDefault="00685A75" w:rsidP="00B706FF">
            <w:pPr>
              <w:contextualSpacing/>
              <w:rPr>
                <w:rFonts w:ascii="Arial Narrow" w:hAnsi="Arial Narrow"/>
                <w:color w:val="333333"/>
                <w:sz w:val="20"/>
                <w:szCs w:val="20"/>
              </w:rPr>
            </w:pPr>
            <w:r w:rsidRPr="001809D0">
              <w:rPr>
                <w:rFonts w:ascii="Arial Narrow" w:hAnsi="Arial Narrow"/>
                <w:b/>
                <w:bCs/>
                <w:color w:val="333333"/>
                <w:sz w:val="20"/>
                <w:szCs w:val="20"/>
              </w:rPr>
              <w:t>Clinical criteria:</w:t>
            </w:r>
          </w:p>
        </w:tc>
      </w:tr>
      <w:tr w:rsidR="00685A75" w:rsidRPr="008C7740" w14:paraId="622353C0"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26B55B6A" w14:textId="031AD648" w:rsidR="00685A75" w:rsidRPr="00B74CA9" w:rsidRDefault="00685A75" w:rsidP="00B706FF">
            <w:pPr>
              <w:contextualSpacing/>
              <w:jc w:val="center"/>
              <w:rPr>
                <w:rFonts w:ascii="Arial Narrow" w:hAnsi="Arial Narrow"/>
                <w:i/>
                <w:iCs/>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1680B16D" w14:textId="77777777" w:rsidR="00685A75" w:rsidRPr="001809D0" w:rsidRDefault="00685A75" w:rsidP="00B706FF">
            <w:pPr>
              <w:contextualSpacing/>
              <w:rPr>
                <w:rFonts w:ascii="Arial Narrow" w:hAnsi="Arial Narrow"/>
                <w:color w:val="333333"/>
                <w:sz w:val="20"/>
                <w:szCs w:val="20"/>
              </w:rPr>
            </w:pPr>
            <w:r w:rsidRPr="001809D0">
              <w:rPr>
                <w:rFonts w:ascii="Arial Narrow" w:hAnsi="Arial Narrow"/>
                <w:color w:val="333333"/>
                <w:sz w:val="20"/>
                <w:szCs w:val="20"/>
              </w:rPr>
              <w:t xml:space="preserve">Patient must have previously received PBS-subsidised treatment with this drug for this condition </w:t>
            </w:r>
          </w:p>
        </w:tc>
      </w:tr>
      <w:tr w:rsidR="00685A75" w:rsidRPr="008C7740" w14:paraId="4B880BB0"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050CC96" w14:textId="77777777" w:rsidR="00685A75" w:rsidRPr="008C7740" w:rsidRDefault="00685A75" w:rsidP="00B706FF">
            <w:pPr>
              <w:contextualSpacing/>
              <w:jc w:val="center"/>
              <w:rPr>
                <w:rFonts w:ascii="Arial Narrow" w:hAnsi="Arial Narrow"/>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36C5562F" w14:textId="77777777" w:rsidR="00685A75" w:rsidRPr="00683C1D" w:rsidRDefault="00685A75" w:rsidP="00B706FF">
            <w:pPr>
              <w:contextualSpacing/>
              <w:rPr>
                <w:rFonts w:ascii="Arial Narrow" w:hAnsi="Arial Narrow"/>
                <w:color w:val="333333"/>
                <w:sz w:val="18"/>
                <w:szCs w:val="18"/>
              </w:rPr>
            </w:pPr>
            <w:r w:rsidRPr="00683C1D">
              <w:rPr>
                <w:rFonts w:ascii="Arial Narrow" w:hAnsi="Arial Narrow"/>
                <w:color w:val="333333"/>
                <w:sz w:val="18"/>
                <w:szCs w:val="18"/>
              </w:rPr>
              <w:t>AND</w:t>
            </w:r>
          </w:p>
        </w:tc>
      </w:tr>
      <w:tr w:rsidR="00685A75" w:rsidRPr="008C7740" w14:paraId="20610653"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D353328" w14:textId="379B32F1" w:rsidR="00685A75" w:rsidRPr="00D32C0F" w:rsidRDefault="00685A75" w:rsidP="00B706FF">
            <w:pPr>
              <w:contextualSpacing/>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CF865AA" w14:textId="77777777" w:rsidR="00685A75" w:rsidRPr="00D32C0F" w:rsidRDefault="00685A75" w:rsidP="00B706FF">
            <w:pPr>
              <w:contextualSpacing/>
              <w:rPr>
                <w:rFonts w:ascii="Arial Narrow" w:hAnsi="Arial Narrow"/>
                <w:b/>
                <w:bCs/>
                <w:color w:val="333333"/>
                <w:sz w:val="20"/>
                <w:szCs w:val="20"/>
              </w:rPr>
            </w:pPr>
            <w:r w:rsidRPr="00D32C0F">
              <w:rPr>
                <w:rFonts w:ascii="Arial Narrow" w:hAnsi="Arial Narrow"/>
                <w:b/>
                <w:bCs/>
                <w:color w:val="333333"/>
                <w:sz w:val="20"/>
                <w:szCs w:val="20"/>
              </w:rPr>
              <w:t>Clinical criteria:</w:t>
            </w:r>
          </w:p>
        </w:tc>
      </w:tr>
      <w:tr w:rsidR="00685A75" w:rsidRPr="008C7740" w14:paraId="05A00F42"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453C5048" w14:textId="3D67337D" w:rsidR="00685A75" w:rsidRPr="00D32C0F" w:rsidRDefault="00685A75" w:rsidP="00B706FF">
            <w:pPr>
              <w:contextualSpacing/>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35E0A17D" w14:textId="579C956D" w:rsidR="00685A75" w:rsidRPr="00D32C0F" w:rsidRDefault="00685A75" w:rsidP="00B706FF">
            <w:pPr>
              <w:contextualSpacing/>
              <w:rPr>
                <w:rFonts w:ascii="Arial Narrow" w:hAnsi="Arial Narrow"/>
                <w:color w:val="333333"/>
                <w:sz w:val="20"/>
                <w:szCs w:val="20"/>
              </w:rPr>
            </w:pPr>
            <w:r w:rsidRPr="00D32C0F">
              <w:rPr>
                <w:rFonts w:ascii="Arial Narrow" w:hAnsi="Arial Narrow"/>
                <w:color w:val="333333"/>
                <w:sz w:val="20"/>
                <w:szCs w:val="20"/>
              </w:rPr>
              <w:t>Patient must be experiencing a FOP flare</w:t>
            </w:r>
            <w:r>
              <w:rPr>
                <w:rFonts w:ascii="Arial Narrow" w:hAnsi="Arial Narrow"/>
                <w:color w:val="333333"/>
                <w:sz w:val="20"/>
                <w:szCs w:val="20"/>
              </w:rPr>
              <w:t>-</w:t>
            </w:r>
            <w:r w:rsidRPr="00D32C0F">
              <w:rPr>
                <w:rFonts w:ascii="Arial Narrow" w:hAnsi="Arial Narrow"/>
                <w:color w:val="333333"/>
                <w:sz w:val="20"/>
                <w:szCs w:val="20"/>
              </w:rPr>
              <w:t>up</w:t>
            </w:r>
            <w:r>
              <w:rPr>
                <w:rFonts w:ascii="Arial Narrow" w:hAnsi="Arial Narrow"/>
                <w:color w:val="333333"/>
                <w:sz w:val="20"/>
                <w:szCs w:val="20"/>
              </w:rPr>
              <w:t>;</w:t>
            </w:r>
            <w:r w:rsidRPr="00D32C0F">
              <w:rPr>
                <w:rFonts w:ascii="Arial Narrow" w:hAnsi="Arial Narrow"/>
                <w:color w:val="333333"/>
                <w:sz w:val="20"/>
                <w:szCs w:val="20"/>
              </w:rPr>
              <w:t xml:space="preserve"> or </w:t>
            </w:r>
          </w:p>
        </w:tc>
      </w:tr>
      <w:tr w:rsidR="00685A75" w:rsidRPr="008C7740" w14:paraId="07630EBE"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875F818" w14:textId="3B2F23BE" w:rsidR="00685A75" w:rsidRPr="00D32C0F" w:rsidRDefault="00685A75" w:rsidP="00B706FF">
            <w:pPr>
              <w:contextualSpacing/>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10BB9580" w14:textId="57DE3833" w:rsidR="00685A75" w:rsidRPr="00D32C0F" w:rsidRDefault="00685A75" w:rsidP="00B706FF">
            <w:pPr>
              <w:contextualSpacing/>
              <w:rPr>
                <w:rFonts w:ascii="Arial Narrow" w:hAnsi="Arial Narrow"/>
                <w:color w:val="333333"/>
                <w:sz w:val="20"/>
                <w:szCs w:val="20"/>
              </w:rPr>
            </w:pPr>
            <w:r w:rsidRPr="00D9560A">
              <w:rPr>
                <w:rFonts w:ascii="Arial Narrow" w:hAnsi="Arial Narrow"/>
                <w:color w:val="333333"/>
                <w:sz w:val="20"/>
                <w:szCs w:val="20"/>
              </w:rPr>
              <w:t>Patient must be at high risk of</w:t>
            </w:r>
            <w:r w:rsidR="00D9560A" w:rsidRPr="00D9560A">
              <w:rPr>
                <w:rFonts w:ascii="Arial Narrow" w:hAnsi="Arial Narrow"/>
                <w:color w:val="333333"/>
                <w:sz w:val="20"/>
                <w:szCs w:val="20"/>
              </w:rPr>
              <w:t xml:space="preserve"> </w:t>
            </w:r>
            <w:r w:rsidRPr="00D9560A">
              <w:rPr>
                <w:rFonts w:ascii="Arial Narrow" w:hAnsi="Arial Narrow"/>
                <w:color w:val="333333"/>
                <w:sz w:val="20"/>
                <w:szCs w:val="20"/>
              </w:rPr>
              <w:t>a FOP flare-up</w:t>
            </w:r>
          </w:p>
        </w:tc>
      </w:tr>
      <w:tr w:rsidR="00685A75" w:rsidRPr="008C7740" w14:paraId="7A2ED005"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634817D" w14:textId="1A7B07FE" w:rsidR="00685A75" w:rsidRPr="008C7740" w:rsidRDefault="00685A75" w:rsidP="00B706FF">
            <w:pPr>
              <w:contextualSpacing/>
              <w:jc w:val="center"/>
              <w:rPr>
                <w:rFonts w:ascii="Arial Narrow" w:hAnsi="Arial Narrow"/>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5758868E" w14:textId="77777777" w:rsidR="00685A75" w:rsidRPr="008C7740" w:rsidRDefault="00685A75" w:rsidP="00B706FF">
            <w:pPr>
              <w:contextualSpacing/>
              <w:rPr>
                <w:rFonts w:ascii="Arial Narrow" w:hAnsi="Arial Narrow"/>
                <w:color w:val="333333"/>
                <w:sz w:val="18"/>
                <w:szCs w:val="18"/>
              </w:rPr>
            </w:pPr>
            <w:r w:rsidRPr="00BF7D0A">
              <w:rPr>
                <w:rFonts w:ascii="Arial Narrow" w:hAnsi="Arial Narrow"/>
                <w:b/>
                <w:bCs/>
                <w:color w:val="333333"/>
                <w:sz w:val="20"/>
                <w:szCs w:val="20"/>
              </w:rPr>
              <w:t>Treatment criteria:</w:t>
            </w:r>
          </w:p>
        </w:tc>
      </w:tr>
      <w:tr w:rsidR="00685A75" w:rsidRPr="008C7740" w14:paraId="7863B22A"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0EF593B" w14:textId="7CEE5830" w:rsidR="00685A75" w:rsidRPr="008C7740" w:rsidRDefault="00685A75" w:rsidP="00B706FF">
            <w:pPr>
              <w:contextualSpacing/>
              <w:jc w:val="center"/>
              <w:rPr>
                <w:rFonts w:ascii="Arial Narrow" w:hAnsi="Arial Narrow"/>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293F31BC" w14:textId="77777777" w:rsidR="00685A75" w:rsidRPr="008C7740" w:rsidRDefault="00685A75" w:rsidP="00B706FF">
            <w:pPr>
              <w:autoSpaceDE w:val="0"/>
              <w:autoSpaceDN w:val="0"/>
              <w:adjustRightInd w:val="0"/>
              <w:contextualSpacing/>
              <w:rPr>
                <w:rFonts w:ascii="Arial Narrow" w:eastAsia="Calibri" w:hAnsi="Arial Narrow" w:cs="Arial Narrow"/>
                <w:sz w:val="20"/>
                <w:szCs w:val="20"/>
              </w:rPr>
            </w:pPr>
            <w:r w:rsidRPr="00BF7D0A">
              <w:rPr>
                <w:rFonts w:ascii="Arial Narrow" w:eastAsia="Calibri" w:hAnsi="Arial Narrow" w:cs="Arial Narrow"/>
                <w:sz w:val="20"/>
                <w:szCs w:val="20"/>
              </w:rPr>
              <w:t xml:space="preserve">Must be treated by a specialist medical practitioner experienced in the diagnosis and management of FOP; or </w:t>
            </w:r>
            <w:r w:rsidRPr="00702929">
              <w:rPr>
                <w:rFonts w:ascii="Arial Narrow" w:eastAsia="Calibri" w:hAnsi="Arial Narrow" w:cs="Arial Narrow"/>
                <w:sz w:val="20"/>
                <w:szCs w:val="20"/>
              </w:rPr>
              <w:t>in consultation with a specialist medical practitioner experienced in the diagnosis and management of FOP</w:t>
            </w:r>
          </w:p>
        </w:tc>
      </w:tr>
      <w:tr w:rsidR="00685A75" w:rsidRPr="0032696F" w14:paraId="2BC899CF"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23B6F04B" w14:textId="5EBA1D20" w:rsidR="00685A75" w:rsidRPr="001D00C4" w:rsidRDefault="00685A75" w:rsidP="00B706FF">
            <w:pPr>
              <w:jc w:val="center"/>
              <w:rPr>
                <w:rFonts w:ascii="Arial Narrow" w:hAnsi="Arial Narrow"/>
                <w:i/>
                <w:iCs/>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3C2D2A9D" w14:textId="77777777" w:rsidR="00685A75" w:rsidRPr="00BF7D0A" w:rsidRDefault="00685A75" w:rsidP="00B706FF">
            <w:pPr>
              <w:rPr>
                <w:rFonts w:ascii="Arial Narrow" w:hAnsi="Arial Narrow"/>
                <w:color w:val="333333"/>
                <w:sz w:val="20"/>
                <w:szCs w:val="20"/>
              </w:rPr>
            </w:pPr>
            <w:r w:rsidRPr="00BF7D0A">
              <w:rPr>
                <w:rFonts w:ascii="Arial Narrow" w:hAnsi="Arial Narrow"/>
                <w:b/>
                <w:bCs/>
                <w:color w:val="333333"/>
                <w:sz w:val="20"/>
                <w:szCs w:val="20"/>
              </w:rPr>
              <w:t>Population criteria:</w:t>
            </w:r>
          </w:p>
        </w:tc>
      </w:tr>
      <w:tr w:rsidR="00685A75" w:rsidRPr="00683C1D" w14:paraId="68521D6E"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42A39BED" w14:textId="7C2A3EE5" w:rsidR="00685A75" w:rsidRPr="00683C1D" w:rsidRDefault="00685A75" w:rsidP="00B706FF">
            <w:pPr>
              <w:jc w:val="center"/>
              <w:rPr>
                <w:rFonts w:ascii="Arial Narrow" w:hAnsi="Arial Narrow"/>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19A19EB4" w14:textId="77777777" w:rsidR="00685A75" w:rsidRPr="00683C1D" w:rsidRDefault="00685A75" w:rsidP="00B706FF">
            <w:pPr>
              <w:rPr>
                <w:rFonts w:ascii="Arial Narrow" w:hAnsi="Arial Narrow"/>
                <w:color w:val="333333"/>
                <w:sz w:val="20"/>
                <w:szCs w:val="20"/>
              </w:rPr>
            </w:pPr>
            <w:r w:rsidRPr="00683C1D">
              <w:rPr>
                <w:rFonts w:ascii="Arial Narrow" w:hAnsi="Arial Narrow"/>
                <w:color w:val="333333"/>
                <w:sz w:val="20"/>
                <w:szCs w:val="20"/>
              </w:rPr>
              <w:t xml:space="preserve">Patient must be a female aged 8 years or older; or </w:t>
            </w:r>
          </w:p>
        </w:tc>
      </w:tr>
      <w:tr w:rsidR="00685A75" w:rsidRPr="00683C1D" w14:paraId="44873687"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13FEE16" w14:textId="7BBBD9F0" w:rsidR="00685A75" w:rsidRPr="00683C1D" w:rsidRDefault="00685A75" w:rsidP="00B706FF">
            <w:pPr>
              <w:jc w:val="center"/>
              <w:rPr>
                <w:rFonts w:ascii="Arial Narrow" w:hAnsi="Arial Narrow"/>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7C9D95C2" w14:textId="77777777" w:rsidR="00685A75" w:rsidRPr="00683C1D" w:rsidRDefault="00685A75" w:rsidP="00B706FF">
            <w:pPr>
              <w:rPr>
                <w:rFonts w:ascii="Arial Narrow" w:hAnsi="Arial Narrow"/>
                <w:color w:val="333333"/>
                <w:sz w:val="20"/>
                <w:szCs w:val="20"/>
              </w:rPr>
            </w:pPr>
            <w:r w:rsidRPr="00683C1D">
              <w:rPr>
                <w:rFonts w:ascii="Arial Narrow" w:hAnsi="Arial Narrow"/>
                <w:color w:val="333333"/>
                <w:sz w:val="20"/>
                <w:szCs w:val="20"/>
              </w:rPr>
              <w:t>Patient must be a male aged 10 years or older</w:t>
            </w:r>
          </w:p>
        </w:tc>
      </w:tr>
      <w:tr w:rsidR="00685A75" w:rsidRPr="008C7740" w14:paraId="146CC9FB"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1243A70C" w14:textId="70A4CB0A" w:rsidR="00685A75" w:rsidRPr="007E5568" w:rsidRDefault="00685A75" w:rsidP="00B706FF">
            <w:pPr>
              <w:contextualSpacing/>
              <w:jc w:val="center"/>
              <w:rPr>
                <w:rFonts w:ascii="Arial Narrow" w:hAnsi="Arial Narrow"/>
                <w:color w:val="333333"/>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hideMark/>
          </w:tcPr>
          <w:p w14:paraId="486C2E35" w14:textId="77777777" w:rsidR="00685A75" w:rsidRPr="007E5568" w:rsidRDefault="00685A75" w:rsidP="00B706FF">
            <w:pPr>
              <w:contextualSpacing/>
              <w:rPr>
                <w:rFonts w:ascii="Arial Narrow" w:hAnsi="Arial Narrow"/>
                <w:color w:val="333333"/>
                <w:sz w:val="20"/>
                <w:szCs w:val="20"/>
              </w:rPr>
            </w:pPr>
            <w:r w:rsidRPr="007E5568">
              <w:rPr>
                <w:rFonts w:ascii="Arial Narrow" w:hAnsi="Arial Narrow"/>
                <w:b/>
                <w:bCs/>
                <w:color w:val="333333"/>
                <w:sz w:val="20"/>
                <w:szCs w:val="20"/>
              </w:rPr>
              <w:t>Prescribing Instructions:</w:t>
            </w:r>
            <w:r w:rsidRPr="007E5568">
              <w:rPr>
                <w:rFonts w:ascii="Arial Narrow" w:hAnsi="Arial Narrow"/>
                <w:color w:val="333333"/>
                <w:sz w:val="20"/>
                <w:szCs w:val="20"/>
              </w:rPr>
              <w:t xml:space="preserve"> </w:t>
            </w:r>
          </w:p>
          <w:p w14:paraId="79357F97" w14:textId="77777777" w:rsidR="00685A75" w:rsidRPr="007E5568" w:rsidRDefault="00685A75" w:rsidP="00B706FF">
            <w:pPr>
              <w:contextualSpacing/>
              <w:rPr>
                <w:rFonts w:ascii="Arial Narrow" w:hAnsi="Arial Narrow"/>
                <w:color w:val="333333"/>
                <w:sz w:val="20"/>
                <w:szCs w:val="20"/>
              </w:rPr>
            </w:pPr>
            <w:r w:rsidRPr="007E5568">
              <w:rPr>
                <w:rFonts w:ascii="Arial Narrow" w:hAnsi="Arial Narrow"/>
                <w:color w:val="333333"/>
                <w:sz w:val="20"/>
                <w:szCs w:val="20"/>
              </w:rPr>
              <w:t xml:space="preserve">Flare-up treatment should begin at the onset of the first symptom indicative of a FOP flare-up or substantial high-risk traumatic event likely to lead to a flare-up. Symptoms of a FOP flareup typically include but are not </w:t>
            </w:r>
            <w:r w:rsidRPr="007E5568">
              <w:rPr>
                <w:rFonts w:ascii="Arial Narrow" w:hAnsi="Arial Narrow"/>
                <w:color w:val="333333"/>
                <w:sz w:val="20"/>
                <w:szCs w:val="20"/>
              </w:rPr>
              <w:lastRenderedPageBreak/>
              <w:t>limited to localised pain, soft tissue swelling/inflammation, redness, warmth, decreased joint range of motion, and stiffness. Examples of a high risk substantial traumatic event include surgery, intramuscular immunisation, mandibular blocks for dental work, muscle fatigue, blunt muscle trauma from bumps, bruises, falls, or influenza-like viral illnesses.</w:t>
            </w:r>
          </w:p>
        </w:tc>
      </w:tr>
      <w:tr w:rsidR="00685A75" w:rsidRPr="008C7740" w14:paraId="7DD2026C" w14:textId="77777777" w:rsidTr="0080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val="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D5B0E" w14:textId="7D0E2C66" w:rsidR="00685A75" w:rsidRPr="008C7740" w:rsidRDefault="00685A75" w:rsidP="00B706FF">
            <w:pPr>
              <w:contextualSpacing/>
              <w:jc w:val="center"/>
              <w:rPr>
                <w:rFonts w:ascii="Arial Narrow" w:hAnsi="Arial Narrow"/>
                <w:color w:val="333333"/>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AFCC1" w14:textId="541AC2E7" w:rsidR="00685A75" w:rsidRPr="00055C7C" w:rsidRDefault="00685A75" w:rsidP="00B706FF">
            <w:pPr>
              <w:contextualSpacing/>
              <w:rPr>
                <w:rFonts w:ascii="Arial Narrow" w:hAnsi="Arial Narrow"/>
                <w:b/>
                <w:bCs/>
                <w:strike/>
                <w:color w:val="333333"/>
                <w:sz w:val="18"/>
                <w:szCs w:val="18"/>
              </w:rPr>
            </w:pPr>
            <w:r w:rsidRPr="00FA0765">
              <w:rPr>
                <w:rFonts w:ascii="Arial Narrow" w:hAnsi="Arial Narrow"/>
                <w:b/>
                <w:bCs/>
                <w:color w:val="333333"/>
                <w:sz w:val="20"/>
                <w:szCs w:val="20"/>
              </w:rPr>
              <w:t>Prescribing Instructions:</w:t>
            </w:r>
            <w:r w:rsidRPr="00055C7C">
              <w:rPr>
                <w:rFonts w:ascii="Arial Narrow" w:hAnsi="Arial Narrow"/>
                <w:b/>
                <w:bCs/>
                <w:strike/>
                <w:color w:val="333333"/>
                <w:sz w:val="18"/>
                <w:szCs w:val="18"/>
              </w:rPr>
              <w:t xml:space="preserve"> </w:t>
            </w:r>
          </w:p>
          <w:p w14:paraId="139D7E81" w14:textId="133F2F62" w:rsidR="00685A75" w:rsidRPr="00683C1D" w:rsidRDefault="00685A75" w:rsidP="00B706FF">
            <w:pPr>
              <w:contextualSpacing/>
              <w:rPr>
                <w:rFonts w:ascii="Arial Narrow" w:hAnsi="Arial Narrow"/>
                <w:color w:val="333333"/>
                <w:sz w:val="20"/>
                <w:szCs w:val="20"/>
              </w:rPr>
            </w:pPr>
            <w:r w:rsidRPr="00683C1D">
              <w:rPr>
                <w:rFonts w:ascii="Arial Narrow" w:hAnsi="Arial Narrow"/>
                <w:color w:val="333333"/>
                <w:sz w:val="20"/>
                <w:szCs w:val="20"/>
              </w:rPr>
              <w:t xml:space="preserve">At the time of the authority application, the medical practitioner must request the appropriate combination of packs to provide treatment at the recommended dose for flare-up treatment based on the age and weight of the patient, adequate for 12 weeks of treatment or in the presence of persistent flare-up symptoms to extend treatment in 4-week intervals according to the specified dosage in the approved Product Information (PI). A separate authority prescription form must be completed for each strength requested. </w:t>
            </w:r>
          </w:p>
          <w:p w14:paraId="25DCC0DF" w14:textId="77777777" w:rsidR="00685A75" w:rsidRPr="00BD22FD" w:rsidRDefault="00685A75" w:rsidP="00B706FF">
            <w:pPr>
              <w:contextualSpacing/>
              <w:rPr>
                <w:rFonts w:ascii="Arial Narrow" w:hAnsi="Arial Narrow"/>
                <w:color w:val="333333"/>
                <w:sz w:val="20"/>
                <w:szCs w:val="20"/>
              </w:rPr>
            </w:pPr>
          </w:p>
          <w:p w14:paraId="4C15DD27" w14:textId="21446897" w:rsidR="00685A75" w:rsidRPr="005D6917" w:rsidRDefault="00685A75" w:rsidP="00B706FF">
            <w:pPr>
              <w:contextualSpacing/>
              <w:rPr>
                <w:rFonts w:ascii="Arial Narrow" w:hAnsi="Arial Narrow"/>
                <w:color w:val="333333"/>
                <w:sz w:val="20"/>
                <w:szCs w:val="20"/>
              </w:rPr>
            </w:pPr>
            <w:r w:rsidRPr="00BD22FD">
              <w:rPr>
                <w:rFonts w:ascii="Arial Narrow" w:hAnsi="Arial Narrow"/>
                <w:color w:val="333333"/>
                <w:sz w:val="20"/>
                <w:szCs w:val="20"/>
              </w:rPr>
              <w:t>If the patient experiences another flare-up (i.e., new flare-up location or marked worsening of the original flare-up) at any time during flare-up treatment, the flare-up 12-week treatment should be restarted.</w:t>
            </w:r>
          </w:p>
        </w:tc>
      </w:tr>
    </w:tbl>
    <w:bookmarkEnd w:id="74"/>
    <w:p w14:paraId="0C14D72C" w14:textId="4330A0D4" w:rsidR="00046576" w:rsidRDefault="00046576" w:rsidP="00DF05D2">
      <w:pPr>
        <w:spacing w:before="120"/>
        <w:rPr>
          <w:color w:val="3366FF"/>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741DA35C" w14:textId="77777777" w:rsidR="00C11AF2" w:rsidRPr="00DF05D2" w:rsidRDefault="00C11AF2" w:rsidP="00DF05D2">
      <w:pPr>
        <w:pStyle w:val="2-SectionHeading"/>
      </w:pPr>
      <w:r w:rsidRPr="00DF05D2">
        <w:t>Context for Decision</w:t>
      </w:r>
    </w:p>
    <w:p w14:paraId="3010E726" w14:textId="77777777" w:rsidR="00C11AF2" w:rsidRPr="00061CBE" w:rsidRDefault="00C11AF2" w:rsidP="00DF05D2">
      <w:pPr>
        <w:spacing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8077D8" w14:textId="06A2CE00" w:rsidR="00C11AF2" w:rsidRPr="00DF05D2" w:rsidRDefault="00C11AF2" w:rsidP="00DF05D2">
      <w:pPr>
        <w:pStyle w:val="2-SectionHeading"/>
      </w:pPr>
      <w:r w:rsidRPr="00DF05D2">
        <w:t>Sponsor’s Comment</w:t>
      </w:r>
    </w:p>
    <w:p w14:paraId="079367BC" w14:textId="4FF01B58" w:rsidR="00C11AF2" w:rsidRDefault="00C11AF2" w:rsidP="001D102F">
      <w:pPr>
        <w:spacing w:after="120"/>
        <w:ind w:firstLine="720"/>
        <w:rPr>
          <w:bCs/>
        </w:rPr>
      </w:pPr>
      <w:r w:rsidRPr="00061CBE">
        <w:rPr>
          <w:bCs/>
        </w:rPr>
        <w:t>The sponsor had no comment.</w:t>
      </w:r>
    </w:p>
    <w:p w14:paraId="50E026AE" w14:textId="77777777" w:rsidR="00373FBB" w:rsidRPr="00373FBB" w:rsidRDefault="00373FBB" w:rsidP="00373FBB">
      <w:pPr>
        <w:pStyle w:val="2-SectionHeading"/>
      </w:pPr>
      <w:r w:rsidRPr="00373FBB">
        <w:t xml:space="preserve">Corrigendum </w:t>
      </w:r>
    </w:p>
    <w:p w14:paraId="4238BAAD" w14:textId="77777777" w:rsidR="00373FBB" w:rsidRPr="00373FBB" w:rsidRDefault="00373FBB" w:rsidP="00373FBB">
      <w:pPr>
        <w:spacing w:after="120"/>
        <w:jc w:val="left"/>
        <w:rPr>
          <w:rFonts w:asciiTheme="minorHAnsi" w:eastAsia="Calibri" w:hAnsiTheme="minorHAnsi" w:cstheme="minorHAnsi"/>
          <w:lang w:eastAsia="en-US"/>
        </w:rPr>
      </w:pPr>
      <w:r w:rsidRPr="00373FBB">
        <w:rPr>
          <w:rFonts w:asciiTheme="minorHAnsi" w:eastAsia="Calibri" w:hAnsiTheme="minorHAnsi" w:cstheme="minorHAnsi"/>
          <w:lang w:eastAsia="en-US"/>
        </w:rPr>
        <w:t xml:space="preserve">The following changes were made: </w:t>
      </w:r>
    </w:p>
    <w:tbl>
      <w:tblPr>
        <w:tblStyle w:val="ASDTable1"/>
        <w:tblW w:w="4007" w:type="pct"/>
        <w:tblLook w:val="04A0" w:firstRow="1" w:lastRow="0" w:firstColumn="1" w:lastColumn="0" w:noHBand="0" w:noVBand="1"/>
      </w:tblPr>
      <w:tblGrid>
        <w:gridCol w:w="5590"/>
        <w:gridCol w:w="1636"/>
      </w:tblGrid>
      <w:tr w:rsidR="00373FBB" w:rsidRPr="00373FBB" w14:paraId="2AA479D8" w14:textId="77777777" w:rsidTr="00613D96">
        <w:trPr>
          <w:trHeight w:val="783"/>
        </w:trPr>
        <w:tc>
          <w:tcPr>
            <w:tcW w:w="3868" w:type="pct"/>
            <w:vAlign w:val="center"/>
          </w:tcPr>
          <w:p w14:paraId="155E540B" w14:textId="77777777" w:rsidR="00373FBB" w:rsidRPr="00373FBB" w:rsidRDefault="00373FBB" w:rsidP="00373FBB">
            <w:pPr>
              <w:jc w:val="left"/>
              <w:rPr>
                <w:rFonts w:asciiTheme="minorHAnsi" w:hAnsiTheme="minorHAnsi" w:cstheme="minorHAnsi"/>
                <w:b/>
                <w:sz w:val="20"/>
                <w:szCs w:val="20"/>
                <w:lang w:eastAsia="en-US"/>
              </w:rPr>
            </w:pPr>
            <w:r w:rsidRPr="00373FBB">
              <w:rPr>
                <w:rFonts w:asciiTheme="minorHAnsi" w:hAnsiTheme="minorHAnsi" w:cstheme="minorHAnsi"/>
                <w:b/>
                <w:sz w:val="20"/>
                <w:szCs w:val="20"/>
                <w:lang w:eastAsia="en-US"/>
              </w:rPr>
              <w:t>Change made</w:t>
            </w:r>
          </w:p>
        </w:tc>
        <w:tc>
          <w:tcPr>
            <w:tcW w:w="1132" w:type="pct"/>
            <w:vAlign w:val="center"/>
          </w:tcPr>
          <w:p w14:paraId="5ECAF1A0" w14:textId="77777777" w:rsidR="00373FBB" w:rsidRPr="00373FBB" w:rsidRDefault="00373FBB" w:rsidP="00373FBB">
            <w:pPr>
              <w:jc w:val="center"/>
              <w:rPr>
                <w:rFonts w:asciiTheme="minorHAnsi" w:hAnsiTheme="minorHAnsi" w:cstheme="minorHAnsi"/>
                <w:b/>
                <w:sz w:val="20"/>
                <w:szCs w:val="20"/>
                <w:lang w:eastAsia="en-US"/>
              </w:rPr>
            </w:pPr>
            <w:r w:rsidRPr="00373FBB">
              <w:rPr>
                <w:rFonts w:asciiTheme="minorHAnsi" w:hAnsiTheme="minorHAnsi" w:cstheme="minorHAnsi"/>
                <w:b/>
                <w:sz w:val="20"/>
                <w:szCs w:val="20"/>
                <w:lang w:eastAsia="en-US"/>
              </w:rPr>
              <w:t>Date of revision</w:t>
            </w:r>
          </w:p>
        </w:tc>
      </w:tr>
      <w:tr w:rsidR="00373FBB" w:rsidRPr="00373FBB" w14:paraId="5DB11BBE" w14:textId="77777777" w:rsidTr="00613D96">
        <w:trPr>
          <w:trHeight w:val="406"/>
        </w:trPr>
        <w:tc>
          <w:tcPr>
            <w:tcW w:w="3868" w:type="pct"/>
          </w:tcPr>
          <w:p w14:paraId="02E30A78" w14:textId="65A8DCBF" w:rsidR="00373FBB" w:rsidRPr="00373FBB" w:rsidRDefault="00B47F7B" w:rsidP="00373FBB">
            <w:pPr>
              <w:jc w:val="left"/>
              <w:rPr>
                <w:rFonts w:asciiTheme="minorHAnsi" w:hAnsiTheme="minorHAnsi" w:cstheme="minorHAnsi"/>
                <w:sz w:val="20"/>
                <w:szCs w:val="20"/>
                <w:lang w:eastAsia="en-US"/>
              </w:rPr>
            </w:pPr>
            <w:r w:rsidRPr="00B47F7B">
              <w:rPr>
                <w:rFonts w:asciiTheme="minorHAnsi" w:hAnsiTheme="minorHAnsi" w:cstheme="minorHAnsi"/>
                <w:sz w:val="20"/>
                <w:szCs w:val="20"/>
                <w:lang w:eastAsia="en-US"/>
              </w:rPr>
              <w:t>Paragraph 7.13: Amended ‘The PBAC considered that with these changes and a reduction in the cost per patient per year in the order of $</w:t>
            </w:r>
            <w:r w:rsidR="00037826" w:rsidRPr="00037826">
              <w:rPr>
                <w:rFonts w:asciiTheme="minorHAnsi" w:hAnsiTheme="minorHAnsi" w:cstheme="minorHAnsi"/>
                <w:spacing w:val="15"/>
                <w:sz w:val="20"/>
                <w:szCs w:val="20"/>
                <w:shd w:val="solid" w:color="000000" w:fill="000000"/>
                <w:fitText w:val="416" w:id="-714406397"/>
                <w:lang w:eastAsia="en-US"/>
                <w14:textFill>
                  <w14:solidFill>
                    <w14:srgbClr w14:val="000000">
                      <w14:alpha w14:val="100000"/>
                    </w14:srgbClr>
                  </w14:solidFill>
                </w14:textFill>
              </w:rPr>
              <w:t>|||</w:t>
            </w:r>
            <w:r w:rsidR="00037826" w:rsidRPr="00037826">
              <w:rPr>
                <w:rFonts w:asciiTheme="minorHAnsi" w:hAnsiTheme="minorHAnsi" w:cstheme="minorHAnsi"/>
                <w:spacing w:val="3"/>
                <w:sz w:val="20"/>
                <w:szCs w:val="20"/>
                <w:shd w:val="solid" w:color="000000" w:fill="000000"/>
                <w:fitText w:val="416" w:id="-714406397"/>
                <w:lang w:eastAsia="en-US"/>
                <w14:textFill>
                  <w14:solidFill>
                    <w14:srgbClr w14:val="000000">
                      <w14:alpha w14:val="100000"/>
                    </w14:srgbClr>
                  </w14:solidFill>
                </w14:textFill>
              </w:rPr>
              <w:t>|</w:t>
            </w:r>
            <w:r w:rsidRPr="00B47F7B">
              <w:rPr>
                <w:rFonts w:asciiTheme="minorHAnsi" w:hAnsiTheme="minorHAnsi" w:cstheme="minorHAnsi"/>
                <w:sz w:val="20"/>
                <w:szCs w:val="20"/>
                <w:lang w:eastAsia="en-US"/>
              </w:rPr>
              <w:t xml:space="preserve"> the financial estimates would be acceptable’ to ‘The PBAC considered that with these changes and a reduction in the cost such that the cost per patient per year is in the order of $</w:t>
            </w:r>
            <w:r w:rsidR="00037826" w:rsidRPr="00037826">
              <w:rPr>
                <w:rFonts w:asciiTheme="minorHAnsi" w:hAnsiTheme="minorHAnsi" w:cstheme="minorHAnsi"/>
                <w:spacing w:val="13"/>
                <w:sz w:val="20"/>
                <w:szCs w:val="20"/>
                <w:shd w:val="solid" w:color="000000" w:fill="000000"/>
                <w:fitText w:val="408" w:id="-714406396"/>
                <w:lang w:eastAsia="en-US"/>
                <w14:textFill>
                  <w14:solidFill>
                    <w14:srgbClr w14:val="000000">
                      <w14:alpha w14:val="100000"/>
                    </w14:srgbClr>
                  </w14:solidFill>
                </w14:textFill>
              </w:rPr>
              <w:t>|||</w:t>
            </w:r>
            <w:r w:rsidR="00037826" w:rsidRPr="00037826">
              <w:rPr>
                <w:rFonts w:asciiTheme="minorHAnsi" w:hAnsiTheme="minorHAnsi" w:cstheme="minorHAnsi"/>
                <w:spacing w:val="1"/>
                <w:sz w:val="20"/>
                <w:szCs w:val="20"/>
                <w:shd w:val="solid" w:color="000000" w:fill="000000"/>
                <w:fitText w:val="408" w:id="-714406396"/>
                <w:lang w:eastAsia="en-US"/>
                <w14:textFill>
                  <w14:solidFill>
                    <w14:srgbClr w14:val="000000">
                      <w14:alpha w14:val="100000"/>
                    </w14:srgbClr>
                  </w14:solidFill>
                </w14:textFill>
              </w:rPr>
              <w:t>|</w:t>
            </w:r>
            <w:r w:rsidRPr="00B47F7B">
              <w:rPr>
                <w:rFonts w:asciiTheme="minorHAnsi" w:hAnsiTheme="minorHAnsi" w:cstheme="minorHAnsi"/>
                <w:sz w:val="20"/>
                <w:szCs w:val="20"/>
                <w:lang w:eastAsia="en-US"/>
              </w:rPr>
              <w:t xml:space="preserve"> the financial estimates would be acceptable’.</w:t>
            </w:r>
          </w:p>
        </w:tc>
        <w:tc>
          <w:tcPr>
            <w:tcW w:w="1132" w:type="pct"/>
            <w:vAlign w:val="center"/>
          </w:tcPr>
          <w:p w14:paraId="5B155D82" w14:textId="730CC017" w:rsidR="00373FBB" w:rsidRPr="00373FBB" w:rsidRDefault="00B46A90" w:rsidP="00373FBB">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7</w:t>
            </w:r>
            <w:r w:rsidR="00373FBB" w:rsidRPr="00373FBB">
              <w:rPr>
                <w:rFonts w:asciiTheme="minorHAnsi" w:hAnsiTheme="minorHAnsi" w:cstheme="minorHAnsi"/>
                <w:sz w:val="20"/>
                <w:szCs w:val="20"/>
                <w:lang w:eastAsia="en-US"/>
              </w:rPr>
              <w:t xml:space="preserve"> March 2025</w:t>
            </w:r>
          </w:p>
        </w:tc>
      </w:tr>
    </w:tbl>
    <w:p w14:paraId="667E862F" w14:textId="77777777" w:rsidR="00373FBB" w:rsidRDefault="00373FBB" w:rsidP="001D102F">
      <w:pPr>
        <w:spacing w:after="120"/>
        <w:ind w:firstLine="720"/>
        <w:rPr>
          <w:color w:val="3366FF"/>
        </w:rPr>
      </w:pPr>
    </w:p>
    <w:sectPr w:rsidR="00373FBB" w:rsidSect="00A31D9C">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8A64" w14:textId="77777777" w:rsidR="00405CEC" w:rsidRDefault="00405CEC" w:rsidP="00124A51">
      <w:r>
        <w:separator/>
      </w:r>
    </w:p>
    <w:p w14:paraId="1359EFB4" w14:textId="77777777" w:rsidR="00405CEC" w:rsidRDefault="00405CEC"/>
  </w:endnote>
  <w:endnote w:type="continuationSeparator" w:id="0">
    <w:p w14:paraId="45B067FE" w14:textId="77777777" w:rsidR="00405CEC" w:rsidRDefault="00405CEC" w:rsidP="00124A51">
      <w:r>
        <w:continuationSeparator/>
      </w:r>
    </w:p>
    <w:p w14:paraId="1B924588" w14:textId="77777777" w:rsidR="00405CEC" w:rsidRDefault="00405CEC"/>
  </w:endnote>
  <w:endnote w:type="continuationNotice" w:id="1">
    <w:p w14:paraId="7CFCC062" w14:textId="77777777" w:rsidR="00405CEC" w:rsidRDefault="0040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8E9C" w14:textId="77777777" w:rsidR="00037826" w:rsidRDefault="00037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EDD1" w14:textId="77777777" w:rsidR="00407414" w:rsidRPr="00575CF4" w:rsidRDefault="00407414" w:rsidP="00753B29">
    <w:pPr>
      <w:pStyle w:val="Footer"/>
      <w:jc w:val="center"/>
      <w:rPr>
        <w:b/>
      </w:rPr>
    </w:pPr>
  </w:p>
  <w:p w14:paraId="72604E5A" w14:textId="1EB4B8A1" w:rsidR="00407414" w:rsidRPr="00E21EB5" w:rsidRDefault="00000000" w:rsidP="006028D3">
    <w:pPr>
      <w:pStyle w:val="PageFooter"/>
    </w:pPr>
    <w:sdt>
      <w:sdtPr>
        <w:id w:val="-691228898"/>
        <w:docPartObj>
          <w:docPartGallery w:val="Page Numbers (Bottom of Page)"/>
          <w:docPartUnique/>
        </w:docPartObj>
      </w:sdtPr>
      <w:sdtEndPr>
        <w:rPr>
          <w:noProof/>
        </w:rPr>
      </w:sdtEndPr>
      <w:sdtContent>
        <w:r w:rsidR="00407414" w:rsidRPr="00E21EB5">
          <w:fldChar w:fldCharType="begin"/>
        </w:r>
        <w:r w:rsidR="00407414" w:rsidRPr="00E21EB5">
          <w:instrText xml:space="preserve"> PAGE   \* MERGEFORMAT </w:instrText>
        </w:r>
        <w:r w:rsidR="00407414" w:rsidRPr="00E21EB5">
          <w:fldChar w:fldCharType="separate"/>
        </w:r>
        <w:r w:rsidR="00407414" w:rsidRPr="00E21EB5">
          <w:rPr>
            <w:noProof/>
          </w:rPr>
          <w:t>2</w:t>
        </w:r>
        <w:r w:rsidR="00407414" w:rsidRPr="00E21EB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7B0A" w14:textId="77777777" w:rsidR="00037826" w:rsidRDefault="0003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1BB1" w14:textId="77777777" w:rsidR="00405CEC" w:rsidRDefault="00405CEC" w:rsidP="00124A51">
      <w:r>
        <w:separator/>
      </w:r>
    </w:p>
    <w:p w14:paraId="406804F5" w14:textId="77777777" w:rsidR="00405CEC" w:rsidRDefault="00405CEC"/>
  </w:footnote>
  <w:footnote w:type="continuationSeparator" w:id="0">
    <w:p w14:paraId="2D7043B3" w14:textId="77777777" w:rsidR="00405CEC" w:rsidRDefault="00405CEC" w:rsidP="00124A51">
      <w:r>
        <w:continuationSeparator/>
      </w:r>
    </w:p>
    <w:p w14:paraId="46E1E54C" w14:textId="77777777" w:rsidR="00405CEC" w:rsidRDefault="00405CEC"/>
  </w:footnote>
  <w:footnote w:type="continuationNotice" w:id="1">
    <w:p w14:paraId="528DB8CA" w14:textId="77777777" w:rsidR="00405CEC" w:rsidRDefault="00405CEC"/>
  </w:footnote>
  <w:footnote w:id="2">
    <w:p w14:paraId="47979626" w14:textId="77777777" w:rsidR="004E1A6E" w:rsidRPr="00A22FC1" w:rsidRDefault="004E1A6E" w:rsidP="004E1A6E">
      <w:pPr>
        <w:pStyle w:val="FootnoteText"/>
        <w:rPr>
          <w:lang w:val="en-US"/>
        </w:rPr>
      </w:pPr>
      <w:r>
        <w:rPr>
          <w:rStyle w:val="FootnoteReference"/>
        </w:rPr>
        <w:footnoteRef/>
      </w:r>
      <w:r>
        <w:t xml:space="preserve"> </w:t>
      </w:r>
      <w:r w:rsidRPr="00A22FC1">
        <w:t>Shaikh U, Khan A, Kumari P, Ishfaq A, Ekhator C, Yousuf P, Halappa Nagaraj R, Raza H, Ur Rehman U, Zaman MU, Lakshmipriya Vetrivendan G, Nguyen N, Kadel B, Sherpa TN, Ullah A, Bellegarde SB. Novel Therapeutic Targets for Fibrodysplasia Ossificans Progressiva: Emerging Strategies and Future Directions. Cureus. 2023 Jul 28;15(7):e42614. doi: 10.7759/cureus.42614. PMID: 37521595; PMCID: PMC10378717.</w:t>
      </w:r>
    </w:p>
  </w:footnote>
  <w:footnote w:id="3">
    <w:p w14:paraId="65996F81" w14:textId="77777777" w:rsidR="00094D9A" w:rsidRPr="00BE5A28" w:rsidRDefault="00094D9A" w:rsidP="008469BA">
      <w:pPr>
        <w:pStyle w:val="FootnoteText"/>
        <w:jc w:val="both"/>
        <w:rPr>
          <w:lang w:val="en-US"/>
        </w:rPr>
      </w:pPr>
      <w:r>
        <w:rPr>
          <w:rStyle w:val="FootnoteReference"/>
        </w:rPr>
        <w:footnoteRef/>
      </w:r>
      <w:r>
        <w:t xml:space="preserve"> </w:t>
      </w:r>
      <w:r>
        <w:rPr>
          <w:lang w:val="en-US"/>
        </w:rPr>
        <w:t xml:space="preserve">Food and Drug Administration. </w:t>
      </w:r>
      <w:r w:rsidRPr="00BE5A28">
        <w:rPr>
          <w:lang w:val="en-US"/>
        </w:rPr>
        <w:t>Endocrinologic and Metabolic Drugs Advisory Committee Meeting</w:t>
      </w:r>
      <w:r>
        <w:rPr>
          <w:lang w:val="en-US"/>
        </w:rPr>
        <w:t xml:space="preserve"> on palovarotene. 28 June 2023. Available at: </w:t>
      </w:r>
      <w:r w:rsidRPr="00777E51">
        <w:t>https://www.fda.gov/media/169787/download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EE5D" w14:textId="77777777" w:rsidR="00037826" w:rsidRDefault="00037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30DC" w14:textId="15753547" w:rsidR="00407414" w:rsidRPr="00195452" w:rsidRDefault="00051ED7" w:rsidP="00D822E2">
    <w:pPr>
      <w:pStyle w:val="Header"/>
      <w:rPr>
        <w:rFonts w:asciiTheme="minorHAnsi" w:hAnsiTheme="minorHAnsi"/>
        <w:i w:val="0"/>
        <w:color w:val="808080"/>
      </w:rPr>
    </w:pPr>
    <w:r>
      <w:rPr>
        <w:rFonts w:asciiTheme="minorHAnsi" w:hAnsiTheme="minorHAnsi"/>
        <w:color w:val="808080"/>
      </w:rPr>
      <w:t>Public Summary Document</w:t>
    </w:r>
    <w:r w:rsidR="00E21EB5">
      <w:rPr>
        <w:rFonts w:asciiTheme="minorHAnsi" w:hAnsiTheme="minorHAnsi"/>
        <w:color w:val="808080"/>
      </w:rPr>
      <w:t xml:space="preserve"> - </w:t>
    </w:r>
    <w:r w:rsidR="00407414">
      <w:rPr>
        <w:rFonts w:asciiTheme="minorHAnsi" w:hAnsiTheme="minorHAnsi"/>
        <w:color w:val="808080"/>
      </w:rPr>
      <w:t xml:space="preserve">November 2024 </w:t>
    </w:r>
    <w:r w:rsidR="00407414" w:rsidRPr="00195452">
      <w:rPr>
        <w:rFonts w:asciiTheme="minorHAnsi" w:hAnsiTheme="minorHAnsi"/>
        <w:color w:val="808080"/>
      </w:rPr>
      <w:t>PBAC Meeting</w:t>
    </w:r>
  </w:p>
  <w:p w14:paraId="4F4B79E0" w14:textId="77777777" w:rsidR="00407414" w:rsidRPr="008C7ECB" w:rsidRDefault="00407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67EC" w14:textId="77777777" w:rsidR="00037826" w:rsidRDefault="0003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B2C89"/>
    <w:multiLevelType w:val="hybridMultilevel"/>
    <w:tmpl w:val="8BA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00B7"/>
    <w:multiLevelType w:val="hybridMultilevel"/>
    <w:tmpl w:val="10FE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2DB2"/>
    <w:multiLevelType w:val="hybridMultilevel"/>
    <w:tmpl w:val="A59CCCE6"/>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4" w15:restartNumberingAfterBreak="0">
    <w:nsid w:val="18007C1C"/>
    <w:multiLevelType w:val="multilevel"/>
    <w:tmpl w:val="E3A000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13EBC"/>
    <w:multiLevelType w:val="hybridMultilevel"/>
    <w:tmpl w:val="D358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80D5B"/>
    <w:multiLevelType w:val="hybridMultilevel"/>
    <w:tmpl w:val="C674C36E"/>
    <w:lvl w:ilvl="0" w:tplc="0C09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2B24992"/>
    <w:multiLevelType w:val="hybridMultilevel"/>
    <w:tmpl w:val="4C0AA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83707"/>
    <w:multiLevelType w:val="hybridMultilevel"/>
    <w:tmpl w:val="06A416E6"/>
    <w:lvl w:ilvl="0" w:tplc="0C090001">
      <w:start w:val="1"/>
      <w:numFmt w:val="bullet"/>
      <w:lvlText w:val=""/>
      <w:lvlJc w:val="left"/>
      <w:pPr>
        <w:ind w:left="360" w:hanging="360"/>
      </w:pPr>
      <w:rPr>
        <w:rFonts w:ascii="Symbol" w:hAnsi="Symbol" w:hint="default"/>
      </w:rPr>
    </w:lvl>
    <w:lvl w:ilvl="1" w:tplc="EB0E29A6">
      <w:start w:val="1"/>
      <w:numFmt w:val="bullet"/>
      <w:pStyle w:val="Table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0B651B"/>
    <w:multiLevelType w:val="hybridMultilevel"/>
    <w:tmpl w:val="E416E430"/>
    <w:lvl w:ilvl="0" w:tplc="274CE51C">
      <w:start w:val="4"/>
      <w:numFmt w:val="bullet"/>
      <w:lvlText w:val="-"/>
      <w:lvlJc w:val="left"/>
      <w:pPr>
        <w:ind w:left="720" w:hanging="360"/>
      </w:pPr>
      <w:rPr>
        <w:rFonts w:ascii="Arial Narrow" w:eastAsiaTheme="majorEastAsia" w:hAnsi="Arial Narrow"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34673B"/>
    <w:multiLevelType w:val="multilevel"/>
    <w:tmpl w:val="7374BE2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AAB72CE"/>
    <w:multiLevelType w:val="hybridMultilevel"/>
    <w:tmpl w:val="083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2566A9"/>
    <w:multiLevelType w:val="hybridMultilevel"/>
    <w:tmpl w:val="9D1809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3C"/>
    <w:multiLevelType w:val="multilevel"/>
    <w:tmpl w:val="3242761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855"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17"/>
  </w:num>
  <w:num w:numId="2" w16cid:durableId="917793048">
    <w:abstractNumId w:val="12"/>
  </w:num>
  <w:num w:numId="3" w16cid:durableId="263461728">
    <w:abstractNumId w:val="0"/>
  </w:num>
  <w:num w:numId="4" w16cid:durableId="220360847">
    <w:abstractNumId w:val="13"/>
  </w:num>
  <w:num w:numId="5" w16cid:durableId="268196418">
    <w:abstractNumId w:val="10"/>
  </w:num>
  <w:num w:numId="6" w16cid:durableId="1048839230">
    <w:abstractNumId w:val="17"/>
  </w:num>
  <w:num w:numId="7" w16cid:durableId="903176676">
    <w:abstractNumId w:val="7"/>
  </w:num>
  <w:num w:numId="8" w16cid:durableId="669796722">
    <w:abstractNumId w:val="14"/>
  </w:num>
  <w:num w:numId="9" w16cid:durableId="1960137833">
    <w:abstractNumId w:val="2"/>
  </w:num>
  <w:num w:numId="10" w16cid:durableId="217202775">
    <w:abstractNumId w:val="5"/>
  </w:num>
  <w:num w:numId="11" w16cid:durableId="509297886">
    <w:abstractNumId w:val="16"/>
  </w:num>
  <w:num w:numId="12" w16cid:durableId="1269198602">
    <w:abstractNumId w:val="8"/>
  </w:num>
  <w:num w:numId="13" w16cid:durableId="448160103">
    <w:abstractNumId w:val="1"/>
  </w:num>
  <w:num w:numId="14" w16cid:durableId="677581361">
    <w:abstractNumId w:val="9"/>
  </w:num>
  <w:num w:numId="15" w16cid:durableId="69890407">
    <w:abstractNumId w:val="11"/>
  </w:num>
  <w:num w:numId="16" w16cid:durableId="1752043287">
    <w:abstractNumId w:val="3"/>
  </w:num>
  <w:num w:numId="17" w16cid:durableId="209997201">
    <w:abstractNumId w:val="15"/>
  </w:num>
  <w:num w:numId="18" w16cid:durableId="48384080">
    <w:abstractNumId w:val="4"/>
  </w:num>
  <w:num w:numId="19" w16cid:durableId="834952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849"/>
    <w:rsid w:val="000028A6"/>
    <w:rsid w:val="00003499"/>
    <w:rsid w:val="000039B7"/>
    <w:rsid w:val="000044F2"/>
    <w:rsid w:val="00004B0D"/>
    <w:rsid w:val="000056B9"/>
    <w:rsid w:val="00005A1A"/>
    <w:rsid w:val="0000639A"/>
    <w:rsid w:val="00006888"/>
    <w:rsid w:val="00007A87"/>
    <w:rsid w:val="000108B1"/>
    <w:rsid w:val="00011FF6"/>
    <w:rsid w:val="00013247"/>
    <w:rsid w:val="000151E7"/>
    <w:rsid w:val="00015886"/>
    <w:rsid w:val="000162EF"/>
    <w:rsid w:val="0001687F"/>
    <w:rsid w:val="000207C9"/>
    <w:rsid w:val="0002225F"/>
    <w:rsid w:val="00023763"/>
    <w:rsid w:val="00024154"/>
    <w:rsid w:val="00024BCC"/>
    <w:rsid w:val="00024EB5"/>
    <w:rsid w:val="000274B8"/>
    <w:rsid w:val="00030182"/>
    <w:rsid w:val="00032F14"/>
    <w:rsid w:val="00033863"/>
    <w:rsid w:val="000339F6"/>
    <w:rsid w:val="0003408F"/>
    <w:rsid w:val="000349A4"/>
    <w:rsid w:val="00034F8F"/>
    <w:rsid w:val="00035DC0"/>
    <w:rsid w:val="00036829"/>
    <w:rsid w:val="00037826"/>
    <w:rsid w:val="00040895"/>
    <w:rsid w:val="000410A0"/>
    <w:rsid w:val="000435EE"/>
    <w:rsid w:val="00043C37"/>
    <w:rsid w:val="00045017"/>
    <w:rsid w:val="00045A2B"/>
    <w:rsid w:val="00046576"/>
    <w:rsid w:val="0004698F"/>
    <w:rsid w:val="00046D64"/>
    <w:rsid w:val="0004722C"/>
    <w:rsid w:val="00047908"/>
    <w:rsid w:val="000508C2"/>
    <w:rsid w:val="00051248"/>
    <w:rsid w:val="00051ED7"/>
    <w:rsid w:val="000539D0"/>
    <w:rsid w:val="00054621"/>
    <w:rsid w:val="000546D7"/>
    <w:rsid w:val="00054A8D"/>
    <w:rsid w:val="00056ECF"/>
    <w:rsid w:val="000604DF"/>
    <w:rsid w:val="00062324"/>
    <w:rsid w:val="00063150"/>
    <w:rsid w:val="000651F4"/>
    <w:rsid w:val="000653B5"/>
    <w:rsid w:val="00066360"/>
    <w:rsid w:val="00066747"/>
    <w:rsid w:val="00066AF8"/>
    <w:rsid w:val="00071248"/>
    <w:rsid w:val="000720B9"/>
    <w:rsid w:val="000737F7"/>
    <w:rsid w:val="0007672F"/>
    <w:rsid w:val="00076B54"/>
    <w:rsid w:val="000774F0"/>
    <w:rsid w:val="00080909"/>
    <w:rsid w:val="000812CA"/>
    <w:rsid w:val="00081E63"/>
    <w:rsid w:val="0008258D"/>
    <w:rsid w:val="00083E99"/>
    <w:rsid w:val="00084FA8"/>
    <w:rsid w:val="000856C5"/>
    <w:rsid w:val="00085C31"/>
    <w:rsid w:val="00085DAC"/>
    <w:rsid w:val="00086F12"/>
    <w:rsid w:val="000902D9"/>
    <w:rsid w:val="000908BB"/>
    <w:rsid w:val="00090C7E"/>
    <w:rsid w:val="000911AC"/>
    <w:rsid w:val="00091288"/>
    <w:rsid w:val="00092600"/>
    <w:rsid w:val="0009262B"/>
    <w:rsid w:val="00093310"/>
    <w:rsid w:val="0009445C"/>
    <w:rsid w:val="00094D9A"/>
    <w:rsid w:val="00095200"/>
    <w:rsid w:val="00095851"/>
    <w:rsid w:val="00095FE5"/>
    <w:rsid w:val="00096284"/>
    <w:rsid w:val="000A1BC0"/>
    <w:rsid w:val="000A2F9E"/>
    <w:rsid w:val="000A3E47"/>
    <w:rsid w:val="000A5087"/>
    <w:rsid w:val="000A522B"/>
    <w:rsid w:val="000A6039"/>
    <w:rsid w:val="000A7275"/>
    <w:rsid w:val="000A7453"/>
    <w:rsid w:val="000A7D08"/>
    <w:rsid w:val="000B0121"/>
    <w:rsid w:val="000B0385"/>
    <w:rsid w:val="000B0670"/>
    <w:rsid w:val="000B0E75"/>
    <w:rsid w:val="000B2DCB"/>
    <w:rsid w:val="000B41FF"/>
    <w:rsid w:val="000B5A9A"/>
    <w:rsid w:val="000B5CE0"/>
    <w:rsid w:val="000B6CAC"/>
    <w:rsid w:val="000B7612"/>
    <w:rsid w:val="000B78AE"/>
    <w:rsid w:val="000C3DF9"/>
    <w:rsid w:val="000C4CF2"/>
    <w:rsid w:val="000C6713"/>
    <w:rsid w:val="000D0801"/>
    <w:rsid w:val="000D1BFC"/>
    <w:rsid w:val="000D1D5D"/>
    <w:rsid w:val="000D281A"/>
    <w:rsid w:val="000D2848"/>
    <w:rsid w:val="000D326A"/>
    <w:rsid w:val="000D4169"/>
    <w:rsid w:val="000D51FB"/>
    <w:rsid w:val="000D5902"/>
    <w:rsid w:val="000D6A21"/>
    <w:rsid w:val="000D7140"/>
    <w:rsid w:val="000D7A6E"/>
    <w:rsid w:val="000E0131"/>
    <w:rsid w:val="000E0640"/>
    <w:rsid w:val="000E0F5C"/>
    <w:rsid w:val="000E135D"/>
    <w:rsid w:val="000E13E9"/>
    <w:rsid w:val="000E4192"/>
    <w:rsid w:val="000E4A46"/>
    <w:rsid w:val="000E5249"/>
    <w:rsid w:val="000E5AE5"/>
    <w:rsid w:val="000F00BA"/>
    <w:rsid w:val="000F316A"/>
    <w:rsid w:val="000F3C74"/>
    <w:rsid w:val="000F3E0A"/>
    <w:rsid w:val="000F4BB8"/>
    <w:rsid w:val="000F4FA9"/>
    <w:rsid w:val="000F50DD"/>
    <w:rsid w:val="000F53FB"/>
    <w:rsid w:val="000F7127"/>
    <w:rsid w:val="000F7A5D"/>
    <w:rsid w:val="000F7B54"/>
    <w:rsid w:val="001000B3"/>
    <w:rsid w:val="00100F8A"/>
    <w:rsid w:val="001027A6"/>
    <w:rsid w:val="0010452E"/>
    <w:rsid w:val="00105AE2"/>
    <w:rsid w:val="001060C6"/>
    <w:rsid w:val="00106B80"/>
    <w:rsid w:val="0011007F"/>
    <w:rsid w:val="0011032E"/>
    <w:rsid w:val="00110450"/>
    <w:rsid w:val="00110909"/>
    <w:rsid w:val="00110EAE"/>
    <w:rsid w:val="0011348B"/>
    <w:rsid w:val="00113D58"/>
    <w:rsid w:val="00115982"/>
    <w:rsid w:val="00115A3E"/>
    <w:rsid w:val="00115AF5"/>
    <w:rsid w:val="00115EF4"/>
    <w:rsid w:val="00116C53"/>
    <w:rsid w:val="00117DA7"/>
    <w:rsid w:val="001202BE"/>
    <w:rsid w:val="00121799"/>
    <w:rsid w:val="00121824"/>
    <w:rsid w:val="001222FC"/>
    <w:rsid w:val="00123902"/>
    <w:rsid w:val="00124A51"/>
    <w:rsid w:val="0012510A"/>
    <w:rsid w:val="00126621"/>
    <w:rsid w:val="00126B1D"/>
    <w:rsid w:val="001274A3"/>
    <w:rsid w:val="00127665"/>
    <w:rsid w:val="001301E9"/>
    <w:rsid w:val="001301FA"/>
    <w:rsid w:val="00131D82"/>
    <w:rsid w:val="00131D8A"/>
    <w:rsid w:val="00132433"/>
    <w:rsid w:val="00132B22"/>
    <w:rsid w:val="00133A18"/>
    <w:rsid w:val="00133D36"/>
    <w:rsid w:val="001345E1"/>
    <w:rsid w:val="00135F47"/>
    <w:rsid w:val="00136E6B"/>
    <w:rsid w:val="0013755E"/>
    <w:rsid w:val="00137645"/>
    <w:rsid w:val="0014015A"/>
    <w:rsid w:val="00140E99"/>
    <w:rsid w:val="00143165"/>
    <w:rsid w:val="001439DE"/>
    <w:rsid w:val="00143F67"/>
    <w:rsid w:val="00145234"/>
    <w:rsid w:val="00145540"/>
    <w:rsid w:val="001456B0"/>
    <w:rsid w:val="00145860"/>
    <w:rsid w:val="00151A24"/>
    <w:rsid w:val="001547AB"/>
    <w:rsid w:val="00156F8F"/>
    <w:rsid w:val="00157130"/>
    <w:rsid w:val="001576B1"/>
    <w:rsid w:val="0016047B"/>
    <w:rsid w:val="00160A4C"/>
    <w:rsid w:val="001615E6"/>
    <w:rsid w:val="00162380"/>
    <w:rsid w:val="00162913"/>
    <w:rsid w:val="00163CEB"/>
    <w:rsid w:val="00163EFF"/>
    <w:rsid w:val="00163F66"/>
    <w:rsid w:val="0016478E"/>
    <w:rsid w:val="00165EC4"/>
    <w:rsid w:val="001661FB"/>
    <w:rsid w:val="001671A0"/>
    <w:rsid w:val="0016767F"/>
    <w:rsid w:val="001707DD"/>
    <w:rsid w:val="00173565"/>
    <w:rsid w:val="00173B07"/>
    <w:rsid w:val="001751FA"/>
    <w:rsid w:val="0017522C"/>
    <w:rsid w:val="00181C10"/>
    <w:rsid w:val="00181D9C"/>
    <w:rsid w:val="00182417"/>
    <w:rsid w:val="00183066"/>
    <w:rsid w:val="001837FF"/>
    <w:rsid w:val="00184B0E"/>
    <w:rsid w:val="00185C5B"/>
    <w:rsid w:val="00185CE7"/>
    <w:rsid w:val="0018752F"/>
    <w:rsid w:val="00187586"/>
    <w:rsid w:val="00187B4A"/>
    <w:rsid w:val="00190F3D"/>
    <w:rsid w:val="001929FC"/>
    <w:rsid w:val="00193838"/>
    <w:rsid w:val="00194AD8"/>
    <w:rsid w:val="00195222"/>
    <w:rsid w:val="00195452"/>
    <w:rsid w:val="0019571A"/>
    <w:rsid w:val="0019641D"/>
    <w:rsid w:val="001974F0"/>
    <w:rsid w:val="001975D8"/>
    <w:rsid w:val="00197AAB"/>
    <w:rsid w:val="001A178E"/>
    <w:rsid w:val="001A2C3F"/>
    <w:rsid w:val="001A2EB3"/>
    <w:rsid w:val="001A43FA"/>
    <w:rsid w:val="001A47C5"/>
    <w:rsid w:val="001A4D7E"/>
    <w:rsid w:val="001A5378"/>
    <w:rsid w:val="001A56BB"/>
    <w:rsid w:val="001A59FB"/>
    <w:rsid w:val="001A5E9E"/>
    <w:rsid w:val="001A6354"/>
    <w:rsid w:val="001A6366"/>
    <w:rsid w:val="001A745B"/>
    <w:rsid w:val="001A77B9"/>
    <w:rsid w:val="001A7AE8"/>
    <w:rsid w:val="001B08F6"/>
    <w:rsid w:val="001B128E"/>
    <w:rsid w:val="001B204E"/>
    <w:rsid w:val="001B2372"/>
    <w:rsid w:val="001B3443"/>
    <w:rsid w:val="001B3786"/>
    <w:rsid w:val="001B4D20"/>
    <w:rsid w:val="001B6D02"/>
    <w:rsid w:val="001B7F84"/>
    <w:rsid w:val="001C2A9B"/>
    <w:rsid w:val="001C3DD6"/>
    <w:rsid w:val="001C4299"/>
    <w:rsid w:val="001C44FE"/>
    <w:rsid w:val="001C4874"/>
    <w:rsid w:val="001C5F94"/>
    <w:rsid w:val="001C6E53"/>
    <w:rsid w:val="001C6E66"/>
    <w:rsid w:val="001C7D38"/>
    <w:rsid w:val="001D0DB7"/>
    <w:rsid w:val="001D102F"/>
    <w:rsid w:val="001D1100"/>
    <w:rsid w:val="001D1391"/>
    <w:rsid w:val="001D25D7"/>
    <w:rsid w:val="001D3056"/>
    <w:rsid w:val="001D3F64"/>
    <w:rsid w:val="001D50B2"/>
    <w:rsid w:val="001D66BA"/>
    <w:rsid w:val="001D70E1"/>
    <w:rsid w:val="001D71F4"/>
    <w:rsid w:val="001D7645"/>
    <w:rsid w:val="001D7C16"/>
    <w:rsid w:val="001E1E86"/>
    <w:rsid w:val="001E238E"/>
    <w:rsid w:val="001E2483"/>
    <w:rsid w:val="001E2B1E"/>
    <w:rsid w:val="001E2CFF"/>
    <w:rsid w:val="001E2F24"/>
    <w:rsid w:val="001E30D4"/>
    <w:rsid w:val="001E34DF"/>
    <w:rsid w:val="001E3CBB"/>
    <w:rsid w:val="001E52EB"/>
    <w:rsid w:val="001E61D2"/>
    <w:rsid w:val="001E740C"/>
    <w:rsid w:val="001F1235"/>
    <w:rsid w:val="001F1376"/>
    <w:rsid w:val="001F1CB3"/>
    <w:rsid w:val="001F38B5"/>
    <w:rsid w:val="001F4081"/>
    <w:rsid w:val="001F5C8A"/>
    <w:rsid w:val="001F7361"/>
    <w:rsid w:val="002011B0"/>
    <w:rsid w:val="00201A37"/>
    <w:rsid w:val="0020251E"/>
    <w:rsid w:val="00203181"/>
    <w:rsid w:val="0020340E"/>
    <w:rsid w:val="00203783"/>
    <w:rsid w:val="0020385F"/>
    <w:rsid w:val="00204ACC"/>
    <w:rsid w:val="002068A0"/>
    <w:rsid w:val="00207021"/>
    <w:rsid w:val="0020732F"/>
    <w:rsid w:val="002078B8"/>
    <w:rsid w:val="00207D00"/>
    <w:rsid w:val="002105C1"/>
    <w:rsid w:val="002116FD"/>
    <w:rsid w:val="00213EF5"/>
    <w:rsid w:val="0021623D"/>
    <w:rsid w:val="00216BF5"/>
    <w:rsid w:val="002224FC"/>
    <w:rsid w:val="00223B49"/>
    <w:rsid w:val="00223D5A"/>
    <w:rsid w:val="00224DD4"/>
    <w:rsid w:val="0022502E"/>
    <w:rsid w:val="002278A0"/>
    <w:rsid w:val="002309CC"/>
    <w:rsid w:val="00231BA9"/>
    <w:rsid w:val="0023209F"/>
    <w:rsid w:val="00233C01"/>
    <w:rsid w:val="0023413C"/>
    <w:rsid w:val="002346F0"/>
    <w:rsid w:val="00235959"/>
    <w:rsid w:val="0023629D"/>
    <w:rsid w:val="00237255"/>
    <w:rsid w:val="00241E92"/>
    <w:rsid w:val="002424AF"/>
    <w:rsid w:val="002439DC"/>
    <w:rsid w:val="002441D2"/>
    <w:rsid w:val="00244DC8"/>
    <w:rsid w:val="00245855"/>
    <w:rsid w:val="002458BA"/>
    <w:rsid w:val="00245CE9"/>
    <w:rsid w:val="0024636C"/>
    <w:rsid w:val="00246F60"/>
    <w:rsid w:val="00247925"/>
    <w:rsid w:val="00250216"/>
    <w:rsid w:val="002508D9"/>
    <w:rsid w:val="00251006"/>
    <w:rsid w:val="00251054"/>
    <w:rsid w:val="002524D5"/>
    <w:rsid w:val="00253B1D"/>
    <w:rsid w:val="00254DCF"/>
    <w:rsid w:val="0025531B"/>
    <w:rsid w:val="0025534B"/>
    <w:rsid w:val="00255BB7"/>
    <w:rsid w:val="00257541"/>
    <w:rsid w:val="00257A39"/>
    <w:rsid w:val="00257AC4"/>
    <w:rsid w:val="00257BBE"/>
    <w:rsid w:val="002616AC"/>
    <w:rsid w:val="00261E28"/>
    <w:rsid w:val="00261EEF"/>
    <w:rsid w:val="00262A1A"/>
    <w:rsid w:val="00262A87"/>
    <w:rsid w:val="00264D26"/>
    <w:rsid w:val="00267642"/>
    <w:rsid w:val="00267AEA"/>
    <w:rsid w:val="00267DED"/>
    <w:rsid w:val="00267EB8"/>
    <w:rsid w:val="002700E6"/>
    <w:rsid w:val="00271676"/>
    <w:rsid w:val="0027289D"/>
    <w:rsid w:val="0027294B"/>
    <w:rsid w:val="00273EB4"/>
    <w:rsid w:val="00274682"/>
    <w:rsid w:val="00275158"/>
    <w:rsid w:val="00275C5A"/>
    <w:rsid w:val="00277139"/>
    <w:rsid w:val="00280195"/>
    <w:rsid w:val="00281014"/>
    <w:rsid w:val="00284BE9"/>
    <w:rsid w:val="0028534B"/>
    <w:rsid w:val="00285BCE"/>
    <w:rsid w:val="00285F95"/>
    <w:rsid w:val="0028665D"/>
    <w:rsid w:val="00286AAC"/>
    <w:rsid w:val="002912A1"/>
    <w:rsid w:val="00291D9C"/>
    <w:rsid w:val="00294A78"/>
    <w:rsid w:val="002953F2"/>
    <w:rsid w:val="002965DE"/>
    <w:rsid w:val="0029696F"/>
    <w:rsid w:val="002A0808"/>
    <w:rsid w:val="002A14AB"/>
    <w:rsid w:val="002A2ADE"/>
    <w:rsid w:val="002A2F50"/>
    <w:rsid w:val="002A4328"/>
    <w:rsid w:val="002A5C36"/>
    <w:rsid w:val="002A78F2"/>
    <w:rsid w:val="002A7943"/>
    <w:rsid w:val="002B05A1"/>
    <w:rsid w:val="002B09A4"/>
    <w:rsid w:val="002B176A"/>
    <w:rsid w:val="002B1BF1"/>
    <w:rsid w:val="002B1C1F"/>
    <w:rsid w:val="002B36D0"/>
    <w:rsid w:val="002B432F"/>
    <w:rsid w:val="002B5AEA"/>
    <w:rsid w:val="002B62B3"/>
    <w:rsid w:val="002B6754"/>
    <w:rsid w:val="002B6A85"/>
    <w:rsid w:val="002B6CCE"/>
    <w:rsid w:val="002B72F8"/>
    <w:rsid w:val="002C013F"/>
    <w:rsid w:val="002C2510"/>
    <w:rsid w:val="002C2775"/>
    <w:rsid w:val="002C27C1"/>
    <w:rsid w:val="002C2932"/>
    <w:rsid w:val="002C36E3"/>
    <w:rsid w:val="002C5099"/>
    <w:rsid w:val="002C5889"/>
    <w:rsid w:val="002C7023"/>
    <w:rsid w:val="002C705F"/>
    <w:rsid w:val="002C71CE"/>
    <w:rsid w:val="002D08F8"/>
    <w:rsid w:val="002D577C"/>
    <w:rsid w:val="002D7832"/>
    <w:rsid w:val="002D7FBD"/>
    <w:rsid w:val="002E1071"/>
    <w:rsid w:val="002E15B9"/>
    <w:rsid w:val="002E1D3B"/>
    <w:rsid w:val="002E1E87"/>
    <w:rsid w:val="002E2158"/>
    <w:rsid w:val="002E3D78"/>
    <w:rsid w:val="002E4F02"/>
    <w:rsid w:val="002E7722"/>
    <w:rsid w:val="002E7A26"/>
    <w:rsid w:val="002E7A50"/>
    <w:rsid w:val="002E7D29"/>
    <w:rsid w:val="002F07BA"/>
    <w:rsid w:val="002F07C2"/>
    <w:rsid w:val="002F0DA9"/>
    <w:rsid w:val="002F1014"/>
    <w:rsid w:val="002F1E3B"/>
    <w:rsid w:val="002F317A"/>
    <w:rsid w:val="002F643C"/>
    <w:rsid w:val="002F71C0"/>
    <w:rsid w:val="002F74F1"/>
    <w:rsid w:val="0030037F"/>
    <w:rsid w:val="00301017"/>
    <w:rsid w:val="0030155F"/>
    <w:rsid w:val="00303A4E"/>
    <w:rsid w:val="0030459D"/>
    <w:rsid w:val="0030587B"/>
    <w:rsid w:val="00306D98"/>
    <w:rsid w:val="003071B4"/>
    <w:rsid w:val="0030786C"/>
    <w:rsid w:val="003102D6"/>
    <w:rsid w:val="0031031A"/>
    <w:rsid w:val="00310379"/>
    <w:rsid w:val="00310981"/>
    <w:rsid w:val="00311590"/>
    <w:rsid w:val="00311D9B"/>
    <w:rsid w:val="003124D9"/>
    <w:rsid w:val="00312594"/>
    <w:rsid w:val="00312CD2"/>
    <w:rsid w:val="00313C40"/>
    <w:rsid w:val="003145BE"/>
    <w:rsid w:val="00315498"/>
    <w:rsid w:val="00316474"/>
    <w:rsid w:val="00317B7C"/>
    <w:rsid w:val="00320AA6"/>
    <w:rsid w:val="00321323"/>
    <w:rsid w:val="00322107"/>
    <w:rsid w:val="00322355"/>
    <w:rsid w:val="00322846"/>
    <w:rsid w:val="003229AE"/>
    <w:rsid w:val="00325FFF"/>
    <w:rsid w:val="003269FC"/>
    <w:rsid w:val="00326DA7"/>
    <w:rsid w:val="003270E4"/>
    <w:rsid w:val="0032717D"/>
    <w:rsid w:val="003273C8"/>
    <w:rsid w:val="00327838"/>
    <w:rsid w:val="00330DAA"/>
    <w:rsid w:val="00330F5C"/>
    <w:rsid w:val="00332ED0"/>
    <w:rsid w:val="003366AE"/>
    <w:rsid w:val="003366C9"/>
    <w:rsid w:val="003371B0"/>
    <w:rsid w:val="00340DF1"/>
    <w:rsid w:val="003410A5"/>
    <w:rsid w:val="0034649C"/>
    <w:rsid w:val="00346563"/>
    <w:rsid w:val="003517F9"/>
    <w:rsid w:val="00351BA9"/>
    <w:rsid w:val="0035341F"/>
    <w:rsid w:val="00353A88"/>
    <w:rsid w:val="00354F64"/>
    <w:rsid w:val="0035620E"/>
    <w:rsid w:val="003575BE"/>
    <w:rsid w:val="00357D33"/>
    <w:rsid w:val="00360345"/>
    <w:rsid w:val="00361A05"/>
    <w:rsid w:val="003624C4"/>
    <w:rsid w:val="00362690"/>
    <w:rsid w:val="00362939"/>
    <w:rsid w:val="00363B00"/>
    <w:rsid w:val="003654AC"/>
    <w:rsid w:val="0036722C"/>
    <w:rsid w:val="003710CF"/>
    <w:rsid w:val="00372A61"/>
    <w:rsid w:val="0037358A"/>
    <w:rsid w:val="00373FBB"/>
    <w:rsid w:val="00374460"/>
    <w:rsid w:val="003750F6"/>
    <w:rsid w:val="003760FC"/>
    <w:rsid w:val="0038247C"/>
    <w:rsid w:val="0038365C"/>
    <w:rsid w:val="0038369B"/>
    <w:rsid w:val="00383951"/>
    <w:rsid w:val="00383B78"/>
    <w:rsid w:val="00385A9D"/>
    <w:rsid w:val="00387121"/>
    <w:rsid w:val="0039021B"/>
    <w:rsid w:val="003902B1"/>
    <w:rsid w:val="00390538"/>
    <w:rsid w:val="0039179C"/>
    <w:rsid w:val="003946D1"/>
    <w:rsid w:val="003960AC"/>
    <w:rsid w:val="00396896"/>
    <w:rsid w:val="00396FD0"/>
    <w:rsid w:val="00397444"/>
    <w:rsid w:val="00397946"/>
    <w:rsid w:val="003A1A7A"/>
    <w:rsid w:val="003A2392"/>
    <w:rsid w:val="003A2831"/>
    <w:rsid w:val="003A3CB6"/>
    <w:rsid w:val="003A3ED1"/>
    <w:rsid w:val="003A44DB"/>
    <w:rsid w:val="003A4C14"/>
    <w:rsid w:val="003B3971"/>
    <w:rsid w:val="003B55D1"/>
    <w:rsid w:val="003B5B61"/>
    <w:rsid w:val="003B5FDB"/>
    <w:rsid w:val="003B76E7"/>
    <w:rsid w:val="003C1654"/>
    <w:rsid w:val="003C5375"/>
    <w:rsid w:val="003C5542"/>
    <w:rsid w:val="003C6188"/>
    <w:rsid w:val="003C6D2C"/>
    <w:rsid w:val="003C7C15"/>
    <w:rsid w:val="003C7D19"/>
    <w:rsid w:val="003C7D2F"/>
    <w:rsid w:val="003D0C5A"/>
    <w:rsid w:val="003D17E7"/>
    <w:rsid w:val="003D1828"/>
    <w:rsid w:val="003D1DE4"/>
    <w:rsid w:val="003D1E9A"/>
    <w:rsid w:val="003D2422"/>
    <w:rsid w:val="003D39A1"/>
    <w:rsid w:val="003D3FBF"/>
    <w:rsid w:val="003D463C"/>
    <w:rsid w:val="003D4A30"/>
    <w:rsid w:val="003D5A7A"/>
    <w:rsid w:val="003D6BAB"/>
    <w:rsid w:val="003D7452"/>
    <w:rsid w:val="003D79BB"/>
    <w:rsid w:val="003D7C98"/>
    <w:rsid w:val="003D7D9D"/>
    <w:rsid w:val="003D7EC4"/>
    <w:rsid w:val="003E0543"/>
    <w:rsid w:val="003E08EC"/>
    <w:rsid w:val="003E3142"/>
    <w:rsid w:val="003E36EB"/>
    <w:rsid w:val="003E4B3E"/>
    <w:rsid w:val="003E5603"/>
    <w:rsid w:val="003E5D84"/>
    <w:rsid w:val="003E7031"/>
    <w:rsid w:val="003E71C6"/>
    <w:rsid w:val="003E749E"/>
    <w:rsid w:val="003F0DDD"/>
    <w:rsid w:val="003F2743"/>
    <w:rsid w:val="003F3AB1"/>
    <w:rsid w:val="003F4156"/>
    <w:rsid w:val="003F5ADF"/>
    <w:rsid w:val="00400B29"/>
    <w:rsid w:val="00402812"/>
    <w:rsid w:val="0040504B"/>
    <w:rsid w:val="004050DC"/>
    <w:rsid w:val="004059F4"/>
    <w:rsid w:val="00405CEC"/>
    <w:rsid w:val="00405E26"/>
    <w:rsid w:val="00407414"/>
    <w:rsid w:val="00407FE5"/>
    <w:rsid w:val="004101B0"/>
    <w:rsid w:val="00410326"/>
    <w:rsid w:val="00410708"/>
    <w:rsid w:val="00410EC7"/>
    <w:rsid w:val="00411379"/>
    <w:rsid w:val="00411B39"/>
    <w:rsid w:val="004127A7"/>
    <w:rsid w:val="00412C06"/>
    <w:rsid w:val="00413A1E"/>
    <w:rsid w:val="00413FE6"/>
    <w:rsid w:val="00414476"/>
    <w:rsid w:val="00414C2E"/>
    <w:rsid w:val="004151CF"/>
    <w:rsid w:val="00416364"/>
    <w:rsid w:val="00417162"/>
    <w:rsid w:val="0042028A"/>
    <w:rsid w:val="0042047F"/>
    <w:rsid w:val="00420AA6"/>
    <w:rsid w:val="00420B9F"/>
    <w:rsid w:val="0042192C"/>
    <w:rsid w:val="00422260"/>
    <w:rsid w:val="0042413F"/>
    <w:rsid w:val="0042496B"/>
    <w:rsid w:val="00426590"/>
    <w:rsid w:val="00426A33"/>
    <w:rsid w:val="00427FE8"/>
    <w:rsid w:val="004319F8"/>
    <w:rsid w:val="00431E55"/>
    <w:rsid w:val="004321F6"/>
    <w:rsid w:val="00433044"/>
    <w:rsid w:val="0043347F"/>
    <w:rsid w:val="00433764"/>
    <w:rsid w:val="00433995"/>
    <w:rsid w:val="00434088"/>
    <w:rsid w:val="004372D0"/>
    <w:rsid w:val="004375B9"/>
    <w:rsid w:val="0044060A"/>
    <w:rsid w:val="004428D0"/>
    <w:rsid w:val="00443AF9"/>
    <w:rsid w:val="00444185"/>
    <w:rsid w:val="004443A7"/>
    <w:rsid w:val="0044442C"/>
    <w:rsid w:val="00445941"/>
    <w:rsid w:val="004464EB"/>
    <w:rsid w:val="00447D26"/>
    <w:rsid w:val="00447DFC"/>
    <w:rsid w:val="004526ED"/>
    <w:rsid w:val="004532EE"/>
    <w:rsid w:val="00453D9B"/>
    <w:rsid w:val="00455D45"/>
    <w:rsid w:val="0046338B"/>
    <w:rsid w:val="00463D55"/>
    <w:rsid w:val="00464595"/>
    <w:rsid w:val="004658B5"/>
    <w:rsid w:val="00465938"/>
    <w:rsid w:val="00470174"/>
    <w:rsid w:val="00471BD5"/>
    <w:rsid w:val="00471EA5"/>
    <w:rsid w:val="00472A79"/>
    <w:rsid w:val="0047339D"/>
    <w:rsid w:val="00473F19"/>
    <w:rsid w:val="00475E22"/>
    <w:rsid w:val="00477742"/>
    <w:rsid w:val="0048016C"/>
    <w:rsid w:val="0048088E"/>
    <w:rsid w:val="00480F2B"/>
    <w:rsid w:val="00482720"/>
    <w:rsid w:val="00482B68"/>
    <w:rsid w:val="0048338C"/>
    <w:rsid w:val="004835E7"/>
    <w:rsid w:val="004859E1"/>
    <w:rsid w:val="00485D42"/>
    <w:rsid w:val="00485FBB"/>
    <w:rsid w:val="004867E2"/>
    <w:rsid w:val="00486910"/>
    <w:rsid w:val="00490B17"/>
    <w:rsid w:val="00491B3A"/>
    <w:rsid w:val="00492CFD"/>
    <w:rsid w:val="00494207"/>
    <w:rsid w:val="00494DD5"/>
    <w:rsid w:val="004962D2"/>
    <w:rsid w:val="00496441"/>
    <w:rsid w:val="004A0DA1"/>
    <w:rsid w:val="004A13D6"/>
    <w:rsid w:val="004A2768"/>
    <w:rsid w:val="004A52E9"/>
    <w:rsid w:val="004A6040"/>
    <w:rsid w:val="004A6597"/>
    <w:rsid w:val="004A6CB7"/>
    <w:rsid w:val="004A7848"/>
    <w:rsid w:val="004A793B"/>
    <w:rsid w:val="004B1CB4"/>
    <w:rsid w:val="004B2A7A"/>
    <w:rsid w:val="004B2F18"/>
    <w:rsid w:val="004B3DDB"/>
    <w:rsid w:val="004B42E0"/>
    <w:rsid w:val="004B44FD"/>
    <w:rsid w:val="004B4FA0"/>
    <w:rsid w:val="004B5BAA"/>
    <w:rsid w:val="004B5CFC"/>
    <w:rsid w:val="004B6F79"/>
    <w:rsid w:val="004B7196"/>
    <w:rsid w:val="004B71C9"/>
    <w:rsid w:val="004B774D"/>
    <w:rsid w:val="004C08E8"/>
    <w:rsid w:val="004C2AC2"/>
    <w:rsid w:val="004C3B02"/>
    <w:rsid w:val="004C4761"/>
    <w:rsid w:val="004C4AED"/>
    <w:rsid w:val="004D059C"/>
    <w:rsid w:val="004D2405"/>
    <w:rsid w:val="004D2C2D"/>
    <w:rsid w:val="004D3706"/>
    <w:rsid w:val="004D5002"/>
    <w:rsid w:val="004D69B5"/>
    <w:rsid w:val="004D7227"/>
    <w:rsid w:val="004D7B5E"/>
    <w:rsid w:val="004E03FF"/>
    <w:rsid w:val="004E0E7F"/>
    <w:rsid w:val="004E0EB8"/>
    <w:rsid w:val="004E18E9"/>
    <w:rsid w:val="004E1A6E"/>
    <w:rsid w:val="004E1B15"/>
    <w:rsid w:val="004E2ADC"/>
    <w:rsid w:val="004E43B2"/>
    <w:rsid w:val="004E46EB"/>
    <w:rsid w:val="004E480B"/>
    <w:rsid w:val="004E7021"/>
    <w:rsid w:val="004F1D02"/>
    <w:rsid w:val="004F2217"/>
    <w:rsid w:val="004F2679"/>
    <w:rsid w:val="004F2F21"/>
    <w:rsid w:val="004F3AE9"/>
    <w:rsid w:val="004F3DE5"/>
    <w:rsid w:val="004F4430"/>
    <w:rsid w:val="004F4D48"/>
    <w:rsid w:val="004F4E36"/>
    <w:rsid w:val="004F5C76"/>
    <w:rsid w:val="004F67B1"/>
    <w:rsid w:val="004F6913"/>
    <w:rsid w:val="004F6CBD"/>
    <w:rsid w:val="004F7865"/>
    <w:rsid w:val="004F7EEE"/>
    <w:rsid w:val="005006AC"/>
    <w:rsid w:val="0050174E"/>
    <w:rsid w:val="00501854"/>
    <w:rsid w:val="0050219B"/>
    <w:rsid w:val="00503E8F"/>
    <w:rsid w:val="00503F17"/>
    <w:rsid w:val="00503F3A"/>
    <w:rsid w:val="00504C2A"/>
    <w:rsid w:val="0050585F"/>
    <w:rsid w:val="00506928"/>
    <w:rsid w:val="005077D9"/>
    <w:rsid w:val="005077EF"/>
    <w:rsid w:val="00507D5F"/>
    <w:rsid w:val="00511AD5"/>
    <w:rsid w:val="00511DC7"/>
    <w:rsid w:val="00514029"/>
    <w:rsid w:val="005142C5"/>
    <w:rsid w:val="0051501B"/>
    <w:rsid w:val="005151F0"/>
    <w:rsid w:val="005152B5"/>
    <w:rsid w:val="00515886"/>
    <w:rsid w:val="005176A4"/>
    <w:rsid w:val="00520214"/>
    <w:rsid w:val="0052123C"/>
    <w:rsid w:val="00521319"/>
    <w:rsid w:val="00522BC8"/>
    <w:rsid w:val="00523C28"/>
    <w:rsid w:val="0052734C"/>
    <w:rsid w:val="0053070D"/>
    <w:rsid w:val="0053176B"/>
    <w:rsid w:val="005341B3"/>
    <w:rsid w:val="005361A7"/>
    <w:rsid w:val="00536F42"/>
    <w:rsid w:val="00537182"/>
    <w:rsid w:val="00537A9A"/>
    <w:rsid w:val="00540FD5"/>
    <w:rsid w:val="00541EDD"/>
    <w:rsid w:val="00542743"/>
    <w:rsid w:val="00542C2D"/>
    <w:rsid w:val="00542EE4"/>
    <w:rsid w:val="00544827"/>
    <w:rsid w:val="00544FEB"/>
    <w:rsid w:val="00546ADE"/>
    <w:rsid w:val="005478BD"/>
    <w:rsid w:val="005479E3"/>
    <w:rsid w:val="00551201"/>
    <w:rsid w:val="005514A8"/>
    <w:rsid w:val="00551985"/>
    <w:rsid w:val="00551FDB"/>
    <w:rsid w:val="00552BD3"/>
    <w:rsid w:val="005532A0"/>
    <w:rsid w:val="00555109"/>
    <w:rsid w:val="00556B35"/>
    <w:rsid w:val="005572B1"/>
    <w:rsid w:val="0055741A"/>
    <w:rsid w:val="00557CE8"/>
    <w:rsid w:val="005607A0"/>
    <w:rsid w:val="00560A85"/>
    <w:rsid w:val="005611B7"/>
    <w:rsid w:val="005618D4"/>
    <w:rsid w:val="00561983"/>
    <w:rsid w:val="0056378A"/>
    <w:rsid w:val="00564867"/>
    <w:rsid w:val="005654DF"/>
    <w:rsid w:val="00565C79"/>
    <w:rsid w:val="00565DF0"/>
    <w:rsid w:val="0056696F"/>
    <w:rsid w:val="005678CC"/>
    <w:rsid w:val="005702E3"/>
    <w:rsid w:val="005708D0"/>
    <w:rsid w:val="00572269"/>
    <w:rsid w:val="0057244A"/>
    <w:rsid w:val="00572F26"/>
    <w:rsid w:val="005750C5"/>
    <w:rsid w:val="005752DE"/>
    <w:rsid w:val="00575CF4"/>
    <w:rsid w:val="00575D60"/>
    <w:rsid w:val="00575D8D"/>
    <w:rsid w:val="00576972"/>
    <w:rsid w:val="00577248"/>
    <w:rsid w:val="00581997"/>
    <w:rsid w:val="00583699"/>
    <w:rsid w:val="00584E5F"/>
    <w:rsid w:val="00585CDD"/>
    <w:rsid w:val="00586755"/>
    <w:rsid w:val="00587058"/>
    <w:rsid w:val="00590782"/>
    <w:rsid w:val="00591957"/>
    <w:rsid w:val="00592936"/>
    <w:rsid w:val="005933CB"/>
    <w:rsid w:val="005957F1"/>
    <w:rsid w:val="005959E0"/>
    <w:rsid w:val="00597117"/>
    <w:rsid w:val="00597BF9"/>
    <w:rsid w:val="005A0C11"/>
    <w:rsid w:val="005A12F1"/>
    <w:rsid w:val="005A23B0"/>
    <w:rsid w:val="005A25D5"/>
    <w:rsid w:val="005A309A"/>
    <w:rsid w:val="005A31E3"/>
    <w:rsid w:val="005A373D"/>
    <w:rsid w:val="005A3C46"/>
    <w:rsid w:val="005A7159"/>
    <w:rsid w:val="005B0B58"/>
    <w:rsid w:val="005B0FC4"/>
    <w:rsid w:val="005B1F75"/>
    <w:rsid w:val="005B4E53"/>
    <w:rsid w:val="005B5857"/>
    <w:rsid w:val="005B7712"/>
    <w:rsid w:val="005C0BBA"/>
    <w:rsid w:val="005C17EE"/>
    <w:rsid w:val="005C19C4"/>
    <w:rsid w:val="005C1B83"/>
    <w:rsid w:val="005C2559"/>
    <w:rsid w:val="005C25FF"/>
    <w:rsid w:val="005C2D55"/>
    <w:rsid w:val="005C346B"/>
    <w:rsid w:val="005C3687"/>
    <w:rsid w:val="005C381C"/>
    <w:rsid w:val="005C3BE5"/>
    <w:rsid w:val="005C5ABC"/>
    <w:rsid w:val="005C67F8"/>
    <w:rsid w:val="005C71C2"/>
    <w:rsid w:val="005D044D"/>
    <w:rsid w:val="005D0ABD"/>
    <w:rsid w:val="005D18AD"/>
    <w:rsid w:val="005D26B4"/>
    <w:rsid w:val="005D6917"/>
    <w:rsid w:val="005D6E1D"/>
    <w:rsid w:val="005E1995"/>
    <w:rsid w:val="005E1D17"/>
    <w:rsid w:val="005E37CA"/>
    <w:rsid w:val="005E3D5A"/>
    <w:rsid w:val="005E6AB8"/>
    <w:rsid w:val="005E6CBC"/>
    <w:rsid w:val="005E6DC7"/>
    <w:rsid w:val="005E72FF"/>
    <w:rsid w:val="005E73C0"/>
    <w:rsid w:val="005E7E6F"/>
    <w:rsid w:val="005F0185"/>
    <w:rsid w:val="005F07ED"/>
    <w:rsid w:val="005F212D"/>
    <w:rsid w:val="005F2706"/>
    <w:rsid w:val="005F30E1"/>
    <w:rsid w:val="005F6A8F"/>
    <w:rsid w:val="005F6BB7"/>
    <w:rsid w:val="005F7588"/>
    <w:rsid w:val="0060187C"/>
    <w:rsid w:val="006028D3"/>
    <w:rsid w:val="00602C93"/>
    <w:rsid w:val="00603DB9"/>
    <w:rsid w:val="00604408"/>
    <w:rsid w:val="006055B5"/>
    <w:rsid w:val="00605C37"/>
    <w:rsid w:val="00606FBA"/>
    <w:rsid w:val="00607669"/>
    <w:rsid w:val="006076F4"/>
    <w:rsid w:val="00607AFD"/>
    <w:rsid w:val="00610A1B"/>
    <w:rsid w:val="00611B12"/>
    <w:rsid w:val="00611CD1"/>
    <w:rsid w:val="00612F97"/>
    <w:rsid w:val="0061345D"/>
    <w:rsid w:val="006148AE"/>
    <w:rsid w:val="00614B84"/>
    <w:rsid w:val="0061549B"/>
    <w:rsid w:val="00616802"/>
    <w:rsid w:val="00617E12"/>
    <w:rsid w:val="00617F75"/>
    <w:rsid w:val="00620C25"/>
    <w:rsid w:val="00621477"/>
    <w:rsid w:val="006214F4"/>
    <w:rsid w:val="00621ADA"/>
    <w:rsid w:val="0062226E"/>
    <w:rsid w:val="00622307"/>
    <w:rsid w:val="00623F7B"/>
    <w:rsid w:val="00624BD4"/>
    <w:rsid w:val="0062629D"/>
    <w:rsid w:val="00626803"/>
    <w:rsid w:val="0063158F"/>
    <w:rsid w:val="00631D6B"/>
    <w:rsid w:val="00632183"/>
    <w:rsid w:val="00632F48"/>
    <w:rsid w:val="006330A1"/>
    <w:rsid w:val="0063479F"/>
    <w:rsid w:val="00635120"/>
    <w:rsid w:val="006353F0"/>
    <w:rsid w:val="006357B5"/>
    <w:rsid w:val="006364A1"/>
    <w:rsid w:val="0063678E"/>
    <w:rsid w:val="00636D86"/>
    <w:rsid w:val="00637BFD"/>
    <w:rsid w:val="00637C5C"/>
    <w:rsid w:val="00641C4E"/>
    <w:rsid w:val="00641FB3"/>
    <w:rsid w:val="006425A8"/>
    <w:rsid w:val="006429C9"/>
    <w:rsid w:val="00642B23"/>
    <w:rsid w:val="00644054"/>
    <w:rsid w:val="006440C5"/>
    <w:rsid w:val="0064434C"/>
    <w:rsid w:val="006471CC"/>
    <w:rsid w:val="006472FE"/>
    <w:rsid w:val="00647A29"/>
    <w:rsid w:val="006501A5"/>
    <w:rsid w:val="0065079F"/>
    <w:rsid w:val="00652A28"/>
    <w:rsid w:val="0065379F"/>
    <w:rsid w:val="00656188"/>
    <w:rsid w:val="0065715A"/>
    <w:rsid w:val="00660679"/>
    <w:rsid w:val="006610F1"/>
    <w:rsid w:val="00661C6B"/>
    <w:rsid w:val="00662D3E"/>
    <w:rsid w:val="00663AAA"/>
    <w:rsid w:val="00666DBB"/>
    <w:rsid w:val="0066708C"/>
    <w:rsid w:val="00667BE3"/>
    <w:rsid w:val="0067038F"/>
    <w:rsid w:val="00671004"/>
    <w:rsid w:val="00672646"/>
    <w:rsid w:val="00674E42"/>
    <w:rsid w:val="0067604B"/>
    <w:rsid w:val="00676563"/>
    <w:rsid w:val="00677893"/>
    <w:rsid w:val="00681287"/>
    <w:rsid w:val="006813F8"/>
    <w:rsid w:val="00681F4D"/>
    <w:rsid w:val="0068209E"/>
    <w:rsid w:val="00682112"/>
    <w:rsid w:val="00682BA6"/>
    <w:rsid w:val="0068308D"/>
    <w:rsid w:val="00683C1D"/>
    <w:rsid w:val="00685234"/>
    <w:rsid w:val="006858B4"/>
    <w:rsid w:val="00685A75"/>
    <w:rsid w:val="00685AA5"/>
    <w:rsid w:val="00685F46"/>
    <w:rsid w:val="00686957"/>
    <w:rsid w:val="006872BA"/>
    <w:rsid w:val="00690795"/>
    <w:rsid w:val="0069112D"/>
    <w:rsid w:val="00691648"/>
    <w:rsid w:val="006917D7"/>
    <w:rsid w:val="0069213C"/>
    <w:rsid w:val="0069434C"/>
    <w:rsid w:val="00694F44"/>
    <w:rsid w:val="00696EF9"/>
    <w:rsid w:val="00696F17"/>
    <w:rsid w:val="00696F51"/>
    <w:rsid w:val="006979A5"/>
    <w:rsid w:val="006A016F"/>
    <w:rsid w:val="006A06A6"/>
    <w:rsid w:val="006A0DF7"/>
    <w:rsid w:val="006A22D5"/>
    <w:rsid w:val="006A39A9"/>
    <w:rsid w:val="006A4321"/>
    <w:rsid w:val="006A43D9"/>
    <w:rsid w:val="006A6B99"/>
    <w:rsid w:val="006A7E5F"/>
    <w:rsid w:val="006B03B1"/>
    <w:rsid w:val="006B261B"/>
    <w:rsid w:val="006B2C90"/>
    <w:rsid w:val="006B35E6"/>
    <w:rsid w:val="006B387C"/>
    <w:rsid w:val="006B465A"/>
    <w:rsid w:val="006B4BC0"/>
    <w:rsid w:val="006B6D4E"/>
    <w:rsid w:val="006B6DD0"/>
    <w:rsid w:val="006B73EB"/>
    <w:rsid w:val="006B7FC2"/>
    <w:rsid w:val="006C0399"/>
    <w:rsid w:val="006C0435"/>
    <w:rsid w:val="006C0A5F"/>
    <w:rsid w:val="006C0AEC"/>
    <w:rsid w:val="006C0D29"/>
    <w:rsid w:val="006C2A8E"/>
    <w:rsid w:val="006C3255"/>
    <w:rsid w:val="006C33B6"/>
    <w:rsid w:val="006C3F26"/>
    <w:rsid w:val="006C4403"/>
    <w:rsid w:val="006C7599"/>
    <w:rsid w:val="006D0D17"/>
    <w:rsid w:val="006D3C7D"/>
    <w:rsid w:val="006D4659"/>
    <w:rsid w:val="006D5D5F"/>
    <w:rsid w:val="006D6751"/>
    <w:rsid w:val="006D68FB"/>
    <w:rsid w:val="006E0772"/>
    <w:rsid w:val="006E2868"/>
    <w:rsid w:val="006E30EF"/>
    <w:rsid w:val="006E6E63"/>
    <w:rsid w:val="006F1330"/>
    <w:rsid w:val="006F2B31"/>
    <w:rsid w:val="006F306C"/>
    <w:rsid w:val="006F3465"/>
    <w:rsid w:val="006F3994"/>
    <w:rsid w:val="006F63A5"/>
    <w:rsid w:val="006F649F"/>
    <w:rsid w:val="0070142B"/>
    <w:rsid w:val="00701F4B"/>
    <w:rsid w:val="0070276E"/>
    <w:rsid w:val="00702F8F"/>
    <w:rsid w:val="00706D20"/>
    <w:rsid w:val="007079FC"/>
    <w:rsid w:val="00707E48"/>
    <w:rsid w:val="00710360"/>
    <w:rsid w:val="007105D1"/>
    <w:rsid w:val="00711A36"/>
    <w:rsid w:val="007125D3"/>
    <w:rsid w:val="00713EFC"/>
    <w:rsid w:val="00714C26"/>
    <w:rsid w:val="0071529C"/>
    <w:rsid w:val="007170DA"/>
    <w:rsid w:val="007172AD"/>
    <w:rsid w:val="00717546"/>
    <w:rsid w:val="00720801"/>
    <w:rsid w:val="00721609"/>
    <w:rsid w:val="00721DA5"/>
    <w:rsid w:val="00722B1B"/>
    <w:rsid w:val="0072416F"/>
    <w:rsid w:val="007255ED"/>
    <w:rsid w:val="00726623"/>
    <w:rsid w:val="00727063"/>
    <w:rsid w:val="00727C94"/>
    <w:rsid w:val="0073082D"/>
    <w:rsid w:val="00731B0A"/>
    <w:rsid w:val="00731EAE"/>
    <w:rsid w:val="00733073"/>
    <w:rsid w:val="00733CCA"/>
    <w:rsid w:val="00733D78"/>
    <w:rsid w:val="00734F0B"/>
    <w:rsid w:val="00735033"/>
    <w:rsid w:val="00735328"/>
    <w:rsid w:val="007357A1"/>
    <w:rsid w:val="007367D0"/>
    <w:rsid w:val="0073685B"/>
    <w:rsid w:val="0074148D"/>
    <w:rsid w:val="007417D4"/>
    <w:rsid w:val="0074302B"/>
    <w:rsid w:val="0074445F"/>
    <w:rsid w:val="007449BF"/>
    <w:rsid w:val="007463FE"/>
    <w:rsid w:val="00746BC0"/>
    <w:rsid w:val="007510B4"/>
    <w:rsid w:val="00752142"/>
    <w:rsid w:val="007523F9"/>
    <w:rsid w:val="0075357E"/>
    <w:rsid w:val="00753A17"/>
    <w:rsid w:val="00753B29"/>
    <w:rsid w:val="007573E8"/>
    <w:rsid w:val="00757CAF"/>
    <w:rsid w:val="00760C4E"/>
    <w:rsid w:val="00760F9E"/>
    <w:rsid w:val="0076144F"/>
    <w:rsid w:val="007616E6"/>
    <w:rsid w:val="007627BE"/>
    <w:rsid w:val="00764F03"/>
    <w:rsid w:val="00764F1E"/>
    <w:rsid w:val="00765B1A"/>
    <w:rsid w:val="00765DC1"/>
    <w:rsid w:val="00767715"/>
    <w:rsid w:val="00770F3D"/>
    <w:rsid w:val="007730A8"/>
    <w:rsid w:val="00776A29"/>
    <w:rsid w:val="00777335"/>
    <w:rsid w:val="007776DE"/>
    <w:rsid w:val="00780A21"/>
    <w:rsid w:val="00781E15"/>
    <w:rsid w:val="007821EB"/>
    <w:rsid w:val="007843F2"/>
    <w:rsid w:val="007846FA"/>
    <w:rsid w:val="00785A9F"/>
    <w:rsid w:val="00787503"/>
    <w:rsid w:val="007913E5"/>
    <w:rsid w:val="007925DF"/>
    <w:rsid w:val="007A08AA"/>
    <w:rsid w:val="007A0A12"/>
    <w:rsid w:val="007A132D"/>
    <w:rsid w:val="007A1345"/>
    <w:rsid w:val="007A2866"/>
    <w:rsid w:val="007A2DDB"/>
    <w:rsid w:val="007A4212"/>
    <w:rsid w:val="007A6665"/>
    <w:rsid w:val="007A70BA"/>
    <w:rsid w:val="007B0D68"/>
    <w:rsid w:val="007B251D"/>
    <w:rsid w:val="007B3533"/>
    <w:rsid w:val="007B3C97"/>
    <w:rsid w:val="007B4F58"/>
    <w:rsid w:val="007B528D"/>
    <w:rsid w:val="007B63CA"/>
    <w:rsid w:val="007B77D1"/>
    <w:rsid w:val="007C07C7"/>
    <w:rsid w:val="007C1CD9"/>
    <w:rsid w:val="007C32EF"/>
    <w:rsid w:val="007C361D"/>
    <w:rsid w:val="007C4B84"/>
    <w:rsid w:val="007C70FF"/>
    <w:rsid w:val="007C7C25"/>
    <w:rsid w:val="007D004F"/>
    <w:rsid w:val="007D035F"/>
    <w:rsid w:val="007D0445"/>
    <w:rsid w:val="007D06B2"/>
    <w:rsid w:val="007D0A4B"/>
    <w:rsid w:val="007D0B38"/>
    <w:rsid w:val="007D24F7"/>
    <w:rsid w:val="007D3544"/>
    <w:rsid w:val="007D3B0A"/>
    <w:rsid w:val="007D5440"/>
    <w:rsid w:val="007D649B"/>
    <w:rsid w:val="007D69EB"/>
    <w:rsid w:val="007E128F"/>
    <w:rsid w:val="007E14D7"/>
    <w:rsid w:val="007E1E0D"/>
    <w:rsid w:val="007E40C1"/>
    <w:rsid w:val="007F1008"/>
    <w:rsid w:val="007F1017"/>
    <w:rsid w:val="007F150A"/>
    <w:rsid w:val="007F4A3F"/>
    <w:rsid w:val="007F4A61"/>
    <w:rsid w:val="007F5255"/>
    <w:rsid w:val="007F56CC"/>
    <w:rsid w:val="007F61C2"/>
    <w:rsid w:val="007F6BC3"/>
    <w:rsid w:val="007F6C4C"/>
    <w:rsid w:val="0080023B"/>
    <w:rsid w:val="00805142"/>
    <w:rsid w:val="0080566B"/>
    <w:rsid w:val="00805FCE"/>
    <w:rsid w:val="00807665"/>
    <w:rsid w:val="00807A8B"/>
    <w:rsid w:val="00807DFA"/>
    <w:rsid w:val="00811383"/>
    <w:rsid w:val="00812149"/>
    <w:rsid w:val="00812CAC"/>
    <w:rsid w:val="008144A6"/>
    <w:rsid w:val="0081483B"/>
    <w:rsid w:val="00816361"/>
    <w:rsid w:val="008166EF"/>
    <w:rsid w:val="00816FEF"/>
    <w:rsid w:val="00820A8C"/>
    <w:rsid w:val="008215FB"/>
    <w:rsid w:val="008220CC"/>
    <w:rsid w:val="00823174"/>
    <w:rsid w:val="00823D32"/>
    <w:rsid w:val="00825751"/>
    <w:rsid w:val="00825F5D"/>
    <w:rsid w:val="008264EB"/>
    <w:rsid w:val="00826874"/>
    <w:rsid w:val="008268CE"/>
    <w:rsid w:val="00827C23"/>
    <w:rsid w:val="00830424"/>
    <w:rsid w:val="0083173A"/>
    <w:rsid w:val="00832796"/>
    <w:rsid w:val="00833B05"/>
    <w:rsid w:val="00836210"/>
    <w:rsid w:val="008362B4"/>
    <w:rsid w:val="00836C4A"/>
    <w:rsid w:val="00840CA2"/>
    <w:rsid w:val="00843688"/>
    <w:rsid w:val="0084374F"/>
    <w:rsid w:val="00844354"/>
    <w:rsid w:val="00844A22"/>
    <w:rsid w:val="00845B5D"/>
    <w:rsid w:val="008469BA"/>
    <w:rsid w:val="0084736F"/>
    <w:rsid w:val="0084768D"/>
    <w:rsid w:val="00847703"/>
    <w:rsid w:val="00847DF5"/>
    <w:rsid w:val="0085000D"/>
    <w:rsid w:val="00852DAD"/>
    <w:rsid w:val="0085309D"/>
    <w:rsid w:val="00856897"/>
    <w:rsid w:val="00856DC8"/>
    <w:rsid w:val="00856E9A"/>
    <w:rsid w:val="00857F18"/>
    <w:rsid w:val="00857F25"/>
    <w:rsid w:val="0086075D"/>
    <w:rsid w:val="00862502"/>
    <w:rsid w:val="00862CC1"/>
    <w:rsid w:val="008642A7"/>
    <w:rsid w:val="00864D1A"/>
    <w:rsid w:val="008660D4"/>
    <w:rsid w:val="00870779"/>
    <w:rsid w:val="00871FA9"/>
    <w:rsid w:val="0087209D"/>
    <w:rsid w:val="008728E9"/>
    <w:rsid w:val="00873C0C"/>
    <w:rsid w:val="008740BB"/>
    <w:rsid w:val="00875234"/>
    <w:rsid w:val="00877B83"/>
    <w:rsid w:val="00882874"/>
    <w:rsid w:val="00882E3C"/>
    <w:rsid w:val="00882ECA"/>
    <w:rsid w:val="0088308A"/>
    <w:rsid w:val="00883787"/>
    <w:rsid w:val="00883BB1"/>
    <w:rsid w:val="0088518D"/>
    <w:rsid w:val="00885521"/>
    <w:rsid w:val="008855E4"/>
    <w:rsid w:val="0088681A"/>
    <w:rsid w:val="00886CD2"/>
    <w:rsid w:val="00890B4F"/>
    <w:rsid w:val="00891E6F"/>
    <w:rsid w:val="0089275D"/>
    <w:rsid w:val="00892A36"/>
    <w:rsid w:val="00893239"/>
    <w:rsid w:val="0089420E"/>
    <w:rsid w:val="00894489"/>
    <w:rsid w:val="00894CD6"/>
    <w:rsid w:val="008957D2"/>
    <w:rsid w:val="00895D70"/>
    <w:rsid w:val="008963A5"/>
    <w:rsid w:val="00896D5D"/>
    <w:rsid w:val="008973C2"/>
    <w:rsid w:val="008A123C"/>
    <w:rsid w:val="008A1335"/>
    <w:rsid w:val="008A1467"/>
    <w:rsid w:val="008A1FA2"/>
    <w:rsid w:val="008A3158"/>
    <w:rsid w:val="008A3363"/>
    <w:rsid w:val="008A3371"/>
    <w:rsid w:val="008A3C3E"/>
    <w:rsid w:val="008A4EBF"/>
    <w:rsid w:val="008A79DE"/>
    <w:rsid w:val="008B14AE"/>
    <w:rsid w:val="008B1757"/>
    <w:rsid w:val="008B1C33"/>
    <w:rsid w:val="008B2CB1"/>
    <w:rsid w:val="008B2D18"/>
    <w:rsid w:val="008B38C5"/>
    <w:rsid w:val="008B4B6F"/>
    <w:rsid w:val="008B7480"/>
    <w:rsid w:val="008B7992"/>
    <w:rsid w:val="008B7D7E"/>
    <w:rsid w:val="008C3D94"/>
    <w:rsid w:val="008C5610"/>
    <w:rsid w:val="008C5682"/>
    <w:rsid w:val="008C5739"/>
    <w:rsid w:val="008C7282"/>
    <w:rsid w:val="008C79B9"/>
    <w:rsid w:val="008C7ECB"/>
    <w:rsid w:val="008D2977"/>
    <w:rsid w:val="008D3B86"/>
    <w:rsid w:val="008D43FD"/>
    <w:rsid w:val="008D4755"/>
    <w:rsid w:val="008D4A4C"/>
    <w:rsid w:val="008D4C3D"/>
    <w:rsid w:val="008D5FD1"/>
    <w:rsid w:val="008D743C"/>
    <w:rsid w:val="008D748D"/>
    <w:rsid w:val="008E0D3C"/>
    <w:rsid w:val="008E193D"/>
    <w:rsid w:val="008E1B9E"/>
    <w:rsid w:val="008E55AB"/>
    <w:rsid w:val="008E7293"/>
    <w:rsid w:val="008F020B"/>
    <w:rsid w:val="008F120A"/>
    <w:rsid w:val="008F27E0"/>
    <w:rsid w:val="008F48EB"/>
    <w:rsid w:val="008F4F0B"/>
    <w:rsid w:val="008F5EBA"/>
    <w:rsid w:val="008F6421"/>
    <w:rsid w:val="008F6A74"/>
    <w:rsid w:val="008F7365"/>
    <w:rsid w:val="009015C4"/>
    <w:rsid w:val="00902FBB"/>
    <w:rsid w:val="00903C22"/>
    <w:rsid w:val="00903EF1"/>
    <w:rsid w:val="009046C4"/>
    <w:rsid w:val="009049C4"/>
    <w:rsid w:val="00904EB9"/>
    <w:rsid w:val="009062A5"/>
    <w:rsid w:val="009063BB"/>
    <w:rsid w:val="00907488"/>
    <w:rsid w:val="00907699"/>
    <w:rsid w:val="00910837"/>
    <w:rsid w:val="00910FA7"/>
    <w:rsid w:val="009111EE"/>
    <w:rsid w:val="00911272"/>
    <w:rsid w:val="00911339"/>
    <w:rsid w:val="00911EC5"/>
    <w:rsid w:val="00912353"/>
    <w:rsid w:val="0091244D"/>
    <w:rsid w:val="00912943"/>
    <w:rsid w:val="009135D6"/>
    <w:rsid w:val="009148FE"/>
    <w:rsid w:val="00914C77"/>
    <w:rsid w:val="00917502"/>
    <w:rsid w:val="00921179"/>
    <w:rsid w:val="00921653"/>
    <w:rsid w:val="00921ACB"/>
    <w:rsid w:val="009231D4"/>
    <w:rsid w:val="0092369B"/>
    <w:rsid w:val="00923810"/>
    <w:rsid w:val="00923D50"/>
    <w:rsid w:val="009310EE"/>
    <w:rsid w:val="00934988"/>
    <w:rsid w:val="00934A8F"/>
    <w:rsid w:val="0093626C"/>
    <w:rsid w:val="00937089"/>
    <w:rsid w:val="00937D4D"/>
    <w:rsid w:val="00940398"/>
    <w:rsid w:val="009417E2"/>
    <w:rsid w:val="00942D8C"/>
    <w:rsid w:val="00942E0E"/>
    <w:rsid w:val="00944F8A"/>
    <w:rsid w:val="00946975"/>
    <w:rsid w:val="00947CBE"/>
    <w:rsid w:val="009510A2"/>
    <w:rsid w:val="00953257"/>
    <w:rsid w:val="00953BA1"/>
    <w:rsid w:val="00954534"/>
    <w:rsid w:val="0095474C"/>
    <w:rsid w:val="0095722C"/>
    <w:rsid w:val="00957763"/>
    <w:rsid w:val="00957D92"/>
    <w:rsid w:val="00962CB9"/>
    <w:rsid w:val="00964312"/>
    <w:rsid w:val="00964965"/>
    <w:rsid w:val="00965B8A"/>
    <w:rsid w:val="00966F73"/>
    <w:rsid w:val="00967493"/>
    <w:rsid w:val="0097071F"/>
    <w:rsid w:val="009717AC"/>
    <w:rsid w:val="00971BFD"/>
    <w:rsid w:val="009720AA"/>
    <w:rsid w:val="009751C1"/>
    <w:rsid w:val="0097609B"/>
    <w:rsid w:val="009811F1"/>
    <w:rsid w:val="0098262F"/>
    <w:rsid w:val="00982695"/>
    <w:rsid w:val="00983E57"/>
    <w:rsid w:val="00985DE2"/>
    <w:rsid w:val="0098675D"/>
    <w:rsid w:val="00986E65"/>
    <w:rsid w:val="00987BA4"/>
    <w:rsid w:val="00992454"/>
    <w:rsid w:val="00992479"/>
    <w:rsid w:val="009926E0"/>
    <w:rsid w:val="00993452"/>
    <w:rsid w:val="00993E73"/>
    <w:rsid w:val="0099451E"/>
    <w:rsid w:val="00995914"/>
    <w:rsid w:val="00995AD3"/>
    <w:rsid w:val="00996B08"/>
    <w:rsid w:val="00996B1A"/>
    <w:rsid w:val="00996EAA"/>
    <w:rsid w:val="009A163A"/>
    <w:rsid w:val="009A18F6"/>
    <w:rsid w:val="009A2553"/>
    <w:rsid w:val="009A2DCC"/>
    <w:rsid w:val="009A5ABC"/>
    <w:rsid w:val="009A6A5F"/>
    <w:rsid w:val="009A7F10"/>
    <w:rsid w:val="009B0950"/>
    <w:rsid w:val="009B25F2"/>
    <w:rsid w:val="009B3E26"/>
    <w:rsid w:val="009B4137"/>
    <w:rsid w:val="009B5D99"/>
    <w:rsid w:val="009C069E"/>
    <w:rsid w:val="009C1271"/>
    <w:rsid w:val="009C21B7"/>
    <w:rsid w:val="009C2ADB"/>
    <w:rsid w:val="009C2E02"/>
    <w:rsid w:val="009C2E3C"/>
    <w:rsid w:val="009C3706"/>
    <w:rsid w:val="009C3A3A"/>
    <w:rsid w:val="009C426B"/>
    <w:rsid w:val="009C5FBA"/>
    <w:rsid w:val="009C6CEA"/>
    <w:rsid w:val="009C7B85"/>
    <w:rsid w:val="009D0254"/>
    <w:rsid w:val="009D060D"/>
    <w:rsid w:val="009D179D"/>
    <w:rsid w:val="009D1A64"/>
    <w:rsid w:val="009D3D94"/>
    <w:rsid w:val="009D4A67"/>
    <w:rsid w:val="009D5B91"/>
    <w:rsid w:val="009D5D26"/>
    <w:rsid w:val="009D792E"/>
    <w:rsid w:val="009E0DFE"/>
    <w:rsid w:val="009E31F6"/>
    <w:rsid w:val="009E4C07"/>
    <w:rsid w:val="009E777F"/>
    <w:rsid w:val="009F6120"/>
    <w:rsid w:val="009F6DE9"/>
    <w:rsid w:val="009F7927"/>
    <w:rsid w:val="00A00D76"/>
    <w:rsid w:val="00A00E24"/>
    <w:rsid w:val="00A01184"/>
    <w:rsid w:val="00A01449"/>
    <w:rsid w:val="00A037C2"/>
    <w:rsid w:val="00A03D43"/>
    <w:rsid w:val="00A04380"/>
    <w:rsid w:val="00A04786"/>
    <w:rsid w:val="00A05001"/>
    <w:rsid w:val="00A05472"/>
    <w:rsid w:val="00A05C32"/>
    <w:rsid w:val="00A0653F"/>
    <w:rsid w:val="00A10031"/>
    <w:rsid w:val="00A10C2F"/>
    <w:rsid w:val="00A1134C"/>
    <w:rsid w:val="00A11588"/>
    <w:rsid w:val="00A11CD0"/>
    <w:rsid w:val="00A13278"/>
    <w:rsid w:val="00A13948"/>
    <w:rsid w:val="00A13F7D"/>
    <w:rsid w:val="00A1555B"/>
    <w:rsid w:val="00A155C5"/>
    <w:rsid w:val="00A16AD8"/>
    <w:rsid w:val="00A17BC4"/>
    <w:rsid w:val="00A2021E"/>
    <w:rsid w:val="00A2118F"/>
    <w:rsid w:val="00A21427"/>
    <w:rsid w:val="00A21B77"/>
    <w:rsid w:val="00A21C95"/>
    <w:rsid w:val="00A21CF3"/>
    <w:rsid w:val="00A24628"/>
    <w:rsid w:val="00A24813"/>
    <w:rsid w:val="00A2495E"/>
    <w:rsid w:val="00A27AEC"/>
    <w:rsid w:val="00A31D9C"/>
    <w:rsid w:val="00A320DB"/>
    <w:rsid w:val="00A358E5"/>
    <w:rsid w:val="00A35D16"/>
    <w:rsid w:val="00A36417"/>
    <w:rsid w:val="00A374F5"/>
    <w:rsid w:val="00A37BCD"/>
    <w:rsid w:val="00A409C9"/>
    <w:rsid w:val="00A41689"/>
    <w:rsid w:val="00A41A6A"/>
    <w:rsid w:val="00A42201"/>
    <w:rsid w:val="00A42592"/>
    <w:rsid w:val="00A43C59"/>
    <w:rsid w:val="00A450D0"/>
    <w:rsid w:val="00A47B21"/>
    <w:rsid w:val="00A50ECD"/>
    <w:rsid w:val="00A518F3"/>
    <w:rsid w:val="00A52729"/>
    <w:rsid w:val="00A528A3"/>
    <w:rsid w:val="00A53675"/>
    <w:rsid w:val="00A53FCD"/>
    <w:rsid w:val="00A541D7"/>
    <w:rsid w:val="00A55290"/>
    <w:rsid w:val="00A564D7"/>
    <w:rsid w:val="00A56B6A"/>
    <w:rsid w:val="00A56BBE"/>
    <w:rsid w:val="00A56F5F"/>
    <w:rsid w:val="00A578DC"/>
    <w:rsid w:val="00A6401B"/>
    <w:rsid w:val="00A640E2"/>
    <w:rsid w:val="00A64D65"/>
    <w:rsid w:val="00A6725B"/>
    <w:rsid w:val="00A67931"/>
    <w:rsid w:val="00A67F38"/>
    <w:rsid w:val="00A70605"/>
    <w:rsid w:val="00A7190C"/>
    <w:rsid w:val="00A73134"/>
    <w:rsid w:val="00A7333B"/>
    <w:rsid w:val="00A7365A"/>
    <w:rsid w:val="00A7505D"/>
    <w:rsid w:val="00A75534"/>
    <w:rsid w:val="00A76001"/>
    <w:rsid w:val="00A777B2"/>
    <w:rsid w:val="00A80B6F"/>
    <w:rsid w:val="00A81E9D"/>
    <w:rsid w:val="00A823CE"/>
    <w:rsid w:val="00A825D4"/>
    <w:rsid w:val="00A828F6"/>
    <w:rsid w:val="00A82B73"/>
    <w:rsid w:val="00A82C46"/>
    <w:rsid w:val="00A82F01"/>
    <w:rsid w:val="00A8482B"/>
    <w:rsid w:val="00A8606D"/>
    <w:rsid w:val="00A86A5C"/>
    <w:rsid w:val="00A86C01"/>
    <w:rsid w:val="00A86E8B"/>
    <w:rsid w:val="00A87164"/>
    <w:rsid w:val="00A871A9"/>
    <w:rsid w:val="00A8784E"/>
    <w:rsid w:val="00A93072"/>
    <w:rsid w:val="00A938BD"/>
    <w:rsid w:val="00A93953"/>
    <w:rsid w:val="00A959D8"/>
    <w:rsid w:val="00A96296"/>
    <w:rsid w:val="00A968DE"/>
    <w:rsid w:val="00A9735E"/>
    <w:rsid w:val="00A97CC2"/>
    <w:rsid w:val="00AA113D"/>
    <w:rsid w:val="00AA495D"/>
    <w:rsid w:val="00AA4C9B"/>
    <w:rsid w:val="00AA6BD5"/>
    <w:rsid w:val="00AA6BD8"/>
    <w:rsid w:val="00AA6C7D"/>
    <w:rsid w:val="00AA7533"/>
    <w:rsid w:val="00AA7601"/>
    <w:rsid w:val="00AA7FD6"/>
    <w:rsid w:val="00AB042A"/>
    <w:rsid w:val="00AB092A"/>
    <w:rsid w:val="00AB11AD"/>
    <w:rsid w:val="00AB19EF"/>
    <w:rsid w:val="00AB2495"/>
    <w:rsid w:val="00AB2D34"/>
    <w:rsid w:val="00AB327E"/>
    <w:rsid w:val="00AB3430"/>
    <w:rsid w:val="00AB37B9"/>
    <w:rsid w:val="00AB4751"/>
    <w:rsid w:val="00AB4AD1"/>
    <w:rsid w:val="00AB5E07"/>
    <w:rsid w:val="00AB7CFA"/>
    <w:rsid w:val="00AC01EA"/>
    <w:rsid w:val="00AC02C5"/>
    <w:rsid w:val="00AC2374"/>
    <w:rsid w:val="00AC2BAC"/>
    <w:rsid w:val="00AC576C"/>
    <w:rsid w:val="00AC5B42"/>
    <w:rsid w:val="00AC5B48"/>
    <w:rsid w:val="00AC7B88"/>
    <w:rsid w:val="00AD1450"/>
    <w:rsid w:val="00AD15E8"/>
    <w:rsid w:val="00AD356D"/>
    <w:rsid w:val="00AD5887"/>
    <w:rsid w:val="00AD5AF2"/>
    <w:rsid w:val="00AD6502"/>
    <w:rsid w:val="00AD7C89"/>
    <w:rsid w:val="00AE0695"/>
    <w:rsid w:val="00AE3E7E"/>
    <w:rsid w:val="00AE5D5A"/>
    <w:rsid w:val="00AE748B"/>
    <w:rsid w:val="00AE7E53"/>
    <w:rsid w:val="00AF0C19"/>
    <w:rsid w:val="00AF1315"/>
    <w:rsid w:val="00AF19BF"/>
    <w:rsid w:val="00AF1B7B"/>
    <w:rsid w:val="00AF2DC3"/>
    <w:rsid w:val="00AF3C30"/>
    <w:rsid w:val="00AF3FFE"/>
    <w:rsid w:val="00AF6DBE"/>
    <w:rsid w:val="00B03376"/>
    <w:rsid w:val="00B033E5"/>
    <w:rsid w:val="00B03A63"/>
    <w:rsid w:val="00B051AA"/>
    <w:rsid w:val="00B129A4"/>
    <w:rsid w:val="00B1301F"/>
    <w:rsid w:val="00B140A2"/>
    <w:rsid w:val="00B1503A"/>
    <w:rsid w:val="00B15BB5"/>
    <w:rsid w:val="00B165AD"/>
    <w:rsid w:val="00B201A4"/>
    <w:rsid w:val="00B201D1"/>
    <w:rsid w:val="00B20A17"/>
    <w:rsid w:val="00B213A6"/>
    <w:rsid w:val="00B22746"/>
    <w:rsid w:val="00B235B0"/>
    <w:rsid w:val="00B24DF0"/>
    <w:rsid w:val="00B24DF6"/>
    <w:rsid w:val="00B25558"/>
    <w:rsid w:val="00B2656F"/>
    <w:rsid w:val="00B27A61"/>
    <w:rsid w:val="00B27D86"/>
    <w:rsid w:val="00B3081B"/>
    <w:rsid w:val="00B31168"/>
    <w:rsid w:val="00B3258F"/>
    <w:rsid w:val="00B3422F"/>
    <w:rsid w:val="00B34FE2"/>
    <w:rsid w:val="00B35166"/>
    <w:rsid w:val="00B357D8"/>
    <w:rsid w:val="00B360F4"/>
    <w:rsid w:val="00B36A00"/>
    <w:rsid w:val="00B3792B"/>
    <w:rsid w:val="00B37BFC"/>
    <w:rsid w:val="00B40033"/>
    <w:rsid w:val="00B40358"/>
    <w:rsid w:val="00B41614"/>
    <w:rsid w:val="00B423BE"/>
    <w:rsid w:val="00B42851"/>
    <w:rsid w:val="00B42F80"/>
    <w:rsid w:val="00B435CB"/>
    <w:rsid w:val="00B447FD"/>
    <w:rsid w:val="00B454CF"/>
    <w:rsid w:val="00B465EC"/>
    <w:rsid w:val="00B46771"/>
    <w:rsid w:val="00B467FE"/>
    <w:rsid w:val="00B4691A"/>
    <w:rsid w:val="00B46A90"/>
    <w:rsid w:val="00B47F7B"/>
    <w:rsid w:val="00B505C8"/>
    <w:rsid w:val="00B5080E"/>
    <w:rsid w:val="00B50DB8"/>
    <w:rsid w:val="00B50EF1"/>
    <w:rsid w:val="00B5263B"/>
    <w:rsid w:val="00B53654"/>
    <w:rsid w:val="00B53905"/>
    <w:rsid w:val="00B5404B"/>
    <w:rsid w:val="00B546DB"/>
    <w:rsid w:val="00B54B5B"/>
    <w:rsid w:val="00B5562E"/>
    <w:rsid w:val="00B55862"/>
    <w:rsid w:val="00B55D2A"/>
    <w:rsid w:val="00B55D65"/>
    <w:rsid w:val="00B56305"/>
    <w:rsid w:val="00B57000"/>
    <w:rsid w:val="00B60939"/>
    <w:rsid w:val="00B60AFD"/>
    <w:rsid w:val="00B6144F"/>
    <w:rsid w:val="00B623A4"/>
    <w:rsid w:val="00B62715"/>
    <w:rsid w:val="00B63B7E"/>
    <w:rsid w:val="00B64E0F"/>
    <w:rsid w:val="00B65611"/>
    <w:rsid w:val="00B70435"/>
    <w:rsid w:val="00B705E5"/>
    <w:rsid w:val="00B70E8E"/>
    <w:rsid w:val="00B74284"/>
    <w:rsid w:val="00B763BD"/>
    <w:rsid w:val="00B76C92"/>
    <w:rsid w:val="00B801CF"/>
    <w:rsid w:val="00B80EFD"/>
    <w:rsid w:val="00B818A4"/>
    <w:rsid w:val="00B822A4"/>
    <w:rsid w:val="00B828FB"/>
    <w:rsid w:val="00B83739"/>
    <w:rsid w:val="00B84117"/>
    <w:rsid w:val="00B858F0"/>
    <w:rsid w:val="00B85AA2"/>
    <w:rsid w:val="00B8649C"/>
    <w:rsid w:val="00B8695D"/>
    <w:rsid w:val="00B87DF5"/>
    <w:rsid w:val="00B87F0A"/>
    <w:rsid w:val="00B902C2"/>
    <w:rsid w:val="00B92D0B"/>
    <w:rsid w:val="00B942CB"/>
    <w:rsid w:val="00B9474B"/>
    <w:rsid w:val="00B94945"/>
    <w:rsid w:val="00B94DD6"/>
    <w:rsid w:val="00B951D9"/>
    <w:rsid w:val="00BA024F"/>
    <w:rsid w:val="00BA07EF"/>
    <w:rsid w:val="00BA09F6"/>
    <w:rsid w:val="00BA0E2F"/>
    <w:rsid w:val="00BA1463"/>
    <w:rsid w:val="00BA2B59"/>
    <w:rsid w:val="00BA322D"/>
    <w:rsid w:val="00BA376F"/>
    <w:rsid w:val="00BA605A"/>
    <w:rsid w:val="00BA63FA"/>
    <w:rsid w:val="00BB00B3"/>
    <w:rsid w:val="00BB0BDD"/>
    <w:rsid w:val="00BB176C"/>
    <w:rsid w:val="00BB25E2"/>
    <w:rsid w:val="00BB2A73"/>
    <w:rsid w:val="00BB314F"/>
    <w:rsid w:val="00BB3A45"/>
    <w:rsid w:val="00BB4ACC"/>
    <w:rsid w:val="00BB60BB"/>
    <w:rsid w:val="00BB6A7A"/>
    <w:rsid w:val="00BB6ACA"/>
    <w:rsid w:val="00BB703E"/>
    <w:rsid w:val="00BB732D"/>
    <w:rsid w:val="00BB7403"/>
    <w:rsid w:val="00BB7405"/>
    <w:rsid w:val="00BC0D8B"/>
    <w:rsid w:val="00BC2DFC"/>
    <w:rsid w:val="00BC3631"/>
    <w:rsid w:val="00BC591F"/>
    <w:rsid w:val="00BC5E0C"/>
    <w:rsid w:val="00BC692F"/>
    <w:rsid w:val="00BC7D6D"/>
    <w:rsid w:val="00BD2108"/>
    <w:rsid w:val="00BD2951"/>
    <w:rsid w:val="00BD39F2"/>
    <w:rsid w:val="00BD51C6"/>
    <w:rsid w:val="00BD68A3"/>
    <w:rsid w:val="00BD6938"/>
    <w:rsid w:val="00BD6CF3"/>
    <w:rsid w:val="00BD7F72"/>
    <w:rsid w:val="00BE0ECA"/>
    <w:rsid w:val="00BE2180"/>
    <w:rsid w:val="00BE21F2"/>
    <w:rsid w:val="00BE38F9"/>
    <w:rsid w:val="00BE400F"/>
    <w:rsid w:val="00BE4275"/>
    <w:rsid w:val="00BE76A7"/>
    <w:rsid w:val="00BF06AE"/>
    <w:rsid w:val="00BF0CC9"/>
    <w:rsid w:val="00BF0F23"/>
    <w:rsid w:val="00BF0F95"/>
    <w:rsid w:val="00BF1B31"/>
    <w:rsid w:val="00BF204B"/>
    <w:rsid w:val="00BF2433"/>
    <w:rsid w:val="00BF2E6E"/>
    <w:rsid w:val="00BF4885"/>
    <w:rsid w:val="00BF61C9"/>
    <w:rsid w:val="00BF6C94"/>
    <w:rsid w:val="00BF7D88"/>
    <w:rsid w:val="00BF7EB7"/>
    <w:rsid w:val="00C00424"/>
    <w:rsid w:val="00C00BB0"/>
    <w:rsid w:val="00C04A64"/>
    <w:rsid w:val="00C07A2A"/>
    <w:rsid w:val="00C114C1"/>
    <w:rsid w:val="00C1179F"/>
    <w:rsid w:val="00C11AF2"/>
    <w:rsid w:val="00C121D0"/>
    <w:rsid w:val="00C127B9"/>
    <w:rsid w:val="00C128FA"/>
    <w:rsid w:val="00C12C14"/>
    <w:rsid w:val="00C12D56"/>
    <w:rsid w:val="00C12E0E"/>
    <w:rsid w:val="00C1410C"/>
    <w:rsid w:val="00C155E5"/>
    <w:rsid w:val="00C15F04"/>
    <w:rsid w:val="00C1641C"/>
    <w:rsid w:val="00C16A99"/>
    <w:rsid w:val="00C179B3"/>
    <w:rsid w:val="00C17E3F"/>
    <w:rsid w:val="00C200AA"/>
    <w:rsid w:val="00C22A74"/>
    <w:rsid w:val="00C22F17"/>
    <w:rsid w:val="00C237ED"/>
    <w:rsid w:val="00C23D6E"/>
    <w:rsid w:val="00C24632"/>
    <w:rsid w:val="00C24A50"/>
    <w:rsid w:val="00C25418"/>
    <w:rsid w:val="00C25D9C"/>
    <w:rsid w:val="00C2778B"/>
    <w:rsid w:val="00C31649"/>
    <w:rsid w:val="00C31CCF"/>
    <w:rsid w:val="00C332DC"/>
    <w:rsid w:val="00C3434C"/>
    <w:rsid w:val="00C40385"/>
    <w:rsid w:val="00C40E8E"/>
    <w:rsid w:val="00C416E2"/>
    <w:rsid w:val="00C41768"/>
    <w:rsid w:val="00C4189A"/>
    <w:rsid w:val="00C437C5"/>
    <w:rsid w:val="00C43E26"/>
    <w:rsid w:val="00C459CD"/>
    <w:rsid w:val="00C45C7E"/>
    <w:rsid w:val="00C475AA"/>
    <w:rsid w:val="00C527C7"/>
    <w:rsid w:val="00C53208"/>
    <w:rsid w:val="00C5396C"/>
    <w:rsid w:val="00C53C98"/>
    <w:rsid w:val="00C55D46"/>
    <w:rsid w:val="00C56FCF"/>
    <w:rsid w:val="00C572F6"/>
    <w:rsid w:val="00C57B6C"/>
    <w:rsid w:val="00C612A7"/>
    <w:rsid w:val="00C61A59"/>
    <w:rsid w:val="00C6224E"/>
    <w:rsid w:val="00C6229B"/>
    <w:rsid w:val="00C62713"/>
    <w:rsid w:val="00C628A6"/>
    <w:rsid w:val="00C629D5"/>
    <w:rsid w:val="00C64344"/>
    <w:rsid w:val="00C64E86"/>
    <w:rsid w:val="00C65108"/>
    <w:rsid w:val="00C65576"/>
    <w:rsid w:val="00C6607C"/>
    <w:rsid w:val="00C66165"/>
    <w:rsid w:val="00C67301"/>
    <w:rsid w:val="00C6740F"/>
    <w:rsid w:val="00C7060A"/>
    <w:rsid w:val="00C7151A"/>
    <w:rsid w:val="00C716C0"/>
    <w:rsid w:val="00C717E3"/>
    <w:rsid w:val="00C71F60"/>
    <w:rsid w:val="00C72241"/>
    <w:rsid w:val="00C74A97"/>
    <w:rsid w:val="00C750C8"/>
    <w:rsid w:val="00C7560F"/>
    <w:rsid w:val="00C80A0E"/>
    <w:rsid w:val="00C8213F"/>
    <w:rsid w:val="00C8303F"/>
    <w:rsid w:val="00C835FD"/>
    <w:rsid w:val="00C83C5E"/>
    <w:rsid w:val="00C85154"/>
    <w:rsid w:val="00C85A70"/>
    <w:rsid w:val="00C86244"/>
    <w:rsid w:val="00C87339"/>
    <w:rsid w:val="00C8797A"/>
    <w:rsid w:val="00C900B8"/>
    <w:rsid w:val="00C90197"/>
    <w:rsid w:val="00C90C71"/>
    <w:rsid w:val="00C91FD1"/>
    <w:rsid w:val="00C931CF"/>
    <w:rsid w:val="00C938CF"/>
    <w:rsid w:val="00C94053"/>
    <w:rsid w:val="00C943BD"/>
    <w:rsid w:val="00C94667"/>
    <w:rsid w:val="00C94B76"/>
    <w:rsid w:val="00C9624D"/>
    <w:rsid w:val="00C96363"/>
    <w:rsid w:val="00C96579"/>
    <w:rsid w:val="00C969DA"/>
    <w:rsid w:val="00C9784D"/>
    <w:rsid w:val="00CA1F33"/>
    <w:rsid w:val="00CA2B7F"/>
    <w:rsid w:val="00CA2C77"/>
    <w:rsid w:val="00CA41C7"/>
    <w:rsid w:val="00CA444F"/>
    <w:rsid w:val="00CA5245"/>
    <w:rsid w:val="00CA71F4"/>
    <w:rsid w:val="00CA7B09"/>
    <w:rsid w:val="00CA7ECB"/>
    <w:rsid w:val="00CB12A5"/>
    <w:rsid w:val="00CB132C"/>
    <w:rsid w:val="00CB1CAC"/>
    <w:rsid w:val="00CB247A"/>
    <w:rsid w:val="00CB2F2A"/>
    <w:rsid w:val="00CB435A"/>
    <w:rsid w:val="00CB5B1A"/>
    <w:rsid w:val="00CB6B22"/>
    <w:rsid w:val="00CB7EB3"/>
    <w:rsid w:val="00CB7F5F"/>
    <w:rsid w:val="00CC0F14"/>
    <w:rsid w:val="00CC1246"/>
    <w:rsid w:val="00CC1B39"/>
    <w:rsid w:val="00CC1BFA"/>
    <w:rsid w:val="00CC2E9F"/>
    <w:rsid w:val="00CC329D"/>
    <w:rsid w:val="00CC35EA"/>
    <w:rsid w:val="00CC3848"/>
    <w:rsid w:val="00CC3940"/>
    <w:rsid w:val="00CC6D5E"/>
    <w:rsid w:val="00CC77CC"/>
    <w:rsid w:val="00CD0200"/>
    <w:rsid w:val="00CD2088"/>
    <w:rsid w:val="00CD2E50"/>
    <w:rsid w:val="00CD3F77"/>
    <w:rsid w:val="00CD6ADC"/>
    <w:rsid w:val="00CD7193"/>
    <w:rsid w:val="00CD7571"/>
    <w:rsid w:val="00CE0FAC"/>
    <w:rsid w:val="00CE25BA"/>
    <w:rsid w:val="00CE3882"/>
    <w:rsid w:val="00CE38C8"/>
    <w:rsid w:val="00CE524F"/>
    <w:rsid w:val="00CE58CC"/>
    <w:rsid w:val="00CE6274"/>
    <w:rsid w:val="00CE77B6"/>
    <w:rsid w:val="00CF1FEB"/>
    <w:rsid w:val="00CF28EA"/>
    <w:rsid w:val="00CF2B8D"/>
    <w:rsid w:val="00CF3A1B"/>
    <w:rsid w:val="00CF4369"/>
    <w:rsid w:val="00CF456B"/>
    <w:rsid w:val="00CF5A22"/>
    <w:rsid w:val="00CF675C"/>
    <w:rsid w:val="00D02001"/>
    <w:rsid w:val="00D0262E"/>
    <w:rsid w:val="00D027C6"/>
    <w:rsid w:val="00D03679"/>
    <w:rsid w:val="00D05E3D"/>
    <w:rsid w:val="00D06139"/>
    <w:rsid w:val="00D06356"/>
    <w:rsid w:val="00D06A60"/>
    <w:rsid w:val="00D110BD"/>
    <w:rsid w:val="00D11687"/>
    <w:rsid w:val="00D125E5"/>
    <w:rsid w:val="00D13675"/>
    <w:rsid w:val="00D141E1"/>
    <w:rsid w:val="00D14D72"/>
    <w:rsid w:val="00D15314"/>
    <w:rsid w:val="00D15B48"/>
    <w:rsid w:val="00D15F0B"/>
    <w:rsid w:val="00D16545"/>
    <w:rsid w:val="00D17D6C"/>
    <w:rsid w:val="00D2120D"/>
    <w:rsid w:val="00D2155B"/>
    <w:rsid w:val="00D21E5B"/>
    <w:rsid w:val="00D23D11"/>
    <w:rsid w:val="00D23D6C"/>
    <w:rsid w:val="00D244B6"/>
    <w:rsid w:val="00D24DA8"/>
    <w:rsid w:val="00D26C6C"/>
    <w:rsid w:val="00D2715E"/>
    <w:rsid w:val="00D2754D"/>
    <w:rsid w:val="00D27B27"/>
    <w:rsid w:val="00D30D5B"/>
    <w:rsid w:val="00D33694"/>
    <w:rsid w:val="00D3372C"/>
    <w:rsid w:val="00D33BE9"/>
    <w:rsid w:val="00D33F93"/>
    <w:rsid w:val="00D340AF"/>
    <w:rsid w:val="00D357FF"/>
    <w:rsid w:val="00D35AD4"/>
    <w:rsid w:val="00D37A31"/>
    <w:rsid w:val="00D410AD"/>
    <w:rsid w:val="00D41170"/>
    <w:rsid w:val="00D41707"/>
    <w:rsid w:val="00D424C7"/>
    <w:rsid w:val="00D42DBD"/>
    <w:rsid w:val="00D43B2A"/>
    <w:rsid w:val="00D43CF1"/>
    <w:rsid w:val="00D43D83"/>
    <w:rsid w:val="00D45ABF"/>
    <w:rsid w:val="00D46C60"/>
    <w:rsid w:val="00D47575"/>
    <w:rsid w:val="00D50A98"/>
    <w:rsid w:val="00D51B46"/>
    <w:rsid w:val="00D520A8"/>
    <w:rsid w:val="00D5243B"/>
    <w:rsid w:val="00D533EC"/>
    <w:rsid w:val="00D54D7E"/>
    <w:rsid w:val="00D56A95"/>
    <w:rsid w:val="00D60642"/>
    <w:rsid w:val="00D6076E"/>
    <w:rsid w:val="00D6126D"/>
    <w:rsid w:val="00D6190D"/>
    <w:rsid w:val="00D61F18"/>
    <w:rsid w:val="00D62B7B"/>
    <w:rsid w:val="00D63C23"/>
    <w:rsid w:val="00D63E4D"/>
    <w:rsid w:val="00D65AF2"/>
    <w:rsid w:val="00D66C41"/>
    <w:rsid w:val="00D70049"/>
    <w:rsid w:val="00D706DF"/>
    <w:rsid w:val="00D70F16"/>
    <w:rsid w:val="00D71818"/>
    <w:rsid w:val="00D72617"/>
    <w:rsid w:val="00D72F57"/>
    <w:rsid w:val="00D74666"/>
    <w:rsid w:val="00D75998"/>
    <w:rsid w:val="00D7631C"/>
    <w:rsid w:val="00D76A44"/>
    <w:rsid w:val="00D815EF"/>
    <w:rsid w:val="00D81949"/>
    <w:rsid w:val="00D81F26"/>
    <w:rsid w:val="00D8224D"/>
    <w:rsid w:val="00D822E2"/>
    <w:rsid w:val="00D835E9"/>
    <w:rsid w:val="00D843F2"/>
    <w:rsid w:val="00D86231"/>
    <w:rsid w:val="00D87861"/>
    <w:rsid w:val="00D905AA"/>
    <w:rsid w:val="00D912AB"/>
    <w:rsid w:val="00D91923"/>
    <w:rsid w:val="00D91BD3"/>
    <w:rsid w:val="00D924DC"/>
    <w:rsid w:val="00D92D9D"/>
    <w:rsid w:val="00D93753"/>
    <w:rsid w:val="00D93944"/>
    <w:rsid w:val="00D9560A"/>
    <w:rsid w:val="00DA00A3"/>
    <w:rsid w:val="00DA1254"/>
    <w:rsid w:val="00DA1302"/>
    <w:rsid w:val="00DA3167"/>
    <w:rsid w:val="00DA3462"/>
    <w:rsid w:val="00DA4DC3"/>
    <w:rsid w:val="00DA681D"/>
    <w:rsid w:val="00DA77A5"/>
    <w:rsid w:val="00DB0E36"/>
    <w:rsid w:val="00DB18F6"/>
    <w:rsid w:val="00DB2723"/>
    <w:rsid w:val="00DB356F"/>
    <w:rsid w:val="00DB3DBF"/>
    <w:rsid w:val="00DB4137"/>
    <w:rsid w:val="00DB484F"/>
    <w:rsid w:val="00DB4D43"/>
    <w:rsid w:val="00DB536D"/>
    <w:rsid w:val="00DB6756"/>
    <w:rsid w:val="00DB7CDA"/>
    <w:rsid w:val="00DC02D9"/>
    <w:rsid w:val="00DC04F6"/>
    <w:rsid w:val="00DC0690"/>
    <w:rsid w:val="00DC1493"/>
    <w:rsid w:val="00DC1D65"/>
    <w:rsid w:val="00DC2DE6"/>
    <w:rsid w:val="00DC3C57"/>
    <w:rsid w:val="00DC5501"/>
    <w:rsid w:val="00DC5DE4"/>
    <w:rsid w:val="00DC7154"/>
    <w:rsid w:val="00DC776B"/>
    <w:rsid w:val="00DC7E8A"/>
    <w:rsid w:val="00DD0F78"/>
    <w:rsid w:val="00DD1C31"/>
    <w:rsid w:val="00DD273C"/>
    <w:rsid w:val="00DD38D5"/>
    <w:rsid w:val="00DD3F28"/>
    <w:rsid w:val="00DD4446"/>
    <w:rsid w:val="00DD4537"/>
    <w:rsid w:val="00DD4E15"/>
    <w:rsid w:val="00DD6CDF"/>
    <w:rsid w:val="00DD7AAC"/>
    <w:rsid w:val="00DE2304"/>
    <w:rsid w:val="00DE3138"/>
    <w:rsid w:val="00DE3613"/>
    <w:rsid w:val="00DE37F8"/>
    <w:rsid w:val="00DE4273"/>
    <w:rsid w:val="00DE433C"/>
    <w:rsid w:val="00DE4FCB"/>
    <w:rsid w:val="00DE5769"/>
    <w:rsid w:val="00DE5D07"/>
    <w:rsid w:val="00DE625F"/>
    <w:rsid w:val="00DE72A7"/>
    <w:rsid w:val="00DE7832"/>
    <w:rsid w:val="00DF05D2"/>
    <w:rsid w:val="00DF114B"/>
    <w:rsid w:val="00DF18FC"/>
    <w:rsid w:val="00DF4F41"/>
    <w:rsid w:val="00DF5891"/>
    <w:rsid w:val="00DF5D2B"/>
    <w:rsid w:val="00DF5DEC"/>
    <w:rsid w:val="00DF6341"/>
    <w:rsid w:val="00DF6C27"/>
    <w:rsid w:val="00DF6FB1"/>
    <w:rsid w:val="00E00E8E"/>
    <w:rsid w:val="00E01678"/>
    <w:rsid w:val="00E0294F"/>
    <w:rsid w:val="00E032D4"/>
    <w:rsid w:val="00E0439E"/>
    <w:rsid w:val="00E05630"/>
    <w:rsid w:val="00E06DBB"/>
    <w:rsid w:val="00E07354"/>
    <w:rsid w:val="00E07C4D"/>
    <w:rsid w:val="00E10149"/>
    <w:rsid w:val="00E10611"/>
    <w:rsid w:val="00E11340"/>
    <w:rsid w:val="00E11523"/>
    <w:rsid w:val="00E122A1"/>
    <w:rsid w:val="00E14DEC"/>
    <w:rsid w:val="00E16372"/>
    <w:rsid w:val="00E16AD8"/>
    <w:rsid w:val="00E17FFA"/>
    <w:rsid w:val="00E20E4D"/>
    <w:rsid w:val="00E20ED6"/>
    <w:rsid w:val="00E21358"/>
    <w:rsid w:val="00E21EB5"/>
    <w:rsid w:val="00E2249B"/>
    <w:rsid w:val="00E22A0D"/>
    <w:rsid w:val="00E244F6"/>
    <w:rsid w:val="00E2535B"/>
    <w:rsid w:val="00E258DB"/>
    <w:rsid w:val="00E2771E"/>
    <w:rsid w:val="00E2773C"/>
    <w:rsid w:val="00E311EF"/>
    <w:rsid w:val="00E32180"/>
    <w:rsid w:val="00E34948"/>
    <w:rsid w:val="00E34E44"/>
    <w:rsid w:val="00E34F7F"/>
    <w:rsid w:val="00E351E0"/>
    <w:rsid w:val="00E35708"/>
    <w:rsid w:val="00E37569"/>
    <w:rsid w:val="00E401B2"/>
    <w:rsid w:val="00E41E30"/>
    <w:rsid w:val="00E426B4"/>
    <w:rsid w:val="00E42B59"/>
    <w:rsid w:val="00E42BC4"/>
    <w:rsid w:val="00E42F73"/>
    <w:rsid w:val="00E4320A"/>
    <w:rsid w:val="00E43D70"/>
    <w:rsid w:val="00E445FC"/>
    <w:rsid w:val="00E466F3"/>
    <w:rsid w:val="00E47571"/>
    <w:rsid w:val="00E47B2C"/>
    <w:rsid w:val="00E5034D"/>
    <w:rsid w:val="00E51560"/>
    <w:rsid w:val="00E51821"/>
    <w:rsid w:val="00E5286E"/>
    <w:rsid w:val="00E52BBA"/>
    <w:rsid w:val="00E5343E"/>
    <w:rsid w:val="00E53FC8"/>
    <w:rsid w:val="00E54347"/>
    <w:rsid w:val="00E54EBB"/>
    <w:rsid w:val="00E55424"/>
    <w:rsid w:val="00E55915"/>
    <w:rsid w:val="00E55BB5"/>
    <w:rsid w:val="00E55F96"/>
    <w:rsid w:val="00E60B7C"/>
    <w:rsid w:val="00E611DF"/>
    <w:rsid w:val="00E613D0"/>
    <w:rsid w:val="00E616FD"/>
    <w:rsid w:val="00E61905"/>
    <w:rsid w:val="00E65E79"/>
    <w:rsid w:val="00E66BA2"/>
    <w:rsid w:val="00E67416"/>
    <w:rsid w:val="00E718B6"/>
    <w:rsid w:val="00E723BA"/>
    <w:rsid w:val="00E73581"/>
    <w:rsid w:val="00E808F5"/>
    <w:rsid w:val="00E81DBB"/>
    <w:rsid w:val="00E833F7"/>
    <w:rsid w:val="00E83BDF"/>
    <w:rsid w:val="00E843B4"/>
    <w:rsid w:val="00E86FCC"/>
    <w:rsid w:val="00E87927"/>
    <w:rsid w:val="00E87A1D"/>
    <w:rsid w:val="00E90037"/>
    <w:rsid w:val="00E9094A"/>
    <w:rsid w:val="00E91D35"/>
    <w:rsid w:val="00E926A5"/>
    <w:rsid w:val="00E941BD"/>
    <w:rsid w:val="00E94DAF"/>
    <w:rsid w:val="00E962CC"/>
    <w:rsid w:val="00E963E9"/>
    <w:rsid w:val="00E97246"/>
    <w:rsid w:val="00EA1042"/>
    <w:rsid w:val="00EA17C3"/>
    <w:rsid w:val="00EA196D"/>
    <w:rsid w:val="00EA2107"/>
    <w:rsid w:val="00EA2CAA"/>
    <w:rsid w:val="00EA2F38"/>
    <w:rsid w:val="00EA3864"/>
    <w:rsid w:val="00EA4E98"/>
    <w:rsid w:val="00EA691A"/>
    <w:rsid w:val="00EA6C5B"/>
    <w:rsid w:val="00EA7192"/>
    <w:rsid w:val="00EA7F1C"/>
    <w:rsid w:val="00EB15B6"/>
    <w:rsid w:val="00EB3D06"/>
    <w:rsid w:val="00EB4916"/>
    <w:rsid w:val="00EB4DDA"/>
    <w:rsid w:val="00EB5A22"/>
    <w:rsid w:val="00EB5A98"/>
    <w:rsid w:val="00EB72C0"/>
    <w:rsid w:val="00EC00C9"/>
    <w:rsid w:val="00EC0DD9"/>
    <w:rsid w:val="00EC2649"/>
    <w:rsid w:val="00EC31ED"/>
    <w:rsid w:val="00EC3524"/>
    <w:rsid w:val="00EC3731"/>
    <w:rsid w:val="00EC5836"/>
    <w:rsid w:val="00EC617D"/>
    <w:rsid w:val="00EC67C8"/>
    <w:rsid w:val="00EC688C"/>
    <w:rsid w:val="00EC762C"/>
    <w:rsid w:val="00ED0CBB"/>
    <w:rsid w:val="00ED12E3"/>
    <w:rsid w:val="00ED205C"/>
    <w:rsid w:val="00ED3653"/>
    <w:rsid w:val="00ED4A0A"/>
    <w:rsid w:val="00ED4B04"/>
    <w:rsid w:val="00ED57EA"/>
    <w:rsid w:val="00ED5BD4"/>
    <w:rsid w:val="00EE047B"/>
    <w:rsid w:val="00EE0677"/>
    <w:rsid w:val="00EE07D3"/>
    <w:rsid w:val="00EE1125"/>
    <w:rsid w:val="00EE1996"/>
    <w:rsid w:val="00EE1C01"/>
    <w:rsid w:val="00EE22AF"/>
    <w:rsid w:val="00EE2531"/>
    <w:rsid w:val="00EE2BF4"/>
    <w:rsid w:val="00EF0171"/>
    <w:rsid w:val="00EF053B"/>
    <w:rsid w:val="00EF0F10"/>
    <w:rsid w:val="00EF1B25"/>
    <w:rsid w:val="00EF1DA0"/>
    <w:rsid w:val="00EF267B"/>
    <w:rsid w:val="00EF45FC"/>
    <w:rsid w:val="00EF4747"/>
    <w:rsid w:val="00EF4BF8"/>
    <w:rsid w:val="00EF68BF"/>
    <w:rsid w:val="00EF6FEE"/>
    <w:rsid w:val="00F02253"/>
    <w:rsid w:val="00F0288A"/>
    <w:rsid w:val="00F03C2E"/>
    <w:rsid w:val="00F04A66"/>
    <w:rsid w:val="00F04B4B"/>
    <w:rsid w:val="00F0516C"/>
    <w:rsid w:val="00F067A2"/>
    <w:rsid w:val="00F07B9E"/>
    <w:rsid w:val="00F1116F"/>
    <w:rsid w:val="00F1263A"/>
    <w:rsid w:val="00F13124"/>
    <w:rsid w:val="00F139C5"/>
    <w:rsid w:val="00F15B77"/>
    <w:rsid w:val="00F1641F"/>
    <w:rsid w:val="00F17EA3"/>
    <w:rsid w:val="00F21236"/>
    <w:rsid w:val="00F21246"/>
    <w:rsid w:val="00F21F9F"/>
    <w:rsid w:val="00F239DF"/>
    <w:rsid w:val="00F2432F"/>
    <w:rsid w:val="00F24837"/>
    <w:rsid w:val="00F25057"/>
    <w:rsid w:val="00F2575F"/>
    <w:rsid w:val="00F269C2"/>
    <w:rsid w:val="00F27565"/>
    <w:rsid w:val="00F27FD6"/>
    <w:rsid w:val="00F310D4"/>
    <w:rsid w:val="00F31D5A"/>
    <w:rsid w:val="00F32113"/>
    <w:rsid w:val="00F33975"/>
    <w:rsid w:val="00F33DE9"/>
    <w:rsid w:val="00F358C4"/>
    <w:rsid w:val="00F35E6D"/>
    <w:rsid w:val="00F3619A"/>
    <w:rsid w:val="00F37563"/>
    <w:rsid w:val="00F40596"/>
    <w:rsid w:val="00F40AAA"/>
    <w:rsid w:val="00F40BA7"/>
    <w:rsid w:val="00F40F9D"/>
    <w:rsid w:val="00F41258"/>
    <w:rsid w:val="00F41ACD"/>
    <w:rsid w:val="00F43F15"/>
    <w:rsid w:val="00F44175"/>
    <w:rsid w:val="00F466D9"/>
    <w:rsid w:val="00F46CB6"/>
    <w:rsid w:val="00F4756D"/>
    <w:rsid w:val="00F47DE8"/>
    <w:rsid w:val="00F542C1"/>
    <w:rsid w:val="00F547EE"/>
    <w:rsid w:val="00F550E3"/>
    <w:rsid w:val="00F55E73"/>
    <w:rsid w:val="00F55EDA"/>
    <w:rsid w:val="00F56C80"/>
    <w:rsid w:val="00F57268"/>
    <w:rsid w:val="00F60092"/>
    <w:rsid w:val="00F6127F"/>
    <w:rsid w:val="00F61C18"/>
    <w:rsid w:val="00F65F4B"/>
    <w:rsid w:val="00F668A9"/>
    <w:rsid w:val="00F67A69"/>
    <w:rsid w:val="00F70BFF"/>
    <w:rsid w:val="00F70C9D"/>
    <w:rsid w:val="00F73E08"/>
    <w:rsid w:val="00F740E7"/>
    <w:rsid w:val="00F747D8"/>
    <w:rsid w:val="00F74CD9"/>
    <w:rsid w:val="00F7595C"/>
    <w:rsid w:val="00F7662F"/>
    <w:rsid w:val="00F76F87"/>
    <w:rsid w:val="00F80A7B"/>
    <w:rsid w:val="00F80E5D"/>
    <w:rsid w:val="00F81BD8"/>
    <w:rsid w:val="00F81E78"/>
    <w:rsid w:val="00F83916"/>
    <w:rsid w:val="00F84F34"/>
    <w:rsid w:val="00F851CE"/>
    <w:rsid w:val="00F873CE"/>
    <w:rsid w:val="00F91219"/>
    <w:rsid w:val="00F92444"/>
    <w:rsid w:val="00F9393E"/>
    <w:rsid w:val="00F939C6"/>
    <w:rsid w:val="00F96FD0"/>
    <w:rsid w:val="00F97A78"/>
    <w:rsid w:val="00FA0B20"/>
    <w:rsid w:val="00FA0DC7"/>
    <w:rsid w:val="00FA196E"/>
    <w:rsid w:val="00FA1A3A"/>
    <w:rsid w:val="00FA24E7"/>
    <w:rsid w:val="00FA3795"/>
    <w:rsid w:val="00FA564D"/>
    <w:rsid w:val="00FA5EE6"/>
    <w:rsid w:val="00FA7956"/>
    <w:rsid w:val="00FB0824"/>
    <w:rsid w:val="00FB14E4"/>
    <w:rsid w:val="00FB2FCB"/>
    <w:rsid w:val="00FB3692"/>
    <w:rsid w:val="00FB4C9C"/>
    <w:rsid w:val="00FB532A"/>
    <w:rsid w:val="00FB6A65"/>
    <w:rsid w:val="00FB6C6D"/>
    <w:rsid w:val="00FB7C55"/>
    <w:rsid w:val="00FC01BF"/>
    <w:rsid w:val="00FC0C03"/>
    <w:rsid w:val="00FC1074"/>
    <w:rsid w:val="00FC1884"/>
    <w:rsid w:val="00FC1DC5"/>
    <w:rsid w:val="00FC20DA"/>
    <w:rsid w:val="00FC274F"/>
    <w:rsid w:val="00FC371D"/>
    <w:rsid w:val="00FC47CF"/>
    <w:rsid w:val="00FC4896"/>
    <w:rsid w:val="00FC5F0B"/>
    <w:rsid w:val="00FC6DE8"/>
    <w:rsid w:val="00FD1E04"/>
    <w:rsid w:val="00FD2100"/>
    <w:rsid w:val="00FD37FF"/>
    <w:rsid w:val="00FD3B40"/>
    <w:rsid w:val="00FD436C"/>
    <w:rsid w:val="00FD446D"/>
    <w:rsid w:val="00FD4F2C"/>
    <w:rsid w:val="00FD6394"/>
    <w:rsid w:val="00FE0E6C"/>
    <w:rsid w:val="00FE1917"/>
    <w:rsid w:val="00FE1A61"/>
    <w:rsid w:val="00FE1CDC"/>
    <w:rsid w:val="00FE2EC0"/>
    <w:rsid w:val="00FE2F84"/>
    <w:rsid w:val="00FE687C"/>
    <w:rsid w:val="00FE70C3"/>
    <w:rsid w:val="00FF0C6A"/>
    <w:rsid w:val="00FF1A8B"/>
    <w:rsid w:val="00FF2AD9"/>
    <w:rsid w:val="00FF359F"/>
    <w:rsid w:val="00FF3DCF"/>
    <w:rsid w:val="00FF492C"/>
    <w:rsid w:val="00FF4A21"/>
    <w:rsid w:val="00FF4DA6"/>
    <w:rsid w:val="00FF57B0"/>
    <w:rsid w:val="00FF5AA3"/>
    <w:rsid w:val="00FF5AD8"/>
    <w:rsid w:val="00FF67CA"/>
    <w:rsid w:val="00FF6F20"/>
    <w:rsid w:val="00FF7AC7"/>
    <w:rsid w:val="00FF7C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87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561983"/>
    <w:pPr>
      <w:keepNext/>
      <w:keepLines/>
      <w:jc w:val="center"/>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374460"/>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FB3692"/>
    <w:pPr>
      <w:numPr>
        <w:ilvl w:val="1"/>
        <w:numId w:val="6"/>
      </w:numPr>
      <w:spacing w:before="120"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B369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561983"/>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7913E5"/>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7913E5"/>
    <w:rPr>
      <w:rFonts w:ascii="Arial Narrow" w:hAnsi="Arial Narrow" w:cs="Arial"/>
      <w:snapToGrid w:val="0"/>
      <w:sz w:val="18"/>
      <w:szCs w:val="22"/>
    </w:rPr>
  </w:style>
  <w:style w:type="paragraph" w:styleId="FootnoteText">
    <w:name w:val="footnote text"/>
    <w:basedOn w:val="Normal"/>
    <w:link w:val="FootnoteTextChar"/>
    <w:uiPriority w:val="99"/>
    <w:semiHidden/>
    <w:unhideWhenUsed/>
    <w:rsid w:val="004E1A6E"/>
    <w:pPr>
      <w:jc w:val="left"/>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E1A6E"/>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4E1A6E"/>
    <w:rPr>
      <w:vertAlign w:val="superscript"/>
    </w:rPr>
  </w:style>
  <w:style w:type="character" w:styleId="UnresolvedMention">
    <w:name w:val="Unresolved Mention"/>
    <w:basedOn w:val="DefaultParagraphFont"/>
    <w:uiPriority w:val="99"/>
    <w:semiHidden/>
    <w:unhideWhenUsed/>
    <w:rsid w:val="00407414"/>
    <w:rPr>
      <w:color w:val="605E5C"/>
      <w:shd w:val="clear" w:color="auto" w:fill="E1DFDD"/>
    </w:rPr>
  </w:style>
  <w:style w:type="paragraph" w:customStyle="1" w:styleId="Tableheading0">
    <w:name w:val="Table heading"/>
    <w:basedOn w:val="BodyText"/>
    <w:qFormat/>
    <w:rsid w:val="00407414"/>
    <w:pPr>
      <w:keepLines/>
      <w:spacing w:before="40" w:line="276" w:lineRule="auto"/>
      <w:jc w:val="center"/>
    </w:pPr>
    <w:rPr>
      <w:rFonts w:asciiTheme="minorHAnsi" w:eastAsia="Calibri" w:hAnsiTheme="minorHAnsi" w:cstheme="minorHAnsi"/>
      <w:b/>
      <w:bCs/>
      <w:sz w:val="20"/>
      <w:szCs w:val="20"/>
      <w:lang w:val="de-DE" w:eastAsia="en-US"/>
    </w:rPr>
  </w:style>
  <w:style w:type="paragraph" w:customStyle="1" w:styleId="Tablebullet2">
    <w:name w:val="Table bullet 2"/>
    <w:basedOn w:val="ListParagraph"/>
    <w:qFormat/>
    <w:rsid w:val="00407414"/>
    <w:pPr>
      <w:numPr>
        <w:ilvl w:val="1"/>
        <w:numId w:val="12"/>
      </w:numPr>
      <w:spacing w:after="0" w:line="276" w:lineRule="auto"/>
      <w:contextualSpacing/>
      <w:jc w:val="both"/>
    </w:pPr>
    <w:rPr>
      <w:rFonts w:eastAsiaTheme="minorHAnsi" w:cstheme="minorBidi"/>
      <w:snapToGrid/>
      <w:sz w:val="20"/>
      <w:szCs w:val="20"/>
      <w:lang w:eastAsia="en-US"/>
    </w:rPr>
  </w:style>
  <w:style w:type="table" w:styleId="TableGridLight">
    <w:name w:val="Grid Table Light"/>
    <w:basedOn w:val="TableNormal"/>
    <w:uiPriority w:val="40"/>
    <w:rsid w:val="004074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next w:val="TableGrid"/>
    <w:rsid w:val="00407414"/>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basedOn w:val="Normal"/>
    <w:next w:val="Tabletext"/>
    <w:qFormat/>
    <w:rsid w:val="00407414"/>
    <w:pPr>
      <w:spacing w:line="276" w:lineRule="auto"/>
    </w:pPr>
    <w:rPr>
      <w:rFonts w:eastAsiaTheme="minorHAnsi" w:cstheme="minorBidi"/>
      <w:b/>
      <w:bCs/>
      <w:sz w:val="20"/>
      <w:szCs w:val="20"/>
      <w:lang w:eastAsia="en-US"/>
    </w:rPr>
  </w:style>
  <w:style w:type="paragraph" w:customStyle="1" w:styleId="Normaltext">
    <w:name w:val="Normal text"/>
    <w:basedOn w:val="Normal"/>
    <w:link w:val="NormaltextChar"/>
    <w:qFormat/>
    <w:rsid w:val="00AA495D"/>
    <w:pPr>
      <w:spacing w:line="360" w:lineRule="auto"/>
    </w:pPr>
    <w:rPr>
      <w:rFonts w:asciiTheme="minorHAnsi" w:eastAsiaTheme="minorHAnsi" w:hAnsiTheme="minorHAnsi" w:cstheme="minorHAnsi"/>
      <w:sz w:val="22"/>
      <w:szCs w:val="22"/>
      <w:lang w:eastAsia="en-US"/>
    </w:rPr>
  </w:style>
  <w:style w:type="character" w:customStyle="1" w:styleId="NormaltextChar">
    <w:name w:val="Normal text Char"/>
    <w:basedOn w:val="DefaultParagraphFont"/>
    <w:link w:val="Normaltext"/>
    <w:rsid w:val="00AA495D"/>
    <w:rPr>
      <w:rFonts w:asciiTheme="minorHAnsi" w:eastAsiaTheme="minorHAnsi" w:hAnsiTheme="minorHAnsi" w:cstheme="minorHAnsi"/>
      <w:sz w:val="22"/>
      <w:szCs w:val="22"/>
      <w:lang w:eastAsia="en-US"/>
    </w:rPr>
  </w:style>
  <w:style w:type="table" w:customStyle="1" w:styleId="TableGrid2">
    <w:name w:val="Table Grid2"/>
    <w:basedOn w:val="TableNormal"/>
    <w:next w:val="TableGrid"/>
    <w:uiPriority w:val="39"/>
    <w:rsid w:val="00685A75"/>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5A75"/>
    <w:rPr>
      <w:b/>
      <w:bCs/>
    </w:rPr>
  </w:style>
  <w:style w:type="paragraph" w:customStyle="1" w:styleId="3-SubsectionHeading">
    <w:name w:val="3-Subsection Heading"/>
    <w:basedOn w:val="Heading2"/>
    <w:next w:val="Normal"/>
    <w:link w:val="3-SubsectionHeadingChar"/>
    <w:qFormat/>
    <w:rsid w:val="00E21EB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21EB5"/>
    <w:rPr>
      <w:rFonts w:asciiTheme="minorHAnsi" w:eastAsiaTheme="majorEastAsia" w:hAnsiTheme="minorHAnsi" w:cstheme="majorBidi"/>
      <w:b/>
      <w:i/>
      <w:snapToGrid/>
      <w:spacing w:val="5"/>
      <w:kern w:val="28"/>
      <w:sz w:val="28"/>
      <w:szCs w:val="36"/>
      <w:lang w:eastAsia="en-US"/>
    </w:rPr>
  </w:style>
  <w:style w:type="character" w:customStyle="1" w:styleId="normaltextrun">
    <w:name w:val="normaltextrun"/>
    <w:basedOn w:val="DefaultParagraphFont"/>
    <w:rsid w:val="00F747D8"/>
  </w:style>
  <w:style w:type="paragraph" w:customStyle="1" w:styleId="PBACheading10">
    <w:name w:val="PBAC heading 1"/>
    <w:qFormat/>
    <w:rsid w:val="008F7365"/>
    <w:pPr>
      <w:ind w:left="720" w:hanging="720"/>
      <w:outlineLvl w:val="0"/>
    </w:pPr>
    <w:rPr>
      <w:rFonts w:ascii="Arial" w:hAnsi="Arial" w:cs="Arial"/>
      <w:b/>
      <w:snapToGrid w:val="0"/>
      <w:sz w:val="22"/>
      <w:szCs w:val="22"/>
      <w:lang w:eastAsia="en-US"/>
    </w:rPr>
  </w:style>
  <w:style w:type="paragraph" w:customStyle="1" w:styleId="COMH1-numbered">
    <w:name w:val="COM H1 - numbered"/>
    <w:next w:val="COMexecsummnumbered"/>
    <w:qFormat/>
    <w:rsid w:val="00190F3D"/>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qFormat/>
    <w:rsid w:val="00190F3D"/>
    <w:pPr>
      <w:spacing w:before="60" w:after="60"/>
      <w:ind w:left="720" w:hanging="720"/>
      <w:jc w:val="both"/>
    </w:pPr>
    <w:rPr>
      <w:rFonts w:asciiTheme="minorHAnsi" w:eastAsiaTheme="minorHAnsi" w:hAnsiTheme="minorHAnsi" w:cstheme="minorBidi"/>
      <w:sz w:val="24"/>
      <w:szCs w:val="22"/>
    </w:rPr>
  </w:style>
  <w:style w:type="character" w:customStyle="1" w:styleId="null1">
    <w:name w:val="null1"/>
    <w:basedOn w:val="DefaultParagraphFont"/>
    <w:rsid w:val="00BF0CC9"/>
  </w:style>
  <w:style w:type="table" w:customStyle="1" w:styleId="ASDTable1">
    <w:name w:val="ASD Table1"/>
    <w:basedOn w:val="TableNormal"/>
    <w:next w:val="TableGrid"/>
    <w:rsid w:val="00373FBB"/>
    <w:pPr>
      <w:spacing w:after="200" w:line="276" w:lineRule="auto"/>
    </w:pPr>
    <w:rPr>
      <w:rFonts w:ascii="Calibri" w:eastAsia="MS Mincho"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169">
      <w:bodyDiv w:val="1"/>
      <w:marLeft w:val="0"/>
      <w:marRight w:val="0"/>
      <w:marTop w:val="0"/>
      <w:marBottom w:val="0"/>
      <w:divBdr>
        <w:top w:val="none" w:sz="0" w:space="0" w:color="auto"/>
        <w:left w:val="none" w:sz="0" w:space="0" w:color="auto"/>
        <w:bottom w:val="none" w:sz="0" w:space="0" w:color="auto"/>
        <w:right w:val="none" w:sz="0" w:space="0" w:color="auto"/>
      </w:divBdr>
      <w:divsChild>
        <w:div w:id="2088112672">
          <w:marLeft w:val="0"/>
          <w:marRight w:val="0"/>
          <w:marTop w:val="0"/>
          <w:marBottom w:val="0"/>
          <w:divBdr>
            <w:top w:val="none" w:sz="0" w:space="0" w:color="auto"/>
            <w:left w:val="none" w:sz="0" w:space="0" w:color="auto"/>
            <w:bottom w:val="none" w:sz="0" w:space="0" w:color="auto"/>
            <w:right w:val="none" w:sz="0" w:space="0" w:color="auto"/>
          </w:divBdr>
        </w:div>
        <w:div w:id="1661538352">
          <w:marLeft w:val="0"/>
          <w:marRight w:val="0"/>
          <w:marTop w:val="0"/>
          <w:marBottom w:val="0"/>
          <w:divBdr>
            <w:top w:val="none" w:sz="0" w:space="0" w:color="auto"/>
            <w:left w:val="none" w:sz="0" w:space="0" w:color="auto"/>
            <w:bottom w:val="none" w:sz="0" w:space="0" w:color="auto"/>
            <w:right w:val="none" w:sz="0" w:space="0" w:color="auto"/>
          </w:divBdr>
        </w:div>
        <w:div w:id="2065373888">
          <w:marLeft w:val="0"/>
          <w:marRight w:val="0"/>
          <w:marTop w:val="0"/>
          <w:marBottom w:val="0"/>
          <w:divBdr>
            <w:top w:val="none" w:sz="0" w:space="0" w:color="auto"/>
            <w:left w:val="none" w:sz="0" w:space="0" w:color="auto"/>
            <w:bottom w:val="none" w:sz="0" w:space="0" w:color="auto"/>
            <w:right w:val="none" w:sz="0" w:space="0" w:color="auto"/>
          </w:divBdr>
        </w:div>
        <w:div w:id="1144199579">
          <w:marLeft w:val="0"/>
          <w:marRight w:val="0"/>
          <w:marTop w:val="0"/>
          <w:marBottom w:val="0"/>
          <w:divBdr>
            <w:top w:val="none" w:sz="0" w:space="0" w:color="auto"/>
            <w:left w:val="none" w:sz="0" w:space="0" w:color="auto"/>
            <w:bottom w:val="none" w:sz="0" w:space="0" w:color="auto"/>
            <w:right w:val="none" w:sz="0" w:space="0" w:color="auto"/>
          </w:divBdr>
        </w:div>
        <w:div w:id="1895316763">
          <w:marLeft w:val="0"/>
          <w:marRight w:val="0"/>
          <w:marTop w:val="0"/>
          <w:marBottom w:val="0"/>
          <w:divBdr>
            <w:top w:val="none" w:sz="0" w:space="0" w:color="auto"/>
            <w:left w:val="none" w:sz="0" w:space="0" w:color="auto"/>
            <w:bottom w:val="none" w:sz="0" w:space="0" w:color="auto"/>
            <w:right w:val="none" w:sz="0" w:space="0" w:color="auto"/>
          </w:divBdr>
        </w:div>
        <w:div w:id="1495023711">
          <w:marLeft w:val="0"/>
          <w:marRight w:val="0"/>
          <w:marTop w:val="0"/>
          <w:marBottom w:val="0"/>
          <w:divBdr>
            <w:top w:val="none" w:sz="0" w:space="0" w:color="auto"/>
            <w:left w:val="none" w:sz="0" w:space="0" w:color="auto"/>
            <w:bottom w:val="none" w:sz="0" w:space="0" w:color="auto"/>
            <w:right w:val="none" w:sz="0" w:space="0" w:color="auto"/>
          </w:divBdr>
        </w:div>
        <w:div w:id="459346763">
          <w:marLeft w:val="0"/>
          <w:marRight w:val="0"/>
          <w:marTop w:val="0"/>
          <w:marBottom w:val="0"/>
          <w:divBdr>
            <w:top w:val="none" w:sz="0" w:space="0" w:color="auto"/>
            <w:left w:val="none" w:sz="0" w:space="0" w:color="auto"/>
            <w:bottom w:val="none" w:sz="0" w:space="0" w:color="auto"/>
            <w:right w:val="none" w:sz="0" w:space="0" w:color="auto"/>
          </w:divBdr>
        </w:div>
        <w:div w:id="820998436">
          <w:marLeft w:val="0"/>
          <w:marRight w:val="0"/>
          <w:marTop w:val="0"/>
          <w:marBottom w:val="0"/>
          <w:divBdr>
            <w:top w:val="none" w:sz="0" w:space="0" w:color="auto"/>
            <w:left w:val="none" w:sz="0" w:space="0" w:color="auto"/>
            <w:bottom w:val="none" w:sz="0" w:space="0" w:color="auto"/>
            <w:right w:val="none" w:sz="0" w:space="0" w:color="auto"/>
          </w:divBdr>
        </w:div>
        <w:div w:id="632708656">
          <w:marLeft w:val="0"/>
          <w:marRight w:val="0"/>
          <w:marTop w:val="0"/>
          <w:marBottom w:val="0"/>
          <w:divBdr>
            <w:top w:val="none" w:sz="0" w:space="0" w:color="auto"/>
            <w:left w:val="none" w:sz="0" w:space="0" w:color="auto"/>
            <w:bottom w:val="none" w:sz="0" w:space="0" w:color="auto"/>
            <w:right w:val="none" w:sz="0" w:space="0" w:color="auto"/>
          </w:divBdr>
        </w:div>
        <w:div w:id="181208104">
          <w:marLeft w:val="0"/>
          <w:marRight w:val="0"/>
          <w:marTop w:val="0"/>
          <w:marBottom w:val="0"/>
          <w:divBdr>
            <w:top w:val="none" w:sz="0" w:space="0" w:color="auto"/>
            <w:left w:val="none" w:sz="0" w:space="0" w:color="auto"/>
            <w:bottom w:val="none" w:sz="0" w:space="0" w:color="auto"/>
            <w:right w:val="none" w:sz="0" w:space="0" w:color="auto"/>
          </w:divBdr>
        </w:div>
      </w:divsChild>
    </w:div>
    <w:div w:id="892828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2309875">
      <w:bodyDiv w:val="1"/>
      <w:marLeft w:val="0"/>
      <w:marRight w:val="0"/>
      <w:marTop w:val="0"/>
      <w:marBottom w:val="0"/>
      <w:divBdr>
        <w:top w:val="none" w:sz="0" w:space="0" w:color="auto"/>
        <w:left w:val="none" w:sz="0" w:space="0" w:color="auto"/>
        <w:bottom w:val="none" w:sz="0" w:space="0" w:color="auto"/>
        <w:right w:val="none" w:sz="0" w:space="0" w:color="auto"/>
      </w:divBdr>
      <w:divsChild>
        <w:div w:id="194194355">
          <w:marLeft w:val="0"/>
          <w:marRight w:val="0"/>
          <w:marTop w:val="0"/>
          <w:marBottom w:val="0"/>
          <w:divBdr>
            <w:top w:val="none" w:sz="0" w:space="0" w:color="auto"/>
            <w:left w:val="none" w:sz="0" w:space="0" w:color="auto"/>
            <w:bottom w:val="none" w:sz="0" w:space="0" w:color="auto"/>
            <w:right w:val="none" w:sz="0" w:space="0" w:color="auto"/>
          </w:divBdr>
        </w:div>
        <w:div w:id="91124576">
          <w:marLeft w:val="0"/>
          <w:marRight w:val="0"/>
          <w:marTop w:val="0"/>
          <w:marBottom w:val="0"/>
          <w:divBdr>
            <w:top w:val="none" w:sz="0" w:space="0" w:color="auto"/>
            <w:left w:val="none" w:sz="0" w:space="0" w:color="auto"/>
            <w:bottom w:val="none" w:sz="0" w:space="0" w:color="auto"/>
            <w:right w:val="none" w:sz="0" w:space="0" w:color="auto"/>
          </w:divBdr>
        </w:div>
        <w:div w:id="1381829876">
          <w:marLeft w:val="0"/>
          <w:marRight w:val="0"/>
          <w:marTop w:val="0"/>
          <w:marBottom w:val="0"/>
          <w:divBdr>
            <w:top w:val="none" w:sz="0" w:space="0" w:color="auto"/>
            <w:left w:val="none" w:sz="0" w:space="0" w:color="auto"/>
            <w:bottom w:val="none" w:sz="0" w:space="0" w:color="auto"/>
            <w:right w:val="none" w:sz="0" w:space="0" w:color="auto"/>
          </w:divBdr>
        </w:div>
        <w:div w:id="1738821520">
          <w:marLeft w:val="0"/>
          <w:marRight w:val="0"/>
          <w:marTop w:val="0"/>
          <w:marBottom w:val="0"/>
          <w:divBdr>
            <w:top w:val="none" w:sz="0" w:space="0" w:color="auto"/>
            <w:left w:val="none" w:sz="0" w:space="0" w:color="auto"/>
            <w:bottom w:val="none" w:sz="0" w:space="0" w:color="auto"/>
            <w:right w:val="none" w:sz="0" w:space="0" w:color="auto"/>
          </w:divBdr>
        </w:div>
        <w:div w:id="2038193878">
          <w:marLeft w:val="0"/>
          <w:marRight w:val="0"/>
          <w:marTop w:val="0"/>
          <w:marBottom w:val="0"/>
          <w:divBdr>
            <w:top w:val="none" w:sz="0" w:space="0" w:color="auto"/>
            <w:left w:val="none" w:sz="0" w:space="0" w:color="auto"/>
            <w:bottom w:val="none" w:sz="0" w:space="0" w:color="auto"/>
            <w:right w:val="none" w:sz="0" w:space="0" w:color="auto"/>
          </w:divBdr>
        </w:div>
        <w:div w:id="1533104536">
          <w:marLeft w:val="0"/>
          <w:marRight w:val="0"/>
          <w:marTop w:val="0"/>
          <w:marBottom w:val="0"/>
          <w:divBdr>
            <w:top w:val="none" w:sz="0" w:space="0" w:color="auto"/>
            <w:left w:val="none" w:sz="0" w:space="0" w:color="auto"/>
            <w:bottom w:val="none" w:sz="0" w:space="0" w:color="auto"/>
            <w:right w:val="none" w:sz="0" w:space="0" w:color="auto"/>
          </w:divBdr>
        </w:div>
        <w:div w:id="1659187147">
          <w:marLeft w:val="0"/>
          <w:marRight w:val="0"/>
          <w:marTop w:val="0"/>
          <w:marBottom w:val="0"/>
          <w:divBdr>
            <w:top w:val="none" w:sz="0" w:space="0" w:color="auto"/>
            <w:left w:val="none" w:sz="0" w:space="0" w:color="auto"/>
            <w:bottom w:val="none" w:sz="0" w:space="0" w:color="auto"/>
            <w:right w:val="none" w:sz="0" w:space="0" w:color="auto"/>
          </w:divBdr>
        </w:div>
        <w:div w:id="492643268">
          <w:marLeft w:val="0"/>
          <w:marRight w:val="0"/>
          <w:marTop w:val="0"/>
          <w:marBottom w:val="0"/>
          <w:divBdr>
            <w:top w:val="none" w:sz="0" w:space="0" w:color="auto"/>
            <w:left w:val="none" w:sz="0" w:space="0" w:color="auto"/>
            <w:bottom w:val="none" w:sz="0" w:space="0" w:color="auto"/>
            <w:right w:val="none" w:sz="0" w:space="0" w:color="auto"/>
          </w:divBdr>
        </w:div>
        <w:div w:id="544757903">
          <w:marLeft w:val="0"/>
          <w:marRight w:val="0"/>
          <w:marTop w:val="0"/>
          <w:marBottom w:val="0"/>
          <w:divBdr>
            <w:top w:val="none" w:sz="0" w:space="0" w:color="auto"/>
            <w:left w:val="none" w:sz="0" w:space="0" w:color="auto"/>
            <w:bottom w:val="none" w:sz="0" w:space="0" w:color="auto"/>
            <w:right w:val="none" w:sz="0" w:space="0" w:color="auto"/>
          </w:divBdr>
        </w:div>
        <w:div w:id="2124882263">
          <w:marLeft w:val="0"/>
          <w:marRight w:val="0"/>
          <w:marTop w:val="0"/>
          <w:marBottom w:val="0"/>
          <w:divBdr>
            <w:top w:val="none" w:sz="0" w:space="0" w:color="auto"/>
            <w:left w:val="none" w:sz="0" w:space="0" w:color="auto"/>
            <w:bottom w:val="none" w:sz="0" w:space="0" w:color="auto"/>
            <w:right w:val="none" w:sz="0" w:space="0" w:color="auto"/>
          </w:divBdr>
        </w:div>
      </w:divsChild>
    </w:div>
    <w:div w:id="18155181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5401196">
      <w:bodyDiv w:val="1"/>
      <w:marLeft w:val="0"/>
      <w:marRight w:val="0"/>
      <w:marTop w:val="0"/>
      <w:marBottom w:val="0"/>
      <w:divBdr>
        <w:top w:val="none" w:sz="0" w:space="0" w:color="auto"/>
        <w:left w:val="none" w:sz="0" w:space="0" w:color="auto"/>
        <w:bottom w:val="none" w:sz="0" w:space="0" w:color="auto"/>
        <w:right w:val="none" w:sz="0" w:space="0" w:color="auto"/>
      </w:divBdr>
    </w:div>
    <w:div w:id="352608174">
      <w:bodyDiv w:val="1"/>
      <w:marLeft w:val="0"/>
      <w:marRight w:val="0"/>
      <w:marTop w:val="0"/>
      <w:marBottom w:val="0"/>
      <w:divBdr>
        <w:top w:val="none" w:sz="0" w:space="0" w:color="auto"/>
        <w:left w:val="none" w:sz="0" w:space="0" w:color="auto"/>
        <w:bottom w:val="none" w:sz="0" w:space="0" w:color="auto"/>
        <w:right w:val="none" w:sz="0" w:space="0" w:color="auto"/>
      </w:divBdr>
      <w:divsChild>
        <w:div w:id="1466510917">
          <w:marLeft w:val="144"/>
          <w:marRight w:val="0"/>
          <w:marTop w:val="240"/>
          <w:marBottom w:val="40"/>
          <w:divBdr>
            <w:top w:val="none" w:sz="0" w:space="0" w:color="auto"/>
            <w:left w:val="none" w:sz="0" w:space="0" w:color="auto"/>
            <w:bottom w:val="none" w:sz="0" w:space="0" w:color="auto"/>
            <w:right w:val="none" w:sz="0" w:space="0" w:color="auto"/>
          </w:divBdr>
        </w:div>
      </w:divsChild>
    </w:div>
    <w:div w:id="462964228">
      <w:bodyDiv w:val="1"/>
      <w:marLeft w:val="0"/>
      <w:marRight w:val="0"/>
      <w:marTop w:val="0"/>
      <w:marBottom w:val="0"/>
      <w:divBdr>
        <w:top w:val="none" w:sz="0" w:space="0" w:color="auto"/>
        <w:left w:val="none" w:sz="0" w:space="0" w:color="auto"/>
        <w:bottom w:val="none" w:sz="0" w:space="0" w:color="auto"/>
        <w:right w:val="none" w:sz="0" w:space="0" w:color="auto"/>
      </w:divBdr>
    </w:div>
    <w:div w:id="533423775">
      <w:bodyDiv w:val="1"/>
      <w:marLeft w:val="0"/>
      <w:marRight w:val="0"/>
      <w:marTop w:val="0"/>
      <w:marBottom w:val="0"/>
      <w:divBdr>
        <w:top w:val="none" w:sz="0" w:space="0" w:color="auto"/>
        <w:left w:val="none" w:sz="0" w:space="0" w:color="auto"/>
        <w:bottom w:val="none" w:sz="0" w:space="0" w:color="auto"/>
        <w:right w:val="none" w:sz="0" w:space="0" w:color="auto"/>
      </w:divBdr>
    </w:div>
    <w:div w:id="553736963">
      <w:bodyDiv w:val="1"/>
      <w:marLeft w:val="0"/>
      <w:marRight w:val="0"/>
      <w:marTop w:val="0"/>
      <w:marBottom w:val="0"/>
      <w:divBdr>
        <w:top w:val="none" w:sz="0" w:space="0" w:color="auto"/>
        <w:left w:val="none" w:sz="0" w:space="0" w:color="auto"/>
        <w:bottom w:val="none" w:sz="0" w:space="0" w:color="auto"/>
        <w:right w:val="none" w:sz="0" w:space="0" w:color="auto"/>
      </w:divBdr>
    </w:div>
    <w:div w:id="700010167">
      <w:bodyDiv w:val="1"/>
      <w:marLeft w:val="0"/>
      <w:marRight w:val="0"/>
      <w:marTop w:val="0"/>
      <w:marBottom w:val="0"/>
      <w:divBdr>
        <w:top w:val="none" w:sz="0" w:space="0" w:color="auto"/>
        <w:left w:val="none" w:sz="0" w:space="0" w:color="auto"/>
        <w:bottom w:val="none" w:sz="0" w:space="0" w:color="auto"/>
        <w:right w:val="none" w:sz="0" w:space="0" w:color="auto"/>
      </w:divBdr>
    </w:div>
    <w:div w:id="82732958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2986489">
      <w:bodyDiv w:val="1"/>
      <w:marLeft w:val="0"/>
      <w:marRight w:val="0"/>
      <w:marTop w:val="0"/>
      <w:marBottom w:val="0"/>
      <w:divBdr>
        <w:top w:val="none" w:sz="0" w:space="0" w:color="auto"/>
        <w:left w:val="none" w:sz="0" w:space="0" w:color="auto"/>
        <w:bottom w:val="none" w:sz="0" w:space="0" w:color="auto"/>
        <w:right w:val="none" w:sz="0" w:space="0" w:color="auto"/>
      </w:divBdr>
    </w:div>
    <w:div w:id="939869419">
      <w:bodyDiv w:val="1"/>
      <w:marLeft w:val="0"/>
      <w:marRight w:val="0"/>
      <w:marTop w:val="0"/>
      <w:marBottom w:val="0"/>
      <w:divBdr>
        <w:top w:val="none" w:sz="0" w:space="0" w:color="auto"/>
        <w:left w:val="none" w:sz="0" w:space="0" w:color="auto"/>
        <w:bottom w:val="none" w:sz="0" w:space="0" w:color="auto"/>
        <w:right w:val="none" w:sz="0" w:space="0" w:color="auto"/>
      </w:divBdr>
      <w:divsChild>
        <w:div w:id="1591311290">
          <w:marLeft w:val="1080"/>
          <w:marRight w:val="0"/>
          <w:marTop w:val="100"/>
          <w:marBottom w:val="0"/>
          <w:divBdr>
            <w:top w:val="none" w:sz="0" w:space="0" w:color="auto"/>
            <w:left w:val="none" w:sz="0" w:space="0" w:color="auto"/>
            <w:bottom w:val="none" w:sz="0" w:space="0" w:color="auto"/>
            <w:right w:val="none" w:sz="0" w:space="0" w:color="auto"/>
          </w:divBdr>
        </w:div>
      </w:divsChild>
    </w:div>
    <w:div w:id="950746234">
      <w:bodyDiv w:val="1"/>
      <w:marLeft w:val="0"/>
      <w:marRight w:val="0"/>
      <w:marTop w:val="0"/>
      <w:marBottom w:val="0"/>
      <w:divBdr>
        <w:top w:val="none" w:sz="0" w:space="0" w:color="auto"/>
        <w:left w:val="none" w:sz="0" w:space="0" w:color="auto"/>
        <w:bottom w:val="none" w:sz="0" w:space="0" w:color="auto"/>
        <w:right w:val="none" w:sz="0" w:space="0" w:color="auto"/>
      </w:divBdr>
    </w:div>
    <w:div w:id="966351700">
      <w:bodyDiv w:val="1"/>
      <w:marLeft w:val="0"/>
      <w:marRight w:val="0"/>
      <w:marTop w:val="0"/>
      <w:marBottom w:val="0"/>
      <w:divBdr>
        <w:top w:val="none" w:sz="0" w:space="0" w:color="auto"/>
        <w:left w:val="none" w:sz="0" w:space="0" w:color="auto"/>
        <w:bottom w:val="none" w:sz="0" w:space="0" w:color="auto"/>
        <w:right w:val="none" w:sz="0" w:space="0" w:color="auto"/>
      </w:divBdr>
    </w:div>
    <w:div w:id="1004017895">
      <w:bodyDiv w:val="1"/>
      <w:marLeft w:val="0"/>
      <w:marRight w:val="0"/>
      <w:marTop w:val="0"/>
      <w:marBottom w:val="0"/>
      <w:divBdr>
        <w:top w:val="none" w:sz="0" w:space="0" w:color="auto"/>
        <w:left w:val="none" w:sz="0" w:space="0" w:color="auto"/>
        <w:bottom w:val="none" w:sz="0" w:space="0" w:color="auto"/>
        <w:right w:val="none" w:sz="0" w:space="0" w:color="auto"/>
      </w:divBdr>
      <w:divsChild>
        <w:div w:id="1323771836">
          <w:marLeft w:val="0"/>
          <w:marRight w:val="0"/>
          <w:marTop w:val="0"/>
          <w:marBottom w:val="0"/>
          <w:divBdr>
            <w:top w:val="none" w:sz="0" w:space="0" w:color="auto"/>
            <w:left w:val="none" w:sz="0" w:space="0" w:color="auto"/>
            <w:bottom w:val="none" w:sz="0" w:space="0" w:color="auto"/>
            <w:right w:val="none" w:sz="0" w:space="0" w:color="auto"/>
          </w:divBdr>
        </w:div>
        <w:div w:id="2099863609">
          <w:marLeft w:val="0"/>
          <w:marRight w:val="0"/>
          <w:marTop w:val="0"/>
          <w:marBottom w:val="0"/>
          <w:divBdr>
            <w:top w:val="none" w:sz="0" w:space="0" w:color="auto"/>
            <w:left w:val="none" w:sz="0" w:space="0" w:color="auto"/>
            <w:bottom w:val="none" w:sz="0" w:space="0" w:color="auto"/>
            <w:right w:val="none" w:sz="0" w:space="0" w:color="auto"/>
          </w:divBdr>
        </w:div>
        <w:div w:id="2128768670">
          <w:marLeft w:val="0"/>
          <w:marRight w:val="0"/>
          <w:marTop w:val="0"/>
          <w:marBottom w:val="0"/>
          <w:divBdr>
            <w:top w:val="none" w:sz="0" w:space="0" w:color="auto"/>
            <w:left w:val="none" w:sz="0" w:space="0" w:color="auto"/>
            <w:bottom w:val="none" w:sz="0" w:space="0" w:color="auto"/>
            <w:right w:val="none" w:sz="0" w:space="0" w:color="auto"/>
          </w:divBdr>
        </w:div>
        <w:div w:id="1195119800">
          <w:marLeft w:val="0"/>
          <w:marRight w:val="0"/>
          <w:marTop w:val="0"/>
          <w:marBottom w:val="0"/>
          <w:divBdr>
            <w:top w:val="none" w:sz="0" w:space="0" w:color="auto"/>
            <w:left w:val="none" w:sz="0" w:space="0" w:color="auto"/>
            <w:bottom w:val="none" w:sz="0" w:space="0" w:color="auto"/>
            <w:right w:val="none" w:sz="0" w:space="0" w:color="auto"/>
          </w:divBdr>
        </w:div>
        <w:div w:id="2007900142">
          <w:marLeft w:val="0"/>
          <w:marRight w:val="0"/>
          <w:marTop w:val="0"/>
          <w:marBottom w:val="0"/>
          <w:divBdr>
            <w:top w:val="none" w:sz="0" w:space="0" w:color="auto"/>
            <w:left w:val="none" w:sz="0" w:space="0" w:color="auto"/>
            <w:bottom w:val="none" w:sz="0" w:space="0" w:color="auto"/>
            <w:right w:val="none" w:sz="0" w:space="0" w:color="auto"/>
          </w:divBdr>
        </w:div>
        <w:div w:id="2019429804">
          <w:marLeft w:val="0"/>
          <w:marRight w:val="0"/>
          <w:marTop w:val="0"/>
          <w:marBottom w:val="0"/>
          <w:divBdr>
            <w:top w:val="none" w:sz="0" w:space="0" w:color="auto"/>
            <w:left w:val="none" w:sz="0" w:space="0" w:color="auto"/>
            <w:bottom w:val="none" w:sz="0" w:space="0" w:color="auto"/>
            <w:right w:val="none" w:sz="0" w:space="0" w:color="auto"/>
          </w:divBdr>
        </w:div>
        <w:div w:id="8145533">
          <w:marLeft w:val="0"/>
          <w:marRight w:val="0"/>
          <w:marTop w:val="0"/>
          <w:marBottom w:val="0"/>
          <w:divBdr>
            <w:top w:val="none" w:sz="0" w:space="0" w:color="auto"/>
            <w:left w:val="none" w:sz="0" w:space="0" w:color="auto"/>
            <w:bottom w:val="none" w:sz="0" w:space="0" w:color="auto"/>
            <w:right w:val="none" w:sz="0" w:space="0" w:color="auto"/>
          </w:divBdr>
        </w:div>
      </w:divsChild>
    </w:div>
    <w:div w:id="111459008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7396100">
      <w:bodyDiv w:val="1"/>
      <w:marLeft w:val="0"/>
      <w:marRight w:val="0"/>
      <w:marTop w:val="0"/>
      <w:marBottom w:val="0"/>
      <w:divBdr>
        <w:top w:val="none" w:sz="0" w:space="0" w:color="auto"/>
        <w:left w:val="none" w:sz="0" w:space="0" w:color="auto"/>
        <w:bottom w:val="none" w:sz="0" w:space="0" w:color="auto"/>
        <w:right w:val="none" w:sz="0" w:space="0" w:color="auto"/>
      </w:divBdr>
    </w:div>
    <w:div w:id="1334139878">
      <w:bodyDiv w:val="1"/>
      <w:marLeft w:val="0"/>
      <w:marRight w:val="0"/>
      <w:marTop w:val="0"/>
      <w:marBottom w:val="0"/>
      <w:divBdr>
        <w:top w:val="none" w:sz="0" w:space="0" w:color="auto"/>
        <w:left w:val="none" w:sz="0" w:space="0" w:color="auto"/>
        <w:bottom w:val="none" w:sz="0" w:space="0" w:color="auto"/>
        <w:right w:val="none" w:sz="0" w:space="0" w:color="auto"/>
      </w:divBdr>
      <w:divsChild>
        <w:div w:id="931665351">
          <w:marLeft w:val="0"/>
          <w:marRight w:val="0"/>
          <w:marTop w:val="0"/>
          <w:marBottom w:val="0"/>
          <w:divBdr>
            <w:top w:val="none" w:sz="0" w:space="0" w:color="auto"/>
            <w:left w:val="none" w:sz="0" w:space="0" w:color="auto"/>
            <w:bottom w:val="none" w:sz="0" w:space="0" w:color="auto"/>
            <w:right w:val="none" w:sz="0" w:space="0" w:color="auto"/>
          </w:divBdr>
        </w:div>
        <w:div w:id="2016305653">
          <w:marLeft w:val="0"/>
          <w:marRight w:val="0"/>
          <w:marTop w:val="0"/>
          <w:marBottom w:val="0"/>
          <w:divBdr>
            <w:top w:val="none" w:sz="0" w:space="0" w:color="auto"/>
            <w:left w:val="none" w:sz="0" w:space="0" w:color="auto"/>
            <w:bottom w:val="none" w:sz="0" w:space="0" w:color="auto"/>
            <w:right w:val="none" w:sz="0" w:space="0" w:color="auto"/>
          </w:divBdr>
        </w:div>
        <w:div w:id="701175344">
          <w:marLeft w:val="0"/>
          <w:marRight w:val="0"/>
          <w:marTop w:val="0"/>
          <w:marBottom w:val="0"/>
          <w:divBdr>
            <w:top w:val="none" w:sz="0" w:space="0" w:color="auto"/>
            <w:left w:val="none" w:sz="0" w:space="0" w:color="auto"/>
            <w:bottom w:val="none" w:sz="0" w:space="0" w:color="auto"/>
            <w:right w:val="none" w:sz="0" w:space="0" w:color="auto"/>
          </w:divBdr>
        </w:div>
        <w:div w:id="1261067563">
          <w:marLeft w:val="0"/>
          <w:marRight w:val="0"/>
          <w:marTop w:val="0"/>
          <w:marBottom w:val="0"/>
          <w:divBdr>
            <w:top w:val="none" w:sz="0" w:space="0" w:color="auto"/>
            <w:left w:val="none" w:sz="0" w:space="0" w:color="auto"/>
            <w:bottom w:val="none" w:sz="0" w:space="0" w:color="auto"/>
            <w:right w:val="none" w:sz="0" w:space="0" w:color="auto"/>
          </w:divBdr>
        </w:div>
        <w:div w:id="1438908835">
          <w:marLeft w:val="0"/>
          <w:marRight w:val="0"/>
          <w:marTop w:val="0"/>
          <w:marBottom w:val="0"/>
          <w:divBdr>
            <w:top w:val="none" w:sz="0" w:space="0" w:color="auto"/>
            <w:left w:val="none" w:sz="0" w:space="0" w:color="auto"/>
            <w:bottom w:val="none" w:sz="0" w:space="0" w:color="auto"/>
            <w:right w:val="none" w:sz="0" w:space="0" w:color="auto"/>
          </w:divBdr>
        </w:div>
        <w:div w:id="1513645405">
          <w:marLeft w:val="0"/>
          <w:marRight w:val="0"/>
          <w:marTop w:val="0"/>
          <w:marBottom w:val="0"/>
          <w:divBdr>
            <w:top w:val="none" w:sz="0" w:space="0" w:color="auto"/>
            <w:left w:val="none" w:sz="0" w:space="0" w:color="auto"/>
            <w:bottom w:val="none" w:sz="0" w:space="0" w:color="auto"/>
            <w:right w:val="none" w:sz="0" w:space="0" w:color="auto"/>
          </w:divBdr>
        </w:div>
        <w:div w:id="1254510117">
          <w:marLeft w:val="0"/>
          <w:marRight w:val="0"/>
          <w:marTop w:val="0"/>
          <w:marBottom w:val="0"/>
          <w:divBdr>
            <w:top w:val="none" w:sz="0" w:space="0" w:color="auto"/>
            <w:left w:val="none" w:sz="0" w:space="0" w:color="auto"/>
            <w:bottom w:val="none" w:sz="0" w:space="0" w:color="auto"/>
            <w:right w:val="none" w:sz="0" w:space="0" w:color="auto"/>
          </w:divBdr>
        </w:div>
        <w:div w:id="172649425">
          <w:marLeft w:val="0"/>
          <w:marRight w:val="0"/>
          <w:marTop w:val="0"/>
          <w:marBottom w:val="0"/>
          <w:divBdr>
            <w:top w:val="none" w:sz="0" w:space="0" w:color="auto"/>
            <w:left w:val="none" w:sz="0" w:space="0" w:color="auto"/>
            <w:bottom w:val="none" w:sz="0" w:space="0" w:color="auto"/>
            <w:right w:val="none" w:sz="0" w:space="0" w:color="auto"/>
          </w:divBdr>
        </w:div>
        <w:div w:id="1723748116">
          <w:marLeft w:val="0"/>
          <w:marRight w:val="0"/>
          <w:marTop w:val="0"/>
          <w:marBottom w:val="0"/>
          <w:divBdr>
            <w:top w:val="none" w:sz="0" w:space="0" w:color="auto"/>
            <w:left w:val="none" w:sz="0" w:space="0" w:color="auto"/>
            <w:bottom w:val="none" w:sz="0" w:space="0" w:color="auto"/>
            <w:right w:val="none" w:sz="0" w:space="0" w:color="auto"/>
          </w:divBdr>
        </w:div>
        <w:div w:id="1421830173">
          <w:marLeft w:val="0"/>
          <w:marRight w:val="0"/>
          <w:marTop w:val="0"/>
          <w:marBottom w:val="0"/>
          <w:divBdr>
            <w:top w:val="none" w:sz="0" w:space="0" w:color="auto"/>
            <w:left w:val="none" w:sz="0" w:space="0" w:color="auto"/>
            <w:bottom w:val="none" w:sz="0" w:space="0" w:color="auto"/>
            <w:right w:val="none" w:sz="0" w:space="0" w:color="auto"/>
          </w:divBdr>
        </w:div>
      </w:divsChild>
    </w:div>
    <w:div w:id="1338118352">
      <w:bodyDiv w:val="1"/>
      <w:marLeft w:val="0"/>
      <w:marRight w:val="0"/>
      <w:marTop w:val="0"/>
      <w:marBottom w:val="0"/>
      <w:divBdr>
        <w:top w:val="none" w:sz="0" w:space="0" w:color="auto"/>
        <w:left w:val="none" w:sz="0" w:space="0" w:color="auto"/>
        <w:bottom w:val="none" w:sz="0" w:space="0" w:color="auto"/>
        <w:right w:val="none" w:sz="0" w:space="0" w:color="auto"/>
      </w:divBdr>
      <w:divsChild>
        <w:div w:id="1684746652">
          <w:marLeft w:val="0"/>
          <w:marRight w:val="0"/>
          <w:marTop w:val="0"/>
          <w:marBottom w:val="0"/>
          <w:divBdr>
            <w:top w:val="none" w:sz="0" w:space="0" w:color="auto"/>
            <w:left w:val="none" w:sz="0" w:space="0" w:color="auto"/>
            <w:bottom w:val="none" w:sz="0" w:space="0" w:color="auto"/>
            <w:right w:val="none" w:sz="0" w:space="0" w:color="auto"/>
          </w:divBdr>
        </w:div>
        <w:div w:id="884485940">
          <w:marLeft w:val="0"/>
          <w:marRight w:val="0"/>
          <w:marTop w:val="0"/>
          <w:marBottom w:val="0"/>
          <w:divBdr>
            <w:top w:val="none" w:sz="0" w:space="0" w:color="auto"/>
            <w:left w:val="none" w:sz="0" w:space="0" w:color="auto"/>
            <w:bottom w:val="none" w:sz="0" w:space="0" w:color="auto"/>
            <w:right w:val="none" w:sz="0" w:space="0" w:color="auto"/>
          </w:divBdr>
        </w:div>
        <w:div w:id="1701659181">
          <w:marLeft w:val="0"/>
          <w:marRight w:val="0"/>
          <w:marTop w:val="0"/>
          <w:marBottom w:val="0"/>
          <w:divBdr>
            <w:top w:val="none" w:sz="0" w:space="0" w:color="auto"/>
            <w:left w:val="none" w:sz="0" w:space="0" w:color="auto"/>
            <w:bottom w:val="none" w:sz="0" w:space="0" w:color="auto"/>
            <w:right w:val="none" w:sz="0" w:space="0" w:color="auto"/>
          </w:divBdr>
        </w:div>
        <w:div w:id="1622490462">
          <w:marLeft w:val="0"/>
          <w:marRight w:val="0"/>
          <w:marTop w:val="0"/>
          <w:marBottom w:val="0"/>
          <w:divBdr>
            <w:top w:val="none" w:sz="0" w:space="0" w:color="auto"/>
            <w:left w:val="none" w:sz="0" w:space="0" w:color="auto"/>
            <w:bottom w:val="none" w:sz="0" w:space="0" w:color="auto"/>
            <w:right w:val="none" w:sz="0" w:space="0" w:color="auto"/>
          </w:divBdr>
        </w:div>
        <w:div w:id="1813670543">
          <w:marLeft w:val="0"/>
          <w:marRight w:val="0"/>
          <w:marTop w:val="0"/>
          <w:marBottom w:val="0"/>
          <w:divBdr>
            <w:top w:val="none" w:sz="0" w:space="0" w:color="auto"/>
            <w:left w:val="none" w:sz="0" w:space="0" w:color="auto"/>
            <w:bottom w:val="none" w:sz="0" w:space="0" w:color="auto"/>
            <w:right w:val="none" w:sz="0" w:space="0" w:color="auto"/>
          </w:divBdr>
        </w:div>
        <w:div w:id="138810763">
          <w:marLeft w:val="0"/>
          <w:marRight w:val="0"/>
          <w:marTop w:val="0"/>
          <w:marBottom w:val="0"/>
          <w:divBdr>
            <w:top w:val="none" w:sz="0" w:space="0" w:color="auto"/>
            <w:left w:val="none" w:sz="0" w:space="0" w:color="auto"/>
            <w:bottom w:val="none" w:sz="0" w:space="0" w:color="auto"/>
            <w:right w:val="none" w:sz="0" w:space="0" w:color="auto"/>
          </w:divBdr>
        </w:div>
        <w:div w:id="58792550">
          <w:marLeft w:val="0"/>
          <w:marRight w:val="0"/>
          <w:marTop w:val="0"/>
          <w:marBottom w:val="0"/>
          <w:divBdr>
            <w:top w:val="none" w:sz="0" w:space="0" w:color="auto"/>
            <w:left w:val="none" w:sz="0" w:space="0" w:color="auto"/>
            <w:bottom w:val="none" w:sz="0" w:space="0" w:color="auto"/>
            <w:right w:val="none" w:sz="0" w:space="0" w:color="auto"/>
          </w:divBdr>
        </w:div>
      </w:divsChild>
    </w:div>
    <w:div w:id="1360082973">
      <w:bodyDiv w:val="1"/>
      <w:marLeft w:val="0"/>
      <w:marRight w:val="0"/>
      <w:marTop w:val="0"/>
      <w:marBottom w:val="0"/>
      <w:divBdr>
        <w:top w:val="none" w:sz="0" w:space="0" w:color="auto"/>
        <w:left w:val="none" w:sz="0" w:space="0" w:color="auto"/>
        <w:bottom w:val="none" w:sz="0" w:space="0" w:color="auto"/>
        <w:right w:val="none" w:sz="0" w:space="0" w:color="auto"/>
      </w:divBdr>
    </w:div>
    <w:div w:id="1438258811">
      <w:bodyDiv w:val="1"/>
      <w:marLeft w:val="0"/>
      <w:marRight w:val="0"/>
      <w:marTop w:val="0"/>
      <w:marBottom w:val="0"/>
      <w:divBdr>
        <w:top w:val="none" w:sz="0" w:space="0" w:color="auto"/>
        <w:left w:val="none" w:sz="0" w:space="0" w:color="auto"/>
        <w:bottom w:val="none" w:sz="0" w:space="0" w:color="auto"/>
        <w:right w:val="none" w:sz="0" w:space="0" w:color="auto"/>
      </w:divBdr>
      <w:divsChild>
        <w:div w:id="2012680267">
          <w:marLeft w:val="0"/>
          <w:marRight w:val="0"/>
          <w:marTop w:val="0"/>
          <w:marBottom w:val="0"/>
          <w:divBdr>
            <w:top w:val="none" w:sz="0" w:space="0" w:color="auto"/>
            <w:left w:val="none" w:sz="0" w:space="0" w:color="auto"/>
            <w:bottom w:val="none" w:sz="0" w:space="0" w:color="auto"/>
            <w:right w:val="none" w:sz="0" w:space="0" w:color="auto"/>
          </w:divBdr>
        </w:div>
        <w:div w:id="416055015">
          <w:marLeft w:val="0"/>
          <w:marRight w:val="0"/>
          <w:marTop w:val="0"/>
          <w:marBottom w:val="0"/>
          <w:divBdr>
            <w:top w:val="none" w:sz="0" w:space="0" w:color="auto"/>
            <w:left w:val="none" w:sz="0" w:space="0" w:color="auto"/>
            <w:bottom w:val="none" w:sz="0" w:space="0" w:color="auto"/>
            <w:right w:val="none" w:sz="0" w:space="0" w:color="auto"/>
          </w:divBdr>
        </w:div>
        <w:div w:id="435826449">
          <w:marLeft w:val="0"/>
          <w:marRight w:val="0"/>
          <w:marTop w:val="0"/>
          <w:marBottom w:val="0"/>
          <w:divBdr>
            <w:top w:val="none" w:sz="0" w:space="0" w:color="auto"/>
            <w:left w:val="none" w:sz="0" w:space="0" w:color="auto"/>
            <w:bottom w:val="none" w:sz="0" w:space="0" w:color="auto"/>
            <w:right w:val="none" w:sz="0" w:space="0" w:color="auto"/>
          </w:divBdr>
        </w:div>
        <w:div w:id="952907419">
          <w:marLeft w:val="0"/>
          <w:marRight w:val="0"/>
          <w:marTop w:val="0"/>
          <w:marBottom w:val="0"/>
          <w:divBdr>
            <w:top w:val="none" w:sz="0" w:space="0" w:color="auto"/>
            <w:left w:val="none" w:sz="0" w:space="0" w:color="auto"/>
            <w:bottom w:val="none" w:sz="0" w:space="0" w:color="auto"/>
            <w:right w:val="none" w:sz="0" w:space="0" w:color="auto"/>
          </w:divBdr>
        </w:div>
        <w:div w:id="1599174110">
          <w:marLeft w:val="0"/>
          <w:marRight w:val="0"/>
          <w:marTop w:val="0"/>
          <w:marBottom w:val="0"/>
          <w:divBdr>
            <w:top w:val="none" w:sz="0" w:space="0" w:color="auto"/>
            <w:left w:val="none" w:sz="0" w:space="0" w:color="auto"/>
            <w:bottom w:val="none" w:sz="0" w:space="0" w:color="auto"/>
            <w:right w:val="none" w:sz="0" w:space="0" w:color="auto"/>
          </w:divBdr>
        </w:div>
        <w:div w:id="1920090473">
          <w:marLeft w:val="0"/>
          <w:marRight w:val="0"/>
          <w:marTop w:val="0"/>
          <w:marBottom w:val="0"/>
          <w:divBdr>
            <w:top w:val="none" w:sz="0" w:space="0" w:color="auto"/>
            <w:left w:val="none" w:sz="0" w:space="0" w:color="auto"/>
            <w:bottom w:val="none" w:sz="0" w:space="0" w:color="auto"/>
            <w:right w:val="none" w:sz="0" w:space="0" w:color="auto"/>
          </w:divBdr>
        </w:div>
        <w:div w:id="1652711340">
          <w:marLeft w:val="0"/>
          <w:marRight w:val="0"/>
          <w:marTop w:val="0"/>
          <w:marBottom w:val="0"/>
          <w:divBdr>
            <w:top w:val="none" w:sz="0" w:space="0" w:color="auto"/>
            <w:left w:val="none" w:sz="0" w:space="0" w:color="auto"/>
            <w:bottom w:val="none" w:sz="0" w:space="0" w:color="auto"/>
            <w:right w:val="none" w:sz="0" w:space="0" w:color="auto"/>
          </w:divBdr>
        </w:div>
        <w:div w:id="1871532558">
          <w:marLeft w:val="0"/>
          <w:marRight w:val="0"/>
          <w:marTop w:val="0"/>
          <w:marBottom w:val="0"/>
          <w:divBdr>
            <w:top w:val="none" w:sz="0" w:space="0" w:color="auto"/>
            <w:left w:val="none" w:sz="0" w:space="0" w:color="auto"/>
            <w:bottom w:val="none" w:sz="0" w:space="0" w:color="auto"/>
            <w:right w:val="none" w:sz="0" w:space="0" w:color="auto"/>
          </w:divBdr>
        </w:div>
        <w:div w:id="323632188">
          <w:marLeft w:val="0"/>
          <w:marRight w:val="0"/>
          <w:marTop w:val="0"/>
          <w:marBottom w:val="0"/>
          <w:divBdr>
            <w:top w:val="none" w:sz="0" w:space="0" w:color="auto"/>
            <w:left w:val="none" w:sz="0" w:space="0" w:color="auto"/>
            <w:bottom w:val="none" w:sz="0" w:space="0" w:color="auto"/>
            <w:right w:val="none" w:sz="0" w:space="0" w:color="auto"/>
          </w:divBdr>
        </w:div>
        <w:div w:id="1537498511">
          <w:marLeft w:val="0"/>
          <w:marRight w:val="0"/>
          <w:marTop w:val="0"/>
          <w:marBottom w:val="0"/>
          <w:divBdr>
            <w:top w:val="none" w:sz="0" w:space="0" w:color="auto"/>
            <w:left w:val="none" w:sz="0" w:space="0" w:color="auto"/>
            <w:bottom w:val="none" w:sz="0" w:space="0" w:color="auto"/>
            <w:right w:val="none" w:sz="0" w:space="0" w:color="auto"/>
          </w:divBdr>
        </w:div>
      </w:divsChild>
    </w:div>
    <w:div w:id="1651445196">
      <w:bodyDiv w:val="1"/>
      <w:marLeft w:val="0"/>
      <w:marRight w:val="0"/>
      <w:marTop w:val="0"/>
      <w:marBottom w:val="0"/>
      <w:divBdr>
        <w:top w:val="none" w:sz="0" w:space="0" w:color="auto"/>
        <w:left w:val="none" w:sz="0" w:space="0" w:color="auto"/>
        <w:bottom w:val="none" w:sz="0" w:space="0" w:color="auto"/>
        <w:right w:val="none" w:sz="0" w:space="0" w:color="auto"/>
      </w:divBdr>
    </w:div>
    <w:div w:id="1770345957">
      <w:bodyDiv w:val="1"/>
      <w:marLeft w:val="0"/>
      <w:marRight w:val="0"/>
      <w:marTop w:val="0"/>
      <w:marBottom w:val="0"/>
      <w:divBdr>
        <w:top w:val="none" w:sz="0" w:space="0" w:color="auto"/>
        <w:left w:val="none" w:sz="0" w:space="0" w:color="auto"/>
        <w:bottom w:val="none" w:sz="0" w:space="0" w:color="auto"/>
        <w:right w:val="none" w:sz="0" w:space="0" w:color="auto"/>
      </w:divBdr>
    </w:div>
    <w:div w:id="178403384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741411">
      <w:bodyDiv w:val="1"/>
      <w:marLeft w:val="0"/>
      <w:marRight w:val="0"/>
      <w:marTop w:val="0"/>
      <w:marBottom w:val="0"/>
      <w:divBdr>
        <w:top w:val="none" w:sz="0" w:space="0" w:color="auto"/>
        <w:left w:val="none" w:sz="0" w:space="0" w:color="auto"/>
        <w:bottom w:val="none" w:sz="0" w:space="0" w:color="auto"/>
        <w:right w:val="none" w:sz="0" w:space="0" w:color="auto"/>
      </w:divBdr>
    </w:div>
    <w:div w:id="19856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rvicesaustrali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FAC00E3C-FF6F-4E3C-A504-E9B14BF7007F}"/>
</file>

<file path=customXml/itemProps3.xml><?xml version="1.0" encoding="utf-8"?>
<ds:datastoreItem xmlns:ds="http://schemas.openxmlformats.org/officeDocument/2006/customXml" ds:itemID="{F07F8C34-3B7D-416C-B498-A2881B98ADB7}"/>
</file>

<file path=customXml/itemProps4.xml><?xml version="1.0" encoding="utf-8"?>
<ds:datastoreItem xmlns:ds="http://schemas.openxmlformats.org/officeDocument/2006/customXml" ds:itemID="{D38D47BE-8C9B-4A29-B2E4-70541FD56373}"/>
</file>

<file path=docProps/app.xml><?xml version="1.0" encoding="utf-8"?>
<Properties xmlns="http://schemas.openxmlformats.org/officeDocument/2006/extended-properties" xmlns:vt="http://schemas.openxmlformats.org/officeDocument/2006/docPropsVTypes">
  <Template>Normal.dotm</Template>
  <TotalTime>0</TotalTime>
  <Pages>42</Pages>
  <Words>17643</Words>
  <Characters>100570</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117978</CharactersWithSpaces>
  <SharedDoc>false</SharedDoc>
  <HLinks>
    <vt:vector size="468" baseType="variant">
      <vt:variant>
        <vt:i4>1638454</vt:i4>
      </vt:variant>
      <vt:variant>
        <vt:i4>458</vt:i4>
      </vt:variant>
      <vt:variant>
        <vt:i4>0</vt:i4>
      </vt:variant>
      <vt:variant>
        <vt:i4>5</vt:i4>
      </vt:variant>
      <vt:variant>
        <vt:lpwstr/>
      </vt:variant>
      <vt:variant>
        <vt:lpwstr>_Toc176949599</vt:lpwstr>
      </vt:variant>
      <vt:variant>
        <vt:i4>1638454</vt:i4>
      </vt:variant>
      <vt:variant>
        <vt:i4>452</vt:i4>
      </vt:variant>
      <vt:variant>
        <vt:i4>0</vt:i4>
      </vt:variant>
      <vt:variant>
        <vt:i4>5</vt:i4>
      </vt:variant>
      <vt:variant>
        <vt:lpwstr/>
      </vt:variant>
      <vt:variant>
        <vt:lpwstr>_Toc176949598</vt:lpwstr>
      </vt:variant>
      <vt:variant>
        <vt:i4>1638454</vt:i4>
      </vt:variant>
      <vt:variant>
        <vt:i4>446</vt:i4>
      </vt:variant>
      <vt:variant>
        <vt:i4>0</vt:i4>
      </vt:variant>
      <vt:variant>
        <vt:i4>5</vt:i4>
      </vt:variant>
      <vt:variant>
        <vt:lpwstr/>
      </vt:variant>
      <vt:variant>
        <vt:lpwstr>_Toc176949597</vt:lpwstr>
      </vt:variant>
      <vt:variant>
        <vt:i4>1638454</vt:i4>
      </vt:variant>
      <vt:variant>
        <vt:i4>440</vt:i4>
      </vt:variant>
      <vt:variant>
        <vt:i4>0</vt:i4>
      </vt:variant>
      <vt:variant>
        <vt:i4>5</vt:i4>
      </vt:variant>
      <vt:variant>
        <vt:lpwstr/>
      </vt:variant>
      <vt:variant>
        <vt:lpwstr>_Toc176949596</vt:lpwstr>
      </vt:variant>
      <vt:variant>
        <vt:i4>1638454</vt:i4>
      </vt:variant>
      <vt:variant>
        <vt:i4>434</vt:i4>
      </vt:variant>
      <vt:variant>
        <vt:i4>0</vt:i4>
      </vt:variant>
      <vt:variant>
        <vt:i4>5</vt:i4>
      </vt:variant>
      <vt:variant>
        <vt:lpwstr/>
      </vt:variant>
      <vt:variant>
        <vt:lpwstr>_Toc176949595</vt:lpwstr>
      </vt:variant>
      <vt:variant>
        <vt:i4>1638454</vt:i4>
      </vt:variant>
      <vt:variant>
        <vt:i4>428</vt:i4>
      </vt:variant>
      <vt:variant>
        <vt:i4>0</vt:i4>
      </vt:variant>
      <vt:variant>
        <vt:i4>5</vt:i4>
      </vt:variant>
      <vt:variant>
        <vt:lpwstr/>
      </vt:variant>
      <vt:variant>
        <vt:lpwstr>_Toc176949594</vt:lpwstr>
      </vt:variant>
      <vt:variant>
        <vt:i4>1638454</vt:i4>
      </vt:variant>
      <vt:variant>
        <vt:i4>422</vt:i4>
      </vt:variant>
      <vt:variant>
        <vt:i4>0</vt:i4>
      </vt:variant>
      <vt:variant>
        <vt:i4>5</vt:i4>
      </vt:variant>
      <vt:variant>
        <vt:lpwstr/>
      </vt:variant>
      <vt:variant>
        <vt:lpwstr>_Toc176949593</vt:lpwstr>
      </vt:variant>
      <vt:variant>
        <vt:i4>1638454</vt:i4>
      </vt:variant>
      <vt:variant>
        <vt:i4>416</vt:i4>
      </vt:variant>
      <vt:variant>
        <vt:i4>0</vt:i4>
      </vt:variant>
      <vt:variant>
        <vt:i4>5</vt:i4>
      </vt:variant>
      <vt:variant>
        <vt:lpwstr/>
      </vt:variant>
      <vt:variant>
        <vt:lpwstr>_Toc176949592</vt:lpwstr>
      </vt:variant>
      <vt:variant>
        <vt:i4>1638454</vt:i4>
      </vt:variant>
      <vt:variant>
        <vt:i4>410</vt:i4>
      </vt:variant>
      <vt:variant>
        <vt:i4>0</vt:i4>
      </vt:variant>
      <vt:variant>
        <vt:i4>5</vt:i4>
      </vt:variant>
      <vt:variant>
        <vt:lpwstr/>
      </vt:variant>
      <vt:variant>
        <vt:lpwstr>_Toc176949591</vt:lpwstr>
      </vt:variant>
      <vt:variant>
        <vt:i4>1638454</vt:i4>
      </vt:variant>
      <vt:variant>
        <vt:i4>404</vt:i4>
      </vt:variant>
      <vt:variant>
        <vt:i4>0</vt:i4>
      </vt:variant>
      <vt:variant>
        <vt:i4>5</vt:i4>
      </vt:variant>
      <vt:variant>
        <vt:lpwstr/>
      </vt:variant>
      <vt:variant>
        <vt:lpwstr>_Toc176949590</vt:lpwstr>
      </vt:variant>
      <vt:variant>
        <vt:i4>1572918</vt:i4>
      </vt:variant>
      <vt:variant>
        <vt:i4>398</vt:i4>
      </vt:variant>
      <vt:variant>
        <vt:i4>0</vt:i4>
      </vt:variant>
      <vt:variant>
        <vt:i4>5</vt:i4>
      </vt:variant>
      <vt:variant>
        <vt:lpwstr/>
      </vt:variant>
      <vt:variant>
        <vt:lpwstr>_Toc176949589</vt:lpwstr>
      </vt:variant>
      <vt:variant>
        <vt:i4>1572918</vt:i4>
      </vt:variant>
      <vt:variant>
        <vt:i4>392</vt:i4>
      </vt:variant>
      <vt:variant>
        <vt:i4>0</vt:i4>
      </vt:variant>
      <vt:variant>
        <vt:i4>5</vt:i4>
      </vt:variant>
      <vt:variant>
        <vt:lpwstr/>
      </vt:variant>
      <vt:variant>
        <vt:lpwstr>_Toc176949588</vt:lpwstr>
      </vt:variant>
      <vt:variant>
        <vt:i4>1572918</vt:i4>
      </vt:variant>
      <vt:variant>
        <vt:i4>386</vt:i4>
      </vt:variant>
      <vt:variant>
        <vt:i4>0</vt:i4>
      </vt:variant>
      <vt:variant>
        <vt:i4>5</vt:i4>
      </vt:variant>
      <vt:variant>
        <vt:lpwstr/>
      </vt:variant>
      <vt:variant>
        <vt:lpwstr>_Toc176949587</vt:lpwstr>
      </vt:variant>
      <vt:variant>
        <vt:i4>1572918</vt:i4>
      </vt:variant>
      <vt:variant>
        <vt:i4>380</vt:i4>
      </vt:variant>
      <vt:variant>
        <vt:i4>0</vt:i4>
      </vt:variant>
      <vt:variant>
        <vt:i4>5</vt:i4>
      </vt:variant>
      <vt:variant>
        <vt:lpwstr/>
      </vt:variant>
      <vt:variant>
        <vt:lpwstr>_Toc176949586</vt:lpwstr>
      </vt:variant>
      <vt:variant>
        <vt:i4>1572918</vt:i4>
      </vt:variant>
      <vt:variant>
        <vt:i4>374</vt:i4>
      </vt:variant>
      <vt:variant>
        <vt:i4>0</vt:i4>
      </vt:variant>
      <vt:variant>
        <vt:i4>5</vt:i4>
      </vt:variant>
      <vt:variant>
        <vt:lpwstr/>
      </vt:variant>
      <vt:variant>
        <vt:lpwstr>_Toc176949585</vt:lpwstr>
      </vt:variant>
      <vt:variant>
        <vt:i4>1572918</vt:i4>
      </vt:variant>
      <vt:variant>
        <vt:i4>368</vt:i4>
      </vt:variant>
      <vt:variant>
        <vt:i4>0</vt:i4>
      </vt:variant>
      <vt:variant>
        <vt:i4>5</vt:i4>
      </vt:variant>
      <vt:variant>
        <vt:lpwstr/>
      </vt:variant>
      <vt:variant>
        <vt:lpwstr>_Toc176949584</vt:lpwstr>
      </vt:variant>
      <vt:variant>
        <vt:i4>1572918</vt:i4>
      </vt:variant>
      <vt:variant>
        <vt:i4>362</vt:i4>
      </vt:variant>
      <vt:variant>
        <vt:i4>0</vt:i4>
      </vt:variant>
      <vt:variant>
        <vt:i4>5</vt:i4>
      </vt:variant>
      <vt:variant>
        <vt:lpwstr/>
      </vt:variant>
      <vt:variant>
        <vt:lpwstr>_Toc176949583</vt:lpwstr>
      </vt:variant>
      <vt:variant>
        <vt:i4>1572918</vt:i4>
      </vt:variant>
      <vt:variant>
        <vt:i4>356</vt:i4>
      </vt:variant>
      <vt:variant>
        <vt:i4>0</vt:i4>
      </vt:variant>
      <vt:variant>
        <vt:i4>5</vt:i4>
      </vt:variant>
      <vt:variant>
        <vt:lpwstr/>
      </vt:variant>
      <vt:variant>
        <vt:lpwstr>_Toc176949582</vt:lpwstr>
      </vt:variant>
      <vt:variant>
        <vt:i4>1572918</vt:i4>
      </vt:variant>
      <vt:variant>
        <vt:i4>350</vt:i4>
      </vt:variant>
      <vt:variant>
        <vt:i4>0</vt:i4>
      </vt:variant>
      <vt:variant>
        <vt:i4>5</vt:i4>
      </vt:variant>
      <vt:variant>
        <vt:lpwstr/>
      </vt:variant>
      <vt:variant>
        <vt:lpwstr>_Toc176949581</vt:lpwstr>
      </vt:variant>
      <vt:variant>
        <vt:i4>1572918</vt:i4>
      </vt:variant>
      <vt:variant>
        <vt:i4>344</vt:i4>
      </vt:variant>
      <vt:variant>
        <vt:i4>0</vt:i4>
      </vt:variant>
      <vt:variant>
        <vt:i4>5</vt:i4>
      </vt:variant>
      <vt:variant>
        <vt:lpwstr/>
      </vt:variant>
      <vt:variant>
        <vt:lpwstr>_Toc176949580</vt:lpwstr>
      </vt:variant>
      <vt:variant>
        <vt:i4>1507382</vt:i4>
      </vt:variant>
      <vt:variant>
        <vt:i4>338</vt:i4>
      </vt:variant>
      <vt:variant>
        <vt:i4>0</vt:i4>
      </vt:variant>
      <vt:variant>
        <vt:i4>5</vt:i4>
      </vt:variant>
      <vt:variant>
        <vt:lpwstr/>
      </vt:variant>
      <vt:variant>
        <vt:lpwstr>_Toc176949579</vt:lpwstr>
      </vt:variant>
      <vt:variant>
        <vt:i4>1507382</vt:i4>
      </vt:variant>
      <vt:variant>
        <vt:i4>332</vt:i4>
      </vt:variant>
      <vt:variant>
        <vt:i4>0</vt:i4>
      </vt:variant>
      <vt:variant>
        <vt:i4>5</vt:i4>
      </vt:variant>
      <vt:variant>
        <vt:lpwstr/>
      </vt:variant>
      <vt:variant>
        <vt:lpwstr>_Toc176949578</vt:lpwstr>
      </vt:variant>
      <vt:variant>
        <vt:i4>1507382</vt:i4>
      </vt:variant>
      <vt:variant>
        <vt:i4>326</vt:i4>
      </vt:variant>
      <vt:variant>
        <vt:i4>0</vt:i4>
      </vt:variant>
      <vt:variant>
        <vt:i4>5</vt:i4>
      </vt:variant>
      <vt:variant>
        <vt:lpwstr/>
      </vt:variant>
      <vt:variant>
        <vt:lpwstr>_Toc176949577</vt:lpwstr>
      </vt:variant>
      <vt:variant>
        <vt:i4>1507382</vt:i4>
      </vt:variant>
      <vt:variant>
        <vt:i4>320</vt:i4>
      </vt:variant>
      <vt:variant>
        <vt:i4>0</vt:i4>
      </vt:variant>
      <vt:variant>
        <vt:i4>5</vt:i4>
      </vt:variant>
      <vt:variant>
        <vt:lpwstr/>
      </vt:variant>
      <vt:variant>
        <vt:lpwstr>_Toc176949576</vt:lpwstr>
      </vt:variant>
      <vt:variant>
        <vt:i4>1507382</vt:i4>
      </vt:variant>
      <vt:variant>
        <vt:i4>314</vt:i4>
      </vt:variant>
      <vt:variant>
        <vt:i4>0</vt:i4>
      </vt:variant>
      <vt:variant>
        <vt:i4>5</vt:i4>
      </vt:variant>
      <vt:variant>
        <vt:lpwstr/>
      </vt:variant>
      <vt:variant>
        <vt:lpwstr>_Toc176949575</vt:lpwstr>
      </vt:variant>
      <vt:variant>
        <vt:i4>1507382</vt:i4>
      </vt:variant>
      <vt:variant>
        <vt:i4>308</vt:i4>
      </vt:variant>
      <vt:variant>
        <vt:i4>0</vt:i4>
      </vt:variant>
      <vt:variant>
        <vt:i4>5</vt:i4>
      </vt:variant>
      <vt:variant>
        <vt:lpwstr/>
      </vt:variant>
      <vt:variant>
        <vt:lpwstr>_Toc176949574</vt:lpwstr>
      </vt:variant>
      <vt:variant>
        <vt:i4>1507382</vt:i4>
      </vt:variant>
      <vt:variant>
        <vt:i4>302</vt:i4>
      </vt:variant>
      <vt:variant>
        <vt:i4>0</vt:i4>
      </vt:variant>
      <vt:variant>
        <vt:i4>5</vt:i4>
      </vt:variant>
      <vt:variant>
        <vt:lpwstr/>
      </vt:variant>
      <vt:variant>
        <vt:lpwstr>_Toc176949573</vt:lpwstr>
      </vt:variant>
      <vt:variant>
        <vt:i4>1507382</vt:i4>
      </vt:variant>
      <vt:variant>
        <vt:i4>296</vt:i4>
      </vt:variant>
      <vt:variant>
        <vt:i4>0</vt:i4>
      </vt:variant>
      <vt:variant>
        <vt:i4>5</vt:i4>
      </vt:variant>
      <vt:variant>
        <vt:lpwstr/>
      </vt:variant>
      <vt:variant>
        <vt:lpwstr>_Toc176949572</vt:lpwstr>
      </vt:variant>
      <vt:variant>
        <vt:i4>1507382</vt:i4>
      </vt:variant>
      <vt:variant>
        <vt:i4>290</vt:i4>
      </vt:variant>
      <vt:variant>
        <vt:i4>0</vt:i4>
      </vt:variant>
      <vt:variant>
        <vt:i4>5</vt:i4>
      </vt:variant>
      <vt:variant>
        <vt:lpwstr/>
      </vt:variant>
      <vt:variant>
        <vt:lpwstr>_Toc176949571</vt:lpwstr>
      </vt:variant>
      <vt:variant>
        <vt:i4>1507382</vt:i4>
      </vt:variant>
      <vt:variant>
        <vt:i4>284</vt:i4>
      </vt:variant>
      <vt:variant>
        <vt:i4>0</vt:i4>
      </vt:variant>
      <vt:variant>
        <vt:i4>5</vt:i4>
      </vt:variant>
      <vt:variant>
        <vt:lpwstr/>
      </vt:variant>
      <vt:variant>
        <vt:lpwstr>_Toc176949570</vt:lpwstr>
      </vt:variant>
      <vt:variant>
        <vt:i4>1441846</vt:i4>
      </vt:variant>
      <vt:variant>
        <vt:i4>278</vt:i4>
      </vt:variant>
      <vt:variant>
        <vt:i4>0</vt:i4>
      </vt:variant>
      <vt:variant>
        <vt:i4>5</vt:i4>
      </vt:variant>
      <vt:variant>
        <vt:lpwstr/>
      </vt:variant>
      <vt:variant>
        <vt:lpwstr>_Toc176949569</vt:lpwstr>
      </vt:variant>
      <vt:variant>
        <vt:i4>1441846</vt:i4>
      </vt:variant>
      <vt:variant>
        <vt:i4>272</vt:i4>
      </vt:variant>
      <vt:variant>
        <vt:i4>0</vt:i4>
      </vt:variant>
      <vt:variant>
        <vt:i4>5</vt:i4>
      </vt:variant>
      <vt:variant>
        <vt:lpwstr/>
      </vt:variant>
      <vt:variant>
        <vt:lpwstr>_Toc176949568</vt:lpwstr>
      </vt:variant>
      <vt:variant>
        <vt:i4>1441846</vt:i4>
      </vt:variant>
      <vt:variant>
        <vt:i4>266</vt:i4>
      </vt:variant>
      <vt:variant>
        <vt:i4>0</vt:i4>
      </vt:variant>
      <vt:variant>
        <vt:i4>5</vt:i4>
      </vt:variant>
      <vt:variant>
        <vt:lpwstr/>
      </vt:variant>
      <vt:variant>
        <vt:lpwstr>_Toc176949567</vt:lpwstr>
      </vt:variant>
      <vt:variant>
        <vt:i4>1441846</vt:i4>
      </vt:variant>
      <vt:variant>
        <vt:i4>260</vt:i4>
      </vt:variant>
      <vt:variant>
        <vt:i4>0</vt:i4>
      </vt:variant>
      <vt:variant>
        <vt:i4>5</vt:i4>
      </vt:variant>
      <vt:variant>
        <vt:lpwstr/>
      </vt:variant>
      <vt:variant>
        <vt:lpwstr>_Toc176949566</vt:lpwstr>
      </vt:variant>
      <vt:variant>
        <vt:i4>1441846</vt:i4>
      </vt:variant>
      <vt:variant>
        <vt:i4>254</vt:i4>
      </vt:variant>
      <vt:variant>
        <vt:i4>0</vt:i4>
      </vt:variant>
      <vt:variant>
        <vt:i4>5</vt:i4>
      </vt:variant>
      <vt:variant>
        <vt:lpwstr/>
      </vt:variant>
      <vt:variant>
        <vt:lpwstr>_Toc176949565</vt:lpwstr>
      </vt:variant>
      <vt:variant>
        <vt:i4>1441846</vt:i4>
      </vt:variant>
      <vt:variant>
        <vt:i4>248</vt:i4>
      </vt:variant>
      <vt:variant>
        <vt:i4>0</vt:i4>
      </vt:variant>
      <vt:variant>
        <vt:i4>5</vt:i4>
      </vt:variant>
      <vt:variant>
        <vt:lpwstr/>
      </vt:variant>
      <vt:variant>
        <vt:lpwstr>_Toc176949564</vt:lpwstr>
      </vt:variant>
      <vt:variant>
        <vt:i4>1441846</vt:i4>
      </vt:variant>
      <vt:variant>
        <vt:i4>242</vt:i4>
      </vt:variant>
      <vt:variant>
        <vt:i4>0</vt:i4>
      </vt:variant>
      <vt:variant>
        <vt:i4>5</vt:i4>
      </vt:variant>
      <vt:variant>
        <vt:lpwstr/>
      </vt:variant>
      <vt:variant>
        <vt:lpwstr>_Toc176949563</vt:lpwstr>
      </vt:variant>
      <vt:variant>
        <vt:i4>1441846</vt:i4>
      </vt:variant>
      <vt:variant>
        <vt:i4>236</vt:i4>
      </vt:variant>
      <vt:variant>
        <vt:i4>0</vt:i4>
      </vt:variant>
      <vt:variant>
        <vt:i4>5</vt:i4>
      </vt:variant>
      <vt:variant>
        <vt:lpwstr/>
      </vt:variant>
      <vt:variant>
        <vt:lpwstr>_Toc176949562</vt:lpwstr>
      </vt:variant>
      <vt:variant>
        <vt:i4>1441846</vt:i4>
      </vt:variant>
      <vt:variant>
        <vt:i4>230</vt:i4>
      </vt:variant>
      <vt:variant>
        <vt:i4>0</vt:i4>
      </vt:variant>
      <vt:variant>
        <vt:i4>5</vt:i4>
      </vt:variant>
      <vt:variant>
        <vt:lpwstr/>
      </vt:variant>
      <vt:variant>
        <vt:lpwstr>_Toc176949561</vt:lpwstr>
      </vt:variant>
      <vt:variant>
        <vt:i4>1441846</vt:i4>
      </vt:variant>
      <vt:variant>
        <vt:i4>224</vt:i4>
      </vt:variant>
      <vt:variant>
        <vt:i4>0</vt:i4>
      </vt:variant>
      <vt:variant>
        <vt:i4>5</vt:i4>
      </vt:variant>
      <vt:variant>
        <vt:lpwstr/>
      </vt:variant>
      <vt:variant>
        <vt:lpwstr>_Toc176949560</vt:lpwstr>
      </vt:variant>
      <vt:variant>
        <vt:i4>1376310</vt:i4>
      </vt:variant>
      <vt:variant>
        <vt:i4>218</vt:i4>
      </vt:variant>
      <vt:variant>
        <vt:i4>0</vt:i4>
      </vt:variant>
      <vt:variant>
        <vt:i4>5</vt:i4>
      </vt:variant>
      <vt:variant>
        <vt:lpwstr/>
      </vt:variant>
      <vt:variant>
        <vt:lpwstr>_Toc176949559</vt:lpwstr>
      </vt:variant>
      <vt:variant>
        <vt:i4>1376310</vt:i4>
      </vt:variant>
      <vt:variant>
        <vt:i4>212</vt:i4>
      </vt:variant>
      <vt:variant>
        <vt:i4>0</vt:i4>
      </vt:variant>
      <vt:variant>
        <vt:i4>5</vt:i4>
      </vt:variant>
      <vt:variant>
        <vt:lpwstr/>
      </vt:variant>
      <vt:variant>
        <vt:lpwstr>_Toc176949558</vt:lpwstr>
      </vt:variant>
      <vt:variant>
        <vt:i4>1376310</vt:i4>
      </vt:variant>
      <vt:variant>
        <vt:i4>206</vt:i4>
      </vt:variant>
      <vt:variant>
        <vt:i4>0</vt:i4>
      </vt:variant>
      <vt:variant>
        <vt:i4>5</vt:i4>
      </vt:variant>
      <vt:variant>
        <vt:lpwstr/>
      </vt:variant>
      <vt:variant>
        <vt:lpwstr>_Toc176949557</vt:lpwstr>
      </vt:variant>
      <vt:variant>
        <vt:i4>1376310</vt:i4>
      </vt:variant>
      <vt:variant>
        <vt:i4>200</vt:i4>
      </vt:variant>
      <vt:variant>
        <vt:i4>0</vt:i4>
      </vt:variant>
      <vt:variant>
        <vt:i4>5</vt:i4>
      </vt:variant>
      <vt:variant>
        <vt:lpwstr/>
      </vt:variant>
      <vt:variant>
        <vt:lpwstr>_Toc176949556</vt:lpwstr>
      </vt:variant>
      <vt:variant>
        <vt:i4>1376310</vt:i4>
      </vt:variant>
      <vt:variant>
        <vt:i4>194</vt:i4>
      </vt:variant>
      <vt:variant>
        <vt:i4>0</vt:i4>
      </vt:variant>
      <vt:variant>
        <vt:i4>5</vt:i4>
      </vt:variant>
      <vt:variant>
        <vt:lpwstr/>
      </vt:variant>
      <vt:variant>
        <vt:lpwstr>_Toc176949555</vt:lpwstr>
      </vt:variant>
      <vt:variant>
        <vt:i4>1376310</vt:i4>
      </vt:variant>
      <vt:variant>
        <vt:i4>188</vt:i4>
      </vt:variant>
      <vt:variant>
        <vt:i4>0</vt:i4>
      </vt:variant>
      <vt:variant>
        <vt:i4>5</vt:i4>
      </vt:variant>
      <vt:variant>
        <vt:lpwstr/>
      </vt:variant>
      <vt:variant>
        <vt:lpwstr>_Toc176949554</vt:lpwstr>
      </vt:variant>
      <vt:variant>
        <vt:i4>1376310</vt:i4>
      </vt:variant>
      <vt:variant>
        <vt:i4>182</vt:i4>
      </vt:variant>
      <vt:variant>
        <vt:i4>0</vt:i4>
      </vt:variant>
      <vt:variant>
        <vt:i4>5</vt:i4>
      </vt:variant>
      <vt:variant>
        <vt:lpwstr/>
      </vt:variant>
      <vt:variant>
        <vt:lpwstr>_Toc176949553</vt:lpwstr>
      </vt:variant>
      <vt:variant>
        <vt:i4>1376310</vt:i4>
      </vt:variant>
      <vt:variant>
        <vt:i4>176</vt:i4>
      </vt:variant>
      <vt:variant>
        <vt:i4>0</vt:i4>
      </vt:variant>
      <vt:variant>
        <vt:i4>5</vt:i4>
      </vt:variant>
      <vt:variant>
        <vt:lpwstr/>
      </vt:variant>
      <vt:variant>
        <vt:lpwstr>_Toc176949552</vt:lpwstr>
      </vt:variant>
      <vt:variant>
        <vt:i4>1376310</vt:i4>
      </vt:variant>
      <vt:variant>
        <vt:i4>170</vt:i4>
      </vt:variant>
      <vt:variant>
        <vt:i4>0</vt:i4>
      </vt:variant>
      <vt:variant>
        <vt:i4>5</vt:i4>
      </vt:variant>
      <vt:variant>
        <vt:lpwstr/>
      </vt:variant>
      <vt:variant>
        <vt:lpwstr>_Toc176949551</vt:lpwstr>
      </vt:variant>
      <vt:variant>
        <vt:i4>1376310</vt:i4>
      </vt:variant>
      <vt:variant>
        <vt:i4>164</vt:i4>
      </vt:variant>
      <vt:variant>
        <vt:i4>0</vt:i4>
      </vt:variant>
      <vt:variant>
        <vt:i4>5</vt:i4>
      </vt:variant>
      <vt:variant>
        <vt:lpwstr/>
      </vt:variant>
      <vt:variant>
        <vt:lpwstr>_Toc176949550</vt:lpwstr>
      </vt:variant>
      <vt:variant>
        <vt:i4>1310774</vt:i4>
      </vt:variant>
      <vt:variant>
        <vt:i4>158</vt:i4>
      </vt:variant>
      <vt:variant>
        <vt:i4>0</vt:i4>
      </vt:variant>
      <vt:variant>
        <vt:i4>5</vt:i4>
      </vt:variant>
      <vt:variant>
        <vt:lpwstr/>
      </vt:variant>
      <vt:variant>
        <vt:lpwstr>_Toc176949549</vt:lpwstr>
      </vt:variant>
      <vt:variant>
        <vt:i4>1310774</vt:i4>
      </vt:variant>
      <vt:variant>
        <vt:i4>152</vt:i4>
      </vt:variant>
      <vt:variant>
        <vt:i4>0</vt:i4>
      </vt:variant>
      <vt:variant>
        <vt:i4>5</vt:i4>
      </vt:variant>
      <vt:variant>
        <vt:lpwstr/>
      </vt:variant>
      <vt:variant>
        <vt:lpwstr>_Toc176949548</vt:lpwstr>
      </vt:variant>
      <vt:variant>
        <vt:i4>1310774</vt:i4>
      </vt:variant>
      <vt:variant>
        <vt:i4>146</vt:i4>
      </vt:variant>
      <vt:variant>
        <vt:i4>0</vt:i4>
      </vt:variant>
      <vt:variant>
        <vt:i4>5</vt:i4>
      </vt:variant>
      <vt:variant>
        <vt:lpwstr/>
      </vt:variant>
      <vt:variant>
        <vt:lpwstr>_Toc176949547</vt:lpwstr>
      </vt:variant>
      <vt:variant>
        <vt:i4>1310774</vt:i4>
      </vt:variant>
      <vt:variant>
        <vt:i4>140</vt:i4>
      </vt:variant>
      <vt:variant>
        <vt:i4>0</vt:i4>
      </vt:variant>
      <vt:variant>
        <vt:i4>5</vt:i4>
      </vt:variant>
      <vt:variant>
        <vt:lpwstr/>
      </vt:variant>
      <vt:variant>
        <vt:lpwstr>_Toc176949546</vt:lpwstr>
      </vt:variant>
      <vt:variant>
        <vt:i4>1310774</vt:i4>
      </vt:variant>
      <vt:variant>
        <vt:i4>134</vt:i4>
      </vt:variant>
      <vt:variant>
        <vt:i4>0</vt:i4>
      </vt:variant>
      <vt:variant>
        <vt:i4>5</vt:i4>
      </vt:variant>
      <vt:variant>
        <vt:lpwstr/>
      </vt:variant>
      <vt:variant>
        <vt:lpwstr>_Toc176949545</vt:lpwstr>
      </vt:variant>
      <vt:variant>
        <vt:i4>1310774</vt:i4>
      </vt:variant>
      <vt:variant>
        <vt:i4>128</vt:i4>
      </vt:variant>
      <vt:variant>
        <vt:i4>0</vt:i4>
      </vt:variant>
      <vt:variant>
        <vt:i4>5</vt:i4>
      </vt:variant>
      <vt:variant>
        <vt:lpwstr/>
      </vt:variant>
      <vt:variant>
        <vt:lpwstr>_Toc176949544</vt:lpwstr>
      </vt:variant>
      <vt:variant>
        <vt:i4>1310774</vt:i4>
      </vt:variant>
      <vt:variant>
        <vt:i4>122</vt:i4>
      </vt:variant>
      <vt:variant>
        <vt:i4>0</vt:i4>
      </vt:variant>
      <vt:variant>
        <vt:i4>5</vt:i4>
      </vt:variant>
      <vt:variant>
        <vt:lpwstr/>
      </vt:variant>
      <vt:variant>
        <vt:lpwstr>_Toc176949543</vt:lpwstr>
      </vt:variant>
      <vt:variant>
        <vt:i4>1310774</vt:i4>
      </vt:variant>
      <vt:variant>
        <vt:i4>116</vt:i4>
      </vt:variant>
      <vt:variant>
        <vt:i4>0</vt:i4>
      </vt:variant>
      <vt:variant>
        <vt:i4>5</vt:i4>
      </vt:variant>
      <vt:variant>
        <vt:lpwstr/>
      </vt:variant>
      <vt:variant>
        <vt:lpwstr>_Toc176949542</vt:lpwstr>
      </vt:variant>
      <vt:variant>
        <vt:i4>1310774</vt:i4>
      </vt:variant>
      <vt:variant>
        <vt:i4>110</vt:i4>
      </vt:variant>
      <vt:variant>
        <vt:i4>0</vt:i4>
      </vt:variant>
      <vt:variant>
        <vt:i4>5</vt:i4>
      </vt:variant>
      <vt:variant>
        <vt:lpwstr/>
      </vt:variant>
      <vt:variant>
        <vt:lpwstr>_Toc176949541</vt:lpwstr>
      </vt:variant>
      <vt:variant>
        <vt:i4>1310774</vt:i4>
      </vt:variant>
      <vt:variant>
        <vt:i4>104</vt:i4>
      </vt:variant>
      <vt:variant>
        <vt:i4>0</vt:i4>
      </vt:variant>
      <vt:variant>
        <vt:i4>5</vt:i4>
      </vt:variant>
      <vt:variant>
        <vt:lpwstr/>
      </vt:variant>
      <vt:variant>
        <vt:lpwstr>_Toc176949540</vt:lpwstr>
      </vt:variant>
      <vt:variant>
        <vt:i4>1245238</vt:i4>
      </vt:variant>
      <vt:variant>
        <vt:i4>98</vt:i4>
      </vt:variant>
      <vt:variant>
        <vt:i4>0</vt:i4>
      </vt:variant>
      <vt:variant>
        <vt:i4>5</vt:i4>
      </vt:variant>
      <vt:variant>
        <vt:lpwstr/>
      </vt:variant>
      <vt:variant>
        <vt:lpwstr>_Toc176949539</vt:lpwstr>
      </vt:variant>
      <vt:variant>
        <vt:i4>1245238</vt:i4>
      </vt:variant>
      <vt:variant>
        <vt:i4>92</vt:i4>
      </vt:variant>
      <vt:variant>
        <vt:i4>0</vt:i4>
      </vt:variant>
      <vt:variant>
        <vt:i4>5</vt:i4>
      </vt:variant>
      <vt:variant>
        <vt:lpwstr/>
      </vt:variant>
      <vt:variant>
        <vt:lpwstr>_Toc176949538</vt:lpwstr>
      </vt:variant>
      <vt:variant>
        <vt:i4>1245238</vt:i4>
      </vt:variant>
      <vt:variant>
        <vt:i4>86</vt:i4>
      </vt:variant>
      <vt:variant>
        <vt:i4>0</vt:i4>
      </vt:variant>
      <vt:variant>
        <vt:i4>5</vt:i4>
      </vt:variant>
      <vt:variant>
        <vt:lpwstr/>
      </vt:variant>
      <vt:variant>
        <vt:lpwstr>_Toc176949537</vt:lpwstr>
      </vt:variant>
      <vt:variant>
        <vt:i4>1245238</vt:i4>
      </vt:variant>
      <vt:variant>
        <vt:i4>80</vt:i4>
      </vt:variant>
      <vt:variant>
        <vt:i4>0</vt:i4>
      </vt:variant>
      <vt:variant>
        <vt:i4>5</vt:i4>
      </vt:variant>
      <vt:variant>
        <vt:lpwstr/>
      </vt:variant>
      <vt:variant>
        <vt:lpwstr>_Toc176949536</vt:lpwstr>
      </vt:variant>
      <vt:variant>
        <vt:i4>1245238</vt:i4>
      </vt:variant>
      <vt:variant>
        <vt:i4>74</vt:i4>
      </vt:variant>
      <vt:variant>
        <vt:i4>0</vt:i4>
      </vt:variant>
      <vt:variant>
        <vt:i4>5</vt:i4>
      </vt:variant>
      <vt:variant>
        <vt:lpwstr/>
      </vt:variant>
      <vt:variant>
        <vt:lpwstr>_Toc176949535</vt:lpwstr>
      </vt:variant>
      <vt:variant>
        <vt:i4>1245238</vt:i4>
      </vt:variant>
      <vt:variant>
        <vt:i4>68</vt:i4>
      </vt:variant>
      <vt:variant>
        <vt:i4>0</vt:i4>
      </vt:variant>
      <vt:variant>
        <vt:i4>5</vt:i4>
      </vt:variant>
      <vt:variant>
        <vt:lpwstr/>
      </vt:variant>
      <vt:variant>
        <vt:lpwstr>_Toc176949534</vt:lpwstr>
      </vt:variant>
      <vt:variant>
        <vt:i4>1245238</vt:i4>
      </vt:variant>
      <vt:variant>
        <vt:i4>62</vt:i4>
      </vt:variant>
      <vt:variant>
        <vt:i4>0</vt:i4>
      </vt:variant>
      <vt:variant>
        <vt:i4>5</vt:i4>
      </vt:variant>
      <vt:variant>
        <vt:lpwstr/>
      </vt:variant>
      <vt:variant>
        <vt:lpwstr>_Toc176949533</vt:lpwstr>
      </vt:variant>
      <vt:variant>
        <vt:i4>1245238</vt:i4>
      </vt:variant>
      <vt:variant>
        <vt:i4>56</vt:i4>
      </vt:variant>
      <vt:variant>
        <vt:i4>0</vt:i4>
      </vt:variant>
      <vt:variant>
        <vt:i4>5</vt:i4>
      </vt:variant>
      <vt:variant>
        <vt:lpwstr/>
      </vt:variant>
      <vt:variant>
        <vt:lpwstr>_Toc176949532</vt:lpwstr>
      </vt:variant>
      <vt:variant>
        <vt:i4>1245238</vt:i4>
      </vt:variant>
      <vt:variant>
        <vt:i4>50</vt:i4>
      </vt:variant>
      <vt:variant>
        <vt:i4>0</vt:i4>
      </vt:variant>
      <vt:variant>
        <vt:i4>5</vt:i4>
      </vt:variant>
      <vt:variant>
        <vt:lpwstr/>
      </vt:variant>
      <vt:variant>
        <vt:lpwstr>_Toc176949531</vt:lpwstr>
      </vt:variant>
      <vt:variant>
        <vt:i4>1245238</vt:i4>
      </vt:variant>
      <vt:variant>
        <vt:i4>44</vt:i4>
      </vt:variant>
      <vt:variant>
        <vt:i4>0</vt:i4>
      </vt:variant>
      <vt:variant>
        <vt:i4>5</vt:i4>
      </vt:variant>
      <vt:variant>
        <vt:lpwstr/>
      </vt:variant>
      <vt:variant>
        <vt:lpwstr>_Toc176949530</vt:lpwstr>
      </vt:variant>
      <vt:variant>
        <vt:i4>1179702</vt:i4>
      </vt:variant>
      <vt:variant>
        <vt:i4>38</vt:i4>
      </vt:variant>
      <vt:variant>
        <vt:i4>0</vt:i4>
      </vt:variant>
      <vt:variant>
        <vt:i4>5</vt:i4>
      </vt:variant>
      <vt:variant>
        <vt:lpwstr/>
      </vt:variant>
      <vt:variant>
        <vt:lpwstr>_Toc176949529</vt:lpwstr>
      </vt:variant>
      <vt:variant>
        <vt:i4>1179702</vt:i4>
      </vt:variant>
      <vt:variant>
        <vt:i4>32</vt:i4>
      </vt:variant>
      <vt:variant>
        <vt:i4>0</vt:i4>
      </vt:variant>
      <vt:variant>
        <vt:i4>5</vt:i4>
      </vt:variant>
      <vt:variant>
        <vt:lpwstr/>
      </vt:variant>
      <vt:variant>
        <vt:lpwstr>_Toc176949528</vt:lpwstr>
      </vt:variant>
      <vt:variant>
        <vt:i4>1179702</vt:i4>
      </vt:variant>
      <vt:variant>
        <vt:i4>26</vt:i4>
      </vt:variant>
      <vt:variant>
        <vt:i4>0</vt:i4>
      </vt:variant>
      <vt:variant>
        <vt:i4>5</vt:i4>
      </vt:variant>
      <vt:variant>
        <vt:lpwstr/>
      </vt:variant>
      <vt:variant>
        <vt:lpwstr>_Toc176949527</vt:lpwstr>
      </vt:variant>
      <vt:variant>
        <vt:i4>1179702</vt:i4>
      </vt:variant>
      <vt:variant>
        <vt:i4>20</vt:i4>
      </vt:variant>
      <vt:variant>
        <vt:i4>0</vt:i4>
      </vt:variant>
      <vt:variant>
        <vt:i4>5</vt:i4>
      </vt:variant>
      <vt:variant>
        <vt:lpwstr/>
      </vt:variant>
      <vt:variant>
        <vt:lpwstr>_Toc176949526</vt:lpwstr>
      </vt:variant>
      <vt:variant>
        <vt:i4>1179702</vt:i4>
      </vt:variant>
      <vt:variant>
        <vt:i4>14</vt:i4>
      </vt:variant>
      <vt:variant>
        <vt:i4>0</vt:i4>
      </vt:variant>
      <vt:variant>
        <vt:i4>5</vt:i4>
      </vt:variant>
      <vt:variant>
        <vt:lpwstr/>
      </vt:variant>
      <vt:variant>
        <vt:lpwstr>_Toc176949525</vt:lpwstr>
      </vt:variant>
      <vt:variant>
        <vt:i4>1179702</vt:i4>
      </vt:variant>
      <vt:variant>
        <vt:i4>8</vt:i4>
      </vt:variant>
      <vt:variant>
        <vt:i4>0</vt:i4>
      </vt:variant>
      <vt:variant>
        <vt:i4>5</vt:i4>
      </vt:variant>
      <vt:variant>
        <vt:lpwstr/>
      </vt:variant>
      <vt:variant>
        <vt:lpwstr>_Toc176949524</vt:lpwstr>
      </vt:variant>
      <vt:variant>
        <vt:i4>1179702</vt:i4>
      </vt:variant>
      <vt:variant>
        <vt:i4>2</vt:i4>
      </vt:variant>
      <vt:variant>
        <vt:i4>0</vt:i4>
      </vt:variant>
      <vt:variant>
        <vt:i4>5</vt:i4>
      </vt:variant>
      <vt:variant>
        <vt:lpwstr/>
      </vt:variant>
      <vt:variant>
        <vt:lpwstr>_Toc176949523</vt:lpwstr>
      </vt:variant>
      <vt:variant>
        <vt:i4>131165</vt:i4>
      </vt:variant>
      <vt:variant>
        <vt:i4>0</vt:i4>
      </vt:variant>
      <vt:variant>
        <vt:i4>0</vt:i4>
      </vt:variant>
      <vt:variant>
        <vt:i4>5</vt:i4>
      </vt:variant>
      <vt:variant>
        <vt:lpwstr>https://www.ifopa.org/icc_releases_3rd_edition_fop_treatement_guidelines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2025-05-13T02:10:00Z</dcterms:created>
  <dcterms:modified xsi:type="dcterms:W3CDTF">2025-05-13T02:10:00Z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