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0F598263" w:rsidR="00B60939" w:rsidRPr="00CD3957" w:rsidRDefault="00415152" w:rsidP="004A6040">
      <w:pPr>
        <w:pStyle w:val="1-MainHeading"/>
      </w:pPr>
      <w:bookmarkStart w:id="0" w:name="_Toc186369228"/>
      <w:bookmarkStart w:id="1" w:name="_Toc188347761"/>
      <w:r>
        <w:t>6.01</w:t>
      </w:r>
      <w:r w:rsidR="00163F66" w:rsidRPr="00CD3957">
        <w:tab/>
      </w:r>
      <w:r w:rsidR="00510D5C" w:rsidRPr="00CD3957">
        <w:t>DABRAFENIB</w:t>
      </w:r>
      <w:r w:rsidR="00163F66" w:rsidRPr="00CD3957">
        <w:t>,</w:t>
      </w:r>
      <w:r w:rsidR="00163F66" w:rsidRPr="00CD3957">
        <w:br/>
      </w:r>
      <w:r w:rsidR="00510D5C" w:rsidRPr="00CD3957">
        <w:t xml:space="preserve">Capsule 50 mg </w:t>
      </w:r>
      <w:r w:rsidR="00D8409F" w:rsidRPr="00CD3957">
        <w:t xml:space="preserve">(as </w:t>
      </w:r>
      <w:proofErr w:type="spellStart"/>
      <w:r w:rsidR="00D8409F" w:rsidRPr="00CD3957">
        <w:t>mesilate</w:t>
      </w:r>
      <w:proofErr w:type="spellEnd"/>
      <w:r w:rsidR="00D8409F" w:rsidRPr="00CD3957">
        <w:t>)</w:t>
      </w:r>
      <w:r w:rsidR="00163F66" w:rsidRPr="00CD3957">
        <w:t>,</w:t>
      </w:r>
      <w:r w:rsidR="00163F66" w:rsidRPr="00CD3957">
        <w:br/>
      </w:r>
      <w:r w:rsidR="00D8409F" w:rsidRPr="00CD3957">
        <w:t xml:space="preserve">Capsule </w:t>
      </w:r>
      <w:r w:rsidR="00335070" w:rsidRPr="00CD3957">
        <w:t>75</w:t>
      </w:r>
      <w:r w:rsidR="00D8409F" w:rsidRPr="00CD3957">
        <w:t xml:space="preserve"> mg (as </w:t>
      </w:r>
      <w:proofErr w:type="spellStart"/>
      <w:r w:rsidR="00D8409F" w:rsidRPr="00CD3957">
        <w:t>mesilate</w:t>
      </w:r>
      <w:proofErr w:type="spellEnd"/>
      <w:r w:rsidR="00D8409F" w:rsidRPr="00CD3957">
        <w:t>),</w:t>
      </w:r>
      <w:r w:rsidR="00163F66" w:rsidRPr="00CD3957">
        <w:br/>
      </w:r>
      <w:proofErr w:type="spellStart"/>
      <w:r w:rsidR="001C2C03" w:rsidRPr="00CD3957">
        <w:t>Tafinlar</w:t>
      </w:r>
      <w:proofErr w:type="spellEnd"/>
      <w:r w:rsidR="00B60939" w:rsidRPr="00CD3957">
        <w:rPr>
          <w:vertAlign w:val="superscript"/>
        </w:rPr>
        <w:t>®</w:t>
      </w:r>
      <w:r w:rsidR="00306928" w:rsidRPr="00CD3957">
        <w:br/>
        <w:t>TRAMETINIB</w:t>
      </w:r>
      <w:r w:rsidR="001C2C03" w:rsidRPr="00CD3957">
        <w:br/>
      </w:r>
      <w:r w:rsidR="008A35F6" w:rsidRPr="00CD3957">
        <w:t>Tablet 500 micrograms</w:t>
      </w:r>
      <w:r w:rsidR="001C2C03" w:rsidRPr="00CD3957">
        <w:br/>
      </w:r>
      <w:r w:rsidR="008A35F6" w:rsidRPr="00CD3957">
        <w:t>Tablet 2 mg,</w:t>
      </w:r>
      <w:r w:rsidR="001C2C03" w:rsidRPr="00CD3957">
        <w:br/>
      </w:r>
      <w:proofErr w:type="spellStart"/>
      <w:r w:rsidR="00FF1161" w:rsidRPr="00CD3957">
        <w:t>M</w:t>
      </w:r>
      <w:r w:rsidR="00306928" w:rsidRPr="00CD3957">
        <w:t>ekinist</w:t>
      </w:r>
      <w:proofErr w:type="spellEnd"/>
      <w:r w:rsidR="001C2C03" w:rsidRPr="00CD3957">
        <w:t>®</w:t>
      </w:r>
      <w:r w:rsidR="00FF1161" w:rsidRPr="00CD3957">
        <w:br/>
        <w:t>NOVARTIS PHARMACEUTICALS AUSTRALIA PTY</w:t>
      </w:r>
      <w:r w:rsidR="00335070" w:rsidRPr="00CD3957">
        <w:t>.</w:t>
      </w:r>
      <w:r w:rsidR="00FF1161" w:rsidRPr="00CD3957">
        <w:t xml:space="preserve"> LTD</w:t>
      </w:r>
      <w:r w:rsidR="00B60939" w:rsidRPr="00CD3957">
        <w:t>.</w:t>
      </w:r>
      <w:bookmarkEnd w:id="0"/>
      <w:bookmarkEnd w:id="1"/>
      <w:r w:rsidR="00F73E08" w:rsidRPr="00CD3957">
        <w:t xml:space="preserve"> </w:t>
      </w:r>
    </w:p>
    <w:p w14:paraId="11C00795" w14:textId="5A0AA2F2" w:rsidR="00B50DB8" w:rsidRPr="00407F2D" w:rsidRDefault="00B50DB8" w:rsidP="004A6040">
      <w:pPr>
        <w:pStyle w:val="2-SectionHeading"/>
      </w:pPr>
      <w:bookmarkStart w:id="2" w:name="_Toc186369230"/>
      <w:bookmarkStart w:id="3" w:name="_Toc188347763"/>
      <w:r w:rsidRPr="00407F2D">
        <w:t xml:space="preserve">Purpose of </w:t>
      </w:r>
      <w:r w:rsidR="00CD7193">
        <w:t>s</w:t>
      </w:r>
      <w:r w:rsidR="00BB3A45">
        <w:t>ubmission</w:t>
      </w:r>
      <w:bookmarkEnd w:id="2"/>
      <w:bookmarkEnd w:id="3"/>
    </w:p>
    <w:p w14:paraId="38D44D95" w14:textId="7FB47B83" w:rsidR="009D5D79" w:rsidRPr="009F000C" w:rsidRDefault="007170DA" w:rsidP="004E18E9">
      <w:pPr>
        <w:pStyle w:val="3-BodyText"/>
      </w:pPr>
      <w:r w:rsidRPr="009F000C">
        <w:t xml:space="preserve">The </w:t>
      </w:r>
      <w:r w:rsidR="00F73E08" w:rsidRPr="009F000C">
        <w:t xml:space="preserve">Category </w:t>
      </w:r>
      <w:r w:rsidR="001B3EBC" w:rsidRPr="009F000C">
        <w:t xml:space="preserve">2 </w:t>
      </w:r>
      <w:r w:rsidRPr="009F000C">
        <w:t xml:space="preserve">submission requested </w:t>
      </w:r>
      <w:r w:rsidR="00472D92" w:rsidRPr="009F000C">
        <w:t xml:space="preserve">a General Schedule </w:t>
      </w:r>
      <w:r w:rsidR="008B1757" w:rsidRPr="009F000C">
        <w:t>Authority Required</w:t>
      </w:r>
      <w:r w:rsidR="00472D92" w:rsidRPr="009F000C">
        <w:t xml:space="preserve"> (STREAMLINED) </w:t>
      </w:r>
      <w:r w:rsidR="008B1757" w:rsidRPr="009F000C">
        <w:t xml:space="preserve">listing for </w:t>
      </w:r>
      <w:r w:rsidR="00B42B86" w:rsidRPr="009F000C">
        <w:t xml:space="preserve">dabrafenib </w:t>
      </w:r>
      <w:r w:rsidR="00C7482C" w:rsidRPr="009F000C">
        <w:t>in combination with</w:t>
      </w:r>
      <w:r w:rsidR="009D5D79" w:rsidRPr="009F000C">
        <w:t xml:space="preserve"> </w:t>
      </w:r>
      <w:r w:rsidR="00B42B86" w:rsidRPr="009F000C">
        <w:t>trametinib (</w:t>
      </w:r>
      <w:r w:rsidR="003E6B62" w:rsidRPr="009F000C">
        <w:t xml:space="preserve">hereafter </w:t>
      </w:r>
      <w:r w:rsidR="00B42B86" w:rsidRPr="009F000C">
        <w:t xml:space="preserve">D+T) </w:t>
      </w:r>
      <w:r w:rsidR="008B1757" w:rsidRPr="009F000C">
        <w:t xml:space="preserve">for </w:t>
      </w:r>
      <w:r w:rsidR="0050174E" w:rsidRPr="009F000C">
        <w:t xml:space="preserve">the </w:t>
      </w:r>
      <w:r w:rsidR="008B1757" w:rsidRPr="009F000C">
        <w:t>treatment of</w:t>
      </w:r>
      <w:r w:rsidR="00067B8C" w:rsidRPr="009F000C">
        <w:t xml:space="preserve"> </w:t>
      </w:r>
      <w:r w:rsidR="009D5D79" w:rsidRPr="009F000C">
        <w:t xml:space="preserve">adult </w:t>
      </w:r>
      <w:r w:rsidR="00067B8C" w:rsidRPr="009F000C">
        <w:t xml:space="preserve">patients with </w:t>
      </w:r>
      <w:r w:rsidR="009D5D79" w:rsidRPr="009F000C">
        <w:t xml:space="preserve">BRAF V600E mutation positive </w:t>
      </w:r>
      <w:r w:rsidR="00067B8C" w:rsidRPr="009F000C">
        <w:t>advance</w:t>
      </w:r>
      <w:r w:rsidR="00D5275C" w:rsidRPr="009F000C">
        <w:t>d or metastatic (Stage IV)</w:t>
      </w:r>
      <w:r w:rsidR="00067B8C" w:rsidRPr="009F000C">
        <w:t xml:space="preserve"> non-small cell lung cancer </w:t>
      </w:r>
      <w:r w:rsidR="00D5275C" w:rsidRPr="009F000C">
        <w:t>(</w:t>
      </w:r>
      <w:r w:rsidR="00067B8C" w:rsidRPr="009F000C">
        <w:t>NSCL</w:t>
      </w:r>
      <w:r w:rsidR="00D5275C" w:rsidRPr="009F000C">
        <w:t>C</w:t>
      </w:r>
      <w:r w:rsidR="00067B8C" w:rsidRPr="009F000C">
        <w:t>)</w:t>
      </w:r>
      <w:r w:rsidR="009D5D79" w:rsidRPr="009F000C">
        <w:t>.</w:t>
      </w:r>
    </w:p>
    <w:p w14:paraId="4E9FBCB5" w14:textId="1378F3C8" w:rsidR="00C2778B" w:rsidRPr="009F000C" w:rsidRDefault="005750C5" w:rsidP="004E18E9">
      <w:pPr>
        <w:pStyle w:val="3-BodyText"/>
      </w:pPr>
      <w:r w:rsidRPr="009F000C">
        <w:t>Listing was requested on the basis of a cost-minimisation</w:t>
      </w:r>
      <w:r w:rsidR="001D71F4" w:rsidRPr="009F000C">
        <w:t xml:space="preserve"> approach</w:t>
      </w:r>
      <w:r w:rsidRPr="009F000C">
        <w:t xml:space="preserve"> versus </w:t>
      </w:r>
      <w:r w:rsidR="00F4193B" w:rsidRPr="009F000C">
        <w:t xml:space="preserve">pembrolizumab in combination </w:t>
      </w:r>
      <w:r w:rsidR="006E2847" w:rsidRPr="009F000C">
        <w:t>with platinum</w:t>
      </w:r>
      <w:r w:rsidR="0051510F" w:rsidRPr="009F000C">
        <w:t>-based chemotherapy (</w:t>
      </w:r>
      <w:r w:rsidR="003E6B62" w:rsidRPr="009F000C">
        <w:t xml:space="preserve">hereafter </w:t>
      </w:r>
      <w:proofErr w:type="spellStart"/>
      <w:r w:rsidR="004649B2" w:rsidRPr="009F000C">
        <w:t>pembrolizumab+PBC</w:t>
      </w:r>
      <w:proofErr w:type="spellEnd"/>
      <w:r w:rsidR="004649B2" w:rsidRPr="009F000C">
        <w:t>)</w:t>
      </w:r>
      <w:r w:rsidRPr="009F000C">
        <w:t>.</w:t>
      </w:r>
      <w:r w:rsidR="00C6141B" w:rsidRPr="009F000C">
        <w:t xml:space="preserve"> The key components of the clinical issue addressed by the submission are addressed </w:t>
      </w:r>
      <w:r w:rsidR="00C6141B" w:rsidRPr="009F000C">
        <w:fldChar w:fldCharType="begin"/>
      </w:r>
      <w:r w:rsidR="00C6141B" w:rsidRPr="009F000C">
        <w:instrText xml:space="preserve"> REF _Ref186894587 \p \h </w:instrText>
      </w:r>
      <w:r w:rsidR="00C6141B" w:rsidRPr="009F000C">
        <w:fldChar w:fldCharType="separate"/>
      </w:r>
      <w:r w:rsidR="00EF4998">
        <w:t>below</w:t>
      </w:r>
      <w:r w:rsidR="00C6141B" w:rsidRPr="009F000C">
        <w:fldChar w:fldCharType="end"/>
      </w:r>
      <w:r w:rsidR="00C6141B" w:rsidRPr="009F000C">
        <w:t>.</w:t>
      </w:r>
    </w:p>
    <w:p w14:paraId="3718DE61" w14:textId="715A7D76" w:rsidR="008B1757" w:rsidRPr="009F000C" w:rsidRDefault="00696EF9" w:rsidP="004A6040">
      <w:pPr>
        <w:pStyle w:val="TableFigureHeading"/>
        <w:rPr>
          <w:rStyle w:val="CommentReference"/>
          <w:b/>
          <w:szCs w:val="24"/>
        </w:rPr>
      </w:pPr>
      <w:bookmarkStart w:id="4" w:name="_Ref186894587"/>
      <w:r w:rsidRPr="009F000C">
        <w:t xml:space="preserve">Table </w:t>
      </w:r>
      <w:r w:rsidR="00E77066">
        <w:fldChar w:fldCharType="begin"/>
      </w:r>
      <w:r w:rsidR="00E77066">
        <w:instrText xml:space="preserve"> SEQ Table \* ARABIC </w:instrText>
      </w:r>
      <w:r w:rsidR="00E77066">
        <w:fldChar w:fldCharType="separate"/>
      </w:r>
      <w:r w:rsidR="00EF4998">
        <w:rPr>
          <w:noProof/>
        </w:rPr>
        <w:t>1</w:t>
      </w:r>
      <w:r w:rsidR="00E77066">
        <w:rPr>
          <w:noProof/>
        </w:rPr>
        <w:fldChar w:fldCharType="end"/>
      </w:r>
      <w:r w:rsidRPr="009F000C">
        <w:t>:</w:t>
      </w:r>
      <w:r w:rsidR="00BC591F" w:rsidRPr="009F000C">
        <w:rPr>
          <w:rStyle w:val="CommentReference"/>
          <w:b/>
          <w:szCs w:val="24"/>
        </w:rPr>
        <w:t xml:space="preserve"> </w:t>
      </w:r>
      <w:r w:rsidR="008B1757" w:rsidRPr="009F000C">
        <w:rPr>
          <w:rStyle w:val="CommentReference"/>
          <w:b/>
          <w:szCs w:val="24"/>
        </w:rPr>
        <w:t>Key components of the clinical issue addressed by the submission</w:t>
      </w:r>
      <w:bookmarkEnd w:id="4"/>
      <w:r w:rsidR="007170DA" w:rsidRPr="009F000C">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9F000C" w:rsidRPr="009F000C" w14:paraId="569F5103" w14:textId="77777777" w:rsidTr="03CF4CC7">
        <w:trPr>
          <w:cantSplit/>
          <w:tblHeader/>
        </w:trPr>
        <w:tc>
          <w:tcPr>
            <w:tcW w:w="784" w:type="pct"/>
            <w:shd w:val="clear" w:color="auto" w:fill="auto"/>
          </w:tcPr>
          <w:p w14:paraId="501803FB" w14:textId="77777777" w:rsidR="008B1757" w:rsidRPr="009F000C" w:rsidRDefault="008B1757" w:rsidP="004A6040">
            <w:pPr>
              <w:pStyle w:val="In-tableHeading"/>
              <w:rPr>
                <w:szCs w:val="20"/>
              </w:rPr>
            </w:pPr>
            <w:r w:rsidRPr="009F000C">
              <w:t>Component</w:t>
            </w:r>
          </w:p>
        </w:tc>
        <w:tc>
          <w:tcPr>
            <w:tcW w:w="4216" w:type="pct"/>
            <w:shd w:val="clear" w:color="auto" w:fill="auto"/>
          </w:tcPr>
          <w:p w14:paraId="445D9EBB" w14:textId="77777777" w:rsidR="008B1757" w:rsidRPr="009F000C" w:rsidRDefault="008B1757" w:rsidP="004A6040">
            <w:pPr>
              <w:pStyle w:val="In-tableHeading"/>
            </w:pPr>
            <w:r w:rsidRPr="009F000C">
              <w:t>Description</w:t>
            </w:r>
          </w:p>
        </w:tc>
      </w:tr>
      <w:tr w:rsidR="009F000C" w:rsidRPr="009F000C" w14:paraId="2EB546E2" w14:textId="77777777" w:rsidTr="03CF4CC7">
        <w:trPr>
          <w:cantSplit/>
        </w:trPr>
        <w:tc>
          <w:tcPr>
            <w:tcW w:w="784" w:type="pct"/>
            <w:shd w:val="clear" w:color="auto" w:fill="auto"/>
          </w:tcPr>
          <w:p w14:paraId="38F3BB34" w14:textId="77777777" w:rsidR="008B1757" w:rsidRPr="009F000C" w:rsidRDefault="008B1757" w:rsidP="004A6040">
            <w:pPr>
              <w:pStyle w:val="TableText0"/>
            </w:pPr>
            <w:r w:rsidRPr="009F000C">
              <w:t>Population</w:t>
            </w:r>
          </w:p>
        </w:tc>
        <w:tc>
          <w:tcPr>
            <w:tcW w:w="4216" w:type="pct"/>
            <w:shd w:val="clear" w:color="auto" w:fill="auto"/>
          </w:tcPr>
          <w:p w14:paraId="79618EEE" w14:textId="30EDCA8B" w:rsidR="00233C01" w:rsidRPr="009F000C" w:rsidRDefault="1ABD68DB" w:rsidP="00233C01">
            <w:pPr>
              <w:pStyle w:val="TableText0"/>
              <w:rPr>
                <w:szCs w:val="20"/>
              </w:rPr>
            </w:pPr>
            <w:r>
              <w:t>Adult patients with advanced (metastatic) non-small cell lung cancer (NSCLC) with a BRAF V600</w:t>
            </w:r>
            <w:r w:rsidR="00C361FB" w:rsidRPr="03CF4CC7">
              <w:rPr>
                <w:i/>
                <w:iCs/>
              </w:rPr>
              <w:t>E</w:t>
            </w:r>
            <w:r w:rsidR="00C03BA2">
              <w:rPr>
                <w:i/>
                <w:iCs/>
              </w:rPr>
              <w:t xml:space="preserve"> </w:t>
            </w:r>
            <w:r>
              <w:t>mutation and ECOG PS 0-2</w:t>
            </w:r>
          </w:p>
        </w:tc>
      </w:tr>
      <w:tr w:rsidR="009F000C" w:rsidRPr="009F000C" w14:paraId="0CA523AF" w14:textId="77777777" w:rsidTr="03CF4CC7">
        <w:trPr>
          <w:cantSplit/>
        </w:trPr>
        <w:tc>
          <w:tcPr>
            <w:tcW w:w="784" w:type="pct"/>
            <w:shd w:val="clear" w:color="auto" w:fill="auto"/>
          </w:tcPr>
          <w:p w14:paraId="7B6D20D8" w14:textId="77777777" w:rsidR="008B1757" w:rsidRPr="009F000C" w:rsidRDefault="008B1757" w:rsidP="004A6040">
            <w:pPr>
              <w:pStyle w:val="TableText0"/>
            </w:pPr>
            <w:r w:rsidRPr="009F000C">
              <w:t>Intervention</w:t>
            </w:r>
          </w:p>
        </w:tc>
        <w:tc>
          <w:tcPr>
            <w:tcW w:w="4216" w:type="pct"/>
            <w:shd w:val="clear" w:color="auto" w:fill="auto"/>
          </w:tcPr>
          <w:p w14:paraId="3507951E" w14:textId="06C547FB" w:rsidR="00435630" w:rsidRPr="009F000C" w:rsidRDefault="00435630" w:rsidP="00435630">
            <w:pPr>
              <w:pStyle w:val="TableText0"/>
            </w:pPr>
            <w:r w:rsidRPr="009F000C">
              <w:t>Dabrafenib 150 mg (two 75 mg capsules) taken twice daily (i.e., total daily dose of 300 mg) and</w:t>
            </w:r>
          </w:p>
          <w:p w14:paraId="2491E905" w14:textId="59672A32" w:rsidR="00233C01" w:rsidRPr="009F000C" w:rsidRDefault="00435630" w:rsidP="00435630">
            <w:pPr>
              <w:pStyle w:val="TableText0"/>
            </w:pPr>
            <w:r w:rsidRPr="009F000C">
              <w:t>trametinib 2 mg (one 2 mg tablet) once daily</w:t>
            </w:r>
          </w:p>
        </w:tc>
      </w:tr>
      <w:tr w:rsidR="009F000C" w:rsidRPr="009F000C" w14:paraId="0F81EBE4" w14:textId="77777777" w:rsidTr="03CF4CC7">
        <w:trPr>
          <w:cantSplit/>
        </w:trPr>
        <w:tc>
          <w:tcPr>
            <w:tcW w:w="784" w:type="pct"/>
            <w:shd w:val="clear" w:color="auto" w:fill="auto"/>
          </w:tcPr>
          <w:p w14:paraId="3656B343" w14:textId="77777777" w:rsidR="008B1757" w:rsidRPr="009F000C" w:rsidRDefault="008B1757" w:rsidP="004A6040">
            <w:pPr>
              <w:pStyle w:val="TableText0"/>
            </w:pPr>
            <w:r w:rsidRPr="009F000C">
              <w:t>Comparator</w:t>
            </w:r>
          </w:p>
        </w:tc>
        <w:tc>
          <w:tcPr>
            <w:tcW w:w="4216" w:type="pct"/>
            <w:shd w:val="clear" w:color="auto" w:fill="auto"/>
          </w:tcPr>
          <w:p w14:paraId="161C02DB" w14:textId="12EB4B60" w:rsidR="00323C23" w:rsidRPr="009F000C" w:rsidRDefault="00323C23" w:rsidP="00323C23">
            <w:pPr>
              <w:pStyle w:val="TableText0"/>
            </w:pPr>
            <w:r w:rsidRPr="009F000C">
              <w:t xml:space="preserve">ECOG PS 0-1: Pembrolizumab + platinum-based chemotherapy </w:t>
            </w:r>
          </w:p>
          <w:p w14:paraId="3727DE24" w14:textId="7EDF3489" w:rsidR="00233C01" w:rsidRPr="009F000C" w:rsidRDefault="00323C23" w:rsidP="00323C23">
            <w:pPr>
              <w:pStyle w:val="TableText0"/>
            </w:pPr>
            <w:r w:rsidRPr="009F000C">
              <w:t>ECOG PS 2: Platinum-based chemotherapy</w:t>
            </w:r>
          </w:p>
        </w:tc>
      </w:tr>
      <w:tr w:rsidR="009F000C" w:rsidRPr="009F000C" w14:paraId="02F86F0D" w14:textId="77777777" w:rsidTr="03CF4CC7">
        <w:trPr>
          <w:cantSplit/>
        </w:trPr>
        <w:tc>
          <w:tcPr>
            <w:tcW w:w="784" w:type="pct"/>
            <w:shd w:val="clear" w:color="auto" w:fill="auto"/>
          </w:tcPr>
          <w:p w14:paraId="06433105" w14:textId="77777777" w:rsidR="008B1757" w:rsidRPr="009F000C" w:rsidRDefault="008B1757" w:rsidP="004A6040">
            <w:pPr>
              <w:pStyle w:val="TableText0"/>
            </w:pPr>
            <w:r w:rsidRPr="009F000C">
              <w:t>Outcomes</w:t>
            </w:r>
          </w:p>
        </w:tc>
        <w:tc>
          <w:tcPr>
            <w:tcW w:w="4216" w:type="pct"/>
            <w:shd w:val="clear" w:color="auto" w:fill="auto"/>
          </w:tcPr>
          <w:p w14:paraId="5ABC4037" w14:textId="3B68A116" w:rsidR="00233C01" w:rsidRPr="009F000C" w:rsidRDefault="003D2011" w:rsidP="004A6040">
            <w:pPr>
              <w:pStyle w:val="TableText0"/>
              <w:rPr>
                <w:rFonts w:eastAsia="Times New Roman" w:cs="Arial"/>
                <w:bCs w:val="0"/>
                <w:snapToGrid w:val="0"/>
                <w:szCs w:val="20"/>
              </w:rPr>
            </w:pPr>
            <w:r w:rsidRPr="009F000C">
              <w:t>ORR, PFS, and OS</w:t>
            </w:r>
          </w:p>
        </w:tc>
      </w:tr>
      <w:tr w:rsidR="009F000C" w:rsidRPr="009F000C" w14:paraId="22223890" w14:textId="77777777" w:rsidTr="03CF4CC7">
        <w:trPr>
          <w:cantSplit/>
        </w:trPr>
        <w:tc>
          <w:tcPr>
            <w:tcW w:w="784" w:type="pct"/>
            <w:shd w:val="clear" w:color="auto" w:fill="auto"/>
          </w:tcPr>
          <w:p w14:paraId="0FC8FCE0" w14:textId="77777777" w:rsidR="008B1757" w:rsidRPr="009F000C" w:rsidRDefault="008B1757" w:rsidP="004A6040">
            <w:pPr>
              <w:pStyle w:val="TableText0"/>
            </w:pPr>
            <w:r w:rsidRPr="009F000C">
              <w:t>Clinical claim</w:t>
            </w:r>
          </w:p>
        </w:tc>
        <w:tc>
          <w:tcPr>
            <w:tcW w:w="4216" w:type="pct"/>
            <w:shd w:val="clear" w:color="auto" w:fill="auto"/>
          </w:tcPr>
          <w:p w14:paraId="25945048" w14:textId="77777777" w:rsidR="000E24F0" w:rsidRPr="009F000C" w:rsidRDefault="000E24F0" w:rsidP="000E24F0">
            <w:pPr>
              <w:pStyle w:val="TableText0"/>
            </w:pPr>
            <w:r w:rsidRPr="009F000C">
              <w:t>For ECOG PS 0-1:</w:t>
            </w:r>
          </w:p>
          <w:p w14:paraId="03F99CA2" w14:textId="38B57D4A" w:rsidR="000E24F0" w:rsidRPr="009F000C" w:rsidRDefault="000E24F0" w:rsidP="000E24F0">
            <w:pPr>
              <w:pStyle w:val="TableText0"/>
            </w:pPr>
            <w:r w:rsidRPr="009F000C">
              <w:t>D+T has non-inferior efficacy versus pembrolizumab + platinum-based chemotherapy based on ORR, PFS and OS</w:t>
            </w:r>
          </w:p>
          <w:p w14:paraId="19FAB637" w14:textId="4B64CEED" w:rsidR="000E24F0" w:rsidRPr="009F000C" w:rsidRDefault="000E24F0" w:rsidP="000E24F0">
            <w:pPr>
              <w:pStyle w:val="TableText0"/>
            </w:pPr>
            <w:r w:rsidRPr="009F000C">
              <w:t xml:space="preserve">D+T has different but non-inferior safety to pembrolizumab + platinum-based chemotherapy </w:t>
            </w:r>
          </w:p>
          <w:p w14:paraId="24EB75E8" w14:textId="77777777" w:rsidR="000E24F0" w:rsidRPr="009F000C" w:rsidRDefault="000E24F0" w:rsidP="000E24F0">
            <w:pPr>
              <w:pStyle w:val="TableText0"/>
            </w:pPr>
            <w:r w:rsidRPr="009F000C">
              <w:t xml:space="preserve">For ECOG PS 2: </w:t>
            </w:r>
          </w:p>
          <w:p w14:paraId="2C99C4DE" w14:textId="45D8B02D" w:rsidR="00233C01" w:rsidRPr="009F000C" w:rsidRDefault="000E24F0" w:rsidP="000E24F0">
            <w:pPr>
              <w:pStyle w:val="TableText0"/>
              <w:rPr>
                <w:rFonts w:eastAsia="Times New Roman" w:cs="Arial"/>
                <w:bCs w:val="0"/>
                <w:snapToGrid w:val="0"/>
                <w:szCs w:val="20"/>
              </w:rPr>
            </w:pPr>
            <w:r w:rsidRPr="009F000C">
              <w:t>D+T has superior efficacy and safety to platinum-based chemotherapy</w:t>
            </w:r>
          </w:p>
        </w:tc>
      </w:tr>
    </w:tbl>
    <w:p w14:paraId="527CA7F0" w14:textId="71D504CB" w:rsidR="004E43B2" w:rsidRPr="009F000C" w:rsidRDefault="008B1757" w:rsidP="004A6040">
      <w:pPr>
        <w:pStyle w:val="FooterTableFigure"/>
      </w:pPr>
      <w:r w:rsidRPr="009F000C">
        <w:t xml:space="preserve">Source: </w:t>
      </w:r>
      <w:r w:rsidR="00E863B4" w:rsidRPr="009F000C">
        <w:t>Table 1.1, p3 of the submission.</w:t>
      </w:r>
    </w:p>
    <w:p w14:paraId="0CD675FA" w14:textId="142DBEFA" w:rsidR="00E863B4" w:rsidRPr="009F000C" w:rsidRDefault="0028043C" w:rsidP="004A6040">
      <w:pPr>
        <w:pStyle w:val="FooterTableFigure"/>
      </w:pPr>
      <w:r w:rsidRPr="009F000C">
        <w:t>D+T = dabrafenib and trametinib; ECOG PS= Eastern Cooperative Oncology Group Performance Status; ORR = o</w:t>
      </w:r>
      <w:r w:rsidR="00775A41" w:rsidRPr="009F000C">
        <w:t>bjective</w:t>
      </w:r>
      <w:r w:rsidR="00E74B99" w:rsidRPr="009F000C">
        <w:t xml:space="preserve"> response rate; </w:t>
      </w:r>
      <w:r w:rsidRPr="009F000C">
        <w:t>OS = overall survival; PFS = progression-free survival</w:t>
      </w:r>
      <w:r w:rsidR="00113C67" w:rsidRPr="009F000C">
        <w:t>.</w:t>
      </w:r>
    </w:p>
    <w:p w14:paraId="6B4AB6C2" w14:textId="7F01D731" w:rsidR="005C25FF" w:rsidRPr="009F000C" w:rsidRDefault="005C25FF" w:rsidP="004A6040">
      <w:pPr>
        <w:pStyle w:val="2-SectionHeading"/>
      </w:pPr>
      <w:bookmarkStart w:id="5" w:name="_Toc186369231"/>
      <w:bookmarkStart w:id="6" w:name="_Toc188347764"/>
      <w:r w:rsidRPr="009F000C">
        <w:lastRenderedPageBreak/>
        <w:t>Background</w:t>
      </w:r>
      <w:bookmarkEnd w:id="5"/>
      <w:bookmarkEnd w:id="6"/>
    </w:p>
    <w:p w14:paraId="2C521D6D" w14:textId="78CF03EE" w:rsidR="005C25FF" w:rsidRPr="009F000C" w:rsidRDefault="005C25FF" w:rsidP="004A6040">
      <w:pPr>
        <w:pStyle w:val="4-SubsectionHeading"/>
      </w:pPr>
      <w:bookmarkStart w:id="7" w:name="_Toc22897638"/>
      <w:bookmarkStart w:id="8" w:name="_Toc186369232"/>
      <w:bookmarkStart w:id="9" w:name="_Toc188347765"/>
      <w:r w:rsidRPr="009F000C">
        <w:t>Registration status</w:t>
      </w:r>
      <w:bookmarkEnd w:id="7"/>
      <w:bookmarkEnd w:id="8"/>
      <w:bookmarkEnd w:id="9"/>
    </w:p>
    <w:p w14:paraId="4A860D2D" w14:textId="6CD06456" w:rsidR="007942B7" w:rsidRPr="009F000C" w:rsidRDefault="002867BD" w:rsidP="000B6113">
      <w:pPr>
        <w:pStyle w:val="3-BodyText"/>
      </w:pPr>
      <w:r w:rsidRPr="009F000C">
        <w:t xml:space="preserve">D+T </w:t>
      </w:r>
      <w:r w:rsidR="005C25FF" w:rsidRPr="009F000C">
        <w:t xml:space="preserve">was TGA registered on </w:t>
      </w:r>
      <w:r w:rsidR="00BB33BE" w:rsidRPr="009F000C">
        <w:t>13 May 2019</w:t>
      </w:r>
      <w:r w:rsidR="005C25FF" w:rsidRPr="009F000C">
        <w:t xml:space="preserve"> for </w:t>
      </w:r>
      <w:r w:rsidR="00806F46" w:rsidRPr="009F000C">
        <w:t xml:space="preserve">the </w:t>
      </w:r>
      <w:r w:rsidR="007942B7" w:rsidRPr="009F000C">
        <w:t>treatment of patients with advanced NSCLC with a BRAF V600 mutation.</w:t>
      </w:r>
    </w:p>
    <w:p w14:paraId="76E4EF3C" w14:textId="13040F70" w:rsidR="00B60939" w:rsidRPr="00C03BA2" w:rsidRDefault="00B50DB8" w:rsidP="004E18E9">
      <w:pPr>
        <w:pStyle w:val="2-SectionHeading"/>
      </w:pPr>
      <w:bookmarkStart w:id="10" w:name="_Toc107902078"/>
      <w:bookmarkStart w:id="11" w:name="_Toc186369233"/>
      <w:bookmarkStart w:id="12" w:name="_Toc188347766"/>
      <w:bookmarkEnd w:id="10"/>
      <w:r w:rsidRPr="00C03BA2">
        <w:t>Requested listing</w:t>
      </w:r>
      <w:bookmarkEnd w:id="11"/>
      <w:bookmarkEnd w:id="12"/>
    </w:p>
    <w:p w14:paraId="3517E8D8" w14:textId="4C7A6363" w:rsidR="00A2648C" w:rsidRPr="00C03BA2" w:rsidRDefault="00150940" w:rsidP="03CF4CC7">
      <w:pPr>
        <w:pStyle w:val="3-BodyText"/>
        <w:rPr>
          <w:i/>
          <w:iCs/>
        </w:rPr>
      </w:pPr>
      <w:r w:rsidRPr="00F91542">
        <w:rPr>
          <w:rFonts w:cstheme="minorHAnsi"/>
          <w:iCs/>
        </w:rP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04"/>
        <w:gridCol w:w="812"/>
        <w:gridCol w:w="811"/>
        <w:gridCol w:w="812"/>
        <w:gridCol w:w="1831"/>
      </w:tblGrid>
      <w:tr w:rsidR="009F000C" w:rsidRPr="009F000C" w14:paraId="73E16E29" w14:textId="77777777" w:rsidTr="507C910F">
        <w:trPr>
          <w:cantSplit/>
          <w:trHeight w:val="20"/>
        </w:trPr>
        <w:tc>
          <w:tcPr>
            <w:tcW w:w="2547" w:type="dxa"/>
            <w:vAlign w:val="center"/>
          </w:tcPr>
          <w:p w14:paraId="4660296B" w14:textId="77777777" w:rsidR="00046D64" w:rsidRPr="009F000C" w:rsidRDefault="00046D64" w:rsidP="00CB4542">
            <w:pPr>
              <w:keepLines/>
              <w:rPr>
                <w:rFonts w:ascii="Arial Narrow" w:hAnsi="Arial Narrow"/>
                <w:b/>
                <w:bCs/>
                <w:sz w:val="20"/>
                <w:szCs w:val="20"/>
              </w:rPr>
            </w:pPr>
            <w:bookmarkStart w:id="13" w:name="_Hlk104809055"/>
            <w:r w:rsidRPr="009F000C">
              <w:rPr>
                <w:rFonts w:ascii="Arial Narrow" w:hAnsi="Arial Narrow"/>
                <w:b/>
                <w:bCs/>
                <w:sz w:val="20"/>
                <w:szCs w:val="20"/>
              </w:rPr>
              <w:t>MEDICINAL PRODUCT</w:t>
            </w:r>
          </w:p>
          <w:p w14:paraId="7221C2FD" w14:textId="77777777" w:rsidR="00046D64" w:rsidRPr="009F000C" w:rsidRDefault="00046D64" w:rsidP="00CB4542">
            <w:pPr>
              <w:keepLines/>
              <w:rPr>
                <w:rFonts w:ascii="Arial Narrow" w:hAnsi="Arial Narrow"/>
                <w:b/>
                <w:sz w:val="20"/>
                <w:szCs w:val="20"/>
              </w:rPr>
            </w:pPr>
            <w:r w:rsidRPr="009F000C">
              <w:rPr>
                <w:rFonts w:ascii="Arial Narrow" w:hAnsi="Arial Narrow"/>
                <w:b/>
                <w:bCs/>
                <w:sz w:val="20"/>
                <w:szCs w:val="20"/>
              </w:rPr>
              <w:t>medicinal product pack</w:t>
            </w:r>
          </w:p>
        </w:tc>
        <w:tc>
          <w:tcPr>
            <w:tcW w:w="2204" w:type="dxa"/>
            <w:vAlign w:val="center"/>
          </w:tcPr>
          <w:p w14:paraId="14424AF1" w14:textId="54369E4C" w:rsidR="00046D64" w:rsidRPr="009F000C" w:rsidRDefault="00C61A59" w:rsidP="00CB4542">
            <w:pPr>
              <w:pStyle w:val="TableText0"/>
              <w:keepNext w:val="0"/>
              <w:rPr>
                <w:b/>
                <w:bCs w:val="0"/>
                <w:szCs w:val="20"/>
              </w:rPr>
            </w:pPr>
            <w:r w:rsidRPr="009F000C">
              <w:rPr>
                <w:b/>
                <w:bCs w:val="0"/>
                <w:snapToGrid w:val="0"/>
              </w:rPr>
              <w:t xml:space="preserve">Dispensed Price for Max. Qty </w:t>
            </w:r>
          </w:p>
        </w:tc>
        <w:tc>
          <w:tcPr>
            <w:tcW w:w="812" w:type="dxa"/>
            <w:vAlign w:val="center"/>
          </w:tcPr>
          <w:p w14:paraId="4E41A9BC" w14:textId="0E3A90D0" w:rsidR="00046D64" w:rsidRPr="009F000C" w:rsidRDefault="00046D64" w:rsidP="00CB4542">
            <w:pPr>
              <w:keepLines/>
              <w:jc w:val="center"/>
              <w:rPr>
                <w:rFonts w:ascii="Arial Narrow" w:hAnsi="Arial Narrow"/>
                <w:b/>
                <w:sz w:val="20"/>
                <w:szCs w:val="20"/>
              </w:rPr>
            </w:pPr>
            <w:r w:rsidRPr="009F000C">
              <w:rPr>
                <w:rFonts w:ascii="Arial Narrow" w:hAnsi="Arial Narrow"/>
                <w:b/>
                <w:sz w:val="20"/>
                <w:szCs w:val="20"/>
              </w:rPr>
              <w:t>Max. qty packs</w:t>
            </w:r>
          </w:p>
        </w:tc>
        <w:tc>
          <w:tcPr>
            <w:tcW w:w="811" w:type="dxa"/>
            <w:vAlign w:val="center"/>
          </w:tcPr>
          <w:p w14:paraId="48197540" w14:textId="77777777" w:rsidR="00046D64" w:rsidRPr="009F000C" w:rsidRDefault="00046D64" w:rsidP="00CB4542">
            <w:pPr>
              <w:keepLines/>
              <w:jc w:val="center"/>
              <w:rPr>
                <w:rFonts w:ascii="Arial Narrow" w:hAnsi="Arial Narrow"/>
                <w:b/>
                <w:sz w:val="20"/>
                <w:szCs w:val="20"/>
              </w:rPr>
            </w:pPr>
            <w:r w:rsidRPr="009F000C">
              <w:rPr>
                <w:rFonts w:ascii="Arial Narrow" w:hAnsi="Arial Narrow"/>
                <w:b/>
                <w:sz w:val="20"/>
                <w:szCs w:val="20"/>
              </w:rPr>
              <w:t>Max. qty units</w:t>
            </w:r>
          </w:p>
        </w:tc>
        <w:tc>
          <w:tcPr>
            <w:tcW w:w="812" w:type="dxa"/>
            <w:vAlign w:val="center"/>
          </w:tcPr>
          <w:p w14:paraId="13B3FDEE" w14:textId="77777777" w:rsidR="00046D64" w:rsidRPr="009F000C" w:rsidRDefault="00046D64" w:rsidP="00CB4542">
            <w:pPr>
              <w:keepLines/>
              <w:jc w:val="center"/>
              <w:rPr>
                <w:rFonts w:ascii="Arial Narrow" w:hAnsi="Arial Narrow"/>
                <w:b/>
                <w:sz w:val="20"/>
                <w:szCs w:val="20"/>
              </w:rPr>
            </w:pPr>
            <w:r w:rsidRPr="009F000C">
              <w:rPr>
                <w:rFonts w:ascii="Arial Narrow" w:hAnsi="Arial Narrow"/>
                <w:b/>
                <w:sz w:val="20"/>
                <w:szCs w:val="20"/>
              </w:rPr>
              <w:t>№.of</w:t>
            </w:r>
          </w:p>
          <w:p w14:paraId="7B215997" w14:textId="77777777" w:rsidR="00046D64" w:rsidRPr="009F000C" w:rsidRDefault="00046D64" w:rsidP="00CB4542">
            <w:pPr>
              <w:keepLines/>
              <w:jc w:val="center"/>
              <w:rPr>
                <w:rFonts w:ascii="Arial Narrow" w:hAnsi="Arial Narrow"/>
                <w:b/>
                <w:sz w:val="20"/>
                <w:szCs w:val="20"/>
              </w:rPr>
            </w:pPr>
            <w:r w:rsidRPr="009F000C">
              <w:rPr>
                <w:rFonts w:ascii="Arial Narrow" w:hAnsi="Arial Narrow"/>
                <w:b/>
                <w:sz w:val="20"/>
                <w:szCs w:val="20"/>
              </w:rPr>
              <w:t>Rpts</w:t>
            </w:r>
          </w:p>
        </w:tc>
        <w:tc>
          <w:tcPr>
            <w:tcW w:w="1831" w:type="dxa"/>
            <w:vAlign w:val="center"/>
          </w:tcPr>
          <w:p w14:paraId="4976F6A8" w14:textId="77777777" w:rsidR="00046D64" w:rsidRPr="009F000C" w:rsidRDefault="00046D64" w:rsidP="00CB4542">
            <w:pPr>
              <w:keepLines/>
              <w:rPr>
                <w:rFonts w:ascii="Arial Narrow" w:hAnsi="Arial Narrow"/>
                <w:b/>
                <w:sz w:val="20"/>
                <w:szCs w:val="20"/>
                <w:lang w:val="fr-FR"/>
              </w:rPr>
            </w:pPr>
            <w:r w:rsidRPr="009F000C">
              <w:rPr>
                <w:rFonts w:ascii="Arial Narrow" w:hAnsi="Arial Narrow"/>
                <w:b/>
                <w:sz w:val="20"/>
                <w:szCs w:val="20"/>
              </w:rPr>
              <w:t>Available brands</w:t>
            </w:r>
          </w:p>
        </w:tc>
      </w:tr>
      <w:tr w:rsidR="009F000C" w:rsidRPr="009F000C" w14:paraId="40C1AD8E" w14:textId="77777777" w:rsidTr="507C910F">
        <w:trPr>
          <w:cantSplit/>
          <w:trHeight w:val="20"/>
        </w:trPr>
        <w:tc>
          <w:tcPr>
            <w:tcW w:w="9017" w:type="dxa"/>
            <w:gridSpan w:val="6"/>
            <w:vAlign w:val="center"/>
          </w:tcPr>
          <w:p w14:paraId="2A4C00A6" w14:textId="01985DAA" w:rsidR="00046D64" w:rsidRPr="009F000C" w:rsidRDefault="00EF6D71" w:rsidP="00CB4542">
            <w:pPr>
              <w:pStyle w:val="TableText0"/>
              <w:keepNext w:val="0"/>
              <w:rPr>
                <w:rFonts w:cs="Arial"/>
                <w:b/>
                <w:bCs w:val="0"/>
                <w:szCs w:val="20"/>
              </w:rPr>
            </w:pPr>
            <w:r w:rsidRPr="009F000C">
              <w:rPr>
                <w:b/>
                <w:bCs w:val="0"/>
              </w:rPr>
              <w:t>DABRAFENIB</w:t>
            </w:r>
            <w:r w:rsidR="00A2021E" w:rsidRPr="009F000C">
              <w:rPr>
                <w:rFonts w:cs="Arial"/>
                <w:b/>
                <w:bCs w:val="0"/>
                <w:szCs w:val="20"/>
              </w:rPr>
              <w:t xml:space="preserve"> </w:t>
            </w:r>
          </w:p>
        </w:tc>
      </w:tr>
      <w:tr w:rsidR="009F000C" w:rsidRPr="009F000C" w14:paraId="1DC2CC67" w14:textId="77777777" w:rsidTr="507C910F">
        <w:trPr>
          <w:cantSplit/>
          <w:trHeight w:val="20"/>
        </w:trPr>
        <w:tc>
          <w:tcPr>
            <w:tcW w:w="2547" w:type="dxa"/>
            <w:vAlign w:val="center"/>
          </w:tcPr>
          <w:p w14:paraId="612C04D7" w14:textId="0CABB348" w:rsidR="002C36E3" w:rsidRPr="009F000C" w:rsidRDefault="004D06B3" w:rsidP="00CB4542">
            <w:pPr>
              <w:pStyle w:val="TableText0"/>
              <w:keepNext w:val="0"/>
            </w:pPr>
            <w:r w:rsidRPr="009F000C">
              <w:t>Dabrafenib 75 mg capsule, 120</w:t>
            </w:r>
            <w:r w:rsidR="002C36E3" w:rsidRPr="009F000C">
              <w:t xml:space="preserve"> </w:t>
            </w:r>
          </w:p>
        </w:tc>
        <w:tc>
          <w:tcPr>
            <w:tcW w:w="2204" w:type="dxa"/>
          </w:tcPr>
          <w:p w14:paraId="70C2874A" w14:textId="2F052316" w:rsidR="002C36E3" w:rsidRPr="00435CE5" w:rsidRDefault="002C36E3" w:rsidP="00CB4542">
            <w:pPr>
              <w:pStyle w:val="TableText0"/>
              <w:keepNext w:val="0"/>
              <w:jc w:val="center"/>
            </w:pPr>
            <w:r w:rsidRPr="00435CE5">
              <w:t>$</w:t>
            </w:r>
            <w:r w:rsidR="00C93114" w:rsidRPr="00435CE5">
              <w:t xml:space="preserve">3,369.08 </w:t>
            </w:r>
            <w:r w:rsidR="00833597" w:rsidRPr="00435CE5">
              <w:rPr>
                <w:vertAlign w:val="superscript"/>
              </w:rPr>
              <w:t>a</w:t>
            </w:r>
          </w:p>
        </w:tc>
        <w:tc>
          <w:tcPr>
            <w:tcW w:w="812" w:type="dxa"/>
            <w:vAlign w:val="center"/>
          </w:tcPr>
          <w:p w14:paraId="71CD2441" w14:textId="4C9947B8" w:rsidR="002C36E3" w:rsidRPr="009F000C" w:rsidRDefault="004D06B3" w:rsidP="00CB4542">
            <w:pPr>
              <w:pStyle w:val="TableText0"/>
              <w:keepNext w:val="0"/>
              <w:jc w:val="center"/>
            </w:pPr>
            <w:r w:rsidRPr="009F000C">
              <w:t>1</w:t>
            </w:r>
          </w:p>
        </w:tc>
        <w:tc>
          <w:tcPr>
            <w:tcW w:w="811" w:type="dxa"/>
            <w:vAlign w:val="center"/>
          </w:tcPr>
          <w:p w14:paraId="65F4D3E9" w14:textId="385D7D1F" w:rsidR="002C36E3" w:rsidRPr="009F000C" w:rsidRDefault="004D06B3" w:rsidP="00CB4542">
            <w:pPr>
              <w:pStyle w:val="TableText0"/>
              <w:keepNext w:val="0"/>
              <w:jc w:val="center"/>
            </w:pPr>
            <w:r w:rsidRPr="009F000C">
              <w:t>120</w:t>
            </w:r>
          </w:p>
        </w:tc>
        <w:tc>
          <w:tcPr>
            <w:tcW w:w="812" w:type="dxa"/>
            <w:vAlign w:val="center"/>
          </w:tcPr>
          <w:p w14:paraId="7C728D0C" w14:textId="588ADA48" w:rsidR="002C36E3" w:rsidRPr="009F000C" w:rsidRDefault="004D06B3" w:rsidP="00CB4542">
            <w:pPr>
              <w:pStyle w:val="TableText0"/>
              <w:keepNext w:val="0"/>
              <w:jc w:val="center"/>
            </w:pPr>
            <w:r w:rsidRPr="009F000C">
              <w:t>5</w:t>
            </w:r>
          </w:p>
        </w:tc>
        <w:tc>
          <w:tcPr>
            <w:tcW w:w="1831" w:type="dxa"/>
            <w:vAlign w:val="center"/>
          </w:tcPr>
          <w:p w14:paraId="519A0BC8" w14:textId="0855C6A8" w:rsidR="002C36E3" w:rsidRPr="009F000C" w:rsidRDefault="004D06B3" w:rsidP="00CB4542">
            <w:pPr>
              <w:pStyle w:val="TableText0"/>
              <w:keepNext w:val="0"/>
            </w:pPr>
            <w:proofErr w:type="spellStart"/>
            <w:r w:rsidRPr="009F000C">
              <w:t>Tafinlar</w:t>
            </w:r>
            <w:proofErr w:type="spellEnd"/>
          </w:p>
        </w:tc>
      </w:tr>
      <w:tr w:rsidR="009F000C" w:rsidRPr="009F000C" w14:paraId="0FE79F0E" w14:textId="77777777" w:rsidTr="507C910F">
        <w:trPr>
          <w:cantSplit/>
          <w:trHeight w:val="20"/>
        </w:trPr>
        <w:tc>
          <w:tcPr>
            <w:tcW w:w="2547" w:type="dxa"/>
            <w:vAlign w:val="center"/>
          </w:tcPr>
          <w:p w14:paraId="55284F9A" w14:textId="3CE4CBFF" w:rsidR="002C36E3" w:rsidRPr="009F000C" w:rsidRDefault="004D06B3" w:rsidP="00CB4542">
            <w:pPr>
              <w:pStyle w:val="TableText0"/>
              <w:keepNext w:val="0"/>
            </w:pPr>
            <w:r w:rsidRPr="009F000C">
              <w:t xml:space="preserve">Dabrafenib 50 mg capsule, 120 </w:t>
            </w:r>
          </w:p>
        </w:tc>
        <w:tc>
          <w:tcPr>
            <w:tcW w:w="2204" w:type="dxa"/>
          </w:tcPr>
          <w:p w14:paraId="0682AC07" w14:textId="7F47EB4B" w:rsidR="002C36E3" w:rsidRPr="00435CE5" w:rsidRDefault="002C36E3" w:rsidP="00CB4542">
            <w:pPr>
              <w:pStyle w:val="TableText0"/>
              <w:keepNext w:val="0"/>
              <w:jc w:val="center"/>
            </w:pPr>
            <w:r w:rsidRPr="00435CE5">
              <w:t>$</w:t>
            </w:r>
            <w:r w:rsidR="00BB7BE7" w:rsidRPr="00386AA1">
              <w:t>2,300.25</w:t>
            </w:r>
            <w:r w:rsidR="00320962">
              <w:t xml:space="preserve"> </w:t>
            </w:r>
            <w:r w:rsidRPr="00435CE5">
              <w:t xml:space="preserve"> </w:t>
            </w:r>
            <w:r w:rsidR="00C93114" w:rsidRPr="00435CE5">
              <w:rPr>
                <w:vertAlign w:val="superscript"/>
              </w:rPr>
              <w:t>a</w:t>
            </w:r>
          </w:p>
        </w:tc>
        <w:tc>
          <w:tcPr>
            <w:tcW w:w="812" w:type="dxa"/>
            <w:vAlign w:val="center"/>
          </w:tcPr>
          <w:p w14:paraId="5E0E3D4A" w14:textId="1D306EB5" w:rsidR="002C36E3" w:rsidRPr="00D10C5A" w:rsidRDefault="004D06B3" w:rsidP="00CB4542">
            <w:pPr>
              <w:pStyle w:val="TableText0"/>
              <w:keepNext w:val="0"/>
              <w:jc w:val="center"/>
              <w:rPr>
                <w:strike/>
              </w:rPr>
            </w:pPr>
            <w:r w:rsidRPr="00D10C5A">
              <w:rPr>
                <w:strike/>
              </w:rPr>
              <w:t>2</w:t>
            </w:r>
            <w:r w:rsidR="00D10C5A" w:rsidRPr="00D10C5A">
              <w:rPr>
                <w:i/>
                <w:iCs/>
                <w:strike/>
              </w:rPr>
              <w:t xml:space="preserve"> </w:t>
            </w:r>
            <w:r w:rsidR="00D10C5A" w:rsidRPr="00D10C5A">
              <w:rPr>
                <w:i/>
                <w:iCs/>
              </w:rPr>
              <w:t>1</w:t>
            </w:r>
          </w:p>
        </w:tc>
        <w:tc>
          <w:tcPr>
            <w:tcW w:w="811" w:type="dxa"/>
            <w:vAlign w:val="center"/>
          </w:tcPr>
          <w:p w14:paraId="63523B4A" w14:textId="223F859F" w:rsidR="002C36E3" w:rsidRPr="00D10C5A" w:rsidRDefault="004D06B3" w:rsidP="00CB4542">
            <w:pPr>
              <w:pStyle w:val="TableText0"/>
              <w:keepNext w:val="0"/>
              <w:jc w:val="center"/>
              <w:rPr>
                <w:strike/>
              </w:rPr>
            </w:pPr>
            <w:r w:rsidRPr="00D10C5A">
              <w:rPr>
                <w:strike/>
              </w:rPr>
              <w:t>240</w:t>
            </w:r>
            <w:r w:rsidR="00D10C5A">
              <w:rPr>
                <w:strike/>
              </w:rPr>
              <w:t xml:space="preserve"> </w:t>
            </w:r>
            <w:r w:rsidR="00D10C5A" w:rsidRPr="00D10C5A">
              <w:rPr>
                <w:i/>
                <w:iCs/>
              </w:rPr>
              <w:t>120</w:t>
            </w:r>
          </w:p>
        </w:tc>
        <w:tc>
          <w:tcPr>
            <w:tcW w:w="812" w:type="dxa"/>
            <w:vAlign w:val="center"/>
          </w:tcPr>
          <w:p w14:paraId="64B965F0" w14:textId="25F1E6C8" w:rsidR="002C36E3" w:rsidRPr="009F000C" w:rsidRDefault="004D06B3" w:rsidP="00CB4542">
            <w:pPr>
              <w:pStyle w:val="TableText0"/>
              <w:keepNext w:val="0"/>
              <w:jc w:val="center"/>
            </w:pPr>
            <w:r w:rsidRPr="009F000C">
              <w:t>5</w:t>
            </w:r>
          </w:p>
        </w:tc>
        <w:tc>
          <w:tcPr>
            <w:tcW w:w="1831" w:type="dxa"/>
            <w:vAlign w:val="center"/>
          </w:tcPr>
          <w:p w14:paraId="3788A325" w14:textId="79DDC531" w:rsidR="002C36E3" w:rsidRPr="009F000C" w:rsidRDefault="004D06B3" w:rsidP="00CB4542">
            <w:pPr>
              <w:pStyle w:val="TableText0"/>
              <w:keepNext w:val="0"/>
            </w:pPr>
            <w:proofErr w:type="spellStart"/>
            <w:r w:rsidRPr="009F000C">
              <w:t>Tafinlar</w:t>
            </w:r>
            <w:proofErr w:type="spellEnd"/>
          </w:p>
        </w:tc>
      </w:tr>
      <w:tr w:rsidR="009F000C" w:rsidRPr="009F000C" w14:paraId="266E3578" w14:textId="77777777" w:rsidTr="507C910F">
        <w:trPr>
          <w:cantSplit/>
          <w:trHeight w:val="20"/>
        </w:trPr>
        <w:tc>
          <w:tcPr>
            <w:tcW w:w="9017" w:type="dxa"/>
            <w:gridSpan w:val="6"/>
            <w:vAlign w:val="center"/>
          </w:tcPr>
          <w:p w14:paraId="43D390FE" w14:textId="3818E9EE" w:rsidR="004D06B3" w:rsidRPr="00435CE5" w:rsidRDefault="004D06B3" w:rsidP="00CB4542">
            <w:pPr>
              <w:jc w:val="left"/>
              <w:rPr>
                <w:rFonts w:ascii="Arial Narrow" w:hAnsi="Arial Narrow"/>
                <w:b/>
                <w:bCs/>
                <w:sz w:val="20"/>
                <w:szCs w:val="20"/>
              </w:rPr>
            </w:pPr>
            <w:r w:rsidRPr="00435CE5">
              <w:rPr>
                <w:rFonts w:ascii="Arial Narrow" w:hAnsi="Arial Narrow"/>
                <w:b/>
                <w:bCs/>
                <w:sz w:val="20"/>
                <w:szCs w:val="20"/>
              </w:rPr>
              <w:t>TRAMETINIB</w:t>
            </w:r>
          </w:p>
        </w:tc>
      </w:tr>
      <w:tr w:rsidR="009F000C" w:rsidRPr="009F000C" w14:paraId="3DEB110A" w14:textId="77777777" w:rsidTr="507C910F">
        <w:trPr>
          <w:cantSplit/>
          <w:trHeight w:val="20"/>
        </w:trPr>
        <w:tc>
          <w:tcPr>
            <w:tcW w:w="2547" w:type="dxa"/>
          </w:tcPr>
          <w:p w14:paraId="06509207" w14:textId="7503BB6D" w:rsidR="00DE3F10" w:rsidRPr="009F000C" w:rsidRDefault="00DE3F10" w:rsidP="00CB4542">
            <w:pPr>
              <w:pStyle w:val="TableText0"/>
              <w:keepNext w:val="0"/>
              <w:rPr>
                <w:szCs w:val="20"/>
              </w:rPr>
            </w:pPr>
            <w:r w:rsidRPr="009F000C">
              <w:t>Trametinib 2 mg tablet, 30</w:t>
            </w:r>
          </w:p>
        </w:tc>
        <w:tc>
          <w:tcPr>
            <w:tcW w:w="2204" w:type="dxa"/>
          </w:tcPr>
          <w:p w14:paraId="5BFEB8EF" w14:textId="148AC21E" w:rsidR="00DE3F10" w:rsidRPr="00435CE5" w:rsidRDefault="00C93114" w:rsidP="00CB4542">
            <w:pPr>
              <w:pStyle w:val="TableText0"/>
              <w:keepNext w:val="0"/>
              <w:jc w:val="center"/>
              <w:rPr>
                <w:szCs w:val="20"/>
              </w:rPr>
            </w:pPr>
            <w:r w:rsidRPr="00435CE5">
              <w:t>$3,537.84</w:t>
            </w:r>
            <w:r w:rsidR="00DE3F10" w:rsidRPr="00435CE5">
              <w:t xml:space="preserve"> </w:t>
            </w:r>
            <w:r w:rsidR="00833597" w:rsidRPr="00435CE5">
              <w:rPr>
                <w:vertAlign w:val="superscript"/>
              </w:rPr>
              <w:t>a</w:t>
            </w:r>
          </w:p>
        </w:tc>
        <w:tc>
          <w:tcPr>
            <w:tcW w:w="812" w:type="dxa"/>
            <w:vAlign w:val="center"/>
          </w:tcPr>
          <w:p w14:paraId="560990F9" w14:textId="14EA7B7C" w:rsidR="00DE3F10" w:rsidRPr="009F000C" w:rsidRDefault="00DE3F10" w:rsidP="00CB4542">
            <w:pPr>
              <w:pStyle w:val="TableText0"/>
              <w:keepNext w:val="0"/>
              <w:jc w:val="center"/>
              <w:rPr>
                <w:szCs w:val="20"/>
              </w:rPr>
            </w:pPr>
            <w:r w:rsidRPr="009F000C">
              <w:rPr>
                <w:szCs w:val="20"/>
              </w:rPr>
              <w:t>1</w:t>
            </w:r>
          </w:p>
        </w:tc>
        <w:tc>
          <w:tcPr>
            <w:tcW w:w="811" w:type="dxa"/>
            <w:vAlign w:val="center"/>
          </w:tcPr>
          <w:p w14:paraId="480B8CBA" w14:textId="4E8D4973" w:rsidR="00DE3F10" w:rsidRPr="009F000C" w:rsidRDefault="00DE3F10" w:rsidP="00CB4542">
            <w:pPr>
              <w:pStyle w:val="TableText0"/>
              <w:keepNext w:val="0"/>
              <w:jc w:val="center"/>
              <w:rPr>
                <w:szCs w:val="20"/>
              </w:rPr>
            </w:pPr>
            <w:r w:rsidRPr="009F000C">
              <w:rPr>
                <w:szCs w:val="20"/>
              </w:rPr>
              <w:t>30</w:t>
            </w:r>
          </w:p>
        </w:tc>
        <w:tc>
          <w:tcPr>
            <w:tcW w:w="812" w:type="dxa"/>
            <w:vAlign w:val="center"/>
          </w:tcPr>
          <w:p w14:paraId="7E22A777" w14:textId="5058FFBB" w:rsidR="00DE3F10" w:rsidRPr="009F000C" w:rsidRDefault="00DE3F10" w:rsidP="00CB4542">
            <w:pPr>
              <w:pStyle w:val="TableText0"/>
              <w:keepNext w:val="0"/>
              <w:jc w:val="center"/>
              <w:rPr>
                <w:szCs w:val="20"/>
              </w:rPr>
            </w:pPr>
            <w:r w:rsidRPr="009F000C">
              <w:rPr>
                <w:szCs w:val="20"/>
              </w:rPr>
              <w:t>5</w:t>
            </w:r>
          </w:p>
        </w:tc>
        <w:tc>
          <w:tcPr>
            <w:tcW w:w="1831" w:type="dxa"/>
            <w:vAlign w:val="center"/>
          </w:tcPr>
          <w:p w14:paraId="127F6FA7" w14:textId="124FDB91" w:rsidR="00DE3F10" w:rsidRPr="009F000C" w:rsidRDefault="00DE3F10" w:rsidP="00CB4542">
            <w:pPr>
              <w:pStyle w:val="TableText0"/>
              <w:keepNext w:val="0"/>
              <w:rPr>
                <w:szCs w:val="20"/>
              </w:rPr>
            </w:pPr>
            <w:proofErr w:type="spellStart"/>
            <w:r w:rsidRPr="009F000C">
              <w:rPr>
                <w:szCs w:val="20"/>
              </w:rPr>
              <w:t>Mekinist</w:t>
            </w:r>
            <w:proofErr w:type="spellEnd"/>
          </w:p>
        </w:tc>
      </w:tr>
      <w:tr w:rsidR="00C93114" w:rsidRPr="009F000C" w14:paraId="79375DB0" w14:textId="77777777" w:rsidTr="507C910F">
        <w:trPr>
          <w:cantSplit/>
          <w:trHeight w:val="20"/>
        </w:trPr>
        <w:tc>
          <w:tcPr>
            <w:tcW w:w="2547" w:type="dxa"/>
          </w:tcPr>
          <w:p w14:paraId="3C96A3D0" w14:textId="71C2486E" w:rsidR="00C93114" w:rsidRPr="009F000C" w:rsidRDefault="00C93114" w:rsidP="00C93114">
            <w:pPr>
              <w:pStyle w:val="TableText0"/>
              <w:keepNext w:val="0"/>
              <w:rPr>
                <w:szCs w:val="20"/>
              </w:rPr>
            </w:pPr>
            <w:r w:rsidRPr="009F000C">
              <w:t>Trametinib 500 mcg tablet, 30</w:t>
            </w:r>
          </w:p>
        </w:tc>
        <w:tc>
          <w:tcPr>
            <w:tcW w:w="2204" w:type="dxa"/>
          </w:tcPr>
          <w:p w14:paraId="7A173116" w14:textId="49911F67" w:rsidR="00C93114" w:rsidRPr="00435CE5" w:rsidRDefault="00C93114" w:rsidP="00C93114">
            <w:pPr>
              <w:pStyle w:val="TableText0"/>
              <w:keepNext w:val="0"/>
              <w:jc w:val="center"/>
            </w:pPr>
            <w:r>
              <w:t>$</w:t>
            </w:r>
            <w:r w:rsidR="00320962">
              <w:t xml:space="preserve">2,694.03 </w:t>
            </w:r>
            <w:r w:rsidR="00833597" w:rsidRPr="507C910F">
              <w:rPr>
                <w:vertAlign w:val="superscript"/>
              </w:rPr>
              <w:t xml:space="preserve"> a</w:t>
            </w:r>
            <w:r>
              <w:t xml:space="preserve"> </w:t>
            </w:r>
          </w:p>
        </w:tc>
        <w:tc>
          <w:tcPr>
            <w:tcW w:w="812" w:type="dxa"/>
            <w:vAlign w:val="center"/>
          </w:tcPr>
          <w:p w14:paraId="66C3009E" w14:textId="10155C11" w:rsidR="00C93114" w:rsidRPr="00FF0A57" w:rsidRDefault="00C93114" w:rsidP="00C93114">
            <w:pPr>
              <w:pStyle w:val="TableText0"/>
              <w:keepNext w:val="0"/>
              <w:jc w:val="center"/>
              <w:rPr>
                <w:strike/>
                <w:szCs w:val="20"/>
              </w:rPr>
            </w:pPr>
            <w:r w:rsidRPr="00FF0A57">
              <w:rPr>
                <w:i/>
                <w:iCs/>
                <w:strike/>
                <w:szCs w:val="20"/>
              </w:rPr>
              <w:t>4</w:t>
            </w:r>
            <w:r w:rsidR="00FF0A57">
              <w:rPr>
                <w:i/>
                <w:iCs/>
                <w:strike/>
                <w:szCs w:val="20"/>
              </w:rPr>
              <w:t xml:space="preserve"> </w:t>
            </w:r>
            <w:r w:rsidR="00FF0A57" w:rsidRPr="00FF0A57">
              <w:rPr>
                <w:i/>
                <w:iCs/>
                <w:szCs w:val="20"/>
              </w:rPr>
              <w:t>3</w:t>
            </w:r>
          </w:p>
        </w:tc>
        <w:tc>
          <w:tcPr>
            <w:tcW w:w="811" w:type="dxa"/>
            <w:vAlign w:val="center"/>
          </w:tcPr>
          <w:p w14:paraId="61FB8F54" w14:textId="1C2A4630" w:rsidR="00C93114" w:rsidRPr="00FF0A57" w:rsidRDefault="00C93114" w:rsidP="00C93114">
            <w:pPr>
              <w:pStyle w:val="TableText0"/>
              <w:keepNext w:val="0"/>
              <w:jc w:val="center"/>
              <w:rPr>
                <w:strike/>
                <w:szCs w:val="20"/>
              </w:rPr>
            </w:pPr>
            <w:r w:rsidRPr="00FF0A57">
              <w:rPr>
                <w:strike/>
                <w:szCs w:val="20"/>
              </w:rPr>
              <w:t>120</w:t>
            </w:r>
            <w:r w:rsidR="00FF0A57">
              <w:rPr>
                <w:strike/>
                <w:szCs w:val="20"/>
              </w:rPr>
              <w:t xml:space="preserve"> </w:t>
            </w:r>
            <w:r w:rsidR="00FF0A57" w:rsidRPr="00FF0A57">
              <w:rPr>
                <w:i/>
                <w:iCs/>
                <w:szCs w:val="20"/>
              </w:rPr>
              <w:t>90</w:t>
            </w:r>
          </w:p>
        </w:tc>
        <w:tc>
          <w:tcPr>
            <w:tcW w:w="812" w:type="dxa"/>
            <w:vAlign w:val="center"/>
          </w:tcPr>
          <w:p w14:paraId="0AB672DE" w14:textId="01578087" w:rsidR="00C93114" w:rsidRPr="009F000C" w:rsidRDefault="00C93114" w:rsidP="00C93114">
            <w:pPr>
              <w:pStyle w:val="TableText0"/>
              <w:keepNext w:val="0"/>
              <w:jc w:val="center"/>
              <w:rPr>
                <w:szCs w:val="20"/>
              </w:rPr>
            </w:pPr>
            <w:r w:rsidRPr="009F000C">
              <w:rPr>
                <w:szCs w:val="20"/>
              </w:rPr>
              <w:t>5</w:t>
            </w:r>
          </w:p>
        </w:tc>
        <w:tc>
          <w:tcPr>
            <w:tcW w:w="1831" w:type="dxa"/>
            <w:vAlign w:val="center"/>
          </w:tcPr>
          <w:p w14:paraId="146170F7" w14:textId="51EB70F3" w:rsidR="00C93114" w:rsidRPr="009F000C" w:rsidRDefault="00C93114" w:rsidP="00C93114">
            <w:pPr>
              <w:pStyle w:val="TableText0"/>
              <w:keepNext w:val="0"/>
              <w:rPr>
                <w:szCs w:val="20"/>
              </w:rPr>
            </w:pPr>
            <w:proofErr w:type="spellStart"/>
            <w:r w:rsidRPr="009F000C">
              <w:rPr>
                <w:szCs w:val="20"/>
              </w:rPr>
              <w:t>Mekinist</w:t>
            </w:r>
            <w:proofErr w:type="spellEnd"/>
          </w:p>
        </w:tc>
      </w:tr>
      <w:tr w:rsidR="009F000C" w:rsidRPr="009F000C" w14:paraId="3EE8ABAE"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tcPr>
          <w:p w14:paraId="3B622315" w14:textId="1012E78F" w:rsidR="003A4C14" w:rsidRPr="009F000C" w:rsidRDefault="003A4C14" w:rsidP="00CB4542">
            <w:pPr>
              <w:pStyle w:val="TableText0"/>
              <w:keepNext w:val="0"/>
              <w:keepLines/>
            </w:pPr>
            <w:bookmarkStart w:id="14" w:name="_Hlk104809470"/>
            <w:bookmarkEnd w:id="13"/>
            <w:r w:rsidRPr="009F000C">
              <w:rPr>
                <w:b/>
              </w:rPr>
              <w:t xml:space="preserve">Category / Program: </w:t>
            </w:r>
            <w:r w:rsidRPr="009F000C">
              <w:t>General Schedule</w:t>
            </w:r>
          </w:p>
        </w:tc>
      </w:tr>
      <w:tr w:rsidR="009F000C" w:rsidRPr="009F000C" w14:paraId="09416ED3"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tcPr>
          <w:p w14:paraId="7D2ED8D5" w14:textId="62FD4D3C" w:rsidR="003A4C14" w:rsidRPr="009F000C" w:rsidRDefault="732DCDAD" w:rsidP="03CF4CC7">
            <w:pPr>
              <w:pStyle w:val="TableText0"/>
              <w:keepNext w:val="0"/>
              <w:keepLines/>
              <w:rPr>
                <w:b/>
              </w:rPr>
            </w:pPr>
            <w:r w:rsidRPr="03CF4CC7">
              <w:rPr>
                <w:b/>
              </w:rPr>
              <w:t xml:space="preserve">Prescriber type: </w:t>
            </w:r>
            <w:r w:rsidR="003A4C14" w:rsidRPr="009F000C">
              <w:fldChar w:fldCharType="begin">
                <w:ffData>
                  <w:name w:val="Check1"/>
                  <w:enabled/>
                  <w:calcOnExit w:val="0"/>
                  <w:checkBox>
                    <w:sizeAuto/>
                    <w:default w:val="0"/>
                  </w:checkBox>
                </w:ffData>
              </w:fldChar>
            </w:r>
            <w:r w:rsidR="003A4C14" w:rsidRPr="009F000C">
              <w:instrText xml:space="preserve"> FORMCHECKBOX </w:instrText>
            </w:r>
            <w:r w:rsidR="003A4C14" w:rsidRPr="009F000C">
              <w:fldChar w:fldCharType="separate"/>
            </w:r>
            <w:r w:rsidR="003A4C14" w:rsidRPr="009F000C">
              <w:fldChar w:fldCharType="end"/>
            </w:r>
            <w:r w:rsidRPr="009F000C">
              <w:t xml:space="preserve">Dental </w:t>
            </w:r>
            <w:r w:rsidR="008D3D18" w:rsidRPr="009F000C">
              <w:fldChar w:fldCharType="begin">
                <w:ffData>
                  <w:name w:val=""/>
                  <w:enabled/>
                  <w:calcOnExit w:val="0"/>
                  <w:checkBox>
                    <w:sizeAuto/>
                    <w:default w:val="1"/>
                  </w:checkBox>
                </w:ffData>
              </w:fldChar>
            </w:r>
            <w:r w:rsidR="008D3D18" w:rsidRPr="009F000C">
              <w:instrText xml:space="preserve"> FORMCHECKBOX </w:instrText>
            </w:r>
            <w:r w:rsidR="008D3D18" w:rsidRPr="009F000C">
              <w:fldChar w:fldCharType="separate"/>
            </w:r>
            <w:r w:rsidR="008D3D18" w:rsidRPr="009F000C">
              <w:fldChar w:fldCharType="end"/>
            </w:r>
            <w:r w:rsidRPr="009F000C">
              <w:t xml:space="preserve">Medical Practitioners </w:t>
            </w:r>
            <w:r w:rsidR="003A4C14" w:rsidRPr="009F000C">
              <w:fldChar w:fldCharType="begin">
                <w:ffData>
                  <w:name w:val="Check3"/>
                  <w:enabled/>
                  <w:calcOnExit w:val="0"/>
                  <w:checkBox>
                    <w:sizeAuto/>
                    <w:default w:val="0"/>
                  </w:checkBox>
                </w:ffData>
              </w:fldChar>
            </w:r>
            <w:r w:rsidR="003A4C14" w:rsidRPr="009F000C">
              <w:instrText xml:space="preserve"> FORMCHECKBOX </w:instrText>
            </w:r>
            <w:r w:rsidR="003A4C14" w:rsidRPr="009F000C">
              <w:fldChar w:fldCharType="separate"/>
            </w:r>
            <w:r w:rsidR="003A4C14" w:rsidRPr="009F000C">
              <w:fldChar w:fldCharType="end"/>
            </w:r>
            <w:r w:rsidRPr="009F000C">
              <w:t xml:space="preserve">Nurse practitioners </w:t>
            </w:r>
            <w:r w:rsidR="003A4C14" w:rsidRPr="009F000C">
              <w:fldChar w:fldCharType="begin">
                <w:ffData>
                  <w:name w:val=""/>
                  <w:enabled/>
                  <w:calcOnExit w:val="0"/>
                  <w:checkBox>
                    <w:sizeAuto/>
                    <w:default w:val="0"/>
                  </w:checkBox>
                </w:ffData>
              </w:fldChar>
            </w:r>
            <w:r w:rsidR="003A4C14" w:rsidRPr="009F000C">
              <w:instrText xml:space="preserve"> FORMCHECKBOX </w:instrText>
            </w:r>
            <w:r w:rsidR="003A4C14" w:rsidRPr="009F000C">
              <w:fldChar w:fldCharType="separate"/>
            </w:r>
            <w:r w:rsidR="003A4C14" w:rsidRPr="009F000C">
              <w:fldChar w:fldCharType="end"/>
            </w:r>
            <w:r w:rsidRPr="009F000C">
              <w:t xml:space="preserve">Optometrists </w:t>
            </w:r>
            <w:r w:rsidR="003A4C14" w:rsidRPr="009F000C">
              <w:fldChar w:fldCharType="begin">
                <w:ffData>
                  <w:name w:val="Check5"/>
                  <w:enabled/>
                  <w:calcOnExit w:val="0"/>
                  <w:checkBox>
                    <w:sizeAuto/>
                    <w:default w:val="0"/>
                  </w:checkBox>
                </w:ffData>
              </w:fldChar>
            </w:r>
            <w:r w:rsidR="003A4C14" w:rsidRPr="009F000C">
              <w:instrText xml:space="preserve"> FORMCHECKBOX </w:instrText>
            </w:r>
            <w:r w:rsidR="003A4C14" w:rsidRPr="009F000C">
              <w:fldChar w:fldCharType="separate"/>
            </w:r>
            <w:r w:rsidR="003A4C14" w:rsidRPr="009F000C">
              <w:fldChar w:fldCharType="end"/>
            </w:r>
          </w:p>
        </w:tc>
      </w:tr>
      <w:tr w:rsidR="009F000C" w:rsidRPr="009F000C" w14:paraId="070CFDD2"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tcPr>
          <w:p w14:paraId="3320A955" w14:textId="64A05878" w:rsidR="003A4C14" w:rsidRPr="009F000C" w:rsidRDefault="003A4C14" w:rsidP="00CB4542">
            <w:pPr>
              <w:pStyle w:val="TableText0"/>
              <w:keepNext w:val="0"/>
              <w:keepLines/>
              <w:rPr>
                <w:rFonts w:eastAsia="Times New Roman"/>
              </w:rPr>
            </w:pPr>
            <w:r w:rsidRPr="009F000C">
              <w:rPr>
                <w:b/>
              </w:rPr>
              <w:t xml:space="preserve">Restriction type: </w:t>
            </w:r>
            <w:r w:rsidR="008D3D18" w:rsidRPr="009F000C">
              <w:rPr>
                <w:rFonts w:eastAsia="Times New Roman"/>
              </w:rPr>
              <w:fldChar w:fldCharType="begin">
                <w:ffData>
                  <w:name w:val=""/>
                  <w:enabled/>
                  <w:calcOnExit w:val="0"/>
                  <w:checkBox>
                    <w:sizeAuto/>
                    <w:default w:val="1"/>
                  </w:checkBox>
                </w:ffData>
              </w:fldChar>
            </w:r>
            <w:r w:rsidR="008D3D18" w:rsidRPr="009F000C">
              <w:rPr>
                <w:rFonts w:eastAsia="Times New Roman"/>
              </w:rPr>
              <w:instrText xml:space="preserve"> FORMCHECKBOX </w:instrText>
            </w:r>
            <w:r w:rsidR="008D3D18" w:rsidRPr="009F000C">
              <w:rPr>
                <w:rFonts w:eastAsia="Times New Roman"/>
              </w:rPr>
            </w:r>
            <w:r w:rsidR="008D3D18" w:rsidRPr="009F000C">
              <w:rPr>
                <w:rFonts w:eastAsia="Times New Roman"/>
              </w:rPr>
              <w:fldChar w:fldCharType="separate"/>
            </w:r>
            <w:r w:rsidR="008D3D18" w:rsidRPr="009F000C">
              <w:rPr>
                <w:rFonts w:eastAsia="Times New Roman"/>
              </w:rPr>
              <w:fldChar w:fldCharType="end"/>
            </w:r>
            <w:r w:rsidRPr="009F000C">
              <w:rPr>
                <w:rFonts w:eastAsia="Times New Roman"/>
              </w:rPr>
              <w:t xml:space="preserve">Authority Required (STREAMLINED) </w:t>
            </w:r>
          </w:p>
        </w:tc>
      </w:tr>
      <w:tr w:rsidR="009F000C" w:rsidRPr="009F000C" w14:paraId="4473716B"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C58C468" w14:textId="0275F5DB" w:rsidR="003A4C14" w:rsidRPr="009F000C" w:rsidRDefault="003A4C14" w:rsidP="00CB4542">
            <w:pPr>
              <w:pStyle w:val="TableText0"/>
              <w:keepNext w:val="0"/>
              <w:keepLines/>
              <w:rPr>
                <w:b/>
              </w:rPr>
            </w:pPr>
            <w:r w:rsidRPr="009F000C">
              <w:rPr>
                <w:b/>
              </w:rPr>
              <w:t xml:space="preserve">Condition: </w:t>
            </w:r>
            <w:r w:rsidR="00DE705D" w:rsidRPr="009F000C">
              <w:rPr>
                <w:bCs w:val="0"/>
              </w:rPr>
              <w:t>Non-small cell lung cancer (NSCLC)</w:t>
            </w:r>
          </w:p>
        </w:tc>
      </w:tr>
      <w:tr w:rsidR="009F000C" w:rsidRPr="009F000C" w14:paraId="5BFE3347"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3296BDDA" w14:textId="6627F4B2" w:rsidR="003A4C14" w:rsidRPr="009F000C" w:rsidRDefault="003A4C14" w:rsidP="00CB4542">
            <w:pPr>
              <w:pStyle w:val="TableText0"/>
              <w:keepNext w:val="0"/>
              <w:keepLines/>
            </w:pPr>
            <w:r w:rsidRPr="009F000C">
              <w:rPr>
                <w:b/>
              </w:rPr>
              <w:t>Indication:</w:t>
            </w:r>
            <w:r w:rsidRPr="009F000C">
              <w:t xml:space="preserve"> </w:t>
            </w:r>
            <w:r w:rsidR="004028AE" w:rsidRPr="009F000C">
              <w:t>Stage IV (metastatic) non-small cell lung cancer (NSCLC)</w:t>
            </w:r>
          </w:p>
        </w:tc>
      </w:tr>
      <w:tr w:rsidR="009F000C" w:rsidRPr="009F000C" w14:paraId="7A6417F7"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655B4B49" w14:textId="165E8A4B" w:rsidR="003A4C14" w:rsidRPr="00D10C5A" w:rsidRDefault="003A4C14" w:rsidP="00CB4542">
            <w:pPr>
              <w:pStyle w:val="TableText0"/>
              <w:keepNext w:val="0"/>
              <w:keepLines/>
              <w:rPr>
                <w:strike/>
              </w:rPr>
            </w:pPr>
            <w:r w:rsidRPr="00D10C5A">
              <w:rPr>
                <w:b/>
                <w:strike/>
              </w:rPr>
              <w:t>Treatment Phase:</w:t>
            </w:r>
            <w:r w:rsidRPr="00D10C5A">
              <w:rPr>
                <w:strike/>
              </w:rPr>
              <w:t xml:space="preserve"> </w:t>
            </w:r>
            <w:r w:rsidR="00A340F2" w:rsidRPr="00D10C5A">
              <w:rPr>
                <w:bCs w:val="0"/>
                <w:strike/>
              </w:rPr>
              <w:t>Initial</w:t>
            </w:r>
          </w:p>
        </w:tc>
      </w:tr>
      <w:tr w:rsidR="009F000C" w:rsidRPr="009F000C" w14:paraId="3ABBD2EC"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5D485398" w14:textId="77777777" w:rsidR="003A4C14" w:rsidRPr="00D10C5A" w:rsidRDefault="003A4C14" w:rsidP="00CB4542">
            <w:pPr>
              <w:pStyle w:val="TableText0"/>
              <w:keepNext w:val="0"/>
              <w:keepLines/>
              <w:rPr>
                <w:strike/>
              </w:rPr>
            </w:pPr>
            <w:r w:rsidRPr="00D10C5A">
              <w:rPr>
                <w:b/>
                <w:strike/>
              </w:rPr>
              <w:t>Clinical criteria:</w:t>
            </w:r>
          </w:p>
        </w:tc>
      </w:tr>
      <w:tr w:rsidR="009F000C" w:rsidRPr="009F000C" w14:paraId="26BA494C"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1A0AADCD" w14:textId="1F9AF44E" w:rsidR="003A4C14" w:rsidRPr="00D10C5A" w:rsidRDefault="00FD488C" w:rsidP="00CB4542">
            <w:pPr>
              <w:pStyle w:val="TableText0"/>
              <w:keepNext w:val="0"/>
              <w:keepLines/>
              <w:rPr>
                <w:strike/>
              </w:rPr>
            </w:pPr>
            <w:r w:rsidRPr="00D10C5A">
              <w:rPr>
                <w:strike/>
              </w:rPr>
              <w:t>The treatment must be the sole PBS-subsidised therapy for this condition</w:t>
            </w:r>
          </w:p>
        </w:tc>
      </w:tr>
      <w:tr w:rsidR="009F000C" w:rsidRPr="009F000C" w14:paraId="1541981C"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6F3D1453" w14:textId="77777777" w:rsidR="003A4C14" w:rsidRPr="00D10C5A" w:rsidRDefault="003A4C14" w:rsidP="00CB4542">
            <w:pPr>
              <w:pStyle w:val="TableText0"/>
              <w:keepNext w:val="0"/>
              <w:keepLines/>
              <w:rPr>
                <w:strike/>
              </w:rPr>
            </w:pPr>
            <w:r w:rsidRPr="00D10C5A">
              <w:rPr>
                <w:b/>
                <w:strike/>
              </w:rPr>
              <w:t>AND</w:t>
            </w:r>
          </w:p>
        </w:tc>
      </w:tr>
      <w:tr w:rsidR="009F000C" w:rsidRPr="009F000C" w14:paraId="018890B8"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9CB2648" w14:textId="77777777" w:rsidR="003A4C14" w:rsidRPr="009F000C" w:rsidRDefault="003A4C14" w:rsidP="00CB4542">
            <w:pPr>
              <w:pStyle w:val="TableText0"/>
              <w:keepNext w:val="0"/>
              <w:keepLines/>
            </w:pPr>
            <w:r w:rsidRPr="009F000C">
              <w:rPr>
                <w:b/>
              </w:rPr>
              <w:t>Clinical criteria:</w:t>
            </w:r>
          </w:p>
        </w:tc>
      </w:tr>
      <w:tr w:rsidR="009F000C" w:rsidRPr="009F000C" w14:paraId="1096E289"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8E95C43" w14:textId="77777777" w:rsidR="00D10C5A" w:rsidRPr="00D10C5A" w:rsidRDefault="00A931B5" w:rsidP="00CB4542">
            <w:pPr>
              <w:pStyle w:val="TableText0"/>
              <w:keepNext w:val="0"/>
              <w:keepLines/>
              <w:rPr>
                <w:i/>
                <w:iCs/>
                <w:strike/>
                <w:szCs w:val="20"/>
              </w:rPr>
            </w:pPr>
            <w:r w:rsidRPr="00D10C5A">
              <w:rPr>
                <w:strike/>
              </w:rPr>
              <w:t>Patient must have a ECOG performance status of 2 or less</w:t>
            </w:r>
            <w:r w:rsidR="00D10C5A" w:rsidRPr="00D10C5A">
              <w:rPr>
                <w:i/>
                <w:iCs/>
                <w:strike/>
                <w:szCs w:val="20"/>
              </w:rPr>
              <w:t xml:space="preserve"> </w:t>
            </w:r>
          </w:p>
          <w:p w14:paraId="16929626" w14:textId="1FC237F4" w:rsidR="003A4C14" w:rsidRPr="009F000C" w:rsidRDefault="00D10C5A" w:rsidP="00CB4542">
            <w:pPr>
              <w:pStyle w:val="TableText0"/>
              <w:keepNext w:val="0"/>
              <w:keepLines/>
            </w:pPr>
            <w:r w:rsidRPr="5E37D525">
              <w:rPr>
                <w:i/>
                <w:iCs/>
                <w:szCs w:val="20"/>
              </w:rPr>
              <w:t>Patient must have/have had a WHO performance status of no greater than 2 at treatment initiation with this drug for this condition.</w:t>
            </w:r>
          </w:p>
        </w:tc>
      </w:tr>
      <w:tr w:rsidR="009F000C" w:rsidRPr="009F000C" w14:paraId="5092F01E"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30D4EC0" w14:textId="62CF9C68" w:rsidR="00B67330" w:rsidRPr="009F000C" w:rsidRDefault="00B67330" w:rsidP="00CB4542">
            <w:pPr>
              <w:pStyle w:val="TableText0"/>
              <w:keepNext w:val="0"/>
              <w:keepLines/>
            </w:pPr>
            <w:r w:rsidRPr="009F000C">
              <w:rPr>
                <w:b/>
              </w:rPr>
              <w:t>AND</w:t>
            </w:r>
          </w:p>
        </w:tc>
      </w:tr>
      <w:tr w:rsidR="009F000C" w:rsidRPr="009F000C" w14:paraId="1E0CC9FB"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6E11057F" w14:textId="3534A136" w:rsidR="003A4C14" w:rsidRPr="009F000C" w:rsidRDefault="00315D08" w:rsidP="00CB4542">
            <w:pPr>
              <w:pStyle w:val="TableText0"/>
              <w:keepNext w:val="0"/>
              <w:keepLines/>
            </w:pPr>
            <w:r w:rsidRPr="009F000C">
              <w:rPr>
                <w:b/>
              </w:rPr>
              <w:t>Clinical criteria:</w:t>
            </w:r>
          </w:p>
        </w:tc>
      </w:tr>
      <w:tr w:rsidR="009F000C" w:rsidRPr="009F000C" w14:paraId="3FEBA230"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041CCAD1" w14:textId="77777777" w:rsidR="00D10C5A" w:rsidRPr="00D10C5A" w:rsidRDefault="00F17D98" w:rsidP="00CB4542">
            <w:pPr>
              <w:pStyle w:val="TableText0"/>
              <w:keepNext w:val="0"/>
              <w:keepLines/>
              <w:rPr>
                <w:i/>
                <w:iCs/>
                <w:strike/>
                <w:color w:val="333333"/>
                <w:szCs w:val="20"/>
              </w:rPr>
            </w:pPr>
            <w:r w:rsidRPr="00D10C5A">
              <w:rPr>
                <w:strike/>
              </w:rPr>
              <w:t>Patient must have evidence of BRAF V600E mutation</w:t>
            </w:r>
            <w:r w:rsidR="00D10C5A" w:rsidRPr="00D10C5A">
              <w:rPr>
                <w:i/>
                <w:iCs/>
                <w:strike/>
                <w:color w:val="333333"/>
                <w:szCs w:val="20"/>
              </w:rPr>
              <w:t xml:space="preserve"> </w:t>
            </w:r>
          </w:p>
          <w:p w14:paraId="5EECDD1E" w14:textId="2E86893E" w:rsidR="003A4C14" w:rsidRPr="009F000C" w:rsidRDefault="00D10C5A" w:rsidP="00CB4542">
            <w:pPr>
              <w:pStyle w:val="TableText0"/>
              <w:keepNext w:val="0"/>
              <w:keepLines/>
              <w:rPr>
                <w:i/>
                <w:iCs/>
              </w:rPr>
            </w:pPr>
            <w:r w:rsidRPr="095D7C59">
              <w:rPr>
                <w:i/>
                <w:iCs/>
                <w:color w:val="333333"/>
                <w:szCs w:val="20"/>
              </w:rPr>
              <w:t>The condition</w:t>
            </w:r>
            <w:r>
              <w:rPr>
                <w:i/>
                <w:iCs/>
                <w:color w:val="333333"/>
                <w:szCs w:val="20"/>
              </w:rPr>
              <w:t xml:space="preserve"> must </w:t>
            </w:r>
            <w:r w:rsidRPr="095D7C59">
              <w:rPr>
                <w:i/>
                <w:iCs/>
                <w:color w:val="333333"/>
                <w:szCs w:val="20"/>
              </w:rPr>
              <w:t>be positive for</w:t>
            </w:r>
            <w:r>
              <w:rPr>
                <w:i/>
                <w:iCs/>
                <w:color w:val="333333"/>
                <w:szCs w:val="20"/>
              </w:rPr>
              <w:t xml:space="preserve"> a BRAF V600E mutation</w:t>
            </w:r>
          </w:p>
        </w:tc>
      </w:tr>
      <w:tr w:rsidR="009F000C" w:rsidRPr="009F000C" w14:paraId="16317968"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6E54FC1" w14:textId="030B398A" w:rsidR="00315D08" w:rsidRPr="009F000C" w:rsidRDefault="00315D08" w:rsidP="00CB4542">
            <w:pPr>
              <w:pStyle w:val="TableText0"/>
              <w:keepNext w:val="0"/>
              <w:keepLines/>
            </w:pPr>
            <w:r w:rsidRPr="009F000C">
              <w:rPr>
                <w:b/>
              </w:rPr>
              <w:t>AND</w:t>
            </w:r>
          </w:p>
        </w:tc>
      </w:tr>
      <w:tr w:rsidR="009F000C" w:rsidRPr="009F000C" w14:paraId="7499D438"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06292C6C" w14:textId="1DAC28A2" w:rsidR="003A4C14" w:rsidRPr="00864930" w:rsidRDefault="00315D08" w:rsidP="00CB4542">
            <w:pPr>
              <w:pStyle w:val="TableText0"/>
              <w:keepNext w:val="0"/>
              <w:keepLines/>
              <w:rPr>
                <w:strike/>
              </w:rPr>
            </w:pPr>
            <w:r w:rsidRPr="00864930">
              <w:rPr>
                <w:b/>
                <w:strike/>
              </w:rPr>
              <w:t>Clinical criteria:</w:t>
            </w:r>
          </w:p>
        </w:tc>
      </w:tr>
      <w:tr w:rsidR="009F000C" w:rsidRPr="009F000C" w14:paraId="53BCD500"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8E56768" w14:textId="21CC360D" w:rsidR="003A4C14" w:rsidRPr="00864930" w:rsidRDefault="0023084D" w:rsidP="00CB4542">
            <w:pPr>
              <w:pStyle w:val="TableText0"/>
              <w:keepNext w:val="0"/>
              <w:keepLines/>
              <w:rPr>
                <w:strike/>
              </w:rPr>
            </w:pPr>
            <w:r w:rsidRPr="00864930">
              <w:rPr>
                <w:strike/>
              </w:rPr>
              <w:t>Patient must not develop disease progression while receiving PBS-subsidised treatment with this drug for this condition</w:t>
            </w:r>
          </w:p>
        </w:tc>
      </w:tr>
      <w:tr w:rsidR="009F000C" w:rsidRPr="009F000C" w14:paraId="36CE7905"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0DD81C9D" w14:textId="5DDD6CB7" w:rsidR="003A4C14" w:rsidRPr="009F000C" w:rsidRDefault="00315D08" w:rsidP="00CB4542">
            <w:pPr>
              <w:pStyle w:val="TableText0"/>
              <w:keepNext w:val="0"/>
              <w:keepLines/>
            </w:pPr>
            <w:r w:rsidRPr="009F000C">
              <w:rPr>
                <w:b/>
              </w:rPr>
              <w:t>Treatment Criteria:</w:t>
            </w:r>
          </w:p>
        </w:tc>
      </w:tr>
      <w:tr w:rsidR="009F000C" w:rsidRPr="009F000C" w14:paraId="7892611D"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5EB14E64" w14:textId="77777777" w:rsidR="00315D08" w:rsidRPr="00864930" w:rsidRDefault="00B63035" w:rsidP="00CB4542">
            <w:pPr>
              <w:pStyle w:val="TableText0"/>
              <w:keepNext w:val="0"/>
              <w:keepLines/>
              <w:rPr>
                <w:bCs w:val="0"/>
                <w:strike/>
              </w:rPr>
            </w:pPr>
            <w:r w:rsidRPr="00864930">
              <w:rPr>
                <w:bCs w:val="0"/>
                <w:strike/>
              </w:rPr>
              <w:t>Must be used in combination with trametinib</w:t>
            </w:r>
          </w:p>
          <w:p w14:paraId="328377A9" w14:textId="576014CD" w:rsidR="00864930" w:rsidRPr="009F000C" w:rsidRDefault="00864930" w:rsidP="00CB4542">
            <w:pPr>
              <w:pStyle w:val="TableText0"/>
              <w:keepNext w:val="0"/>
              <w:keepLines/>
              <w:rPr>
                <w:bCs w:val="0"/>
              </w:rPr>
            </w:pPr>
            <w:r w:rsidRPr="095D7C59">
              <w:rPr>
                <w:rFonts w:cs="Arial Narrow"/>
                <w:i/>
                <w:iCs/>
                <w:szCs w:val="20"/>
              </w:rPr>
              <w:t>Patient must be receiving trametinib and dabrafenib concomitantly for this condition</w:t>
            </w:r>
          </w:p>
        </w:tc>
      </w:tr>
      <w:tr w:rsidR="00864930" w:rsidRPr="009F000C" w14:paraId="44A2E8E9"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47CD924" w14:textId="41DEBEDE" w:rsidR="00864930" w:rsidRPr="00864930" w:rsidRDefault="00864930" w:rsidP="00864930">
            <w:pPr>
              <w:pStyle w:val="TableText0"/>
              <w:keepNext w:val="0"/>
              <w:keepLines/>
              <w:rPr>
                <w:b/>
                <w:i/>
                <w:iCs/>
              </w:rPr>
            </w:pPr>
            <w:r w:rsidRPr="00864930">
              <w:rPr>
                <w:b/>
                <w:i/>
                <w:iCs/>
                <w:color w:val="333333"/>
                <w:szCs w:val="20"/>
              </w:rPr>
              <w:t>Treatment</w:t>
            </w:r>
            <w:r w:rsidRPr="00864930">
              <w:rPr>
                <w:rFonts w:cs="Arial Narrow"/>
                <w:b/>
                <w:i/>
                <w:iCs/>
                <w:szCs w:val="20"/>
              </w:rPr>
              <w:t xml:space="preserve"> criteria:</w:t>
            </w:r>
          </w:p>
        </w:tc>
      </w:tr>
      <w:tr w:rsidR="00864930" w:rsidRPr="009F000C" w14:paraId="047F118A"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tcPr>
          <w:p w14:paraId="0A65F545" w14:textId="5B77E8CB" w:rsidR="00864930" w:rsidRPr="00864930" w:rsidRDefault="00864930" w:rsidP="00864930">
            <w:pPr>
              <w:pStyle w:val="TableText0"/>
              <w:keepNext w:val="0"/>
              <w:keepLines/>
              <w:rPr>
                <w:b/>
                <w:i/>
                <w:iCs/>
              </w:rPr>
            </w:pPr>
            <w:r w:rsidRPr="00864930">
              <w:rPr>
                <w:rFonts w:cs="Open Sans"/>
                <w:i/>
                <w:iCs/>
                <w:color w:val="333333"/>
                <w:szCs w:val="20"/>
              </w:rPr>
              <w:t xml:space="preserve">Patient must be undergoing initial treatment with this drug; or </w:t>
            </w:r>
          </w:p>
        </w:tc>
      </w:tr>
      <w:tr w:rsidR="00864930" w:rsidRPr="009F000C" w14:paraId="3D171D89"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tcPr>
          <w:p w14:paraId="72D05343" w14:textId="29A4ED4F" w:rsidR="00864930" w:rsidRPr="00864930" w:rsidRDefault="00864930" w:rsidP="00864930">
            <w:pPr>
              <w:pStyle w:val="TableText0"/>
              <w:keepNext w:val="0"/>
              <w:keepLines/>
              <w:rPr>
                <w:b/>
                <w:i/>
                <w:iCs/>
              </w:rPr>
            </w:pPr>
            <w:r w:rsidRPr="00864930">
              <w:rPr>
                <w:rFonts w:cs="Open Sans"/>
                <w:i/>
                <w:iCs/>
                <w:color w:val="333333"/>
                <w:szCs w:val="20"/>
              </w:rPr>
              <w:t>Patient must be undergoing continuing treatment with this drug, with an absence of further disease progression while being treated with this drug; or</w:t>
            </w:r>
          </w:p>
        </w:tc>
      </w:tr>
      <w:tr w:rsidR="00864930" w:rsidRPr="009F000C" w14:paraId="0F4F252E"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6E2A135" w14:textId="606AB1B3" w:rsidR="00864930" w:rsidRPr="00864930" w:rsidRDefault="00864930" w:rsidP="00864930">
            <w:pPr>
              <w:pStyle w:val="TableText0"/>
              <w:keepNext w:val="0"/>
              <w:keepLines/>
              <w:rPr>
                <w:b/>
                <w:i/>
                <w:iCs/>
              </w:rPr>
            </w:pPr>
            <w:r w:rsidRPr="00864930">
              <w:rPr>
                <w:i/>
                <w:iCs/>
                <w:color w:val="333333"/>
                <w:szCs w:val="20"/>
              </w:rPr>
              <w:t xml:space="preserve">Patient must be </w:t>
            </w:r>
            <w:r w:rsidRPr="00864930">
              <w:rPr>
                <w:rFonts w:cs="Open Sans"/>
                <w:i/>
                <w:iCs/>
                <w:color w:val="333333"/>
                <w:szCs w:val="20"/>
              </w:rPr>
              <w:t>undergoing</w:t>
            </w:r>
            <w:r w:rsidRPr="00864930">
              <w:rPr>
                <w:i/>
                <w:iCs/>
                <w:color w:val="333333"/>
                <w:szCs w:val="20"/>
              </w:rPr>
              <w:t xml:space="preserve"> non-PBS subsidised treatment with this drug for this PBS indication, </w:t>
            </w:r>
            <w:r w:rsidRPr="00864930">
              <w:rPr>
                <w:rFonts w:cs="Open Sans"/>
                <w:i/>
                <w:iCs/>
                <w:color w:val="333333"/>
                <w:szCs w:val="20"/>
              </w:rPr>
              <w:t xml:space="preserve">with an absence of further disease progression </w:t>
            </w:r>
            <w:r w:rsidRPr="00864930">
              <w:rPr>
                <w:i/>
                <w:iCs/>
                <w:color w:val="333333"/>
                <w:szCs w:val="20"/>
              </w:rPr>
              <w:t>since commencing non-PBS subsidised supply.</w:t>
            </w:r>
          </w:p>
        </w:tc>
      </w:tr>
      <w:tr w:rsidR="00AA2021" w:rsidRPr="009F000C" w14:paraId="51A74697"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69D3BF0" w14:textId="77777777" w:rsidR="00AA2021" w:rsidRPr="00AB6723" w:rsidRDefault="00AA2021" w:rsidP="00AA2021">
            <w:pPr>
              <w:rPr>
                <w:rFonts w:ascii="Arial Narrow" w:hAnsi="Arial Narrow"/>
                <w:sz w:val="20"/>
                <w:szCs w:val="20"/>
              </w:rPr>
            </w:pPr>
            <w:r w:rsidRPr="00AB6723">
              <w:rPr>
                <w:rFonts w:ascii="Arial Narrow" w:hAnsi="Arial Narrow"/>
                <w:b/>
                <w:bCs/>
                <w:sz w:val="20"/>
                <w:szCs w:val="20"/>
              </w:rPr>
              <w:lastRenderedPageBreak/>
              <w:t>Administrative Advice:</w:t>
            </w:r>
          </w:p>
          <w:p w14:paraId="787F95EB" w14:textId="79111DEF" w:rsidR="00AA2021" w:rsidRPr="00864930" w:rsidRDefault="00AA2021" w:rsidP="00AA2021">
            <w:pPr>
              <w:pStyle w:val="TableText0"/>
              <w:keepNext w:val="0"/>
              <w:keepLines/>
              <w:rPr>
                <w:i/>
                <w:iCs/>
                <w:color w:val="333333"/>
                <w:szCs w:val="20"/>
              </w:rPr>
            </w:pPr>
            <w:r w:rsidRPr="00AB6723">
              <w:rPr>
                <w:szCs w:val="20"/>
              </w:rPr>
              <w:t>No increase in the maximum quantity or number of units may be authorised.</w:t>
            </w:r>
          </w:p>
        </w:tc>
      </w:tr>
      <w:tr w:rsidR="00AA2021" w:rsidRPr="009F000C" w14:paraId="292223A8" w14:textId="77777777" w:rsidTr="507C910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DBE9E8D" w14:textId="77777777" w:rsidR="00AA2021" w:rsidRPr="00AB6723" w:rsidRDefault="00AA2021" w:rsidP="00AA2021">
            <w:pPr>
              <w:rPr>
                <w:rFonts w:ascii="Arial Narrow" w:hAnsi="Arial Narrow"/>
                <w:b/>
                <w:bCs/>
                <w:sz w:val="20"/>
                <w:szCs w:val="20"/>
              </w:rPr>
            </w:pPr>
            <w:r w:rsidRPr="00AB6723">
              <w:rPr>
                <w:rFonts w:ascii="Arial Narrow" w:hAnsi="Arial Narrow"/>
                <w:b/>
                <w:bCs/>
                <w:sz w:val="20"/>
                <w:szCs w:val="20"/>
              </w:rPr>
              <w:t>Administrative Advice:</w:t>
            </w:r>
          </w:p>
          <w:p w14:paraId="0D2A4192" w14:textId="34D55BBE" w:rsidR="00AA2021" w:rsidRPr="00AB6723" w:rsidRDefault="00AA2021" w:rsidP="00AA2021">
            <w:pPr>
              <w:rPr>
                <w:rFonts w:ascii="Arial Narrow" w:hAnsi="Arial Narrow"/>
                <w:b/>
                <w:bCs/>
                <w:sz w:val="20"/>
                <w:szCs w:val="20"/>
              </w:rPr>
            </w:pPr>
            <w:r w:rsidRPr="00AB6723">
              <w:rPr>
                <w:rFonts w:ascii="Arial Narrow" w:hAnsi="Arial Narrow"/>
                <w:sz w:val="20"/>
                <w:szCs w:val="20"/>
              </w:rPr>
              <w:t>No increase in the maximum number of repeats may be authorised.</w:t>
            </w:r>
          </w:p>
        </w:tc>
      </w:tr>
    </w:tbl>
    <w:bookmarkEnd w:id="14"/>
    <w:p w14:paraId="68A57751" w14:textId="212BFDD8" w:rsidR="00C93114" w:rsidRPr="00C93114" w:rsidRDefault="00773E47" w:rsidP="00C93114">
      <w:pPr>
        <w:pStyle w:val="FooterTableFigure"/>
      </w:pPr>
      <w:r w:rsidRPr="00773E47">
        <w:rPr>
          <w:vertAlign w:val="superscript"/>
        </w:rPr>
        <w:t>a</w:t>
      </w:r>
      <w:r w:rsidR="00C93114">
        <w:t xml:space="preserve"> </w:t>
      </w:r>
      <w:r w:rsidR="00974FF8" w:rsidRPr="00974FF8">
        <w:t>Dispensed price for maximum quantity</w:t>
      </w:r>
      <w:r w:rsidR="00974FF8">
        <w:t xml:space="preserve"> (DPMQ)</w:t>
      </w:r>
      <w:r w:rsidR="00974FF8" w:rsidRPr="00974FF8">
        <w:t xml:space="preserve"> based on indicative </w:t>
      </w:r>
      <w:r w:rsidR="00974FF8">
        <w:t>approved ex-manufacturer price (</w:t>
      </w:r>
      <w:r w:rsidR="00974FF8" w:rsidRPr="00974FF8">
        <w:t>AEMPs</w:t>
      </w:r>
      <w:r w:rsidR="00974FF8">
        <w:t>)</w:t>
      </w:r>
      <w:r w:rsidR="00974FF8" w:rsidRPr="00974FF8">
        <w:t xml:space="preserve"> presented in </w:t>
      </w:r>
      <w:r w:rsidR="00974FF8">
        <w:t>the cost-minimisation approach</w:t>
      </w:r>
      <w:r w:rsidR="00974FF8" w:rsidRPr="00974FF8">
        <w:t>. A special pricing arrangement (SPA) exists for the comparator pembrolizumab and thus the D+T DPMQ is unknown and could not be determined at this stage.</w:t>
      </w:r>
      <w:r w:rsidR="00FC0C2E">
        <w:t xml:space="preserve"> C</w:t>
      </w:r>
      <w:r w:rsidR="00FC0C2E" w:rsidRPr="00C93114">
        <w:t xml:space="preserve">orrected during evaluation to account for correct proportion of patients with non-squamous and squamous NSCLC in cells ‘G63 and H63’ of ‘Results’ worksheet in the </w:t>
      </w:r>
      <w:proofErr w:type="spellStart"/>
      <w:r w:rsidR="00FC0C2E" w:rsidRPr="00C93114">
        <w:t>Mekinist</w:t>
      </w:r>
      <w:proofErr w:type="spellEnd"/>
      <w:r w:rsidR="00FC0C2E" w:rsidRPr="00C93114">
        <w:t xml:space="preserve"> (trametinib) </w:t>
      </w:r>
      <w:proofErr w:type="spellStart"/>
      <w:r w:rsidR="00FC0C2E" w:rsidRPr="00C93114">
        <w:t>Tafinlar</w:t>
      </w:r>
      <w:proofErr w:type="spellEnd"/>
      <w:r w:rsidR="00FC0C2E" w:rsidRPr="00C93114">
        <w:t xml:space="preserve"> (dabrafenib) – CMA’.xlsx workbook as reported by Mitchell et al. (2013).</w:t>
      </w:r>
      <w:r w:rsidR="00C93114">
        <w:t xml:space="preserve">DMPQ for </w:t>
      </w:r>
      <w:r>
        <w:t>D</w:t>
      </w:r>
      <w:r w:rsidR="00C93114">
        <w:t xml:space="preserve">abrafenib 50 mg </w:t>
      </w:r>
      <w:r>
        <w:t xml:space="preserve">(240 capsules of 50 mg for two packs) </w:t>
      </w:r>
      <w:r w:rsidR="00C93114">
        <w:t>was calculated using the proposed price per mg based on</w:t>
      </w:r>
      <w:r w:rsidR="00966A94">
        <w:t xml:space="preserve"> DPMQ of</w:t>
      </w:r>
      <w:r w:rsidR="00C93114">
        <w:t xml:space="preserve"> </w:t>
      </w:r>
      <w:r>
        <w:t>D</w:t>
      </w:r>
      <w:r w:rsidR="00C93114">
        <w:t xml:space="preserve">abrafenib </w:t>
      </w:r>
      <w:r>
        <w:t>75</w:t>
      </w:r>
      <w:r w:rsidR="00C93114">
        <w:t xml:space="preserve"> mg</w:t>
      </w:r>
      <w:r>
        <w:t xml:space="preserve"> (120 capsules of 75 mg per pack), i.e., $</w:t>
      </w:r>
      <w:r w:rsidR="00966A94">
        <w:t>0.37</w:t>
      </w:r>
    </w:p>
    <w:p w14:paraId="10E68D37" w14:textId="600F10CD" w:rsidR="0028428C" w:rsidRPr="009F000C" w:rsidRDefault="00D77C6C" w:rsidP="00DA3CF2">
      <w:pPr>
        <w:pStyle w:val="ExecSumBodyText"/>
        <w:numPr>
          <w:ilvl w:val="1"/>
          <w:numId w:val="2"/>
        </w:numPr>
      </w:pPr>
      <w:r>
        <w:t xml:space="preserve">The submission </w:t>
      </w:r>
      <w:r w:rsidR="00B228E4">
        <w:t xml:space="preserve">requested </w:t>
      </w:r>
      <w:r>
        <w:t>a special pricing arrangement for D+T.</w:t>
      </w:r>
      <w:r w:rsidR="0052088E">
        <w:t xml:space="preserve"> </w:t>
      </w:r>
      <w:r w:rsidR="00F53A4E">
        <w:t xml:space="preserve">The submission proposed that the effective price of D+T will be based on the effective price of </w:t>
      </w:r>
      <w:proofErr w:type="spellStart"/>
      <w:r w:rsidR="00F53A4E">
        <w:t>pembrolizumab</w:t>
      </w:r>
      <w:r w:rsidR="00367BEA">
        <w:t>+PBC</w:t>
      </w:r>
      <w:proofErr w:type="spellEnd"/>
      <w:r w:rsidR="00F53A4E">
        <w:t>, on a cost-minimisation basis.</w:t>
      </w:r>
    </w:p>
    <w:p w14:paraId="43F0046A" w14:textId="66AA49BA" w:rsidR="00190944" w:rsidRPr="005734A5" w:rsidRDefault="00190944" w:rsidP="03CF4CC7">
      <w:pPr>
        <w:pStyle w:val="ExecSumBodyText"/>
        <w:numPr>
          <w:ilvl w:val="1"/>
          <w:numId w:val="2"/>
        </w:numPr>
      </w:pPr>
      <w:r w:rsidRPr="005734A5">
        <w:t xml:space="preserve">The proposed wording of the requested restriction was consistent with the inclusion criteria of the key clinical </w:t>
      </w:r>
      <w:r w:rsidR="00A420A6" w:rsidRPr="005734A5">
        <w:t>evidence</w:t>
      </w:r>
      <w:r w:rsidRPr="005734A5">
        <w:t xml:space="preserve"> (E2201 study) for D+T.</w:t>
      </w:r>
      <w:r w:rsidR="00517AAC" w:rsidRPr="005734A5">
        <w:t xml:space="preserve"> </w:t>
      </w:r>
      <w:r w:rsidR="28952413" w:rsidRPr="005734A5">
        <w:t>However</w:t>
      </w:r>
      <w:r w:rsidR="00894DDA" w:rsidRPr="005734A5">
        <w:t>, the TGA PI for D+T does not specify the</w:t>
      </w:r>
      <w:r w:rsidR="00830580" w:rsidRPr="005734A5">
        <w:t xml:space="preserve"> </w:t>
      </w:r>
      <w:r w:rsidR="002D4F9C" w:rsidRPr="005734A5">
        <w:t>variant</w:t>
      </w:r>
      <w:r w:rsidR="00830580" w:rsidRPr="005734A5">
        <w:t xml:space="preserve"> for</w:t>
      </w:r>
      <w:r w:rsidR="00894DDA" w:rsidRPr="005734A5">
        <w:t xml:space="preserve"> BRAF</w:t>
      </w:r>
      <w:r w:rsidR="002825D5" w:rsidRPr="005734A5">
        <w:t xml:space="preserve"> V600</w:t>
      </w:r>
      <w:r w:rsidR="00894DDA" w:rsidRPr="005734A5">
        <w:t xml:space="preserve"> mutation, whereas </w:t>
      </w:r>
      <w:r w:rsidR="00117AC9" w:rsidRPr="005734A5">
        <w:t xml:space="preserve">both </w:t>
      </w:r>
      <w:r w:rsidR="00894DDA" w:rsidRPr="005734A5">
        <w:t xml:space="preserve">the requested restriction and the key clinical study </w:t>
      </w:r>
      <w:r w:rsidR="001733A0" w:rsidRPr="005734A5">
        <w:t>specif</w:t>
      </w:r>
      <w:r w:rsidR="00E50AAD" w:rsidRPr="005734A5">
        <w:t>ically require</w:t>
      </w:r>
      <w:r w:rsidR="001733A0" w:rsidRPr="005734A5">
        <w:t xml:space="preserve"> </w:t>
      </w:r>
      <w:r w:rsidR="00894DDA" w:rsidRPr="005734A5">
        <w:t xml:space="preserve">the </w:t>
      </w:r>
      <w:r w:rsidR="1D91EDC0" w:rsidRPr="005734A5">
        <w:t xml:space="preserve">presence for </w:t>
      </w:r>
      <w:r w:rsidR="000237C4" w:rsidRPr="005734A5">
        <w:t>BRAF</w:t>
      </w:r>
      <w:r w:rsidR="00894DDA" w:rsidRPr="005734A5">
        <w:t xml:space="preserve"> V600E </w:t>
      </w:r>
      <w:r w:rsidR="00723F4D" w:rsidRPr="005734A5">
        <w:t>variant</w:t>
      </w:r>
      <w:r w:rsidR="00984D90" w:rsidRPr="005734A5">
        <w:t xml:space="preserve"> for treatment with D+T</w:t>
      </w:r>
      <w:r w:rsidR="229E529A" w:rsidRPr="005734A5">
        <w:t xml:space="preserve"> eligibility</w:t>
      </w:r>
      <w:r w:rsidR="002A44B3" w:rsidRPr="005734A5">
        <w:t>.</w:t>
      </w:r>
      <w:r w:rsidR="00B206B9">
        <w:t xml:space="preserve"> </w:t>
      </w:r>
      <w:r w:rsidR="00B206B9" w:rsidRPr="0017437D">
        <w:t xml:space="preserve">The ESC considered it would be reasonable </w:t>
      </w:r>
      <w:r w:rsidR="00AF7409" w:rsidRPr="0017437D">
        <w:t xml:space="preserve">for the </w:t>
      </w:r>
      <w:r w:rsidR="004E6C6C" w:rsidRPr="0017437D">
        <w:t xml:space="preserve">minority </w:t>
      </w:r>
      <w:r w:rsidR="00AF7409" w:rsidRPr="0017437D">
        <w:t xml:space="preserve">of patients with other </w:t>
      </w:r>
      <w:r w:rsidR="00940666" w:rsidRPr="0017437D">
        <w:t xml:space="preserve">BRAF </w:t>
      </w:r>
      <w:r w:rsidR="00AF7409" w:rsidRPr="0017437D">
        <w:t>V600 variants to access D+T</w:t>
      </w:r>
      <w:r w:rsidR="00AF7409" w:rsidRPr="00AF7409">
        <w:rPr>
          <w:i/>
          <w:iCs/>
        </w:rPr>
        <w:t>.</w:t>
      </w:r>
      <w:r w:rsidR="00AF7409">
        <w:t xml:space="preserve">  </w:t>
      </w:r>
    </w:p>
    <w:p w14:paraId="067C80C8" w14:textId="004A5757" w:rsidR="00F10830" w:rsidRPr="009F000C" w:rsidRDefault="001537B4" w:rsidP="006300BF">
      <w:pPr>
        <w:pStyle w:val="ExecSumBodyText"/>
        <w:numPr>
          <w:ilvl w:val="1"/>
          <w:numId w:val="2"/>
        </w:numPr>
      </w:pPr>
      <w:bookmarkStart w:id="15" w:name="_Ref186801508"/>
      <w:r>
        <w:t>The requested restriction for D+T is agnostic</w:t>
      </w:r>
      <w:r w:rsidR="00AC30CF">
        <w:t xml:space="preserve"> to line of treatment</w:t>
      </w:r>
      <w:r>
        <w:t xml:space="preserve">. </w:t>
      </w:r>
      <w:r w:rsidRPr="002A44B3">
        <w:t xml:space="preserve">This </w:t>
      </w:r>
      <w:r w:rsidR="00C30DB1" w:rsidRPr="002A44B3">
        <w:t>aligns</w:t>
      </w:r>
      <w:r w:rsidRPr="03CF4CC7">
        <w:rPr>
          <w:i/>
          <w:iCs/>
        </w:rPr>
        <w:t xml:space="preserve"> </w:t>
      </w:r>
      <w:r>
        <w:t>with the key clinical</w:t>
      </w:r>
      <w:r w:rsidR="00BA1007">
        <w:t xml:space="preserve"> evidence </w:t>
      </w:r>
      <w:r w:rsidR="00564732">
        <w:t xml:space="preserve">from the </w:t>
      </w:r>
      <w:r w:rsidR="00E831B7">
        <w:t>E2201 study</w:t>
      </w:r>
      <w:r w:rsidR="00C30DB1">
        <w:t>,</w:t>
      </w:r>
      <w:r w:rsidR="00E831B7">
        <w:t xml:space="preserve"> </w:t>
      </w:r>
      <w:r>
        <w:t xml:space="preserve">which included </w:t>
      </w:r>
      <w:r w:rsidR="00C30DB1">
        <w:t>patients who were either</w:t>
      </w:r>
      <w:r w:rsidR="006300BF">
        <w:t xml:space="preserve"> </w:t>
      </w:r>
      <w:r>
        <w:t xml:space="preserve">untreated </w:t>
      </w:r>
      <w:r w:rsidR="00291308">
        <w:t>patien</w:t>
      </w:r>
      <w:r w:rsidR="00B63DEC">
        <w:t xml:space="preserve">ts </w:t>
      </w:r>
      <w:r>
        <w:t>(first-line)</w:t>
      </w:r>
      <w:r w:rsidR="00EF5EC5">
        <w:t xml:space="preserve"> </w:t>
      </w:r>
      <w:r w:rsidR="00B63DEC">
        <w:t>and those who</w:t>
      </w:r>
      <w:r>
        <w:t xml:space="preserve"> </w:t>
      </w:r>
      <w:r w:rsidR="00FD0EE0">
        <w:t>had received</w:t>
      </w:r>
      <w:r w:rsidR="00B63DEC">
        <w:t xml:space="preserve"> up to</w:t>
      </w:r>
      <w:r w:rsidR="00FD0EE0">
        <w:t xml:space="preserve"> </w:t>
      </w:r>
      <w:r>
        <w:t>three</w:t>
      </w:r>
      <w:r w:rsidR="00B63DEC">
        <w:t xml:space="preserve"> line</w:t>
      </w:r>
      <w:r w:rsidR="005B0ED7">
        <w:t>s</w:t>
      </w:r>
      <w:r w:rsidR="00B63DEC">
        <w:t xml:space="preserve"> </w:t>
      </w:r>
      <w:r w:rsidR="00666409">
        <w:t xml:space="preserve">of </w:t>
      </w:r>
      <w:r w:rsidR="005B0ED7">
        <w:t xml:space="preserve">prior </w:t>
      </w:r>
      <w:r w:rsidR="00EC6A4F">
        <w:t xml:space="preserve">systemic </w:t>
      </w:r>
      <w:r w:rsidR="00666409">
        <w:t xml:space="preserve">therapy </w:t>
      </w:r>
      <w:r>
        <w:t xml:space="preserve">(second-line and beyond). </w:t>
      </w:r>
      <w:bookmarkEnd w:id="15"/>
    </w:p>
    <w:p w14:paraId="3F9A5B37" w14:textId="1BDDAD8D" w:rsidR="0076337D" w:rsidRPr="00FF0A57" w:rsidRDefault="00724ACB" w:rsidP="005337EE">
      <w:pPr>
        <w:pStyle w:val="3-BodyText"/>
        <w:rPr>
          <w:i/>
          <w:iCs/>
        </w:rPr>
      </w:pPr>
      <w:r>
        <w:t>Currently, the PBS restriction for pembrolizumab require</w:t>
      </w:r>
      <w:r w:rsidR="00117D03">
        <w:t>s</w:t>
      </w:r>
      <w:r>
        <w:t xml:space="preserve"> that patients must not have been previously treated for their NSCLC in the metastatic setting, or that they have progressed after treatment </w:t>
      </w:r>
      <w:r w:rsidR="0071534A">
        <w:t xml:space="preserve">with either </w:t>
      </w:r>
      <w:proofErr w:type="spellStart"/>
      <w:r w:rsidR="0071534A">
        <w:t>tepotinib</w:t>
      </w:r>
      <w:proofErr w:type="spellEnd"/>
      <w:r w:rsidR="0071534A">
        <w:t xml:space="preserve"> </w:t>
      </w:r>
      <w:r w:rsidR="0071534A" w:rsidRPr="00506AD5">
        <w:t>or</w:t>
      </w:r>
      <w:r w:rsidR="002A44B3" w:rsidRPr="00506AD5">
        <w:t xml:space="preserve"> </w:t>
      </w:r>
      <w:proofErr w:type="spellStart"/>
      <w:r w:rsidR="0071534A" w:rsidRPr="00506AD5">
        <w:t>selpercatinib</w:t>
      </w:r>
      <w:proofErr w:type="spellEnd"/>
      <w:r w:rsidR="0071534A" w:rsidRPr="03CF4CC7">
        <w:rPr>
          <w:i/>
          <w:iCs/>
        </w:rPr>
        <w:t>.</w:t>
      </w:r>
      <w:r w:rsidR="0071534A">
        <w:t xml:space="preserve"> </w:t>
      </w:r>
      <w:r>
        <w:t>The submission proposed flow on changes to the listing of pembrolizumab to also permit its use in patients who have progressed after initial treatment with D+T.</w:t>
      </w:r>
      <w:r w:rsidR="00CD36A7">
        <w:t xml:space="preserve"> </w:t>
      </w:r>
      <w:r w:rsidR="006B5B12" w:rsidRPr="00D03A7D">
        <w:t>The ESC considered this was reasonable</w:t>
      </w:r>
      <w:r w:rsidR="004B00D6" w:rsidRPr="00D03A7D">
        <w:t>.</w:t>
      </w:r>
    </w:p>
    <w:p w14:paraId="401F1049" w14:textId="3DD05961" w:rsidR="00FF0A57" w:rsidRPr="00FF0A57" w:rsidRDefault="00FF0A57" w:rsidP="005337EE">
      <w:pPr>
        <w:pStyle w:val="3-BodyText"/>
      </w:pPr>
      <w:r w:rsidRPr="00FF0A57">
        <w:t xml:space="preserve">The Secretariat </w:t>
      </w:r>
      <w:r>
        <w:t xml:space="preserve">advised </w:t>
      </w:r>
      <w:r w:rsidR="00513599">
        <w:t xml:space="preserve">a maximum quantity of 120 </w:t>
      </w:r>
      <w:r w:rsidR="004B0C60">
        <w:t xml:space="preserve">tablets </w:t>
      </w:r>
      <w:r w:rsidR="00513599">
        <w:t xml:space="preserve">for dabrafenib 100 mg and 90 </w:t>
      </w:r>
      <w:r w:rsidR="004B0C60">
        <w:t xml:space="preserve">tablets </w:t>
      </w:r>
      <w:r w:rsidR="00513599">
        <w:t>for trametinib 500 mcg would be more appropriate as these strengths would be used for dose titration</w:t>
      </w:r>
      <w:r w:rsidR="00B10BCE">
        <w:t xml:space="preserve"> and consistent with other listings</w:t>
      </w:r>
      <w:r w:rsidR="00513599">
        <w:t xml:space="preserve">. </w:t>
      </w:r>
    </w:p>
    <w:p w14:paraId="10EB2EF1" w14:textId="2E782925" w:rsidR="00780908" w:rsidRDefault="00780908" w:rsidP="000B6113">
      <w:pPr>
        <w:pStyle w:val="ExecSumBodyText"/>
        <w:numPr>
          <w:ilvl w:val="1"/>
          <w:numId w:val="2"/>
        </w:numPr>
      </w:pPr>
      <w:r>
        <w:t>The submission included a grandfather restriction to facilitate the transition from non-PBS to PBS-subsidised supply. The submission stated that only one patient is currently enrolled in a compassionate access scheme</w:t>
      </w:r>
      <w:r w:rsidR="006333EC">
        <w:t>.</w:t>
      </w:r>
      <w:r>
        <w:t xml:space="preserve"> </w:t>
      </w:r>
    </w:p>
    <w:p w14:paraId="7EFC414D" w14:textId="48B4C4D9" w:rsidR="00D45ADD" w:rsidRPr="00D45ADD" w:rsidRDefault="00D45ADD" w:rsidP="00D45ADD">
      <w:pPr>
        <w:pStyle w:val="ExecSumBodyText"/>
        <w:ind w:left="0" w:firstLine="720"/>
        <w:rPr>
          <w:i/>
          <w:iCs/>
        </w:rPr>
      </w:pPr>
      <w:r w:rsidRPr="00D45ADD">
        <w:rPr>
          <w:i/>
          <w:iCs/>
        </w:rPr>
        <w:t>For more detail on PBAC’s view, see section 7 PBAC outcome.</w:t>
      </w:r>
    </w:p>
    <w:p w14:paraId="7075B85C" w14:textId="62A47B7B" w:rsidR="00B50DB8" w:rsidRPr="009F000C" w:rsidDel="00195452" w:rsidRDefault="00203181" w:rsidP="004E18E9">
      <w:pPr>
        <w:pStyle w:val="2-SectionHeading"/>
      </w:pPr>
      <w:bookmarkStart w:id="16" w:name="_Toc186369234"/>
      <w:bookmarkStart w:id="17" w:name="_Toc188347767"/>
      <w:r w:rsidRPr="009F000C" w:rsidDel="00195452">
        <w:lastRenderedPageBreak/>
        <w:t xml:space="preserve">Population and </w:t>
      </w:r>
      <w:r w:rsidR="008E0D3C" w:rsidRPr="009F000C" w:rsidDel="00195452">
        <w:t>d</w:t>
      </w:r>
      <w:r w:rsidRPr="009F000C" w:rsidDel="00195452">
        <w:t>isease</w:t>
      </w:r>
      <w:bookmarkEnd w:id="16"/>
      <w:bookmarkEnd w:id="17"/>
    </w:p>
    <w:p w14:paraId="5CB6B542" w14:textId="3FBF06C5" w:rsidR="002A44B3" w:rsidRPr="002A44B3" w:rsidRDefault="00745F7D">
      <w:pPr>
        <w:pStyle w:val="3-BodyText"/>
        <w:spacing w:line="259" w:lineRule="auto"/>
        <w:rPr>
          <w:i/>
          <w:iCs/>
        </w:rPr>
      </w:pPr>
      <w:r w:rsidRPr="009F000C">
        <w:t xml:space="preserve">Lung cancer is the fifth most diagnosed cancer </w:t>
      </w:r>
      <w:r w:rsidR="00CA1C31">
        <w:t xml:space="preserve">and </w:t>
      </w:r>
      <w:r w:rsidR="00CA1C31" w:rsidRPr="009F000C">
        <w:t xml:space="preserve">the leading cause of cancer death </w:t>
      </w:r>
      <w:r w:rsidRPr="009F000C">
        <w:t>in Australia.</w:t>
      </w:r>
      <w:r w:rsidR="000F0B46" w:rsidRPr="009F000C">
        <w:rPr>
          <w:rStyle w:val="FootnoteReference"/>
        </w:rPr>
        <w:footnoteReference w:id="2"/>
      </w:r>
      <w:r w:rsidRPr="009F000C">
        <w:t xml:space="preserve"> </w:t>
      </w:r>
      <w:r w:rsidR="61DA7F1B" w:rsidRPr="009F000C">
        <w:t>T</w:t>
      </w:r>
      <w:r w:rsidR="6AEECA7E">
        <w:t xml:space="preserve">he median age at diagnosis </w:t>
      </w:r>
      <w:r w:rsidR="448AB54E">
        <w:t xml:space="preserve">of Australian patients </w:t>
      </w:r>
      <w:r w:rsidR="6AEECA7E">
        <w:t>is approximately 72</w:t>
      </w:r>
      <w:r w:rsidR="008B1D83">
        <w:t> </w:t>
      </w:r>
      <w:r w:rsidR="6AEECA7E">
        <w:t xml:space="preserve">years, with historically higher rates in males but rising cases in females. </w:t>
      </w:r>
      <w:r w:rsidRPr="009F000C">
        <w:t>NSCLC accounts for 85-90% of lung cancer cases</w:t>
      </w:r>
      <w:r w:rsidRPr="009F000C">
        <w:rPr>
          <w:rStyle w:val="FootnoteReference"/>
        </w:rPr>
        <w:footnoteReference w:id="3"/>
      </w:r>
      <w:r w:rsidRPr="009F000C">
        <w:t xml:space="preserve">, </w:t>
      </w:r>
      <w:r w:rsidR="00A620D9">
        <w:t xml:space="preserve">and </w:t>
      </w:r>
      <w:r w:rsidR="002A44B3">
        <w:t>are</w:t>
      </w:r>
      <w:r w:rsidR="00A620D9">
        <w:t xml:space="preserve"> broadly categorised into two histologic subtypes: </w:t>
      </w:r>
      <w:r w:rsidR="00A14498">
        <w:t>non-squamous</w:t>
      </w:r>
      <w:r w:rsidR="00E8343C">
        <w:t xml:space="preserve"> (NSQ</w:t>
      </w:r>
      <w:r w:rsidR="00A620D9">
        <w:t>; 75-85%</w:t>
      </w:r>
      <w:r w:rsidR="00E8343C">
        <w:t>)</w:t>
      </w:r>
      <w:r w:rsidR="00A14498">
        <w:t>, squamous</w:t>
      </w:r>
      <w:r w:rsidR="00E8343C">
        <w:t xml:space="preserve"> (SQ</w:t>
      </w:r>
      <w:r w:rsidR="00A620D9">
        <w:t xml:space="preserve">: </w:t>
      </w:r>
      <w:r w:rsidR="00FC3306">
        <w:t>15-25%</w:t>
      </w:r>
      <w:r w:rsidR="00E8343C">
        <w:t>)</w:t>
      </w:r>
      <w:r w:rsidR="00FC3306">
        <w:t>.</w:t>
      </w:r>
      <w:r w:rsidRPr="009F000C">
        <w:t xml:space="preserve"> </w:t>
      </w:r>
      <w:r w:rsidR="002B64B5">
        <w:t>A</w:t>
      </w:r>
      <w:r w:rsidRPr="009F000C">
        <w:t>pproximately 30-40% of NSCLC patients present with Stage IV disease at the time of diagnosis</w:t>
      </w:r>
      <w:r w:rsidRPr="009F000C">
        <w:rPr>
          <w:rStyle w:val="FootnoteReference"/>
        </w:rPr>
        <w:footnoteReference w:id="4"/>
      </w:r>
      <w:r w:rsidRPr="009F000C">
        <w:t xml:space="preserve">. </w:t>
      </w:r>
      <w:r w:rsidR="000F0B46">
        <w:t>The prognosis of lung cancer is poor with a</w:t>
      </w:r>
      <w:r w:rsidR="00547470">
        <w:t xml:space="preserve"> five-year relative survival </w:t>
      </w:r>
      <w:r w:rsidR="000F0B46">
        <w:t>rate of</w:t>
      </w:r>
      <w:r w:rsidR="00547470">
        <w:t xml:space="preserve"> 24% in 2015-2019,</w:t>
      </w:r>
      <w:r w:rsidR="000F0B46">
        <w:t xml:space="preserve"> with worse</w:t>
      </w:r>
      <w:r w:rsidR="00F402CA">
        <w:t xml:space="preserve"> outcomes</w:t>
      </w:r>
      <w:r w:rsidR="000F0B46">
        <w:t xml:space="preserve"> </w:t>
      </w:r>
      <w:r w:rsidRPr="009F000C">
        <w:t>for patients with Stage IV</w:t>
      </w:r>
      <w:r w:rsidR="00F402CA">
        <w:t xml:space="preserve"> disease</w:t>
      </w:r>
      <w:r w:rsidR="000F0B46">
        <w:t>.</w:t>
      </w:r>
      <w:r w:rsidR="000F0B46">
        <w:rPr>
          <w:rStyle w:val="FootnoteReference"/>
        </w:rPr>
        <w:t>1</w:t>
      </w:r>
    </w:p>
    <w:p w14:paraId="437D9635" w14:textId="7D2D3205" w:rsidR="00D077BE" w:rsidRPr="00FA75FF" w:rsidRDefault="006A3EB0" w:rsidP="009507BA">
      <w:pPr>
        <w:pStyle w:val="3-BodyText"/>
        <w:spacing w:line="259" w:lineRule="auto"/>
        <w:rPr>
          <w:i/>
          <w:iCs/>
        </w:rPr>
      </w:pPr>
      <w:r w:rsidRPr="009F000C">
        <w:t xml:space="preserve">BRAF mutations are genetic alterations identified in a subset of patients with NSCLC, occurring in approximately 3-5% of cases, with the BRAF V600E variant found in </w:t>
      </w:r>
      <w:r w:rsidR="00A2216C" w:rsidRPr="00BB7153">
        <w:t>approximately half</w:t>
      </w:r>
      <w:r w:rsidR="00A2216C">
        <w:t xml:space="preserve"> </w:t>
      </w:r>
      <w:r w:rsidRPr="009F000C">
        <w:t xml:space="preserve">of these </w:t>
      </w:r>
      <w:r w:rsidR="00F90BC2" w:rsidRPr="009F000C">
        <w:t>cases</w:t>
      </w:r>
      <w:r w:rsidRPr="009F000C">
        <w:t>.</w:t>
      </w:r>
      <w:r w:rsidR="00C30ADC" w:rsidRPr="009F000C">
        <w:t xml:space="preserve"> </w:t>
      </w:r>
      <w:r w:rsidR="00D217FD" w:rsidRPr="005734A5">
        <w:t>These mutations are significantly associated with adenocarcinomas, occurring more frequently in women and individuals who have never smoked.</w:t>
      </w:r>
      <w:r w:rsidR="00AC5549" w:rsidRPr="005734A5">
        <w:rPr>
          <w:rStyle w:val="FootnoteReference"/>
        </w:rPr>
        <w:footnoteReference w:id="5"/>
      </w:r>
      <w:r w:rsidR="005C7A07" w:rsidRPr="005734A5">
        <w:rPr>
          <w:vertAlign w:val="superscript"/>
        </w:rPr>
        <w:t>,</w:t>
      </w:r>
      <w:r w:rsidR="005C7A07" w:rsidRPr="005734A5">
        <w:rPr>
          <w:rStyle w:val="FootnoteReference"/>
        </w:rPr>
        <w:footnoteReference w:id="6"/>
      </w:r>
      <w:r w:rsidR="00D077BE" w:rsidRPr="005734A5">
        <w:rPr>
          <w:vertAlign w:val="superscript"/>
        </w:rPr>
        <w:t xml:space="preserve"> </w:t>
      </w:r>
      <w:r w:rsidR="009D48D2" w:rsidRPr="005734A5">
        <w:t xml:space="preserve">The role and impact of BRAF as </w:t>
      </w:r>
      <w:r w:rsidR="7C3A4A64" w:rsidRPr="005734A5">
        <w:t xml:space="preserve">a </w:t>
      </w:r>
      <w:r w:rsidR="009D48D2" w:rsidRPr="005734A5">
        <w:t xml:space="preserve">prognostic marker in NSCLC remains unclear </w:t>
      </w:r>
      <w:r w:rsidR="003411F9" w:rsidRPr="005734A5">
        <w:t xml:space="preserve">(refer to paragraph </w:t>
      </w:r>
      <w:r w:rsidR="009507BA" w:rsidRPr="005734A5">
        <w:fldChar w:fldCharType="begin"/>
      </w:r>
      <w:r w:rsidR="009507BA" w:rsidRPr="005734A5">
        <w:instrText xml:space="preserve"> REF _Ref186457716 \r \h </w:instrText>
      </w:r>
      <w:r w:rsidR="005734A5">
        <w:instrText xml:space="preserve"> \* MERGEFORMAT </w:instrText>
      </w:r>
      <w:r w:rsidR="009507BA" w:rsidRPr="005734A5">
        <w:fldChar w:fldCharType="separate"/>
      </w:r>
      <w:r w:rsidR="00EF4998">
        <w:t>6.13</w:t>
      </w:r>
      <w:r w:rsidR="009507BA" w:rsidRPr="005734A5">
        <w:fldChar w:fldCharType="end"/>
      </w:r>
      <w:r w:rsidR="009507BA" w:rsidRPr="005734A5">
        <w:t xml:space="preserve"> </w:t>
      </w:r>
      <w:r w:rsidR="003411F9" w:rsidRPr="005734A5">
        <w:t>and</w:t>
      </w:r>
      <w:r w:rsidR="009507BA" w:rsidRPr="005734A5">
        <w:t xml:space="preserve"> </w:t>
      </w:r>
      <w:r w:rsidR="009507BA" w:rsidRPr="005734A5">
        <w:fldChar w:fldCharType="begin"/>
      </w:r>
      <w:r w:rsidR="009507BA" w:rsidRPr="005734A5">
        <w:instrText xml:space="preserve"> REF _Ref187661206 \r \h </w:instrText>
      </w:r>
      <w:r w:rsidR="005734A5">
        <w:instrText xml:space="preserve"> \* MERGEFORMAT </w:instrText>
      </w:r>
      <w:r w:rsidR="009507BA" w:rsidRPr="005734A5">
        <w:fldChar w:fldCharType="separate"/>
      </w:r>
      <w:r w:rsidR="00EF4998">
        <w:t>6.14</w:t>
      </w:r>
      <w:r w:rsidR="009507BA" w:rsidRPr="005734A5">
        <w:fldChar w:fldCharType="end"/>
      </w:r>
      <w:r w:rsidR="003411F9" w:rsidRPr="005734A5">
        <w:t xml:space="preserve"> for more details).</w:t>
      </w:r>
      <w:r w:rsidR="00966A94">
        <w:rPr>
          <w:i/>
          <w:iCs/>
        </w:rPr>
        <w:t xml:space="preserve"> </w:t>
      </w:r>
      <w:r w:rsidR="00C329D9" w:rsidRPr="009F000C">
        <w:t>To aid in the diagnosis and classification of NSCLC, two MBS-listed multi-gene panel tests (items 73437 and 73438) currently include BRAF mutation testing.</w:t>
      </w:r>
    </w:p>
    <w:p w14:paraId="231BECE5" w14:textId="4EBD1E15" w:rsidR="002E20C2" w:rsidRDefault="000E0E91" w:rsidP="000B6113">
      <w:pPr>
        <w:pStyle w:val="3-BodyText"/>
        <w:rPr>
          <w:i/>
          <w:iCs/>
        </w:rPr>
      </w:pPr>
      <w:r w:rsidRPr="009F000C">
        <w:t xml:space="preserve">The targeted population </w:t>
      </w:r>
      <w:r w:rsidR="00D51583" w:rsidRPr="009F000C">
        <w:t xml:space="preserve">is </w:t>
      </w:r>
      <w:r w:rsidR="008E4D6D" w:rsidRPr="009F000C">
        <w:t xml:space="preserve">metastatic </w:t>
      </w:r>
      <w:r w:rsidR="00E96064" w:rsidRPr="009F000C">
        <w:t xml:space="preserve">(Stage IV) </w:t>
      </w:r>
      <w:r w:rsidR="008E4D6D" w:rsidRPr="009F000C">
        <w:t>BRAF V600E mutation positive NSCLC</w:t>
      </w:r>
      <w:r w:rsidR="004C7F6D" w:rsidRPr="009F000C">
        <w:t xml:space="preserve"> patients, with an </w:t>
      </w:r>
      <w:r w:rsidR="008E4D6D" w:rsidRPr="009F000C">
        <w:t>Eastern Cooperative Oncology Group (ECOG) performance status (PS) of 0 to 2</w:t>
      </w:r>
      <w:r w:rsidR="00905934" w:rsidRPr="009F000C">
        <w:t xml:space="preserve">. </w:t>
      </w:r>
      <w:r w:rsidR="002143DE" w:rsidRPr="005734A5">
        <w:t>This was consistent with the inclusion criteria of the E2201 study</w:t>
      </w:r>
      <w:r w:rsidR="003616B7">
        <w:t>.</w:t>
      </w:r>
      <w:r w:rsidR="002143DE">
        <w:rPr>
          <w:i/>
          <w:iCs/>
        </w:rPr>
        <w:t xml:space="preserve"> </w:t>
      </w:r>
    </w:p>
    <w:p w14:paraId="02A5BF0B" w14:textId="1D616A2C" w:rsidR="003C0646" w:rsidRPr="00906C89" w:rsidRDefault="0004487E" w:rsidP="00906C89">
      <w:pPr>
        <w:pStyle w:val="3-BodyText"/>
        <w:rPr>
          <w:i/>
          <w:iCs/>
        </w:rPr>
      </w:pPr>
      <w:r>
        <w:t>Although</w:t>
      </w:r>
      <w:r w:rsidR="0067685F" w:rsidRPr="009F000C">
        <w:t xml:space="preserve"> </w:t>
      </w:r>
      <w:r w:rsidR="00D51583" w:rsidRPr="009F000C">
        <w:t xml:space="preserve">a line-agnostic listing </w:t>
      </w:r>
      <w:r w:rsidR="00BC365A">
        <w:t xml:space="preserve">was requested </w:t>
      </w:r>
      <w:r w:rsidR="00D51583" w:rsidRPr="009F000C">
        <w:t xml:space="preserve">for D+T, </w:t>
      </w:r>
      <w:r w:rsidR="002E20C2">
        <w:t xml:space="preserve">the submission </w:t>
      </w:r>
      <w:r w:rsidR="005119FC" w:rsidRPr="009F000C">
        <w:t xml:space="preserve">proposed </w:t>
      </w:r>
      <w:r w:rsidR="008967F0" w:rsidRPr="009F000C">
        <w:t xml:space="preserve">that D+T would be predominantly used as a first-line treatment, with immunotherapy agents reserved for subsequent </w:t>
      </w:r>
      <w:r w:rsidR="00BB2FDF" w:rsidRPr="009F000C">
        <w:t>treatments following disease progression</w:t>
      </w:r>
      <w:r w:rsidR="008723D7" w:rsidRPr="009F000C">
        <w:t>.</w:t>
      </w:r>
      <w:bookmarkStart w:id="18" w:name="_Ref186989518"/>
      <w:bookmarkStart w:id="19" w:name="_Ref186988083"/>
      <w:bookmarkStart w:id="20" w:name="_Ref187233941"/>
      <w:r w:rsidR="00906C89">
        <w:t xml:space="preserve"> </w:t>
      </w:r>
      <w:r w:rsidR="00FC4DE7">
        <w:t>This aligned with in</w:t>
      </w:r>
      <w:r w:rsidR="009C6D39" w:rsidRPr="009F000C">
        <w:t>ternational</w:t>
      </w:r>
      <w:r w:rsidR="008E44FC" w:rsidRPr="009F000C">
        <w:t xml:space="preserve"> </w:t>
      </w:r>
      <w:r w:rsidR="00CB3551" w:rsidRPr="009F000C">
        <w:t>guidelines</w:t>
      </w:r>
      <w:r w:rsidR="00333359">
        <w:t>,</w:t>
      </w:r>
      <w:r w:rsidR="00FC4DE7">
        <w:t xml:space="preserve"> which</w:t>
      </w:r>
      <w:r w:rsidR="00911813" w:rsidRPr="009F000C">
        <w:t xml:space="preserve"> </w:t>
      </w:r>
      <w:r w:rsidR="00962FBA" w:rsidRPr="009F000C">
        <w:t>recommend D+T as the preferred first-line therapy for patients with BRAF V600E mutation</w:t>
      </w:r>
      <w:r w:rsidR="001B79AC" w:rsidRPr="009F000C">
        <w:t>-positive Stage IV NSCLC</w:t>
      </w:r>
      <w:r w:rsidR="00962FBA" w:rsidRPr="009F000C">
        <w:t xml:space="preserve"> and as a subsequent therapy option for patients who have not previously received a BRAF inhibitor</w:t>
      </w:r>
      <w:r w:rsidR="001B79AC" w:rsidRPr="009F000C">
        <w:t xml:space="preserve"> in first-line setting</w:t>
      </w:r>
      <w:r w:rsidR="008D0B9E" w:rsidRPr="009F000C">
        <w:t>.</w:t>
      </w:r>
      <w:r w:rsidR="000C12E4" w:rsidRPr="009F000C">
        <w:rPr>
          <w:rStyle w:val="FootnoteReference"/>
        </w:rPr>
        <w:t>7</w:t>
      </w:r>
      <w:r w:rsidR="000C12E4" w:rsidRPr="00906C89">
        <w:rPr>
          <w:vertAlign w:val="superscript"/>
        </w:rPr>
        <w:t>,</w:t>
      </w:r>
      <w:r w:rsidR="009C6D39" w:rsidRPr="009F000C">
        <w:rPr>
          <w:rStyle w:val="FootnoteReference"/>
        </w:rPr>
        <w:footnoteReference w:id="7"/>
      </w:r>
      <w:r w:rsidR="00911813" w:rsidRPr="00906C89">
        <w:rPr>
          <w:vertAlign w:val="superscript"/>
        </w:rPr>
        <w:t xml:space="preserve"> </w:t>
      </w:r>
    </w:p>
    <w:p w14:paraId="3C4E17AC" w14:textId="5FF84760" w:rsidR="00BB5BD5" w:rsidRPr="008A19C9" w:rsidRDefault="003C0646" w:rsidP="000B6113">
      <w:pPr>
        <w:pStyle w:val="3-BodyText"/>
      </w:pPr>
      <w:bookmarkStart w:id="21" w:name="_Ref187662984"/>
      <w:r>
        <w:rPr>
          <w:lang w:val="en-US"/>
        </w:rPr>
        <w:lastRenderedPageBreak/>
        <w:t>S</w:t>
      </w:r>
      <w:r w:rsidR="00560C47" w:rsidRPr="009F000C">
        <w:rPr>
          <w:lang w:val="en-US"/>
        </w:rPr>
        <w:t>tandard systemic therapies</w:t>
      </w:r>
      <w:r w:rsidR="00272117" w:rsidRPr="009F000C">
        <w:rPr>
          <w:lang w:val="en-US"/>
        </w:rPr>
        <w:t xml:space="preserve"> </w:t>
      </w:r>
      <w:r w:rsidR="00BB5BD5" w:rsidRPr="009F000C">
        <w:rPr>
          <w:lang w:val="en-US"/>
        </w:rPr>
        <w:t>are recommended</w:t>
      </w:r>
      <w:r w:rsidR="00141BC7">
        <w:rPr>
          <w:lang w:val="en-US"/>
        </w:rPr>
        <w:t xml:space="preserve"> by the guidelines</w:t>
      </w:r>
      <w:r w:rsidR="00BB5BD5" w:rsidRPr="009F000C">
        <w:rPr>
          <w:lang w:val="en-US"/>
        </w:rPr>
        <w:t xml:space="preserve"> </w:t>
      </w:r>
      <w:r w:rsidR="00560C47" w:rsidRPr="009F000C">
        <w:rPr>
          <w:lang w:val="en-US"/>
        </w:rPr>
        <w:t>as subsequent treatment options for patients whose disease progresses after first-line treatment with D+T.</w:t>
      </w:r>
      <w:bookmarkEnd w:id="18"/>
      <w:r w:rsidR="00906C89">
        <w:rPr>
          <w:lang w:val="en-US"/>
        </w:rPr>
        <w:t xml:space="preserve"> </w:t>
      </w:r>
      <w:r w:rsidR="001C1237" w:rsidRPr="005734A5">
        <w:t xml:space="preserve">The choice of treatment </w:t>
      </w:r>
      <w:r w:rsidR="001433B3" w:rsidRPr="005734A5">
        <w:t xml:space="preserve">in </w:t>
      </w:r>
      <w:r w:rsidR="00141BC7" w:rsidRPr="005734A5">
        <w:t>subsequent lines</w:t>
      </w:r>
      <w:r w:rsidR="001433B3" w:rsidRPr="005734A5">
        <w:t xml:space="preserve"> </w:t>
      </w:r>
      <w:r w:rsidR="00102AB0" w:rsidRPr="005734A5">
        <w:t>varie</w:t>
      </w:r>
      <w:r w:rsidR="00906C89" w:rsidRPr="005734A5">
        <w:t>d</w:t>
      </w:r>
      <w:r w:rsidR="00102AB0" w:rsidRPr="005734A5">
        <w:t xml:space="preserve"> across guidelines</w:t>
      </w:r>
      <w:r w:rsidR="00EC66A7" w:rsidRPr="005734A5">
        <w:t xml:space="preserve"> </w:t>
      </w:r>
      <w:r w:rsidR="00657211" w:rsidRPr="005734A5">
        <w:t>(</w:t>
      </w:r>
      <w:r w:rsidR="00915841" w:rsidRPr="005734A5">
        <w:t>generally aligns with</w:t>
      </w:r>
      <w:r w:rsidR="000569C9" w:rsidRPr="005734A5">
        <w:t xml:space="preserve"> the non-driver mutation </w:t>
      </w:r>
      <w:r w:rsidR="00915841" w:rsidRPr="005734A5">
        <w:t>recommendations</w:t>
      </w:r>
      <w:r w:rsidR="00657211" w:rsidRPr="005734A5">
        <w:t>)</w:t>
      </w:r>
      <w:r w:rsidR="000569C9" w:rsidRPr="005734A5">
        <w:t xml:space="preserve">, </w:t>
      </w:r>
      <w:r w:rsidR="00102AB0" w:rsidRPr="005734A5">
        <w:t xml:space="preserve">and </w:t>
      </w:r>
      <w:r w:rsidR="001C1237" w:rsidRPr="005734A5">
        <w:t xml:space="preserve">depends </w:t>
      </w:r>
      <w:r w:rsidR="00731594" w:rsidRPr="005734A5">
        <w:t>up</w:t>
      </w:r>
      <w:r w:rsidR="001C1237" w:rsidRPr="005734A5">
        <w:t xml:space="preserve">on various factors such as histology, </w:t>
      </w:r>
      <w:r w:rsidR="000D7C75" w:rsidRPr="005734A5">
        <w:t>ECOG PS</w:t>
      </w:r>
      <w:r w:rsidR="001C1237" w:rsidRPr="005734A5">
        <w:t xml:space="preserve">, </w:t>
      </w:r>
      <w:r w:rsidR="000D7C75" w:rsidRPr="005734A5">
        <w:t xml:space="preserve">programmed death ligand-1 (PD-L1) </w:t>
      </w:r>
      <w:r w:rsidR="00657211" w:rsidRPr="005734A5">
        <w:t>expression</w:t>
      </w:r>
      <w:r w:rsidR="001C1237" w:rsidRPr="005734A5">
        <w:t>, or smoking status</w:t>
      </w:r>
      <w:bookmarkEnd w:id="19"/>
      <w:r w:rsidR="00BB5BD5" w:rsidRPr="009F000C">
        <w:rPr>
          <w:i/>
          <w:iCs/>
        </w:rPr>
        <w:t>.</w:t>
      </w:r>
      <w:bookmarkEnd w:id="20"/>
      <w:bookmarkEnd w:id="21"/>
      <w:r w:rsidR="00333359">
        <w:rPr>
          <w:i/>
          <w:iCs/>
        </w:rPr>
        <w:t xml:space="preserve"> </w:t>
      </w:r>
    </w:p>
    <w:p w14:paraId="7521C695" w14:textId="790B29C3" w:rsidR="004C7FBC" w:rsidRPr="009F000C" w:rsidDel="00195452" w:rsidRDefault="00FF66F1" w:rsidP="000B6113">
      <w:pPr>
        <w:pStyle w:val="3-BodyText"/>
      </w:pPr>
      <w:r w:rsidRPr="009F000C">
        <w:t xml:space="preserve">Dabrafenib is a selective inhibitor of BRAF kinase activity. Trametinib is a selective, allosteric inhibitor of </w:t>
      </w:r>
      <w:r w:rsidR="00B10230" w:rsidRPr="009F000C">
        <w:t xml:space="preserve">mitogen-activated protein kinase 1 and 2 (MEK1 and MEK2) </w:t>
      </w:r>
      <w:r w:rsidRPr="009F000C">
        <w:t xml:space="preserve">and inhibits both MEK activation and kinase activity. </w:t>
      </w:r>
      <w:r w:rsidR="00574858" w:rsidRPr="009F000C">
        <w:t>Together, they</w:t>
      </w:r>
      <w:r w:rsidRPr="009F000C">
        <w:t xml:space="preserve"> act on the </w:t>
      </w:r>
      <w:r w:rsidR="00DF1B52" w:rsidRPr="009F000C">
        <w:t>mitogen-activated protein kinase (MAPK) pathway b</w:t>
      </w:r>
      <w:r w:rsidRPr="009F000C">
        <w:t>y inhibiting cell proliferation at two points</w:t>
      </w:r>
      <w:r w:rsidR="00DF1B52" w:rsidRPr="009F000C">
        <w:t xml:space="preserve">, leading to </w:t>
      </w:r>
      <w:r w:rsidRPr="009F000C">
        <w:t>inhibition of the signalling cascade and prevents aberrant cell signalling.</w:t>
      </w:r>
    </w:p>
    <w:p w14:paraId="51E5AE96" w14:textId="136A63B1" w:rsidR="00B50DB8" w:rsidRPr="009F000C" w:rsidRDefault="00B50DB8" w:rsidP="004E18E9">
      <w:pPr>
        <w:pStyle w:val="2-SectionHeading"/>
      </w:pPr>
      <w:bookmarkStart w:id="22" w:name="_Toc186369235"/>
      <w:bookmarkStart w:id="23" w:name="_Toc188347768"/>
      <w:r w:rsidRPr="009F000C">
        <w:t>Comparator</w:t>
      </w:r>
      <w:bookmarkEnd w:id="22"/>
      <w:bookmarkEnd w:id="23"/>
    </w:p>
    <w:p w14:paraId="1D383EC3" w14:textId="4524D33E" w:rsidR="0062068E" w:rsidRPr="00B42772" w:rsidRDefault="008B5245" w:rsidP="000B6113">
      <w:pPr>
        <w:pStyle w:val="3-BodyText"/>
        <w:rPr>
          <w:snapToGrid/>
          <w:lang w:val="en-US"/>
        </w:rPr>
      </w:pPr>
      <w:bookmarkStart w:id="24" w:name="_Ref187234029"/>
      <w:r>
        <w:t xml:space="preserve">The submission nominated two comparators </w:t>
      </w:r>
      <w:r w:rsidR="008F3AF0">
        <w:t>for two different groups of patients</w:t>
      </w:r>
      <w:r w:rsidR="2ECB2A27">
        <w:t>,</w:t>
      </w:r>
      <w:r w:rsidR="008F3AF0">
        <w:t xml:space="preserve"> depending on the ECOG PS status. </w:t>
      </w:r>
      <w:r w:rsidR="00D274A8">
        <w:t>For patients with ECOG PS of 0-1, t</w:t>
      </w:r>
      <w:r w:rsidR="00060ACB">
        <w:t xml:space="preserve">he submission nominated </w:t>
      </w:r>
      <w:proofErr w:type="spellStart"/>
      <w:r w:rsidR="00060ACB">
        <w:t>pembrolizumab+PBC</w:t>
      </w:r>
      <w:proofErr w:type="spellEnd"/>
      <w:r w:rsidR="00060ACB">
        <w:t xml:space="preserve"> as the main comparator.</w:t>
      </w:r>
      <w:r w:rsidR="0066469D">
        <w:t xml:space="preserve"> </w:t>
      </w:r>
      <w:r w:rsidR="00060ACB">
        <w:t>The main argument provided in support of this nomination was</w:t>
      </w:r>
      <w:r w:rsidR="001C4623">
        <w:t xml:space="preserve"> that</w:t>
      </w:r>
      <w:r w:rsidR="004765E8">
        <w:t>, according to ESMO and NCCN guidelines,</w:t>
      </w:r>
      <w:r w:rsidR="00CF716E">
        <w:t xml:space="preserve"> </w:t>
      </w:r>
      <w:proofErr w:type="spellStart"/>
      <w:r w:rsidR="00CF716E">
        <w:t>pembrolizumab+PBC</w:t>
      </w:r>
      <w:proofErr w:type="spellEnd"/>
      <w:r w:rsidR="00CF716E">
        <w:t xml:space="preserve"> is</w:t>
      </w:r>
      <w:r w:rsidR="004765E8">
        <w:t xml:space="preserve"> </w:t>
      </w:r>
      <w:r w:rsidR="00717F37">
        <w:t>the</w:t>
      </w:r>
      <w:r w:rsidR="00B16EB0">
        <w:t xml:space="preserve"> preferred </w:t>
      </w:r>
      <w:r w:rsidR="00CF716E">
        <w:t xml:space="preserve">and widely used </w:t>
      </w:r>
      <w:r w:rsidR="00717F37">
        <w:t xml:space="preserve">standard of care </w:t>
      </w:r>
      <w:r w:rsidR="00077670">
        <w:t xml:space="preserve">for patients </w:t>
      </w:r>
      <w:r w:rsidR="00717F37">
        <w:t>with Stage IV BRAF V600E NSCLC with an ECOG PS of 0-1</w:t>
      </w:r>
      <w:r w:rsidR="00CF716E">
        <w:t>.</w:t>
      </w:r>
      <w:r w:rsidR="002C1C59">
        <w:t xml:space="preserve"> </w:t>
      </w:r>
      <w:r w:rsidR="002C1C59" w:rsidRPr="008974DB">
        <w:t xml:space="preserve">The ESC considered the nominated comparator was reasonable.  </w:t>
      </w:r>
      <w:r w:rsidR="00274646" w:rsidRPr="008974DB">
        <w:t>The ESC noted that, to a less</w:t>
      </w:r>
      <w:r w:rsidR="00DB1DF9" w:rsidRPr="008974DB">
        <w:t>er</w:t>
      </w:r>
      <w:r w:rsidR="00274646" w:rsidRPr="008974DB">
        <w:t xml:space="preserve"> extent, </w:t>
      </w:r>
      <w:r w:rsidR="00AE5EFF" w:rsidRPr="008974DB">
        <w:t xml:space="preserve">D+T may also substitute for pembrolizumab monotherapy </w:t>
      </w:r>
      <w:r w:rsidR="00FA1264" w:rsidRPr="008974DB">
        <w:t>or</w:t>
      </w:r>
      <w:r w:rsidR="00831C49" w:rsidRPr="008974DB">
        <w:t xml:space="preserve"> PBC</w:t>
      </w:r>
      <w:r w:rsidR="00FA1264" w:rsidRPr="008974DB">
        <w:t>.</w:t>
      </w:r>
      <w:r w:rsidR="00FA1264">
        <w:t xml:space="preserve"> </w:t>
      </w:r>
    </w:p>
    <w:bookmarkEnd w:id="24"/>
    <w:p w14:paraId="5EC441F4" w14:textId="6E76B49D" w:rsidR="001B60E0" w:rsidRPr="009F000C" w:rsidRDefault="001B60E0" w:rsidP="001B60E0">
      <w:pPr>
        <w:pStyle w:val="3-BodyText"/>
      </w:pPr>
      <w:r w:rsidRPr="009F000C">
        <w:t>For patients with ECOG PS of 2, the submission nominated PBC as the main comparator, as poor functional status limits the efficacy and safety of more intensive treatments, such as combination of immunotherapy and chemotherapy.</w:t>
      </w:r>
      <w:r>
        <w:t xml:space="preserve"> </w:t>
      </w:r>
      <w:r w:rsidR="004B3DBD" w:rsidRPr="008974DB">
        <w:t>The ESC considered the nominated comparator was reasonable</w:t>
      </w:r>
      <w:r w:rsidR="00621CD7" w:rsidRPr="008974DB">
        <w:t xml:space="preserve"> but considered </w:t>
      </w:r>
      <w:r w:rsidR="000241F0" w:rsidRPr="008974DB">
        <w:t>the comparison</w:t>
      </w:r>
      <w:r w:rsidR="00620AA3" w:rsidRPr="008974DB">
        <w:t xml:space="preserve"> in this population</w:t>
      </w:r>
      <w:r w:rsidR="00621CD7" w:rsidRPr="008974DB">
        <w:t xml:space="preserve"> was of little clinical relevance given the subjective nature of PS</w:t>
      </w:r>
      <w:r w:rsidR="00725163" w:rsidRPr="008974DB">
        <w:t xml:space="preserve"> assessment</w:t>
      </w:r>
      <w:r w:rsidR="00DA78B3" w:rsidRPr="008974DB">
        <w:t>.</w:t>
      </w:r>
      <w:r w:rsidR="00DA78B3" w:rsidRPr="00DA78B3">
        <w:rPr>
          <w:i/>
          <w:iCs/>
        </w:rPr>
        <w:t xml:space="preserve"> </w:t>
      </w:r>
    </w:p>
    <w:p w14:paraId="7F9C27C8" w14:textId="77777777" w:rsidR="00223D5A" w:rsidRPr="009F000C" w:rsidRDefault="00223D5A" w:rsidP="00223D5A">
      <w:pPr>
        <w:pStyle w:val="2-SectionHeading"/>
        <w:numPr>
          <w:ilvl w:val="0"/>
          <w:numId w:val="2"/>
        </w:numPr>
      </w:pPr>
      <w:bookmarkStart w:id="25" w:name="_Toc186369236"/>
      <w:bookmarkStart w:id="26" w:name="_Toc188347769"/>
      <w:bookmarkStart w:id="27" w:name="_Toc22897640"/>
      <w:r w:rsidRPr="009F000C">
        <w:t>Consideration of the evidence</w:t>
      </w:r>
      <w:bookmarkEnd w:id="25"/>
      <w:bookmarkEnd w:id="26"/>
    </w:p>
    <w:p w14:paraId="0337DB23" w14:textId="77777777" w:rsidR="00A7645F" w:rsidRPr="006E1229" w:rsidRDefault="00A7645F" w:rsidP="00365567">
      <w:pPr>
        <w:pStyle w:val="4-SubsectionHeading"/>
      </w:pPr>
      <w:bookmarkStart w:id="28" w:name="_Toc186369237"/>
      <w:bookmarkStart w:id="29" w:name="_Toc188347770"/>
      <w:r w:rsidRPr="006E1229">
        <w:t>Sponsor hearing</w:t>
      </w:r>
    </w:p>
    <w:p w14:paraId="40B361A2" w14:textId="0A6EE4C9" w:rsidR="00A7645F" w:rsidRPr="00F91542" w:rsidRDefault="00A7645F" w:rsidP="00A7645F">
      <w:pPr>
        <w:widowControl w:val="0"/>
        <w:numPr>
          <w:ilvl w:val="1"/>
          <w:numId w:val="2"/>
        </w:numPr>
        <w:spacing w:after="120"/>
        <w:rPr>
          <w:rFonts w:cs="Calibri"/>
          <w:bCs/>
          <w:snapToGrid w:val="0"/>
        </w:rPr>
      </w:pPr>
      <w:r w:rsidRPr="00F91542">
        <w:rPr>
          <w:rFonts w:cs="Calibri"/>
          <w:bCs/>
          <w:snapToGrid w:val="0"/>
        </w:rPr>
        <w:t xml:space="preserve"> There was no hearing for this item.</w:t>
      </w:r>
    </w:p>
    <w:p w14:paraId="15AFB747" w14:textId="77777777" w:rsidR="00A7645F" w:rsidRPr="00746D22" w:rsidRDefault="00A7645F" w:rsidP="00365567">
      <w:pPr>
        <w:pStyle w:val="4-SubsectionHeading"/>
      </w:pPr>
      <w:r w:rsidRPr="00746D22">
        <w:t>Consumer comments</w:t>
      </w:r>
    </w:p>
    <w:p w14:paraId="29FF1AFD" w14:textId="1F34F665" w:rsidR="00A7645F" w:rsidRPr="00DE6C64" w:rsidRDefault="00007984" w:rsidP="00A7645F">
      <w:pPr>
        <w:pStyle w:val="3-BodyText"/>
      </w:pPr>
      <w:r w:rsidRPr="00746D22">
        <w:rPr>
          <w:bCs/>
        </w:rPr>
        <w:t>The PBAC noted and welcomed the input from individuals (</w:t>
      </w:r>
      <w:r w:rsidR="00E144B6" w:rsidRPr="00746D22">
        <w:rPr>
          <w:bCs/>
        </w:rPr>
        <w:t>3</w:t>
      </w:r>
      <w:r w:rsidRPr="00746D22">
        <w:rPr>
          <w:bCs/>
        </w:rPr>
        <w:t xml:space="preserve">), </w:t>
      </w:r>
      <w:r w:rsidR="00E144B6" w:rsidRPr="00746D22">
        <w:rPr>
          <w:bCs/>
        </w:rPr>
        <w:t xml:space="preserve">a </w:t>
      </w:r>
      <w:r w:rsidRPr="00746D22">
        <w:rPr>
          <w:bCs/>
        </w:rPr>
        <w:t>health care professional and organisations (</w:t>
      </w:r>
      <w:r w:rsidR="00484D57">
        <w:rPr>
          <w:bCs/>
        </w:rPr>
        <w:t>3</w:t>
      </w:r>
      <w:r w:rsidRPr="00746D22">
        <w:rPr>
          <w:bCs/>
        </w:rPr>
        <w:t>) via the Consumer Comments facility on the PBS website</w:t>
      </w:r>
      <w:r w:rsidRPr="00DE6C64">
        <w:rPr>
          <w:bCs/>
        </w:rPr>
        <w:t xml:space="preserve">. The comments </w:t>
      </w:r>
      <w:r w:rsidR="0022309C" w:rsidRPr="00DE6C64">
        <w:rPr>
          <w:bCs/>
        </w:rPr>
        <w:t>from the health care professional</w:t>
      </w:r>
      <w:r w:rsidR="00154FEE" w:rsidRPr="00DE6C64">
        <w:rPr>
          <w:bCs/>
        </w:rPr>
        <w:t xml:space="preserve"> noted the good overall response</w:t>
      </w:r>
      <w:r w:rsidR="00FA466C" w:rsidRPr="00DE6C64">
        <w:rPr>
          <w:bCs/>
        </w:rPr>
        <w:t xml:space="preserve"> rate </w:t>
      </w:r>
      <w:r w:rsidR="00154FEE" w:rsidRPr="00DE6C64">
        <w:rPr>
          <w:bCs/>
        </w:rPr>
        <w:t>observed with D+T.</w:t>
      </w:r>
      <w:r w:rsidR="00FA466C" w:rsidRPr="00DE6C64">
        <w:rPr>
          <w:bCs/>
        </w:rPr>
        <w:t xml:space="preserve"> </w:t>
      </w:r>
      <w:r w:rsidR="00154FEE" w:rsidRPr="00DE6C64">
        <w:rPr>
          <w:bCs/>
        </w:rPr>
        <w:t xml:space="preserve"> </w:t>
      </w:r>
      <w:r w:rsidR="00DE6C64">
        <w:rPr>
          <w:bCs/>
        </w:rPr>
        <w:t xml:space="preserve">Comments from individuals noted the </w:t>
      </w:r>
      <w:r w:rsidR="007C4258">
        <w:rPr>
          <w:bCs/>
        </w:rPr>
        <w:t xml:space="preserve">high </w:t>
      </w:r>
      <w:r w:rsidR="004B39E6">
        <w:rPr>
          <w:bCs/>
        </w:rPr>
        <w:t>burden of NSCLC</w:t>
      </w:r>
      <w:r w:rsidR="007C4258">
        <w:rPr>
          <w:bCs/>
        </w:rPr>
        <w:t xml:space="preserve"> on patients and their families </w:t>
      </w:r>
      <w:r w:rsidR="00DE6C64">
        <w:rPr>
          <w:bCs/>
        </w:rPr>
        <w:t xml:space="preserve">and the high cost of D+T.  </w:t>
      </w:r>
      <w:r w:rsidR="00154FEE" w:rsidRPr="00DE6C64">
        <w:rPr>
          <w:bCs/>
        </w:rPr>
        <w:t xml:space="preserve"> </w:t>
      </w:r>
      <w:r w:rsidRPr="00746D22">
        <w:rPr>
          <w:bCs/>
        </w:rPr>
        <w:t xml:space="preserve">  </w:t>
      </w:r>
    </w:p>
    <w:p w14:paraId="5923A3AC" w14:textId="2A08A5D3" w:rsidR="00DE6C64" w:rsidRPr="00746D22" w:rsidRDefault="00DD1BB6" w:rsidP="00A7645F">
      <w:pPr>
        <w:pStyle w:val="3-BodyText"/>
      </w:pPr>
      <w:r>
        <w:t xml:space="preserve">The PBAC noted the Lung Foundation Australia and Rare </w:t>
      </w:r>
      <w:r w:rsidR="00356A4F">
        <w:t>Cancers Australia</w:t>
      </w:r>
      <w:r w:rsidR="002B5F40">
        <w:t xml:space="preserve"> commented on</w:t>
      </w:r>
      <w:r w:rsidR="00356A4F">
        <w:t xml:space="preserve"> the importance of having access to targeted therapies for NSCLC</w:t>
      </w:r>
      <w:r w:rsidR="009B2FA6">
        <w:t xml:space="preserve">. The </w:t>
      </w:r>
      <w:r w:rsidR="009B2FA6">
        <w:lastRenderedPageBreak/>
        <w:t>Lung Foundation Australia summarised input it had received from 83 members, including some who</w:t>
      </w:r>
      <w:r w:rsidR="004B11B3">
        <w:t xml:space="preserve"> </w:t>
      </w:r>
      <w:r w:rsidR="009B2FA6">
        <w:t xml:space="preserve">had BRAF V600E mutations. </w:t>
      </w:r>
      <w:r w:rsidR="004B11B3">
        <w:t>The</w:t>
      </w:r>
      <w:r w:rsidR="00461C3F">
        <w:t xml:space="preserve"> comments </w:t>
      </w:r>
      <w:r w:rsidR="00A10871">
        <w:t xml:space="preserve">noted the high burden of NSCLC and </w:t>
      </w:r>
      <w:r w:rsidR="00461C3F">
        <w:t xml:space="preserve">provided strong support for </w:t>
      </w:r>
      <w:r w:rsidR="00A10871">
        <w:t xml:space="preserve">the </w:t>
      </w:r>
      <w:r w:rsidR="00461C3F">
        <w:t>availability of targeted therap</w:t>
      </w:r>
      <w:r w:rsidR="00AA468E">
        <w:t>ies</w:t>
      </w:r>
      <w:r w:rsidR="00A10871">
        <w:t xml:space="preserve">. Additionally, Rare Caners Australia noted the benefit of the availability of an oral treatment.  </w:t>
      </w:r>
    </w:p>
    <w:p w14:paraId="5259386B" w14:textId="35A7C07E" w:rsidR="00007984" w:rsidRPr="00746D22" w:rsidRDefault="00B83780" w:rsidP="00A7645F">
      <w:pPr>
        <w:pStyle w:val="3-BodyText"/>
      </w:pPr>
      <w:r w:rsidRPr="00746D22">
        <w:rPr>
          <w:bCs/>
        </w:rPr>
        <w:t xml:space="preserve">The Medical Oncology Group of Australia (MOGA) also expressed its strong support for the </w:t>
      </w:r>
      <w:r w:rsidR="00DA30CE" w:rsidRPr="00746D22">
        <w:rPr>
          <w:bCs/>
        </w:rPr>
        <w:t>D+T</w:t>
      </w:r>
      <w:r w:rsidRPr="00746D22">
        <w:rPr>
          <w:bCs/>
        </w:rPr>
        <w:t xml:space="preserve"> submission, categorising it as one of the therapies of “high priority for PBS listing” on the basis of the </w:t>
      </w:r>
      <w:r w:rsidR="00B5385C" w:rsidRPr="00746D22">
        <w:rPr>
          <w:bCs/>
        </w:rPr>
        <w:t xml:space="preserve">E2201 </w:t>
      </w:r>
      <w:r w:rsidRPr="00746D22">
        <w:rPr>
          <w:bCs/>
        </w:rPr>
        <w:t xml:space="preserve">trial. The PBAC noted that the MOGA presented a European Society for Medical Oncology Magnitude of Clinical Benefit Scale (ESMO-MCBS) for </w:t>
      </w:r>
      <w:r w:rsidR="00746D22">
        <w:rPr>
          <w:bCs/>
        </w:rPr>
        <w:t>D+T</w:t>
      </w:r>
      <w:r w:rsidRPr="00746D22">
        <w:rPr>
          <w:bCs/>
        </w:rPr>
        <w:t xml:space="preserve">, which was limited to </w:t>
      </w:r>
      <w:r w:rsidR="00C7696B">
        <w:rPr>
          <w:bCs/>
        </w:rPr>
        <w:t>2</w:t>
      </w:r>
      <w:r w:rsidR="00C7696B" w:rsidRPr="00746D22">
        <w:rPr>
          <w:bCs/>
        </w:rPr>
        <w:t xml:space="preserve"> </w:t>
      </w:r>
      <w:r w:rsidRPr="00746D22">
        <w:rPr>
          <w:bCs/>
        </w:rPr>
        <w:t xml:space="preserve">(out of a maximum of 5, where 5 and 4 represent the grades with substantial improvement), based on </w:t>
      </w:r>
      <w:r w:rsidR="00C7696B">
        <w:rPr>
          <w:bCs/>
        </w:rPr>
        <w:t>single arm data</w:t>
      </w:r>
      <w:r w:rsidR="00637298" w:rsidRPr="00746D22">
        <w:rPr>
          <w:rStyle w:val="FootnoteReference"/>
          <w:bCs/>
        </w:rPr>
        <w:footnoteReference w:id="8"/>
      </w:r>
      <w:r w:rsidRPr="00746D22">
        <w:rPr>
          <w:bCs/>
        </w:rPr>
        <w:t xml:space="preserve">.  </w:t>
      </w:r>
    </w:p>
    <w:p w14:paraId="609C0765" w14:textId="5A73DD56" w:rsidR="00B60939" w:rsidRPr="009F000C" w:rsidRDefault="00B60939" w:rsidP="002E4F02">
      <w:pPr>
        <w:pStyle w:val="4-SubsectionHeading"/>
      </w:pPr>
      <w:r w:rsidRPr="009F000C">
        <w:t xml:space="preserve">Clinical </w:t>
      </w:r>
      <w:bookmarkEnd w:id="27"/>
      <w:r w:rsidR="00BA08E4" w:rsidRPr="009F000C">
        <w:t>studies</w:t>
      </w:r>
      <w:bookmarkEnd w:id="28"/>
      <w:bookmarkEnd w:id="29"/>
    </w:p>
    <w:p w14:paraId="7D653CF9" w14:textId="5EE28E54" w:rsidR="001A47C1" w:rsidRPr="009F000C" w:rsidRDefault="00E21522" w:rsidP="002E4F02">
      <w:pPr>
        <w:pStyle w:val="3-BodyText"/>
      </w:pPr>
      <w:r>
        <w:t>T</w:t>
      </w:r>
      <w:r w:rsidR="001A47C1" w:rsidRPr="009F000C">
        <w:t xml:space="preserve">he submission presented an unanchored </w:t>
      </w:r>
      <w:r w:rsidR="00040DE9" w:rsidRPr="009F000C">
        <w:t xml:space="preserve">and </w:t>
      </w:r>
      <w:r w:rsidR="001A47C1" w:rsidRPr="009F000C">
        <w:t>unadjusted indirect treatment comparison</w:t>
      </w:r>
      <w:r w:rsidR="00EB6512" w:rsidRPr="009F000C">
        <w:t xml:space="preserve"> (ITC)</w:t>
      </w:r>
      <w:r w:rsidR="007F3DE7" w:rsidRPr="009F000C">
        <w:t xml:space="preserve">, comparing </w:t>
      </w:r>
      <w:r w:rsidR="00197CAB" w:rsidRPr="009F000C">
        <w:t xml:space="preserve">the following </w:t>
      </w:r>
      <w:r w:rsidR="00B71A18" w:rsidRPr="009F000C">
        <w:t>studies</w:t>
      </w:r>
      <w:r w:rsidR="00EB6512" w:rsidRPr="009F000C">
        <w:t>:</w:t>
      </w:r>
    </w:p>
    <w:p w14:paraId="7044433C" w14:textId="3DF4019E" w:rsidR="003505E0" w:rsidRPr="009F000C" w:rsidRDefault="00AA6C64" w:rsidP="003505E0">
      <w:pPr>
        <w:pStyle w:val="ListParagraph"/>
      </w:pPr>
      <w:r w:rsidRPr="009F000C">
        <w:t>E2201</w:t>
      </w:r>
      <w:r w:rsidR="0035127A" w:rsidRPr="009F000C">
        <w:t xml:space="preserve">: </w:t>
      </w:r>
      <w:r w:rsidR="00915E23" w:rsidRPr="009F000C">
        <w:t>A</w:t>
      </w:r>
      <w:r w:rsidR="00B87314" w:rsidRPr="009F000C">
        <w:t xml:space="preserve"> </w:t>
      </w:r>
      <w:r w:rsidR="00483C04" w:rsidRPr="009F000C">
        <w:t>Phase II</w:t>
      </w:r>
      <w:r w:rsidR="00A23A64" w:rsidRPr="009F000C">
        <w:t xml:space="preserve">, </w:t>
      </w:r>
      <w:r w:rsidR="00483C04" w:rsidRPr="009F000C">
        <w:t>multi</w:t>
      </w:r>
      <w:r w:rsidR="001451D3" w:rsidRPr="009F000C">
        <w:t>-</w:t>
      </w:r>
      <w:r w:rsidR="00483C04" w:rsidRPr="009F000C">
        <w:t>cent</w:t>
      </w:r>
      <w:r w:rsidR="001451D3" w:rsidRPr="009F000C">
        <w:t>re</w:t>
      </w:r>
      <w:r w:rsidR="00483C04" w:rsidRPr="009F000C">
        <w:t xml:space="preserve">, </w:t>
      </w:r>
      <w:r w:rsidR="00EF3CAD" w:rsidRPr="009F000C">
        <w:t>single-arm</w:t>
      </w:r>
      <w:r w:rsidR="00916D6A" w:rsidRPr="009F000C">
        <w:rPr>
          <w:i/>
          <w:iCs/>
        </w:rPr>
        <w:t xml:space="preserve"> </w:t>
      </w:r>
      <w:r w:rsidR="00483C04" w:rsidRPr="009F000C">
        <w:t xml:space="preserve">study </w:t>
      </w:r>
      <w:r w:rsidR="00354045" w:rsidRPr="009F000C">
        <w:t xml:space="preserve">of D+T in adult patients with </w:t>
      </w:r>
      <w:r w:rsidR="003114E5" w:rsidRPr="009F000C">
        <w:t>BRAF</w:t>
      </w:r>
      <w:r w:rsidR="00381B27" w:rsidRPr="009F000C">
        <w:t xml:space="preserve"> V600E mutant N</w:t>
      </w:r>
      <w:r w:rsidR="004825C3" w:rsidRPr="009F000C">
        <w:t>S</w:t>
      </w:r>
      <w:r w:rsidR="00381B27" w:rsidRPr="009F000C">
        <w:t>CLC</w:t>
      </w:r>
      <w:r w:rsidR="004825C3" w:rsidRPr="009F000C">
        <w:t>.</w:t>
      </w:r>
      <w:r w:rsidR="00037ABB" w:rsidRPr="009F000C">
        <w:t xml:space="preserve"> </w:t>
      </w:r>
    </w:p>
    <w:p w14:paraId="4A4BD94D" w14:textId="402BED88" w:rsidR="00AE11AC" w:rsidRPr="009F000C" w:rsidRDefault="00915E23" w:rsidP="003505E0">
      <w:pPr>
        <w:pStyle w:val="ListParagraph"/>
      </w:pPr>
      <w:r w:rsidRPr="009F000C">
        <w:t>KN-189: A Phase III, multi</w:t>
      </w:r>
      <w:r w:rsidR="001451D3" w:rsidRPr="009F000C">
        <w:t>-</w:t>
      </w:r>
      <w:r w:rsidRPr="009F000C">
        <w:t>centr</w:t>
      </w:r>
      <w:r w:rsidR="001451D3" w:rsidRPr="009F000C">
        <w:t xml:space="preserve">e, </w:t>
      </w:r>
      <w:r w:rsidR="008946ED" w:rsidRPr="009F000C">
        <w:t xml:space="preserve">randomised, double-blind, placebo-controlled trial of </w:t>
      </w:r>
      <w:proofErr w:type="spellStart"/>
      <w:r w:rsidR="008946ED" w:rsidRPr="009F000C">
        <w:t>pembrolizumab+PBC</w:t>
      </w:r>
      <w:proofErr w:type="spellEnd"/>
      <w:r w:rsidR="008946ED" w:rsidRPr="009F000C">
        <w:t xml:space="preserve"> </w:t>
      </w:r>
      <w:r w:rsidR="00B15607" w:rsidRPr="009F000C">
        <w:t xml:space="preserve">in untreated adult patients </w:t>
      </w:r>
      <w:r w:rsidR="00AE11AC" w:rsidRPr="009F000C">
        <w:t xml:space="preserve">with Stage IV NSCLC with </w:t>
      </w:r>
      <w:r w:rsidR="001F0D8B" w:rsidRPr="009F000C">
        <w:t>NSQ</w:t>
      </w:r>
      <w:r w:rsidR="00AE11AC" w:rsidRPr="009F000C">
        <w:t xml:space="preserve"> histology without EGFR and ALK genomic mutations</w:t>
      </w:r>
      <w:r w:rsidR="00544DA7" w:rsidRPr="009F000C">
        <w:t>.</w:t>
      </w:r>
    </w:p>
    <w:p w14:paraId="75F0D438" w14:textId="4F7BD90D" w:rsidR="005346F0" w:rsidRPr="009F000C" w:rsidRDefault="005346F0" w:rsidP="000B6113">
      <w:pPr>
        <w:pStyle w:val="ListParagraph"/>
      </w:pPr>
      <w:r w:rsidRPr="009F000C">
        <w:t>KN-40</w:t>
      </w:r>
      <w:r w:rsidR="002A4EF2" w:rsidRPr="009F000C">
        <w:t xml:space="preserve">7: </w:t>
      </w:r>
      <w:r w:rsidR="00FF780E" w:rsidRPr="009F000C">
        <w:t xml:space="preserve">A Phase III, multi-centre, randomised, double-blind, placebo-controlled trial of </w:t>
      </w:r>
      <w:proofErr w:type="spellStart"/>
      <w:r w:rsidR="00FF780E" w:rsidRPr="009F000C">
        <w:t>pembrolizumab+PBC</w:t>
      </w:r>
      <w:proofErr w:type="spellEnd"/>
      <w:r w:rsidR="00FF780E" w:rsidRPr="009F000C">
        <w:t xml:space="preserve"> in untreated</w:t>
      </w:r>
      <w:r w:rsidR="00AE11AC" w:rsidRPr="009F000C">
        <w:t xml:space="preserve"> adult patients</w:t>
      </w:r>
      <w:r w:rsidR="00FF780E" w:rsidRPr="009F000C">
        <w:t xml:space="preserve"> </w:t>
      </w:r>
      <w:r w:rsidR="00CA4009" w:rsidRPr="009F000C">
        <w:t xml:space="preserve">with Stage IV NSCLC with </w:t>
      </w:r>
      <w:r w:rsidR="001F0D8B" w:rsidRPr="009F000C">
        <w:t>SQ</w:t>
      </w:r>
      <w:r w:rsidR="00CA4009" w:rsidRPr="009F000C">
        <w:t xml:space="preserve"> histology without EGFR and ALK genomic mutations</w:t>
      </w:r>
      <w:r w:rsidR="00544DA7" w:rsidRPr="009F000C">
        <w:t>.</w:t>
      </w:r>
    </w:p>
    <w:p w14:paraId="1EDF56E1" w14:textId="70E0889F" w:rsidR="003505E0" w:rsidRPr="009F000C" w:rsidRDefault="003505E0" w:rsidP="003505E0">
      <w:pPr>
        <w:pStyle w:val="3-BodyText"/>
      </w:pPr>
      <w:r>
        <w:t xml:space="preserve">The E2201 study </w:t>
      </w:r>
      <w:r w:rsidR="00FA00A1">
        <w:t xml:space="preserve">enrolled </w:t>
      </w:r>
      <w:r w:rsidR="00A21A33">
        <w:t>both untreated</w:t>
      </w:r>
      <w:r w:rsidR="00FA00A1">
        <w:t xml:space="preserve"> and pretreated patients with BRAF V600E</w:t>
      </w:r>
      <w:r w:rsidR="00E25069">
        <w:t xml:space="preserve"> </w:t>
      </w:r>
      <w:r w:rsidR="00A21A33">
        <w:t>mutation positive</w:t>
      </w:r>
      <w:r w:rsidR="00E25069">
        <w:t xml:space="preserve"> Stage IV NSCLC</w:t>
      </w:r>
      <w:r w:rsidR="087011C3">
        <w:t xml:space="preserve"> with the following cohorts</w:t>
      </w:r>
      <w:r w:rsidR="00E25069">
        <w:t>:</w:t>
      </w:r>
    </w:p>
    <w:p w14:paraId="198EAC8F" w14:textId="0261DDEB" w:rsidR="003D1E51" w:rsidRPr="009F000C" w:rsidRDefault="003D1E51" w:rsidP="003505E0">
      <w:pPr>
        <w:pStyle w:val="ListParagraph"/>
      </w:pPr>
      <w:r w:rsidRPr="009F000C">
        <w:t>Cohort A</w:t>
      </w:r>
      <w:r w:rsidR="008A0986" w:rsidRPr="009F000C">
        <w:t xml:space="preserve"> (N=78): </w:t>
      </w:r>
      <w:r w:rsidR="00B45A7E" w:rsidRPr="009F000C">
        <w:t xml:space="preserve">Patients with documented tumour progression after receiving at least one prior PBC regimen </w:t>
      </w:r>
      <w:r w:rsidR="00C756CC" w:rsidRPr="009F000C">
        <w:t xml:space="preserve">for metastatic </w:t>
      </w:r>
      <w:r w:rsidR="00FF7D62" w:rsidRPr="009F000C">
        <w:t>NSCLC</w:t>
      </w:r>
      <w:r w:rsidR="00C756CC" w:rsidRPr="009F000C">
        <w:t xml:space="preserve"> </w:t>
      </w:r>
      <w:r w:rsidR="00FA65EF" w:rsidRPr="009F000C">
        <w:t>were treated with</w:t>
      </w:r>
      <w:r w:rsidR="00385359" w:rsidRPr="009F000C">
        <w:t xml:space="preserve"> single-agent dabrafenib. </w:t>
      </w:r>
      <w:r w:rsidR="00AB2E72" w:rsidRPr="009F000C">
        <w:t>This cohort was</w:t>
      </w:r>
      <w:r w:rsidR="00AB2E72" w:rsidRPr="009F000C">
        <w:rPr>
          <w:i/>
          <w:iCs/>
        </w:rPr>
        <w:t xml:space="preserve"> </w:t>
      </w:r>
      <w:r w:rsidR="00250B6A" w:rsidRPr="004D2DBE">
        <w:t>reasonably</w:t>
      </w:r>
      <w:r w:rsidR="00250B6A" w:rsidRPr="009F000C">
        <w:rPr>
          <w:i/>
          <w:iCs/>
        </w:rPr>
        <w:t xml:space="preserve"> </w:t>
      </w:r>
      <w:r w:rsidR="00AB2E72" w:rsidRPr="009F000C">
        <w:t xml:space="preserve">excluded as the submission </w:t>
      </w:r>
      <w:r w:rsidR="00C756CC" w:rsidRPr="009F000C">
        <w:t>specifically</w:t>
      </w:r>
      <w:r w:rsidR="00AB2E72" w:rsidRPr="009F000C">
        <w:t xml:space="preserve"> focused on treatment </w:t>
      </w:r>
      <w:r w:rsidR="00C756CC" w:rsidRPr="009F000C">
        <w:t>involving the</w:t>
      </w:r>
      <w:r w:rsidR="00AB2E72" w:rsidRPr="009F000C">
        <w:t xml:space="preserve"> combination of D+T.</w:t>
      </w:r>
      <w:r w:rsidR="00AB2E72" w:rsidRPr="009F000C">
        <w:rPr>
          <w:i/>
          <w:iCs/>
        </w:rPr>
        <w:t xml:space="preserve"> </w:t>
      </w:r>
    </w:p>
    <w:p w14:paraId="2C8F4F12" w14:textId="3C3851BA" w:rsidR="00085A55" w:rsidRDefault="003D1E51" w:rsidP="000B6113">
      <w:pPr>
        <w:pStyle w:val="ListParagraph"/>
      </w:pPr>
      <w:r w:rsidRPr="009F000C">
        <w:t>Cohort B</w:t>
      </w:r>
      <w:r w:rsidR="00F13A20" w:rsidRPr="009F000C">
        <w:t xml:space="preserve"> (N=</w:t>
      </w:r>
      <w:r w:rsidR="00EA6190" w:rsidRPr="009F000C">
        <w:t xml:space="preserve">57; hereafter </w:t>
      </w:r>
      <w:r w:rsidR="00F402CA">
        <w:t>second and subsequent line</w:t>
      </w:r>
      <w:r w:rsidR="00EA6190" w:rsidRPr="009F000C">
        <w:t xml:space="preserve"> D+T)</w:t>
      </w:r>
      <w:r w:rsidR="00EA3ED8" w:rsidRPr="009F000C">
        <w:t xml:space="preserve">: </w:t>
      </w:r>
      <w:r w:rsidR="00153BC2" w:rsidRPr="009F000C">
        <w:t>Patients with documented tumour progression after receiving at least one prior PBC regimen</w:t>
      </w:r>
      <w:r w:rsidR="00FF7D62" w:rsidRPr="009F000C">
        <w:t xml:space="preserve">, and no more than three previous systemic treatments for </w:t>
      </w:r>
      <w:r w:rsidR="00B21374" w:rsidRPr="009F000C">
        <w:t>metastatic</w:t>
      </w:r>
      <w:r w:rsidR="00FF7D62" w:rsidRPr="009F000C">
        <w:t xml:space="preserve"> NSCLC</w:t>
      </w:r>
      <w:r w:rsidR="00B21374" w:rsidRPr="009F000C">
        <w:t xml:space="preserve"> were treated with </w:t>
      </w:r>
      <w:r w:rsidR="0012214C" w:rsidRPr="009F000C">
        <w:t xml:space="preserve">the combination of </w:t>
      </w:r>
      <w:r w:rsidR="00B21374" w:rsidRPr="009F000C">
        <w:t>D+T</w:t>
      </w:r>
      <w:r w:rsidR="0012214C" w:rsidRPr="009F000C">
        <w:t>.</w:t>
      </w:r>
      <w:r w:rsidR="00B21374" w:rsidRPr="009F000C">
        <w:t xml:space="preserve"> </w:t>
      </w:r>
    </w:p>
    <w:p w14:paraId="6FA2C6D5" w14:textId="7B84D620" w:rsidR="00286D0F" w:rsidRPr="009F000C" w:rsidRDefault="003D1E51" w:rsidP="000B6113">
      <w:pPr>
        <w:pStyle w:val="ListParagraph"/>
      </w:pPr>
      <w:r w:rsidRPr="009F000C">
        <w:t>Cohort C (</w:t>
      </w:r>
      <w:r w:rsidR="00721469" w:rsidRPr="009F000C">
        <w:t>N=</w:t>
      </w:r>
      <w:r w:rsidR="00F13A20" w:rsidRPr="009F000C">
        <w:t>36; hereafter first-line D+T</w:t>
      </w:r>
      <w:r w:rsidR="00F8630D" w:rsidRPr="009F000C">
        <w:t>)</w:t>
      </w:r>
      <w:r w:rsidR="00F13A20" w:rsidRPr="009F000C">
        <w:t xml:space="preserve">: </w:t>
      </w:r>
      <w:r w:rsidR="00442488" w:rsidRPr="009F000C">
        <w:t>P</w:t>
      </w:r>
      <w:r w:rsidR="003505E0" w:rsidRPr="009F000C">
        <w:t xml:space="preserve">atients who had not received any prior systemic therapy for metastatic NSCLC </w:t>
      </w:r>
      <w:r w:rsidR="00442488" w:rsidRPr="009F000C">
        <w:t xml:space="preserve">were treated with the combination of D+T. </w:t>
      </w:r>
      <w:r w:rsidR="00085A55" w:rsidRPr="00085A55">
        <w:lastRenderedPageBreak/>
        <w:t xml:space="preserve">Two untreated patients were initially enrolled in </w:t>
      </w:r>
      <w:r w:rsidR="00085A55">
        <w:t>C</w:t>
      </w:r>
      <w:r w:rsidR="00085A55" w:rsidRPr="00085A55">
        <w:t>ohort</w:t>
      </w:r>
      <w:r w:rsidR="00085A55">
        <w:t xml:space="preserve"> B</w:t>
      </w:r>
      <w:r w:rsidR="00085A55" w:rsidRPr="00085A55">
        <w:t xml:space="preserve"> and were later included in </w:t>
      </w:r>
      <w:r w:rsidR="00085A55">
        <w:t>this cohort.</w:t>
      </w:r>
    </w:p>
    <w:p w14:paraId="3E15E980" w14:textId="2650A9EF" w:rsidR="00017B0F" w:rsidRPr="009F000C" w:rsidRDefault="00017B0F" w:rsidP="03CF4CC7">
      <w:pPr>
        <w:pStyle w:val="3-BodyText"/>
        <w:rPr>
          <w:i/>
          <w:iCs/>
        </w:rPr>
      </w:pPr>
      <w:r>
        <w:t>For patients with</w:t>
      </w:r>
      <w:r w:rsidR="008C3837">
        <w:t xml:space="preserve"> an</w:t>
      </w:r>
      <w:r>
        <w:t xml:space="preserve"> ECOG PS of 2, the </w:t>
      </w:r>
      <w:r w:rsidR="003F20D1">
        <w:t xml:space="preserve">submission did not present any comparative evidence </w:t>
      </w:r>
      <w:r w:rsidR="00F458BF">
        <w:t>between</w:t>
      </w:r>
      <w:r w:rsidR="003F20D1">
        <w:t xml:space="preserve"> D+T </w:t>
      </w:r>
      <w:r w:rsidR="00F458BF">
        <w:t>and</w:t>
      </w:r>
      <w:r w:rsidR="001C1ABA">
        <w:t xml:space="preserve"> </w:t>
      </w:r>
      <w:r w:rsidR="00F458BF">
        <w:t xml:space="preserve">PBC alone. </w:t>
      </w:r>
      <w:r w:rsidR="00B23167" w:rsidRPr="008B2EAB">
        <w:t xml:space="preserve">The ESC noted </w:t>
      </w:r>
      <w:r w:rsidR="00776167" w:rsidRPr="008B2EAB">
        <w:t>only</w:t>
      </w:r>
      <w:r w:rsidR="00776167" w:rsidRPr="005734A5">
        <w:t xml:space="preserve"> </w:t>
      </w:r>
      <w:r w:rsidR="00D83602" w:rsidRPr="005734A5">
        <w:t>six</w:t>
      </w:r>
      <w:r w:rsidR="00776167" w:rsidRPr="005734A5">
        <w:t xml:space="preserve"> patient</w:t>
      </w:r>
      <w:r w:rsidR="00D83602" w:rsidRPr="005734A5">
        <w:t>s</w:t>
      </w:r>
      <w:r w:rsidR="00776167" w:rsidRPr="005734A5">
        <w:t xml:space="preserve"> in</w:t>
      </w:r>
      <w:r w:rsidR="00814365" w:rsidRPr="005734A5">
        <w:t xml:space="preserve"> the</w:t>
      </w:r>
      <w:r w:rsidR="00776167" w:rsidRPr="005734A5">
        <w:t xml:space="preserve"> E2201 </w:t>
      </w:r>
      <w:r w:rsidR="00721BB8" w:rsidRPr="005734A5">
        <w:t>study</w:t>
      </w:r>
      <w:r w:rsidR="00776167" w:rsidRPr="005734A5">
        <w:t xml:space="preserve"> had an ECOG PS of 2</w:t>
      </w:r>
      <w:r w:rsidR="00BA07B1" w:rsidRPr="005734A5">
        <w:t xml:space="preserve">; </w:t>
      </w:r>
      <w:r w:rsidR="00362FA5" w:rsidRPr="005734A5">
        <w:t xml:space="preserve">one in first-line and </w:t>
      </w:r>
      <w:r w:rsidR="00106413" w:rsidRPr="005734A5">
        <w:t xml:space="preserve">five in the </w:t>
      </w:r>
      <w:r w:rsidR="0018429E" w:rsidRPr="005734A5">
        <w:t xml:space="preserve">second-line </w:t>
      </w:r>
      <w:r w:rsidR="00106413" w:rsidRPr="005734A5">
        <w:t>cohort</w:t>
      </w:r>
      <w:r w:rsidR="00776167" w:rsidRPr="005734A5">
        <w:t>.</w:t>
      </w:r>
      <w:r w:rsidR="00776167" w:rsidRPr="03CF4CC7">
        <w:rPr>
          <w:i/>
          <w:iCs/>
        </w:rPr>
        <w:t xml:space="preserve"> </w:t>
      </w:r>
    </w:p>
    <w:p w14:paraId="2B59ABAC" w14:textId="67E6EB08" w:rsidR="00862502" w:rsidRPr="009F000C" w:rsidRDefault="00A73134" w:rsidP="00F878D7">
      <w:pPr>
        <w:pStyle w:val="3-BodyText"/>
      </w:pPr>
      <w:r w:rsidRPr="009F000C">
        <w:rPr>
          <w:snapToGrid/>
          <w:lang w:val="en-US"/>
        </w:rPr>
        <w:t xml:space="preserve">Details of the trials presented in the submission are provided in </w:t>
      </w:r>
      <w:r w:rsidR="00696EF9" w:rsidRPr="009F000C">
        <w:rPr>
          <w:snapToGrid/>
          <w:lang w:val="en-US"/>
        </w:rPr>
        <w:fldChar w:fldCharType="begin"/>
      </w:r>
      <w:r w:rsidR="00696EF9" w:rsidRPr="009F000C">
        <w:rPr>
          <w:snapToGrid/>
          <w:lang w:val="en-US"/>
        </w:rPr>
        <w:instrText xml:space="preserve"> REF _Ref104803956 \h </w:instrText>
      </w:r>
      <w:r w:rsidR="00696EF9" w:rsidRPr="009F000C">
        <w:rPr>
          <w:snapToGrid/>
          <w:lang w:val="en-US"/>
        </w:rPr>
      </w:r>
      <w:r w:rsidR="00696EF9" w:rsidRPr="009F000C">
        <w:rPr>
          <w:snapToGrid/>
          <w:lang w:val="en-US"/>
        </w:rPr>
        <w:fldChar w:fldCharType="separate"/>
      </w:r>
      <w:r w:rsidR="00EF4998" w:rsidRPr="009F000C">
        <w:t xml:space="preserve">Table </w:t>
      </w:r>
      <w:r w:rsidR="00EF4998">
        <w:rPr>
          <w:noProof/>
        </w:rPr>
        <w:t>2</w:t>
      </w:r>
      <w:r w:rsidR="00696EF9" w:rsidRPr="009F000C">
        <w:rPr>
          <w:snapToGrid/>
          <w:lang w:val="en-US"/>
        </w:rPr>
        <w:fldChar w:fldCharType="end"/>
      </w:r>
      <w:r w:rsidRPr="009F000C">
        <w:rPr>
          <w:snapToGrid/>
          <w:lang w:val="en-US"/>
        </w:rPr>
        <w:t>.</w:t>
      </w:r>
      <w:r w:rsidR="00BC591F" w:rsidRPr="009F000C">
        <w:rPr>
          <w:snapToGrid/>
          <w:lang w:val="en-US"/>
        </w:rPr>
        <w:t xml:space="preserve"> </w:t>
      </w:r>
    </w:p>
    <w:p w14:paraId="7DE3A286" w14:textId="358F80EB" w:rsidR="008E0D3C" w:rsidRPr="009F000C" w:rsidRDefault="00696EF9" w:rsidP="002E4F02">
      <w:pPr>
        <w:pStyle w:val="TableFigureHeading"/>
        <w:rPr>
          <w:rStyle w:val="CommentReference"/>
          <w:b/>
          <w:szCs w:val="24"/>
        </w:rPr>
      </w:pPr>
      <w:bookmarkStart w:id="30" w:name="_Ref104803956"/>
      <w:r w:rsidRPr="009F000C">
        <w:t xml:space="preserve">Table </w:t>
      </w:r>
      <w:r w:rsidR="00E77066">
        <w:fldChar w:fldCharType="begin"/>
      </w:r>
      <w:r w:rsidR="00E77066">
        <w:instrText xml:space="preserve"> SEQ Table \* ARABIC </w:instrText>
      </w:r>
      <w:r w:rsidR="00E77066">
        <w:fldChar w:fldCharType="separate"/>
      </w:r>
      <w:r w:rsidR="00EF4998">
        <w:rPr>
          <w:noProof/>
        </w:rPr>
        <w:t>2</w:t>
      </w:r>
      <w:r w:rsidR="00E77066">
        <w:rPr>
          <w:noProof/>
        </w:rPr>
        <w:fldChar w:fldCharType="end"/>
      </w:r>
      <w:bookmarkEnd w:id="30"/>
      <w:r w:rsidRPr="009F000C">
        <w:t>:</w:t>
      </w:r>
      <w:r w:rsidR="00BC591F" w:rsidRPr="009F000C">
        <w:rPr>
          <w:rStyle w:val="CommentReference"/>
          <w:b/>
          <w:szCs w:val="24"/>
        </w:rPr>
        <w:t xml:space="preserve"> </w:t>
      </w:r>
      <w:r w:rsidR="008E0D3C" w:rsidRPr="009F000C">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5217"/>
        <w:gridCol w:w="2528"/>
      </w:tblGrid>
      <w:tr w:rsidR="009F000C" w:rsidRPr="009F000C" w14:paraId="6ACD35C4" w14:textId="77777777" w:rsidTr="00C76338">
        <w:trPr>
          <w:cantSplit/>
          <w:tblHeader/>
        </w:trPr>
        <w:tc>
          <w:tcPr>
            <w:tcW w:w="705" w:type="pct"/>
            <w:vAlign w:val="center"/>
          </w:tcPr>
          <w:p w14:paraId="20DEEB23" w14:textId="77777777" w:rsidR="008E0D3C" w:rsidRPr="009F000C" w:rsidRDefault="008E0D3C" w:rsidP="00EC5836">
            <w:pPr>
              <w:pStyle w:val="In-tableHeading"/>
              <w:jc w:val="center"/>
            </w:pPr>
            <w:r w:rsidRPr="009F000C">
              <w:t>Trial ID</w:t>
            </w:r>
          </w:p>
        </w:tc>
        <w:tc>
          <w:tcPr>
            <w:tcW w:w="2893" w:type="pct"/>
            <w:vAlign w:val="center"/>
          </w:tcPr>
          <w:p w14:paraId="22EF6C51" w14:textId="77777777" w:rsidR="008E0D3C" w:rsidRPr="009F000C" w:rsidRDefault="008E0D3C" w:rsidP="002E4F02">
            <w:pPr>
              <w:pStyle w:val="In-tableHeading"/>
            </w:pPr>
            <w:r w:rsidRPr="009F000C">
              <w:t>Protocol title/ Publication title</w:t>
            </w:r>
          </w:p>
        </w:tc>
        <w:tc>
          <w:tcPr>
            <w:tcW w:w="1402" w:type="pct"/>
            <w:vAlign w:val="center"/>
          </w:tcPr>
          <w:p w14:paraId="561B27A8" w14:textId="77777777" w:rsidR="008E0D3C" w:rsidRPr="009F000C" w:rsidRDefault="008E0D3C" w:rsidP="002E4F02">
            <w:pPr>
              <w:pStyle w:val="In-tableHeading"/>
            </w:pPr>
            <w:r w:rsidRPr="009F000C">
              <w:t>Publication citation</w:t>
            </w:r>
          </w:p>
        </w:tc>
      </w:tr>
      <w:tr w:rsidR="009F000C" w:rsidRPr="00DC439F" w14:paraId="298351BA" w14:textId="77777777" w:rsidTr="00C76338">
        <w:trPr>
          <w:cantSplit/>
        </w:trPr>
        <w:tc>
          <w:tcPr>
            <w:tcW w:w="705" w:type="pct"/>
            <w:vMerge w:val="restart"/>
            <w:vAlign w:val="center"/>
          </w:tcPr>
          <w:p w14:paraId="7A71CA80" w14:textId="67CF86F6" w:rsidR="00501A5E" w:rsidRPr="00DC439F" w:rsidRDefault="00501A5E" w:rsidP="00C21FF3">
            <w:pPr>
              <w:pStyle w:val="TableText0"/>
            </w:pPr>
            <w:r w:rsidRPr="00DC439F">
              <w:t>Study E2201</w:t>
            </w:r>
          </w:p>
          <w:p w14:paraId="104BE6FF" w14:textId="0527005A" w:rsidR="00501A5E" w:rsidRPr="00DC439F" w:rsidRDefault="00501A5E" w:rsidP="00C21FF3">
            <w:pPr>
              <w:pStyle w:val="TableText0"/>
            </w:pPr>
            <w:r w:rsidRPr="00DC439F">
              <w:t>(NCT01336634)</w:t>
            </w:r>
          </w:p>
          <w:p w14:paraId="5D9482F5" w14:textId="0BCEDD6C" w:rsidR="00501A5E" w:rsidRPr="00DC439F" w:rsidRDefault="00501A5E" w:rsidP="00EC5836">
            <w:pPr>
              <w:pStyle w:val="TableText0"/>
              <w:jc w:val="center"/>
              <w:rPr>
                <w:szCs w:val="20"/>
              </w:rPr>
            </w:pPr>
          </w:p>
        </w:tc>
        <w:tc>
          <w:tcPr>
            <w:tcW w:w="2893" w:type="pct"/>
            <w:tcBorders>
              <w:bottom w:val="nil"/>
            </w:tcBorders>
            <w:vAlign w:val="center"/>
          </w:tcPr>
          <w:p w14:paraId="2570DA6E" w14:textId="5728B672" w:rsidR="00501A5E" w:rsidRPr="00DC439F" w:rsidRDefault="00501A5E" w:rsidP="00EC5836">
            <w:pPr>
              <w:pStyle w:val="TableText0"/>
            </w:pPr>
            <w:r w:rsidRPr="00DC439F">
              <w:t>A Phase II study of the BRAF inhibitor dabrafenib as a single agent and in combination with the MEK inhibitor trametinib in subjects with BRAF V600E mutation positive metastatic (stage IV) non-small cell lung cancer</w:t>
            </w:r>
          </w:p>
        </w:tc>
        <w:tc>
          <w:tcPr>
            <w:tcW w:w="1402" w:type="pct"/>
            <w:tcBorders>
              <w:bottom w:val="nil"/>
            </w:tcBorders>
          </w:tcPr>
          <w:p w14:paraId="7578773D" w14:textId="5C837F0E" w:rsidR="00501A5E" w:rsidRPr="00DC439F" w:rsidRDefault="00501A5E" w:rsidP="00501A5E">
            <w:pPr>
              <w:pStyle w:val="TableText0"/>
              <w:rPr>
                <w:rFonts w:ascii="Times" w:hAnsi="Times"/>
              </w:rPr>
            </w:pPr>
            <w:r w:rsidRPr="00DC439F">
              <w:t>June 2021</w:t>
            </w:r>
          </w:p>
        </w:tc>
      </w:tr>
      <w:tr w:rsidR="009F000C" w:rsidRPr="00DC439F" w14:paraId="7F06C7BE" w14:textId="77777777" w:rsidTr="00C76338">
        <w:trPr>
          <w:cantSplit/>
        </w:trPr>
        <w:tc>
          <w:tcPr>
            <w:tcW w:w="705" w:type="pct"/>
            <w:vMerge/>
            <w:vAlign w:val="center"/>
          </w:tcPr>
          <w:p w14:paraId="2DE31C12" w14:textId="7BFA1DAD" w:rsidR="00501A5E" w:rsidRPr="00DC439F" w:rsidRDefault="00501A5E" w:rsidP="00EC5836">
            <w:pPr>
              <w:pStyle w:val="TableText0"/>
              <w:jc w:val="center"/>
            </w:pPr>
          </w:p>
        </w:tc>
        <w:tc>
          <w:tcPr>
            <w:tcW w:w="2893" w:type="pct"/>
            <w:tcBorders>
              <w:top w:val="nil"/>
              <w:bottom w:val="nil"/>
            </w:tcBorders>
            <w:vAlign w:val="center"/>
          </w:tcPr>
          <w:p w14:paraId="7CB8ADA9" w14:textId="38C071AC" w:rsidR="00501A5E" w:rsidRPr="00DC439F" w:rsidRDefault="00501A5E" w:rsidP="00C8303F">
            <w:pPr>
              <w:pStyle w:val="TableText0"/>
            </w:pPr>
            <w:r w:rsidRPr="00DC439F">
              <w:t xml:space="preserve">Planchard, D. et al. Phase 2 Study of Dabrafenib Plus Trametinib in Patients With BRAF V600E-Mutant Metastatic NSCLC: Updated 5-Year Survival Rates and Genomic Analysis. </w:t>
            </w:r>
          </w:p>
        </w:tc>
        <w:tc>
          <w:tcPr>
            <w:tcW w:w="1402" w:type="pct"/>
            <w:tcBorders>
              <w:top w:val="nil"/>
              <w:bottom w:val="nil"/>
            </w:tcBorders>
          </w:tcPr>
          <w:p w14:paraId="53EB2567" w14:textId="448D4E58" w:rsidR="00501A5E" w:rsidRPr="00DC439F" w:rsidRDefault="00501A5E" w:rsidP="00501A5E">
            <w:pPr>
              <w:pStyle w:val="TableText0"/>
            </w:pPr>
            <w:r w:rsidRPr="00DC439F">
              <w:rPr>
                <w:i/>
              </w:rPr>
              <w:t>Journal of Thoracic Oncology</w:t>
            </w:r>
            <w:r w:rsidRPr="00DC439F">
              <w:t xml:space="preserve"> 2022; 17(1):103-115</w:t>
            </w:r>
          </w:p>
        </w:tc>
      </w:tr>
      <w:tr w:rsidR="009F000C" w:rsidRPr="00DC439F" w14:paraId="1E6C37A9" w14:textId="77777777" w:rsidTr="00C76338">
        <w:trPr>
          <w:cantSplit/>
        </w:trPr>
        <w:tc>
          <w:tcPr>
            <w:tcW w:w="705" w:type="pct"/>
            <w:vMerge/>
            <w:vAlign w:val="center"/>
          </w:tcPr>
          <w:p w14:paraId="663DA9D0" w14:textId="77777777" w:rsidR="00501A5E" w:rsidRPr="00DC439F" w:rsidRDefault="00501A5E" w:rsidP="00501A5E">
            <w:pPr>
              <w:pStyle w:val="TableText0"/>
              <w:jc w:val="center"/>
            </w:pPr>
          </w:p>
        </w:tc>
        <w:tc>
          <w:tcPr>
            <w:tcW w:w="2893" w:type="pct"/>
            <w:tcBorders>
              <w:top w:val="nil"/>
              <w:bottom w:val="nil"/>
            </w:tcBorders>
            <w:vAlign w:val="center"/>
          </w:tcPr>
          <w:p w14:paraId="66A874BD" w14:textId="429D8CCE" w:rsidR="00501A5E" w:rsidRPr="00DC439F" w:rsidRDefault="00501A5E" w:rsidP="00501A5E">
            <w:pPr>
              <w:pStyle w:val="TableText0"/>
            </w:pPr>
            <w:r w:rsidRPr="00DC439F">
              <w:t xml:space="preserve">Planchard, D. et al. Dabrafenib plus trametinib in patients with previously untreated BRAFV600E-mutant metastatic non-small-cell lung cancer: an open-label, phase 2 trial. </w:t>
            </w:r>
          </w:p>
        </w:tc>
        <w:tc>
          <w:tcPr>
            <w:tcW w:w="1402" w:type="pct"/>
            <w:tcBorders>
              <w:top w:val="nil"/>
              <w:bottom w:val="nil"/>
            </w:tcBorders>
          </w:tcPr>
          <w:p w14:paraId="6793713E" w14:textId="4D33396E" w:rsidR="00501A5E" w:rsidRPr="00DC439F" w:rsidRDefault="00501A5E" w:rsidP="00501A5E">
            <w:pPr>
              <w:pStyle w:val="TableText0"/>
              <w:rPr>
                <w:i/>
              </w:rPr>
            </w:pPr>
            <w:r w:rsidRPr="00DC439F">
              <w:rPr>
                <w:i/>
              </w:rPr>
              <w:t>The Lancet Oncology</w:t>
            </w:r>
            <w:r w:rsidRPr="00DC439F">
              <w:t xml:space="preserve"> 2017; 18:1</w:t>
            </w:r>
            <w:r w:rsidR="008A4579" w:rsidRPr="00DC439F">
              <w:t>307-1316</w:t>
            </w:r>
          </w:p>
        </w:tc>
      </w:tr>
      <w:tr w:rsidR="009F000C" w:rsidRPr="00DC439F" w14:paraId="70B0AA93" w14:textId="77777777" w:rsidTr="00C76338">
        <w:trPr>
          <w:cantSplit/>
        </w:trPr>
        <w:tc>
          <w:tcPr>
            <w:tcW w:w="705" w:type="pct"/>
            <w:vMerge/>
            <w:tcBorders>
              <w:bottom w:val="single" w:sz="4" w:space="0" w:color="auto"/>
            </w:tcBorders>
            <w:vAlign w:val="center"/>
          </w:tcPr>
          <w:p w14:paraId="3D6BB19F" w14:textId="77777777" w:rsidR="008A4579" w:rsidRPr="00DC439F" w:rsidRDefault="008A4579" w:rsidP="008A4579">
            <w:pPr>
              <w:pStyle w:val="TableText0"/>
              <w:jc w:val="center"/>
            </w:pPr>
          </w:p>
        </w:tc>
        <w:tc>
          <w:tcPr>
            <w:tcW w:w="2893" w:type="pct"/>
            <w:tcBorders>
              <w:top w:val="nil"/>
              <w:bottom w:val="single" w:sz="4" w:space="0" w:color="auto"/>
            </w:tcBorders>
            <w:vAlign w:val="center"/>
          </w:tcPr>
          <w:p w14:paraId="6789E83E" w14:textId="79E66CDF" w:rsidR="008A4579" w:rsidRPr="00DC439F" w:rsidRDefault="008A4579" w:rsidP="008A4579">
            <w:pPr>
              <w:pStyle w:val="TableText0"/>
            </w:pPr>
            <w:r w:rsidRPr="00DC439F">
              <w:t xml:space="preserve">Planchard, D. et al. Dabrafenib plus trametinib in patients with previously treated BRAFV600E-mutant metastatic non-small cell lung cancer: an open-label, multicentre phase 2 trial. </w:t>
            </w:r>
          </w:p>
        </w:tc>
        <w:tc>
          <w:tcPr>
            <w:tcW w:w="1402" w:type="pct"/>
            <w:tcBorders>
              <w:top w:val="nil"/>
              <w:bottom w:val="single" w:sz="4" w:space="0" w:color="auto"/>
            </w:tcBorders>
          </w:tcPr>
          <w:p w14:paraId="309F774E" w14:textId="412F0987" w:rsidR="008A4579" w:rsidRPr="00DC439F" w:rsidRDefault="008A4579" w:rsidP="008A4579">
            <w:pPr>
              <w:pStyle w:val="TableText0"/>
              <w:rPr>
                <w:i/>
              </w:rPr>
            </w:pPr>
            <w:r w:rsidRPr="00DC439F">
              <w:rPr>
                <w:i/>
              </w:rPr>
              <w:t>The Lancet Oncology</w:t>
            </w:r>
            <w:r w:rsidRPr="00DC439F">
              <w:t xml:space="preserve"> 2016; 17:984-993</w:t>
            </w:r>
          </w:p>
        </w:tc>
      </w:tr>
      <w:tr w:rsidR="009F000C" w:rsidRPr="00DC439F" w14:paraId="74132A1A" w14:textId="77777777" w:rsidTr="00C76338">
        <w:trPr>
          <w:cantSplit/>
          <w:trHeight w:val="688"/>
        </w:trPr>
        <w:tc>
          <w:tcPr>
            <w:tcW w:w="705" w:type="pct"/>
            <w:vMerge w:val="restart"/>
            <w:vAlign w:val="center"/>
          </w:tcPr>
          <w:p w14:paraId="45F03E70" w14:textId="77777777" w:rsidR="00237220" w:rsidRPr="00DC439F" w:rsidRDefault="00237220" w:rsidP="00237220">
            <w:pPr>
              <w:pStyle w:val="TableText0"/>
            </w:pPr>
            <w:r w:rsidRPr="00DC439F">
              <w:t>KN-189</w:t>
            </w:r>
          </w:p>
          <w:p w14:paraId="22D1283C" w14:textId="77777777" w:rsidR="00364DA2" w:rsidRDefault="00237220" w:rsidP="00237220">
            <w:pPr>
              <w:pStyle w:val="TableText0"/>
            </w:pPr>
            <w:r w:rsidRPr="00DC439F">
              <w:t>(NCT02578680)</w:t>
            </w:r>
          </w:p>
          <w:p w14:paraId="30BA87AC" w14:textId="4D01499B" w:rsidR="00D34E75" w:rsidRPr="00DC439F" w:rsidRDefault="00D34E75" w:rsidP="00237220">
            <w:pPr>
              <w:pStyle w:val="TableText0"/>
              <w:rPr>
                <w:rFonts w:ascii="Times" w:hAnsi="Times"/>
              </w:rPr>
            </w:pPr>
            <w:r w:rsidRPr="00E7485F">
              <w:t>(NCT03950674)</w:t>
            </w:r>
          </w:p>
        </w:tc>
        <w:tc>
          <w:tcPr>
            <w:tcW w:w="2893" w:type="pct"/>
            <w:tcBorders>
              <w:bottom w:val="nil"/>
              <w:right w:val="single" w:sz="4" w:space="0" w:color="auto"/>
            </w:tcBorders>
          </w:tcPr>
          <w:p w14:paraId="7EF3AEBB" w14:textId="561BF8CD" w:rsidR="00364DA2" w:rsidRPr="00DC439F" w:rsidRDefault="00364DA2" w:rsidP="00364DA2">
            <w:pPr>
              <w:pStyle w:val="TableText0"/>
              <w:rPr>
                <w:rFonts w:ascii="Times" w:hAnsi="Times"/>
              </w:rPr>
            </w:pPr>
            <w:proofErr w:type="spellStart"/>
            <w:r w:rsidRPr="00DC439F">
              <w:t>Garassino</w:t>
            </w:r>
            <w:proofErr w:type="spellEnd"/>
            <w:r w:rsidRPr="00DC439F">
              <w:t>, M. et al. Pembrolizumab plus pemetrexed and platinum in non-squamous non-small cell lung cancer: 5-year outcomes from the Phase 3 KEYNOTE-189 study.</w:t>
            </w:r>
          </w:p>
        </w:tc>
        <w:tc>
          <w:tcPr>
            <w:tcW w:w="1402" w:type="pct"/>
            <w:tcBorders>
              <w:left w:val="single" w:sz="4" w:space="0" w:color="auto"/>
              <w:bottom w:val="nil"/>
            </w:tcBorders>
          </w:tcPr>
          <w:p w14:paraId="65832AF0" w14:textId="79E327BB" w:rsidR="00364DA2" w:rsidRPr="00DC439F" w:rsidRDefault="00364DA2" w:rsidP="00364DA2">
            <w:pPr>
              <w:pStyle w:val="TableText0"/>
            </w:pPr>
            <w:r w:rsidRPr="00DC439F">
              <w:rPr>
                <w:i/>
                <w:iCs/>
              </w:rPr>
              <w:t>Journal of Clinical Oncology</w:t>
            </w:r>
            <w:r w:rsidRPr="00DC439F">
              <w:t xml:space="preserve"> 2023; 41(11):1992-1998.</w:t>
            </w:r>
          </w:p>
        </w:tc>
      </w:tr>
      <w:tr w:rsidR="009F000C" w:rsidRPr="00DC439F" w14:paraId="340757F6" w14:textId="77777777" w:rsidTr="00C76338">
        <w:trPr>
          <w:cantSplit/>
        </w:trPr>
        <w:tc>
          <w:tcPr>
            <w:tcW w:w="705" w:type="pct"/>
            <w:vMerge/>
            <w:vAlign w:val="center"/>
          </w:tcPr>
          <w:p w14:paraId="2C60D627" w14:textId="77777777" w:rsidR="00364DA2" w:rsidRPr="00DC439F" w:rsidRDefault="00364DA2" w:rsidP="008A4579">
            <w:pPr>
              <w:pStyle w:val="TableText0"/>
              <w:jc w:val="center"/>
            </w:pPr>
          </w:p>
        </w:tc>
        <w:tc>
          <w:tcPr>
            <w:tcW w:w="2893" w:type="pct"/>
            <w:tcBorders>
              <w:top w:val="nil"/>
              <w:bottom w:val="nil"/>
              <w:right w:val="single" w:sz="4" w:space="0" w:color="auto"/>
            </w:tcBorders>
          </w:tcPr>
          <w:p w14:paraId="1A045230" w14:textId="4B47B14F" w:rsidR="00364DA2" w:rsidRPr="00DC439F" w:rsidRDefault="001C24CC" w:rsidP="00364DA2">
            <w:pPr>
              <w:pStyle w:val="TableText0"/>
            </w:pPr>
            <w:proofErr w:type="spellStart"/>
            <w:r w:rsidRPr="00DC439F">
              <w:t>Gadgeel</w:t>
            </w:r>
            <w:proofErr w:type="spellEnd"/>
            <w:r w:rsidRPr="00DC439F">
              <w:t>, S. et al. Updated analysis from KEYNOTE-189: pembrolizumab or placebo plus pemetrexed and platinum for previously untreated metastatic non squamous non-small cell lung cancer.</w:t>
            </w:r>
          </w:p>
        </w:tc>
        <w:tc>
          <w:tcPr>
            <w:tcW w:w="1402" w:type="pct"/>
            <w:tcBorders>
              <w:top w:val="nil"/>
              <w:left w:val="single" w:sz="4" w:space="0" w:color="auto"/>
              <w:bottom w:val="nil"/>
            </w:tcBorders>
          </w:tcPr>
          <w:p w14:paraId="32D1C1DF" w14:textId="7C984D87" w:rsidR="00364DA2" w:rsidRPr="00DC439F" w:rsidRDefault="005A2E40" w:rsidP="00364DA2">
            <w:pPr>
              <w:pStyle w:val="TableText0"/>
              <w:rPr>
                <w:rFonts w:ascii="Times" w:hAnsi="Times"/>
              </w:rPr>
            </w:pPr>
            <w:r w:rsidRPr="00DC439F">
              <w:rPr>
                <w:i/>
                <w:iCs/>
              </w:rPr>
              <w:t xml:space="preserve">Journal of Clinical Oncology </w:t>
            </w:r>
            <w:r w:rsidRPr="00DC439F">
              <w:t>2020; 38(14):1505-1517.</w:t>
            </w:r>
          </w:p>
        </w:tc>
      </w:tr>
      <w:tr w:rsidR="009F000C" w:rsidRPr="00DC439F" w14:paraId="0AC617C6" w14:textId="77777777" w:rsidTr="00C76338">
        <w:trPr>
          <w:cantSplit/>
        </w:trPr>
        <w:tc>
          <w:tcPr>
            <w:tcW w:w="705" w:type="pct"/>
            <w:vMerge/>
            <w:vAlign w:val="center"/>
          </w:tcPr>
          <w:p w14:paraId="5A0777A8" w14:textId="77777777" w:rsidR="00364DA2" w:rsidRPr="00DC439F" w:rsidRDefault="00364DA2" w:rsidP="008A4579">
            <w:pPr>
              <w:pStyle w:val="TableText0"/>
              <w:jc w:val="center"/>
            </w:pPr>
          </w:p>
        </w:tc>
        <w:tc>
          <w:tcPr>
            <w:tcW w:w="2893" w:type="pct"/>
            <w:tcBorders>
              <w:top w:val="nil"/>
              <w:bottom w:val="single" w:sz="4" w:space="0" w:color="auto"/>
              <w:right w:val="single" w:sz="4" w:space="0" w:color="auto"/>
            </w:tcBorders>
          </w:tcPr>
          <w:p w14:paraId="6B863B33" w14:textId="23D7689E" w:rsidR="00364DA2" w:rsidRPr="00DC439F" w:rsidRDefault="00E57686" w:rsidP="00364DA2">
            <w:pPr>
              <w:pStyle w:val="TableText0"/>
            </w:pPr>
            <w:r w:rsidRPr="00DC439F">
              <w:t>Gandhi, L. et al. Pembrolizumab plus chemotherapy in metastatic non-small cell lung cancer.</w:t>
            </w:r>
          </w:p>
        </w:tc>
        <w:tc>
          <w:tcPr>
            <w:tcW w:w="1402" w:type="pct"/>
            <w:tcBorders>
              <w:top w:val="nil"/>
              <w:left w:val="single" w:sz="4" w:space="0" w:color="auto"/>
              <w:bottom w:val="single" w:sz="4" w:space="0" w:color="auto"/>
            </w:tcBorders>
          </w:tcPr>
          <w:p w14:paraId="179A0532" w14:textId="5765EF40" w:rsidR="00364DA2" w:rsidRPr="00DC439F" w:rsidRDefault="00C729C8" w:rsidP="00364DA2">
            <w:pPr>
              <w:pStyle w:val="TableText0"/>
              <w:rPr>
                <w:i/>
              </w:rPr>
            </w:pPr>
            <w:r w:rsidRPr="00DC439F">
              <w:rPr>
                <w:i/>
              </w:rPr>
              <w:t xml:space="preserve">New England Journal of Medicine </w:t>
            </w:r>
            <w:r w:rsidRPr="00DC439F">
              <w:rPr>
                <w:iCs/>
              </w:rPr>
              <w:t>2018; 378(22):2078-2092.</w:t>
            </w:r>
          </w:p>
        </w:tc>
      </w:tr>
      <w:tr w:rsidR="009F000C" w:rsidRPr="00DC439F" w14:paraId="400ADAF8" w14:textId="77777777" w:rsidTr="00C76338">
        <w:trPr>
          <w:cantSplit/>
        </w:trPr>
        <w:tc>
          <w:tcPr>
            <w:tcW w:w="705" w:type="pct"/>
            <w:vMerge w:val="restart"/>
            <w:tcBorders>
              <w:top w:val="single" w:sz="4" w:space="0" w:color="auto"/>
            </w:tcBorders>
            <w:vAlign w:val="center"/>
          </w:tcPr>
          <w:p w14:paraId="0E25BD46" w14:textId="77777777" w:rsidR="000D19AE" w:rsidRPr="00DC439F" w:rsidRDefault="000D19AE" w:rsidP="007E0E46">
            <w:pPr>
              <w:pStyle w:val="TableText0"/>
            </w:pPr>
            <w:r w:rsidRPr="00DC439F">
              <w:t>KN-407</w:t>
            </w:r>
          </w:p>
          <w:p w14:paraId="18C64AF1" w14:textId="58DADD80" w:rsidR="000D19AE" w:rsidRPr="00DC439F" w:rsidRDefault="000D19AE" w:rsidP="007E0E46">
            <w:pPr>
              <w:pStyle w:val="TableText0"/>
            </w:pPr>
            <w:r w:rsidRPr="00DC439F">
              <w:t>(NCT02775435)</w:t>
            </w:r>
          </w:p>
        </w:tc>
        <w:tc>
          <w:tcPr>
            <w:tcW w:w="2893" w:type="pct"/>
            <w:tcBorders>
              <w:top w:val="single" w:sz="4" w:space="0" w:color="auto"/>
              <w:bottom w:val="nil"/>
            </w:tcBorders>
          </w:tcPr>
          <w:p w14:paraId="0A35B979" w14:textId="2819B080" w:rsidR="000D19AE" w:rsidRPr="00DC439F" w:rsidRDefault="000D19AE" w:rsidP="00364DA2">
            <w:pPr>
              <w:pStyle w:val="TableText0"/>
            </w:pPr>
            <w:r w:rsidRPr="00DC439F">
              <w:t xml:space="preserve">Novello, S. et al. Pembrolizumab plus chemotherapy in squamous non-small cell lung cancer: 5-year update of the Phase III </w:t>
            </w:r>
          </w:p>
        </w:tc>
        <w:tc>
          <w:tcPr>
            <w:tcW w:w="1402" w:type="pct"/>
            <w:tcBorders>
              <w:top w:val="single" w:sz="4" w:space="0" w:color="auto"/>
              <w:bottom w:val="nil"/>
            </w:tcBorders>
          </w:tcPr>
          <w:p w14:paraId="4A191A18" w14:textId="7C0358B0" w:rsidR="000D19AE" w:rsidRPr="00DC439F" w:rsidRDefault="000D19AE" w:rsidP="00364DA2">
            <w:pPr>
              <w:pStyle w:val="TableText0"/>
              <w:rPr>
                <w:rFonts w:ascii="Times" w:hAnsi="Times"/>
              </w:rPr>
            </w:pPr>
            <w:r w:rsidRPr="00DC439F">
              <w:rPr>
                <w:i/>
              </w:rPr>
              <w:t>Journal of Clinical Oncology</w:t>
            </w:r>
            <w:r w:rsidRPr="00DC439F">
              <w:rPr>
                <w:rFonts w:ascii="Times" w:hAnsi="Times"/>
              </w:rPr>
              <w:t xml:space="preserve"> </w:t>
            </w:r>
            <w:r w:rsidRPr="00DC439F">
              <w:t>2023; 41(11):1999-2006.</w:t>
            </w:r>
          </w:p>
        </w:tc>
      </w:tr>
      <w:tr w:rsidR="009F000C" w:rsidRPr="00DC439F" w14:paraId="41C649CA" w14:textId="77777777" w:rsidTr="00C76338">
        <w:trPr>
          <w:cantSplit/>
        </w:trPr>
        <w:tc>
          <w:tcPr>
            <w:tcW w:w="705" w:type="pct"/>
            <w:vMerge/>
            <w:vAlign w:val="center"/>
          </w:tcPr>
          <w:p w14:paraId="1B6E3158" w14:textId="77777777" w:rsidR="000D19AE" w:rsidRPr="00DC439F" w:rsidRDefault="000D19AE" w:rsidP="0044445E">
            <w:pPr>
              <w:pStyle w:val="Tabletext"/>
              <w:keepNext/>
              <w:keepLines/>
            </w:pPr>
          </w:p>
        </w:tc>
        <w:tc>
          <w:tcPr>
            <w:tcW w:w="2893" w:type="pct"/>
            <w:tcBorders>
              <w:top w:val="nil"/>
              <w:bottom w:val="nil"/>
            </w:tcBorders>
            <w:vAlign w:val="center"/>
          </w:tcPr>
          <w:p w14:paraId="6D67C007" w14:textId="0BF820F2" w:rsidR="000D19AE" w:rsidRPr="00DC439F" w:rsidRDefault="000D19AE" w:rsidP="0044445E">
            <w:pPr>
              <w:pStyle w:val="TableText0"/>
            </w:pPr>
            <w:r w:rsidRPr="00DC439F">
              <w:t>Paz-Ares, L. et al. A randomized, placebo-controlled trial of pembrolizumab plus chemotherapy in patients with metastatic squamous NSCLC: protocol specified final analysis of KEYNOTE 407.</w:t>
            </w:r>
          </w:p>
        </w:tc>
        <w:tc>
          <w:tcPr>
            <w:tcW w:w="1402" w:type="pct"/>
            <w:tcBorders>
              <w:top w:val="nil"/>
              <w:bottom w:val="nil"/>
            </w:tcBorders>
          </w:tcPr>
          <w:p w14:paraId="403EBC30" w14:textId="276E4629" w:rsidR="000D19AE" w:rsidRPr="00DC439F" w:rsidRDefault="000D19AE" w:rsidP="0044445E">
            <w:pPr>
              <w:pStyle w:val="TableText0"/>
              <w:rPr>
                <w:i/>
              </w:rPr>
            </w:pPr>
            <w:r w:rsidRPr="00DC439F">
              <w:rPr>
                <w:i/>
                <w:iCs/>
              </w:rPr>
              <w:t>Journal of Thoracic Oncology</w:t>
            </w:r>
            <w:r w:rsidRPr="00DC439F">
              <w:t xml:space="preserve"> 2020; 15(10):1657-1669. </w:t>
            </w:r>
          </w:p>
        </w:tc>
      </w:tr>
      <w:tr w:rsidR="009F000C" w:rsidRPr="00DC439F" w14:paraId="363F8071" w14:textId="77777777" w:rsidTr="00C76338">
        <w:trPr>
          <w:cantSplit/>
        </w:trPr>
        <w:tc>
          <w:tcPr>
            <w:tcW w:w="705" w:type="pct"/>
            <w:vMerge/>
            <w:vAlign w:val="center"/>
          </w:tcPr>
          <w:p w14:paraId="2BAA921E" w14:textId="77777777" w:rsidR="000D19AE" w:rsidRPr="00DC439F" w:rsidRDefault="000D19AE" w:rsidP="0044445E">
            <w:pPr>
              <w:pStyle w:val="Tabletext"/>
              <w:keepNext/>
              <w:keepLines/>
            </w:pPr>
          </w:p>
        </w:tc>
        <w:tc>
          <w:tcPr>
            <w:tcW w:w="2893" w:type="pct"/>
            <w:tcBorders>
              <w:top w:val="nil"/>
              <w:bottom w:val="single" w:sz="4" w:space="0" w:color="auto"/>
            </w:tcBorders>
          </w:tcPr>
          <w:p w14:paraId="49B44477" w14:textId="5EB323D4" w:rsidR="000D19AE" w:rsidRPr="00DC439F" w:rsidRDefault="000D19AE" w:rsidP="0044445E">
            <w:pPr>
              <w:pStyle w:val="TableText0"/>
            </w:pPr>
            <w:r w:rsidRPr="00DC439F">
              <w:t>Paz-Ares, L. et al Pembrolizumab plus chemotherapy for squamous non-small cell lung cancer.</w:t>
            </w:r>
          </w:p>
        </w:tc>
        <w:tc>
          <w:tcPr>
            <w:tcW w:w="1402" w:type="pct"/>
            <w:tcBorders>
              <w:top w:val="nil"/>
              <w:bottom w:val="single" w:sz="4" w:space="0" w:color="auto"/>
            </w:tcBorders>
          </w:tcPr>
          <w:p w14:paraId="23B37295" w14:textId="4C864DDD" w:rsidR="000D19AE" w:rsidRPr="00DC439F" w:rsidRDefault="000D19AE" w:rsidP="0044445E">
            <w:pPr>
              <w:pStyle w:val="TableText0"/>
              <w:rPr>
                <w:i/>
              </w:rPr>
            </w:pPr>
            <w:r w:rsidRPr="00DC439F">
              <w:rPr>
                <w:i/>
                <w:iCs/>
              </w:rPr>
              <w:t>New England Journal of Medicine</w:t>
            </w:r>
            <w:r w:rsidRPr="00DC439F">
              <w:t xml:space="preserve"> 2018; 379(21):2040-2051. </w:t>
            </w:r>
          </w:p>
        </w:tc>
      </w:tr>
    </w:tbl>
    <w:p w14:paraId="51D8173A" w14:textId="7D8C9246" w:rsidR="008E0D3C" w:rsidRPr="00DC439F" w:rsidRDefault="008E0D3C" w:rsidP="00B01BBD">
      <w:pPr>
        <w:pStyle w:val="FooterTableFigure"/>
        <w:tabs>
          <w:tab w:val="left" w:pos="5960"/>
        </w:tabs>
        <w:rPr>
          <w:sz w:val="20"/>
        </w:rPr>
      </w:pPr>
      <w:r w:rsidRPr="00DC439F">
        <w:t xml:space="preserve">Source: </w:t>
      </w:r>
      <w:r w:rsidR="00E27F19" w:rsidRPr="00DC439F">
        <w:t xml:space="preserve">Table 2.7, pp40-41 of the submission. </w:t>
      </w:r>
      <w:r w:rsidR="00B01BBD" w:rsidRPr="00DC439F">
        <w:tab/>
      </w:r>
    </w:p>
    <w:p w14:paraId="1DD06D7D" w14:textId="2E79B1B7" w:rsidR="007F1017" w:rsidRPr="00DC439F" w:rsidRDefault="008F120A" w:rsidP="00EC5836">
      <w:pPr>
        <w:pStyle w:val="3-BodyText"/>
      </w:pPr>
      <w:r w:rsidRPr="00DC439F">
        <w:t xml:space="preserve">The key features of the </w:t>
      </w:r>
      <w:r w:rsidR="00621ADA" w:rsidRPr="00DC439F">
        <w:t>included evidence</w:t>
      </w:r>
      <w:r w:rsidRPr="00DC439F">
        <w:t xml:space="preserve"> are summarised in</w:t>
      </w:r>
      <w:r w:rsidR="00D6076E" w:rsidRPr="00DC439F">
        <w:t xml:space="preserve"> </w:t>
      </w:r>
      <w:r w:rsidR="006F07E4" w:rsidRPr="00DC439F">
        <w:fldChar w:fldCharType="begin"/>
      </w:r>
      <w:r w:rsidR="006F07E4" w:rsidRPr="00DC439F">
        <w:instrText xml:space="preserve"> REF _Ref185589693 \h </w:instrText>
      </w:r>
      <w:r w:rsidR="00DC439F">
        <w:instrText xml:space="preserve"> \* MERGEFORMAT </w:instrText>
      </w:r>
      <w:r w:rsidR="006F07E4" w:rsidRPr="00DC439F">
        <w:fldChar w:fldCharType="separate"/>
      </w:r>
      <w:r w:rsidR="00EF4998" w:rsidRPr="00DC439F">
        <w:t xml:space="preserve">Table </w:t>
      </w:r>
      <w:r w:rsidR="00EF4998">
        <w:rPr>
          <w:noProof/>
        </w:rPr>
        <w:t>3</w:t>
      </w:r>
      <w:r w:rsidR="006F07E4" w:rsidRPr="00DC439F">
        <w:fldChar w:fldCharType="end"/>
      </w:r>
      <w:r w:rsidR="006F07E4" w:rsidRPr="00DC439F">
        <w:t>.</w:t>
      </w:r>
    </w:p>
    <w:p w14:paraId="52B477B2" w14:textId="2EB7E1A7" w:rsidR="007F1017" w:rsidRPr="00DC439F" w:rsidRDefault="00D6076E" w:rsidP="00D6076E">
      <w:pPr>
        <w:pStyle w:val="TableFigureHeading"/>
        <w:rPr>
          <w:rStyle w:val="CommentReference"/>
          <w:b/>
          <w:szCs w:val="24"/>
        </w:rPr>
      </w:pPr>
      <w:bookmarkStart w:id="31" w:name="_Ref185589693"/>
      <w:r w:rsidRPr="00DC439F">
        <w:lastRenderedPageBreak/>
        <w:t xml:space="preserve">Table </w:t>
      </w:r>
      <w:r w:rsidR="00E77066">
        <w:fldChar w:fldCharType="begin"/>
      </w:r>
      <w:r w:rsidR="00E77066">
        <w:instrText xml:space="preserve"> SEQ Table \* ARABIC </w:instrText>
      </w:r>
      <w:r w:rsidR="00E77066">
        <w:fldChar w:fldCharType="separate"/>
      </w:r>
      <w:r w:rsidR="00EF4998">
        <w:rPr>
          <w:noProof/>
        </w:rPr>
        <w:t>3</w:t>
      </w:r>
      <w:r w:rsidR="00E77066">
        <w:rPr>
          <w:noProof/>
        </w:rPr>
        <w:fldChar w:fldCharType="end"/>
      </w:r>
      <w:bookmarkEnd w:id="31"/>
      <w:r w:rsidRPr="00DC439F">
        <w:t xml:space="preserve">: </w:t>
      </w:r>
      <w:r w:rsidR="007F1017" w:rsidRPr="00DC439F">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1"/>
        <w:gridCol w:w="1279"/>
        <w:gridCol w:w="1978"/>
        <w:gridCol w:w="994"/>
        <w:gridCol w:w="2729"/>
        <w:gridCol w:w="1336"/>
      </w:tblGrid>
      <w:tr w:rsidR="009F000C" w:rsidRPr="00DC439F" w14:paraId="10B72AE4" w14:textId="77777777" w:rsidTr="03CF4CC7">
        <w:trPr>
          <w:tblHeader/>
        </w:trPr>
        <w:tc>
          <w:tcPr>
            <w:tcW w:w="389" w:type="pct"/>
            <w:shd w:val="clear" w:color="auto" w:fill="auto"/>
            <w:vAlign w:val="center"/>
          </w:tcPr>
          <w:p w14:paraId="7060CCBD" w14:textId="77777777" w:rsidR="009E3818" w:rsidRPr="00DC439F" w:rsidRDefault="009E3818" w:rsidP="001E34DF">
            <w:pPr>
              <w:pStyle w:val="In-tableHeading"/>
            </w:pPr>
            <w:r w:rsidRPr="00DC439F">
              <w:t>Trial</w:t>
            </w:r>
          </w:p>
        </w:tc>
        <w:tc>
          <w:tcPr>
            <w:tcW w:w="709" w:type="pct"/>
            <w:shd w:val="clear" w:color="auto" w:fill="auto"/>
            <w:vAlign w:val="center"/>
          </w:tcPr>
          <w:p w14:paraId="4C9B7023" w14:textId="77777777" w:rsidR="009E3818" w:rsidRPr="00DC439F" w:rsidRDefault="009E3818" w:rsidP="00EC5836">
            <w:pPr>
              <w:pStyle w:val="In-tableHeading"/>
              <w:jc w:val="center"/>
            </w:pPr>
            <w:r w:rsidRPr="00DC439F">
              <w:t>N</w:t>
            </w:r>
          </w:p>
        </w:tc>
        <w:tc>
          <w:tcPr>
            <w:tcW w:w="1097" w:type="pct"/>
            <w:shd w:val="clear" w:color="auto" w:fill="auto"/>
            <w:vAlign w:val="center"/>
          </w:tcPr>
          <w:p w14:paraId="0229C3C3" w14:textId="06A347A0" w:rsidR="009E3818" w:rsidRPr="00DC439F" w:rsidRDefault="009E3818" w:rsidP="00EC5836">
            <w:pPr>
              <w:pStyle w:val="In-tableHeading"/>
              <w:jc w:val="center"/>
            </w:pPr>
            <w:r w:rsidRPr="00DC439F">
              <w:t xml:space="preserve">Design/ </w:t>
            </w:r>
            <w:r w:rsidR="00A165F8" w:rsidRPr="00DC439F">
              <w:t xml:space="preserve">median </w:t>
            </w:r>
            <w:r w:rsidRPr="00DC439F">
              <w:t>duration</w:t>
            </w:r>
            <w:r w:rsidR="00A165F8" w:rsidRPr="00DC439F">
              <w:t xml:space="preserve"> of follow-up</w:t>
            </w:r>
          </w:p>
        </w:tc>
        <w:tc>
          <w:tcPr>
            <w:tcW w:w="551" w:type="pct"/>
            <w:shd w:val="clear" w:color="auto" w:fill="auto"/>
            <w:vAlign w:val="center"/>
          </w:tcPr>
          <w:p w14:paraId="1747C98A" w14:textId="090EB7E4" w:rsidR="009E3818" w:rsidRPr="00DC439F" w:rsidRDefault="009E3818" w:rsidP="00B56648">
            <w:pPr>
              <w:pStyle w:val="In-tableHeading"/>
            </w:pPr>
            <w:r w:rsidRPr="00DC439F">
              <w:t>Risk of bias</w:t>
            </w:r>
            <w:r w:rsidR="00B56648" w:rsidRPr="00DC439F">
              <w:t xml:space="preserve"> </w:t>
            </w:r>
            <w:r w:rsidR="00DC439F">
              <w:t>for ITC</w:t>
            </w:r>
          </w:p>
        </w:tc>
        <w:tc>
          <w:tcPr>
            <w:tcW w:w="1513" w:type="pct"/>
            <w:shd w:val="clear" w:color="auto" w:fill="auto"/>
            <w:vAlign w:val="center"/>
          </w:tcPr>
          <w:p w14:paraId="380B615E" w14:textId="77777777" w:rsidR="009E3818" w:rsidRPr="00DC439F" w:rsidRDefault="009E3818" w:rsidP="00EC5836">
            <w:pPr>
              <w:pStyle w:val="In-tableHeading"/>
              <w:jc w:val="center"/>
            </w:pPr>
            <w:r w:rsidRPr="00DC439F">
              <w:t>Patient population</w:t>
            </w:r>
          </w:p>
        </w:tc>
        <w:tc>
          <w:tcPr>
            <w:tcW w:w="741" w:type="pct"/>
            <w:shd w:val="clear" w:color="auto" w:fill="auto"/>
            <w:vAlign w:val="center"/>
          </w:tcPr>
          <w:p w14:paraId="27A32067" w14:textId="7CF63F0A" w:rsidR="009E3818" w:rsidRPr="00DC439F" w:rsidRDefault="009E3818" w:rsidP="00EC5836">
            <w:pPr>
              <w:pStyle w:val="In-tableHeading"/>
              <w:jc w:val="center"/>
            </w:pPr>
            <w:r w:rsidRPr="00DC439F">
              <w:t>Outcomes</w:t>
            </w:r>
          </w:p>
        </w:tc>
      </w:tr>
      <w:tr w:rsidR="009F000C" w:rsidRPr="00DC439F" w14:paraId="20387E42" w14:textId="77777777" w:rsidTr="03CF4CC7">
        <w:tc>
          <w:tcPr>
            <w:tcW w:w="5000" w:type="pct"/>
            <w:gridSpan w:val="6"/>
            <w:shd w:val="clear" w:color="auto" w:fill="auto"/>
            <w:vAlign w:val="center"/>
          </w:tcPr>
          <w:p w14:paraId="2E415FBD" w14:textId="5ABA91E6" w:rsidR="009E3818" w:rsidRPr="00DC439F" w:rsidRDefault="009E3818" w:rsidP="00EC5836">
            <w:pPr>
              <w:pStyle w:val="In-tableHeading"/>
            </w:pPr>
            <w:r w:rsidRPr="00DC439F">
              <w:t>Dabrafenib with trametinib</w:t>
            </w:r>
          </w:p>
        </w:tc>
      </w:tr>
      <w:tr w:rsidR="009F000C" w:rsidRPr="00DC439F" w14:paraId="74F8AA01" w14:textId="77777777" w:rsidTr="03CF4CC7">
        <w:tc>
          <w:tcPr>
            <w:tcW w:w="389" w:type="pct"/>
            <w:shd w:val="clear" w:color="auto" w:fill="auto"/>
            <w:vAlign w:val="center"/>
          </w:tcPr>
          <w:p w14:paraId="32507EF2" w14:textId="18C58832" w:rsidR="00B56648" w:rsidRPr="00DC439F" w:rsidRDefault="00B56648" w:rsidP="00EC5836">
            <w:pPr>
              <w:pStyle w:val="TableText0"/>
              <w:rPr>
                <w:lang w:val="en-US"/>
              </w:rPr>
            </w:pPr>
            <w:r w:rsidRPr="00DC439F">
              <w:rPr>
                <w:lang w:val="en-US"/>
              </w:rPr>
              <w:t>E2201</w:t>
            </w:r>
          </w:p>
        </w:tc>
        <w:tc>
          <w:tcPr>
            <w:tcW w:w="709" w:type="pct"/>
            <w:shd w:val="clear" w:color="auto" w:fill="auto"/>
            <w:vAlign w:val="center"/>
          </w:tcPr>
          <w:p w14:paraId="4ABD0231" w14:textId="2592D4EA" w:rsidR="00CD6F76" w:rsidRPr="00DC439F" w:rsidRDefault="087B1A16" w:rsidP="00D71823">
            <w:pPr>
              <w:pStyle w:val="TableText0"/>
              <w:jc w:val="center"/>
              <w:rPr>
                <w:lang w:val="en-US"/>
              </w:rPr>
            </w:pPr>
            <w:r w:rsidRPr="03CF4CC7">
              <w:rPr>
                <w:lang w:val="en-US"/>
              </w:rPr>
              <w:t>Total: 93</w:t>
            </w:r>
            <w:r w:rsidR="00906C89">
              <w:rPr>
                <w:lang w:val="en-US"/>
              </w:rPr>
              <w:t xml:space="preserve"> </w:t>
            </w:r>
            <w:proofErr w:type="gramStart"/>
            <w:r w:rsidR="00906C89" w:rsidRPr="00906C89">
              <w:rPr>
                <w:vertAlign w:val="superscript"/>
                <w:lang w:val="en-US"/>
              </w:rPr>
              <w:t>a</w:t>
            </w:r>
            <w:r w:rsidRPr="03CF4CC7">
              <w:rPr>
                <w:lang w:val="en-US"/>
              </w:rPr>
              <w:t>;</w:t>
            </w:r>
            <w:proofErr w:type="gramEnd"/>
            <w:r w:rsidRPr="03CF4CC7">
              <w:rPr>
                <w:lang w:val="en-US"/>
              </w:rPr>
              <w:t xml:space="preserve"> </w:t>
            </w:r>
          </w:p>
          <w:p w14:paraId="5028E91B" w14:textId="63941B34" w:rsidR="00B56648" w:rsidRPr="00DC439F" w:rsidRDefault="00CD6F76" w:rsidP="00D71823">
            <w:pPr>
              <w:pStyle w:val="TableText0"/>
              <w:jc w:val="center"/>
              <w:rPr>
                <w:lang w:val="en-US"/>
              </w:rPr>
            </w:pPr>
            <w:r w:rsidRPr="00DC439F">
              <w:rPr>
                <w:lang w:val="en-US"/>
              </w:rPr>
              <w:t>1st Line D+T</w:t>
            </w:r>
            <w:r w:rsidR="00B56648" w:rsidRPr="00DC439F">
              <w:rPr>
                <w:lang w:val="en-US"/>
              </w:rPr>
              <w:t xml:space="preserve">: </w:t>
            </w:r>
            <w:r w:rsidR="00D34E75">
              <w:rPr>
                <w:lang w:val="en-US"/>
              </w:rPr>
              <w:t>36</w:t>
            </w:r>
          </w:p>
          <w:p w14:paraId="5522E301" w14:textId="48CC448A" w:rsidR="00B56648" w:rsidRPr="00DC439F" w:rsidRDefault="00CD6F76" w:rsidP="005A4360">
            <w:pPr>
              <w:pStyle w:val="TableText0"/>
              <w:jc w:val="center"/>
              <w:rPr>
                <w:lang w:val="en-US"/>
              </w:rPr>
            </w:pPr>
            <w:r w:rsidRPr="00DC439F">
              <w:rPr>
                <w:lang w:val="en-US"/>
              </w:rPr>
              <w:t>2</w:t>
            </w:r>
            <w:r w:rsidRPr="00DC439F">
              <w:rPr>
                <w:vertAlign w:val="superscript"/>
                <w:lang w:val="en-US"/>
              </w:rPr>
              <w:t>nd</w:t>
            </w:r>
            <w:r w:rsidRPr="00DC439F">
              <w:rPr>
                <w:lang w:val="en-US"/>
              </w:rPr>
              <w:t xml:space="preserve"> Line D+T</w:t>
            </w:r>
            <w:r w:rsidR="00B56648" w:rsidRPr="00DC439F">
              <w:rPr>
                <w:lang w:val="en-US"/>
              </w:rPr>
              <w:t xml:space="preserve">: </w:t>
            </w:r>
            <w:r w:rsidR="00D34E75">
              <w:rPr>
                <w:lang w:val="en-US"/>
              </w:rPr>
              <w:t>57</w:t>
            </w:r>
          </w:p>
        </w:tc>
        <w:tc>
          <w:tcPr>
            <w:tcW w:w="1097" w:type="pct"/>
            <w:shd w:val="clear" w:color="auto" w:fill="auto"/>
            <w:vAlign w:val="center"/>
          </w:tcPr>
          <w:p w14:paraId="366B7614" w14:textId="461B5CEC" w:rsidR="00B56648" w:rsidRPr="00DC439F" w:rsidRDefault="00B56648" w:rsidP="00D71823">
            <w:pPr>
              <w:pStyle w:val="TableText0"/>
              <w:jc w:val="center"/>
              <w:rPr>
                <w:lang w:val="en-US"/>
              </w:rPr>
            </w:pPr>
            <w:r w:rsidRPr="00DC439F">
              <w:rPr>
                <w:lang w:val="en-US"/>
              </w:rPr>
              <w:t>Single arm, OL, MC</w:t>
            </w:r>
            <w:r w:rsidR="00D34E75">
              <w:rPr>
                <w:lang w:val="en-US"/>
              </w:rPr>
              <w:t>, Phase II</w:t>
            </w:r>
          </w:p>
          <w:p w14:paraId="539DB980" w14:textId="63D26D4D" w:rsidR="00B56648" w:rsidRPr="00DC439F" w:rsidRDefault="00B56648" w:rsidP="004B0C51">
            <w:pPr>
              <w:pStyle w:val="TableText0"/>
              <w:jc w:val="center"/>
              <w:rPr>
                <w:lang w:val="en-US"/>
              </w:rPr>
            </w:pPr>
            <w:r w:rsidRPr="00DC439F">
              <w:rPr>
                <w:lang w:val="en-US"/>
              </w:rPr>
              <w:t>16.3 months in untreated and 16.6 in pretreated patients</w:t>
            </w:r>
          </w:p>
        </w:tc>
        <w:tc>
          <w:tcPr>
            <w:tcW w:w="551" w:type="pct"/>
            <w:vMerge w:val="restart"/>
            <w:shd w:val="clear" w:color="auto" w:fill="auto"/>
            <w:vAlign w:val="center"/>
          </w:tcPr>
          <w:p w14:paraId="236F4B0F" w14:textId="77777777" w:rsidR="00B56648" w:rsidRPr="00DC439F" w:rsidRDefault="00B56648" w:rsidP="00EC5836">
            <w:pPr>
              <w:pStyle w:val="TableText0"/>
              <w:jc w:val="center"/>
              <w:rPr>
                <w:i/>
                <w:iCs/>
                <w:lang w:val="en-US"/>
              </w:rPr>
            </w:pPr>
            <w:r w:rsidRPr="005734A5">
              <w:rPr>
                <w:lang w:val="en-US"/>
              </w:rPr>
              <w:t>High</w:t>
            </w:r>
          </w:p>
          <w:p w14:paraId="64E25457" w14:textId="5EEF7DEC" w:rsidR="00B56648" w:rsidRPr="00DC439F" w:rsidRDefault="00B56648" w:rsidP="00B56648">
            <w:pPr>
              <w:pStyle w:val="TableText0"/>
              <w:rPr>
                <w:i/>
                <w:iCs/>
                <w:lang w:val="en-US"/>
              </w:rPr>
            </w:pPr>
          </w:p>
        </w:tc>
        <w:tc>
          <w:tcPr>
            <w:tcW w:w="1513" w:type="pct"/>
            <w:shd w:val="clear" w:color="auto" w:fill="auto"/>
            <w:vAlign w:val="center"/>
          </w:tcPr>
          <w:p w14:paraId="59CA7C93" w14:textId="52D45DC2" w:rsidR="00B56648" w:rsidRPr="00DC439F" w:rsidRDefault="00B56648" w:rsidP="005A4360">
            <w:pPr>
              <w:pStyle w:val="TableText0"/>
              <w:rPr>
                <w:lang w:val="en-US"/>
              </w:rPr>
            </w:pPr>
            <w:r w:rsidRPr="00DC439F">
              <w:rPr>
                <w:lang w:val="en-US"/>
              </w:rPr>
              <w:t xml:space="preserve">Patients with BRAF V600E-mutant Stage IV (metastatic) NSCLC </w:t>
            </w:r>
          </w:p>
        </w:tc>
        <w:tc>
          <w:tcPr>
            <w:tcW w:w="741" w:type="pct"/>
            <w:shd w:val="clear" w:color="auto" w:fill="auto"/>
            <w:vAlign w:val="center"/>
          </w:tcPr>
          <w:p w14:paraId="4819ED9E" w14:textId="1D221215" w:rsidR="00B56648" w:rsidRPr="00DC439F" w:rsidRDefault="00B56648" w:rsidP="00293C9C">
            <w:pPr>
              <w:pStyle w:val="TableText0"/>
              <w:rPr>
                <w:lang w:val="en-US"/>
              </w:rPr>
            </w:pPr>
            <w:r w:rsidRPr="00DC439F">
              <w:rPr>
                <w:lang w:val="en-US"/>
              </w:rPr>
              <w:t xml:space="preserve">ORR, PFS, OS, </w:t>
            </w:r>
            <w:proofErr w:type="spellStart"/>
            <w:r w:rsidR="00D34E75">
              <w:rPr>
                <w:lang w:val="en-US"/>
              </w:rPr>
              <w:t>DoR</w:t>
            </w:r>
            <w:proofErr w:type="spellEnd"/>
            <w:r w:rsidR="00D34E75">
              <w:rPr>
                <w:lang w:val="en-US"/>
              </w:rPr>
              <w:t>, A</w:t>
            </w:r>
            <w:r w:rsidRPr="00DC439F">
              <w:rPr>
                <w:lang w:val="en-US"/>
              </w:rPr>
              <w:t>Es</w:t>
            </w:r>
            <w:r w:rsidR="00D34E75">
              <w:rPr>
                <w:lang w:val="en-US"/>
              </w:rPr>
              <w:t xml:space="preserve"> </w:t>
            </w:r>
          </w:p>
        </w:tc>
      </w:tr>
      <w:tr w:rsidR="009F000C" w:rsidRPr="00DC439F" w14:paraId="70C4027A" w14:textId="77777777" w:rsidTr="03CF4CC7">
        <w:tc>
          <w:tcPr>
            <w:tcW w:w="2195" w:type="pct"/>
            <w:gridSpan w:val="3"/>
            <w:shd w:val="clear" w:color="auto" w:fill="auto"/>
            <w:vAlign w:val="center"/>
          </w:tcPr>
          <w:p w14:paraId="599B96AD" w14:textId="77777777" w:rsidR="00B56648" w:rsidRPr="00DC439F" w:rsidRDefault="00B56648" w:rsidP="00EC5836">
            <w:pPr>
              <w:pStyle w:val="In-tableHeading"/>
            </w:pPr>
            <w:proofErr w:type="spellStart"/>
            <w:r w:rsidRPr="00DC439F">
              <w:t>Pembrolizumab+PBC</w:t>
            </w:r>
            <w:proofErr w:type="spellEnd"/>
            <w:r w:rsidRPr="00DC439F">
              <w:t xml:space="preserve"> vs. PBC</w:t>
            </w:r>
          </w:p>
        </w:tc>
        <w:tc>
          <w:tcPr>
            <w:tcW w:w="551" w:type="pct"/>
            <w:vMerge/>
            <w:vAlign w:val="center"/>
          </w:tcPr>
          <w:p w14:paraId="40F04EBA" w14:textId="7C1B9141" w:rsidR="00B56648" w:rsidRPr="00DC439F" w:rsidRDefault="00B56648" w:rsidP="00F4495A">
            <w:pPr>
              <w:pStyle w:val="TableText0"/>
              <w:jc w:val="center"/>
            </w:pPr>
          </w:p>
        </w:tc>
        <w:tc>
          <w:tcPr>
            <w:tcW w:w="2254" w:type="pct"/>
            <w:gridSpan w:val="2"/>
            <w:shd w:val="clear" w:color="auto" w:fill="auto"/>
            <w:vAlign w:val="center"/>
          </w:tcPr>
          <w:p w14:paraId="24F5D509" w14:textId="528529A6" w:rsidR="00B56648" w:rsidRPr="00DC439F" w:rsidRDefault="00B56648" w:rsidP="00EC5836">
            <w:pPr>
              <w:pStyle w:val="In-tableHeading"/>
            </w:pPr>
          </w:p>
        </w:tc>
      </w:tr>
      <w:tr w:rsidR="00D34E75" w:rsidRPr="00DC439F" w14:paraId="7F4FBB51" w14:textId="77777777" w:rsidTr="03CF4CC7">
        <w:tc>
          <w:tcPr>
            <w:tcW w:w="389" w:type="pct"/>
            <w:shd w:val="clear" w:color="auto" w:fill="auto"/>
            <w:vAlign w:val="center"/>
          </w:tcPr>
          <w:p w14:paraId="2AA001C6" w14:textId="3A147578" w:rsidR="00D34E75" w:rsidRPr="00DC439F" w:rsidRDefault="00D34E75" w:rsidP="00D34E75">
            <w:pPr>
              <w:pStyle w:val="TableText0"/>
              <w:rPr>
                <w:lang w:val="en-US"/>
              </w:rPr>
            </w:pPr>
            <w:r w:rsidRPr="00DC439F">
              <w:rPr>
                <w:lang w:val="en-US"/>
              </w:rPr>
              <w:t>KN-189</w:t>
            </w:r>
          </w:p>
        </w:tc>
        <w:tc>
          <w:tcPr>
            <w:tcW w:w="709" w:type="pct"/>
            <w:shd w:val="clear" w:color="auto" w:fill="auto"/>
            <w:vAlign w:val="center"/>
          </w:tcPr>
          <w:p w14:paraId="5770E1B8" w14:textId="73409DD1" w:rsidR="00D34E75" w:rsidRPr="00DC439F" w:rsidRDefault="00D34E75" w:rsidP="00D34E75">
            <w:pPr>
              <w:pStyle w:val="TableText0"/>
              <w:jc w:val="center"/>
              <w:rPr>
                <w:lang w:val="en-US"/>
              </w:rPr>
            </w:pPr>
            <w:r w:rsidRPr="00DC439F">
              <w:rPr>
                <w:lang w:val="en-US"/>
              </w:rPr>
              <w:t>616</w:t>
            </w:r>
          </w:p>
        </w:tc>
        <w:tc>
          <w:tcPr>
            <w:tcW w:w="1097" w:type="pct"/>
            <w:shd w:val="clear" w:color="auto" w:fill="auto"/>
          </w:tcPr>
          <w:p w14:paraId="29D781C5" w14:textId="32E115EC" w:rsidR="00D34E75" w:rsidRPr="005734A5" w:rsidRDefault="00D34E75" w:rsidP="00D34E75">
            <w:pPr>
              <w:pStyle w:val="TableText0"/>
              <w:jc w:val="center"/>
              <w:rPr>
                <w:lang w:val="en-US"/>
              </w:rPr>
            </w:pPr>
            <w:r w:rsidRPr="005734A5">
              <w:rPr>
                <w:lang w:val="en-US"/>
              </w:rPr>
              <w:t>R, DB, MC, Phase III</w:t>
            </w:r>
          </w:p>
          <w:p w14:paraId="2090330D" w14:textId="26B9DF12" w:rsidR="00D34E75" w:rsidRPr="005734A5" w:rsidRDefault="00D34E75" w:rsidP="00D34E75">
            <w:pPr>
              <w:pStyle w:val="TableText0"/>
              <w:jc w:val="center"/>
              <w:rPr>
                <w:lang w:val="en-US"/>
              </w:rPr>
            </w:pPr>
            <w:r w:rsidRPr="005734A5">
              <w:rPr>
                <w:lang w:val="en-US"/>
              </w:rPr>
              <w:t xml:space="preserve">64.6 </w:t>
            </w:r>
            <w:proofErr w:type="spellStart"/>
            <w:r w:rsidRPr="005734A5">
              <w:rPr>
                <w:lang w:val="en-US"/>
              </w:rPr>
              <w:t>months</w:t>
            </w:r>
            <w:r w:rsidRPr="005734A5">
              <w:rPr>
                <w:vertAlign w:val="superscript"/>
                <w:lang w:val="en-US"/>
              </w:rPr>
              <w:t>b</w:t>
            </w:r>
            <w:proofErr w:type="spellEnd"/>
          </w:p>
        </w:tc>
        <w:tc>
          <w:tcPr>
            <w:tcW w:w="551" w:type="pct"/>
            <w:vMerge/>
            <w:vAlign w:val="center"/>
          </w:tcPr>
          <w:p w14:paraId="57034014" w14:textId="5764CF0F" w:rsidR="00D34E75" w:rsidRPr="00DC439F" w:rsidRDefault="00D34E75" w:rsidP="00D34E75">
            <w:pPr>
              <w:pStyle w:val="TableText0"/>
              <w:jc w:val="center"/>
              <w:rPr>
                <w:lang w:val="en-US"/>
              </w:rPr>
            </w:pPr>
          </w:p>
        </w:tc>
        <w:tc>
          <w:tcPr>
            <w:tcW w:w="1513" w:type="pct"/>
            <w:shd w:val="clear" w:color="auto" w:fill="auto"/>
          </w:tcPr>
          <w:p w14:paraId="32BE2E9C" w14:textId="2D0F1360" w:rsidR="00D34E75" w:rsidRPr="00DC439F" w:rsidRDefault="00D34E75" w:rsidP="00D34E75">
            <w:pPr>
              <w:pStyle w:val="TableText0"/>
              <w:rPr>
                <w:lang w:val="en-US"/>
              </w:rPr>
            </w:pPr>
            <w:r w:rsidRPr="00DC439F">
              <w:rPr>
                <w:lang w:val="en-US"/>
              </w:rPr>
              <w:t>Non-squamous NSCLC patients with Stage IV (metastatic) disease.</w:t>
            </w:r>
          </w:p>
        </w:tc>
        <w:tc>
          <w:tcPr>
            <w:tcW w:w="741" w:type="pct"/>
            <w:shd w:val="clear" w:color="auto" w:fill="auto"/>
          </w:tcPr>
          <w:p w14:paraId="450EED5D" w14:textId="59A6E527" w:rsidR="00D34E75" w:rsidRPr="00DC439F" w:rsidRDefault="00D34E75" w:rsidP="00D34E75">
            <w:pPr>
              <w:pStyle w:val="TableText0"/>
              <w:rPr>
                <w:lang w:val="en-US"/>
              </w:rPr>
            </w:pPr>
            <w:r w:rsidRPr="00B54A0F">
              <w:rPr>
                <w:lang w:val="en-US"/>
              </w:rPr>
              <w:t xml:space="preserve">ORR, PFS, OS, </w:t>
            </w:r>
            <w:proofErr w:type="spellStart"/>
            <w:r w:rsidRPr="00B54A0F">
              <w:rPr>
                <w:lang w:val="en-US"/>
              </w:rPr>
              <w:t>DoR</w:t>
            </w:r>
            <w:proofErr w:type="spellEnd"/>
            <w:r w:rsidRPr="00B54A0F">
              <w:rPr>
                <w:lang w:val="en-US"/>
              </w:rPr>
              <w:t xml:space="preserve">, AEs </w:t>
            </w:r>
          </w:p>
        </w:tc>
      </w:tr>
      <w:tr w:rsidR="00D34E75" w:rsidRPr="00DC439F" w14:paraId="58952FC4" w14:textId="77777777" w:rsidTr="03CF4CC7">
        <w:tc>
          <w:tcPr>
            <w:tcW w:w="389" w:type="pct"/>
            <w:shd w:val="clear" w:color="auto" w:fill="auto"/>
            <w:vAlign w:val="center"/>
          </w:tcPr>
          <w:p w14:paraId="30D21DA5" w14:textId="65ECF7F7" w:rsidR="00D34E75" w:rsidRPr="00DC439F" w:rsidRDefault="00D34E75" w:rsidP="00D34E75">
            <w:pPr>
              <w:pStyle w:val="TableText0"/>
              <w:rPr>
                <w:lang w:val="en-US"/>
              </w:rPr>
            </w:pPr>
            <w:r w:rsidRPr="00DC439F">
              <w:rPr>
                <w:lang w:val="en-US"/>
              </w:rPr>
              <w:t>KN-407</w:t>
            </w:r>
          </w:p>
        </w:tc>
        <w:tc>
          <w:tcPr>
            <w:tcW w:w="709" w:type="pct"/>
            <w:shd w:val="clear" w:color="auto" w:fill="auto"/>
            <w:vAlign w:val="center"/>
          </w:tcPr>
          <w:p w14:paraId="07C8094E" w14:textId="10F358E2" w:rsidR="00D34E75" w:rsidRPr="00DC439F" w:rsidRDefault="00D34E75" w:rsidP="00D34E75">
            <w:pPr>
              <w:pStyle w:val="TableText0"/>
              <w:jc w:val="center"/>
              <w:rPr>
                <w:lang w:val="en-US"/>
              </w:rPr>
            </w:pPr>
            <w:r w:rsidRPr="00DC439F">
              <w:rPr>
                <w:lang w:val="en-US"/>
              </w:rPr>
              <w:t>559</w:t>
            </w:r>
          </w:p>
        </w:tc>
        <w:tc>
          <w:tcPr>
            <w:tcW w:w="1097" w:type="pct"/>
            <w:shd w:val="clear" w:color="auto" w:fill="auto"/>
          </w:tcPr>
          <w:p w14:paraId="7506CABB" w14:textId="31E29EA2" w:rsidR="00D34E75" w:rsidRPr="005734A5" w:rsidRDefault="00D34E75" w:rsidP="00D34E75">
            <w:pPr>
              <w:pStyle w:val="TableText0"/>
              <w:jc w:val="center"/>
              <w:rPr>
                <w:lang w:val="en-US"/>
              </w:rPr>
            </w:pPr>
            <w:r w:rsidRPr="005734A5">
              <w:rPr>
                <w:lang w:val="en-US"/>
              </w:rPr>
              <w:t>R, DB, MC, Phase II</w:t>
            </w:r>
          </w:p>
          <w:p w14:paraId="201997F5" w14:textId="410DEE8F" w:rsidR="00D34E75" w:rsidRPr="005734A5" w:rsidRDefault="00D34E75" w:rsidP="00D34E75">
            <w:pPr>
              <w:pStyle w:val="TableText0"/>
              <w:jc w:val="center"/>
              <w:rPr>
                <w:lang w:val="en-US"/>
              </w:rPr>
            </w:pPr>
            <w:r w:rsidRPr="005734A5">
              <w:rPr>
                <w:lang w:val="en-US"/>
              </w:rPr>
              <w:t xml:space="preserve">56.9 </w:t>
            </w:r>
            <w:proofErr w:type="spellStart"/>
            <w:r w:rsidRPr="005734A5">
              <w:rPr>
                <w:lang w:val="en-US"/>
              </w:rPr>
              <w:t>months</w:t>
            </w:r>
            <w:r w:rsidRPr="005734A5">
              <w:rPr>
                <w:vertAlign w:val="superscript"/>
                <w:lang w:val="en-US"/>
              </w:rPr>
              <w:t>c</w:t>
            </w:r>
            <w:proofErr w:type="spellEnd"/>
          </w:p>
        </w:tc>
        <w:tc>
          <w:tcPr>
            <w:tcW w:w="551" w:type="pct"/>
            <w:vMerge/>
            <w:vAlign w:val="center"/>
          </w:tcPr>
          <w:p w14:paraId="10E74256" w14:textId="6C5D9AFA" w:rsidR="00D34E75" w:rsidRPr="00DC439F" w:rsidRDefault="00D34E75" w:rsidP="00D34E75">
            <w:pPr>
              <w:pStyle w:val="TableText0"/>
              <w:jc w:val="center"/>
              <w:rPr>
                <w:lang w:val="en-US"/>
              </w:rPr>
            </w:pPr>
          </w:p>
        </w:tc>
        <w:tc>
          <w:tcPr>
            <w:tcW w:w="1513" w:type="pct"/>
            <w:shd w:val="clear" w:color="auto" w:fill="auto"/>
          </w:tcPr>
          <w:p w14:paraId="12E896CA" w14:textId="36671D7F" w:rsidR="00D34E75" w:rsidRPr="00DC439F" w:rsidRDefault="00D34E75" w:rsidP="00D34E75">
            <w:pPr>
              <w:pStyle w:val="TableText0"/>
              <w:rPr>
                <w:lang w:val="en-US"/>
              </w:rPr>
            </w:pPr>
            <w:r w:rsidRPr="00DC439F">
              <w:rPr>
                <w:lang w:val="en-US"/>
              </w:rPr>
              <w:t>Squamous NSCLC patients with Stage IV (metastatic) disease.</w:t>
            </w:r>
          </w:p>
        </w:tc>
        <w:tc>
          <w:tcPr>
            <w:tcW w:w="741" w:type="pct"/>
            <w:shd w:val="clear" w:color="auto" w:fill="auto"/>
          </w:tcPr>
          <w:p w14:paraId="7FED8A09" w14:textId="2D22381E" w:rsidR="00D34E75" w:rsidRPr="00DC439F" w:rsidRDefault="00D34E75" w:rsidP="00D34E75">
            <w:pPr>
              <w:pStyle w:val="TableText0"/>
              <w:rPr>
                <w:lang w:val="en-US"/>
              </w:rPr>
            </w:pPr>
            <w:r w:rsidRPr="00B54A0F">
              <w:rPr>
                <w:lang w:val="en-US"/>
              </w:rPr>
              <w:t xml:space="preserve">ORR, PFS, OS, </w:t>
            </w:r>
            <w:proofErr w:type="spellStart"/>
            <w:r w:rsidRPr="00B54A0F">
              <w:rPr>
                <w:lang w:val="en-US"/>
              </w:rPr>
              <w:t>DoR</w:t>
            </w:r>
            <w:proofErr w:type="spellEnd"/>
            <w:r w:rsidRPr="00B54A0F">
              <w:rPr>
                <w:lang w:val="en-US"/>
              </w:rPr>
              <w:t xml:space="preserve">, AEs </w:t>
            </w:r>
          </w:p>
        </w:tc>
      </w:tr>
    </w:tbl>
    <w:p w14:paraId="55B0E53E" w14:textId="77777777" w:rsidR="00D34E75" w:rsidRPr="00DC439F" w:rsidRDefault="00D34E75" w:rsidP="00D34E75">
      <w:pPr>
        <w:pStyle w:val="FooterTableFigure"/>
      </w:pPr>
      <w:r w:rsidRPr="00DC439F">
        <w:t xml:space="preserve">Source: </w:t>
      </w:r>
      <w:r>
        <w:t xml:space="preserve">Table 2.8, pp44-45; </w:t>
      </w:r>
      <w:r w:rsidRPr="00DC439F">
        <w:t xml:space="preserve">Table 2.13, pp56-57 of the submission; </w:t>
      </w:r>
      <w:proofErr w:type="spellStart"/>
      <w:r w:rsidRPr="00DC439F">
        <w:t>Garassino</w:t>
      </w:r>
      <w:proofErr w:type="spellEnd"/>
      <w:r w:rsidRPr="00DC439F">
        <w:t>, M. et al (2023) and Novello, S. et al. (2023).</w:t>
      </w:r>
    </w:p>
    <w:p w14:paraId="7E576FE2" w14:textId="4968BBB5" w:rsidR="00D34E75" w:rsidRPr="00DC439F" w:rsidRDefault="00D34E75" w:rsidP="00D34E75">
      <w:pPr>
        <w:pStyle w:val="FooterTableFigure"/>
      </w:pPr>
      <w:r w:rsidRPr="00DC439F">
        <w:t>AEs = adverse events; DB = double blind; D+T = dabrafenib and trametinib;</w:t>
      </w:r>
      <w:r>
        <w:t xml:space="preserve"> </w:t>
      </w:r>
      <w:proofErr w:type="spellStart"/>
      <w:r>
        <w:t>DoR</w:t>
      </w:r>
      <w:proofErr w:type="spellEnd"/>
      <w:r>
        <w:t xml:space="preserve"> = </w:t>
      </w:r>
      <w:r w:rsidR="004F5F40">
        <w:t xml:space="preserve">duration of response; </w:t>
      </w:r>
      <w:r>
        <w:t xml:space="preserve">ITC = indirect treatment comparison; </w:t>
      </w:r>
      <w:r w:rsidRPr="00DC439F">
        <w:t>MC = multi-centre;</w:t>
      </w:r>
      <w:r>
        <w:t xml:space="preserve"> N =</w:t>
      </w:r>
      <w:r w:rsidRPr="00F52F0C">
        <w:t xml:space="preserve"> total participants in group</w:t>
      </w:r>
      <w:r>
        <w:t>;</w:t>
      </w:r>
      <w:r w:rsidRPr="00DC439F">
        <w:t xml:space="preserve"> </w:t>
      </w:r>
      <w:r>
        <w:t>NSCLC = n</w:t>
      </w:r>
      <w:r w:rsidRPr="00F52F0C">
        <w:t>on-small cell lung cancer</w:t>
      </w:r>
      <w:r>
        <w:t>;</w:t>
      </w:r>
      <w:r w:rsidRPr="00F52F0C">
        <w:t xml:space="preserve"> </w:t>
      </w:r>
      <w:r w:rsidRPr="00DC439F">
        <w:t>OL = open label; ORR = objective response rate; OS = overall survival; PBC = platinum-based chemotherapy; PFS = progression-free survival; R = randomised.</w:t>
      </w:r>
    </w:p>
    <w:p w14:paraId="6A58B320" w14:textId="4722F484" w:rsidR="00B35408" w:rsidRPr="00CC1A9B" w:rsidRDefault="00332D51" w:rsidP="03CF4CC7">
      <w:pPr>
        <w:pStyle w:val="FooterTableFigure"/>
      </w:pPr>
      <w:proofErr w:type="spellStart"/>
      <w:r w:rsidRPr="00CC1A9B">
        <w:rPr>
          <w:vertAlign w:val="superscript"/>
        </w:rPr>
        <w:t>a</w:t>
      </w:r>
      <w:proofErr w:type="spellEnd"/>
      <w:r w:rsidRPr="00CC1A9B">
        <w:rPr>
          <w:vertAlign w:val="superscript"/>
        </w:rPr>
        <w:t xml:space="preserve"> </w:t>
      </w:r>
      <w:r w:rsidR="00571FA1" w:rsidRPr="00CC1A9B">
        <w:t>The patient number reflects Cohort B (</w:t>
      </w:r>
      <w:r w:rsidR="00F402CA" w:rsidRPr="00CC1A9B">
        <w:t>second and subsequent line</w:t>
      </w:r>
      <w:r w:rsidR="00510B6A" w:rsidRPr="00CC1A9B">
        <w:t xml:space="preserve"> D+T) and</w:t>
      </w:r>
      <w:r w:rsidR="00571FA1" w:rsidRPr="00CC1A9B">
        <w:t xml:space="preserve"> Cohort C (first-line D+T)</w:t>
      </w:r>
    </w:p>
    <w:p w14:paraId="492C4E38" w14:textId="28593006" w:rsidR="00332D51" w:rsidRPr="00317F0F" w:rsidRDefault="00E21806" w:rsidP="03CF4CC7">
      <w:pPr>
        <w:pStyle w:val="FooterTableFigure"/>
      </w:pPr>
      <w:r w:rsidRPr="00317F0F">
        <w:rPr>
          <w:vertAlign w:val="superscript"/>
        </w:rPr>
        <w:t xml:space="preserve">b </w:t>
      </w:r>
      <w:r w:rsidR="00CF158C" w:rsidRPr="00317F0F">
        <w:t xml:space="preserve">The median time from random assignment to data cutoff of </w:t>
      </w:r>
      <w:r w:rsidR="008C1130" w:rsidRPr="00317F0F">
        <w:t>March 2022</w:t>
      </w:r>
    </w:p>
    <w:p w14:paraId="18B5AC93" w14:textId="78C9D54B" w:rsidR="00332D51" w:rsidRPr="00317F0F" w:rsidRDefault="00E21806" w:rsidP="03CF4CC7">
      <w:pPr>
        <w:pStyle w:val="FooterTableFigure"/>
      </w:pPr>
      <w:r w:rsidRPr="00317F0F">
        <w:rPr>
          <w:vertAlign w:val="superscript"/>
        </w:rPr>
        <w:t>c</w:t>
      </w:r>
      <w:r w:rsidR="00332D51" w:rsidRPr="00317F0F">
        <w:t xml:space="preserve"> </w:t>
      </w:r>
      <w:r w:rsidR="00CF158C" w:rsidRPr="00317F0F">
        <w:t xml:space="preserve">The median time from random assignment to data cutoff </w:t>
      </w:r>
      <w:r w:rsidR="008C1130" w:rsidRPr="00317F0F">
        <w:t>of February 2022</w:t>
      </w:r>
    </w:p>
    <w:p w14:paraId="42A316F4" w14:textId="10CAB2E7" w:rsidR="008D3BAE" w:rsidRPr="00DC439F" w:rsidRDefault="00740355" w:rsidP="00DC439F">
      <w:pPr>
        <w:pStyle w:val="3-BodyText"/>
        <w:rPr>
          <w:rFonts w:eastAsia="Calibri"/>
        </w:rPr>
      </w:pPr>
      <w:bookmarkStart w:id="32" w:name="_Ref194993000"/>
      <w:r>
        <w:t>The clinical claim of non</w:t>
      </w:r>
      <w:r w:rsidR="008968D5">
        <w:t>-</w:t>
      </w:r>
      <w:r>
        <w:t xml:space="preserve">inferior efficacy </w:t>
      </w:r>
      <w:r w:rsidR="00A14E44">
        <w:t>and safety was</w:t>
      </w:r>
      <w:r>
        <w:t xml:space="preserve"> based on </w:t>
      </w:r>
      <w:r w:rsidR="567AAA30">
        <w:t xml:space="preserve">an </w:t>
      </w:r>
      <w:r w:rsidR="00A14E44">
        <w:t>ITC</w:t>
      </w:r>
      <w:r w:rsidR="00B71F16">
        <w:t xml:space="preserve"> (unanchored and unadjusted)</w:t>
      </w:r>
      <w:r>
        <w:t xml:space="preserve"> of the first-line D+T treatment arm from E2201</w:t>
      </w:r>
      <w:r w:rsidR="00B71F16">
        <w:t xml:space="preserve"> study</w:t>
      </w:r>
      <w:r>
        <w:t xml:space="preserve"> versus the pooled </w:t>
      </w:r>
      <w:proofErr w:type="spellStart"/>
      <w:r>
        <w:t>pembrolizumab+PBC</w:t>
      </w:r>
      <w:proofErr w:type="spellEnd"/>
      <w:r>
        <w:t xml:space="preserve"> treatment arms from </w:t>
      </w:r>
      <w:r w:rsidR="00B71F16">
        <w:t>KN</w:t>
      </w:r>
      <w:r>
        <w:t>-189 and K</w:t>
      </w:r>
      <w:r w:rsidR="00B71F16">
        <w:t>N</w:t>
      </w:r>
      <w:r>
        <w:t>-407</w:t>
      </w:r>
      <w:r w:rsidR="00A14E44">
        <w:t xml:space="preserve"> trials </w:t>
      </w:r>
      <w:r>
        <w:t>for objective response rate (ORR), progression-free survival (PFS) and overall survival (OS).</w:t>
      </w:r>
      <w:r w:rsidR="00652D3B">
        <w:t xml:space="preserve"> </w:t>
      </w:r>
      <w:r w:rsidR="00EA00A5">
        <w:t>S</w:t>
      </w:r>
      <w:r w:rsidR="00AE0729" w:rsidRPr="005734A5">
        <w:t xml:space="preserve">afety outcomes </w:t>
      </w:r>
      <w:r w:rsidR="00B423A0" w:rsidRPr="005734A5">
        <w:t>for</w:t>
      </w:r>
      <w:r w:rsidR="002E0385" w:rsidRPr="005734A5">
        <w:t xml:space="preserve"> </w:t>
      </w:r>
      <w:r w:rsidR="00AE0729" w:rsidRPr="005734A5">
        <w:t xml:space="preserve">D+T treatment </w:t>
      </w:r>
      <w:r w:rsidR="00B423A0" w:rsidRPr="005734A5">
        <w:t>were assessed</w:t>
      </w:r>
      <w:r w:rsidR="002E0385" w:rsidRPr="005734A5">
        <w:t xml:space="preserve"> using data from </w:t>
      </w:r>
      <w:r w:rsidR="00AE0729" w:rsidRPr="005734A5">
        <w:t xml:space="preserve">all patients treated with D+T in E2201 study, </w:t>
      </w:r>
      <w:r w:rsidR="00FB7718" w:rsidRPr="005734A5">
        <w:t>irrespective</w:t>
      </w:r>
      <w:r w:rsidR="00AE0729" w:rsidRPr="005734A5">
        <w:t xml:space="preserve"> of the line of therapy</w:t>
      </w:r>
      <w:r w:rsidR="000335AA" w:rsidRPr="005734A5">
        <w:t>.</w:t>
      </w:r>
      <w:r w:rsidR="00652D3B">
        <w:t xml:space="preserve"> </w:t>
      </w:r>
      <w:r w:rsidR="00EA00A5">
        <w:rPr>
          <w:rFonts w:eastAsia="Calibri"/>
        </w:rPr>
        <w:t>N</w:t>
      </w:r>
      <w:r w:rsidR="00DC439F" w:rsidRPr="005734A5">
        <w:rPr>
          <w:rFonts w:eastAsia="Calibri"/>
        </w:rPr>
        <w:t>o patient-reported outcomes were collected in the E2201 study.</w:t>
      </w:r>
      <w:bookmarkEnd w:id="32"/>
    </w:p>
    <w:p w14:paraId="3A911C84" w14:textId="034AA7B0" w:rsidR="00454928" w:rsidRPr="005734A5" w:rsidRDefault="00454928" w:rsidP="00454928">
      <w:pPr>
        <w:pStyle w:val="3-BodyText"/>
      </w:pPr>
      <w:bookmarkStart w:id="33" w:name="_Ref187232454"/>
      <w:r w:rsidRPr="005734A5">
        <w:t>The key differences in the baseline characteristics</w:t>
      </w:r>
      <w:r w:rsidR="009D5D9F" w:rsidRPr="005734A5">
        <w:t>,</w:t>
      </w:r>
      <w:r w:rsidRPr="005734A5">
        <w:t xml:space="preserve"> treatments</w:t>
      </w:r>
      <w:r w:rsidR="009D5D9F" w:rsidRPr="005734A5">
        <w:t xml:space="preserve">, and outcomes </w:t>
      </w:r>
      <w:r w:rsidRPr="005734A5">
        <w:t xml:space="preserve">across the D+T </w:t>
      </w:r>
      <w:r w:rsidR="005D35F2" w:rsidRPr="005734A5">
        <w:t>study</w:t>
      </w:r>
      <w:r w:rsidRPr="005734A5">
        <w:t xml:space="preserve"> (Study E2201) and the two pembrolizumab trials (KN-189 and KN-407) that may affect the transitivity assumptions are summarised below:</w:t>
      </w:r>
      <w:bookmarkEnd w:id="33"/>
    </w:p>
    <w:p w14:paraId="0685136C" w14:textId="0B85E7B0" w:rsidR="0080251B" w:rsidRDefault="000E2A95" w:rsidP="03CF4CC7">
      <w:pPr>
        <w:pStyle w:val="ListParagraph"/>
        <w:rPr>
          <w:i/>
          <w:iCs/>
        </w:rPr>
      </w:pPr>
      <w:r>
        <w:t>While</w:t>
      </w:r>
      <w:r w:rsidR="0080251B" w:rsidRPr="009F000C">
        <w:t xml:space="preserve"> the E2201 study </w:t>
      </w:r>
      <w:r w:rsidR="0079014E" w:rsidRPr="009F000C">
        <w:t>specificall</w:t>
      </w:r>
      <w:r w:rsidR="007F4B9C">
        <w:t xml:space="preserve">y </w:t>
      </w:r>
      <w:r w:rsidR="0080251B" w:rsidRPr="009F000C">
        <w:t xml:space="preserve">enrolled patients with BRAF V600E mutation, </w:t>
      </w:r>
      <w:r>
        <w:t xml:space="preserve">the </w:t>
      </w:r>
      <w:r w:rsidR="0080251B" w:rsidRPr="009F000C">
        <w:t>KN-189 and KN-407</w:t>
      </w:r>
      <w:r>
        <w:t xml:space="preserve"> trials</w:t>
      </w:r>
      <w:r w:rsidR="0080251B" w:rsidRPr="009F000C">
        <w:t xml:space="preserve"> </w:t>
      </w:r>
      <w:r w:rsidR="4B4A495E" w:rsidRPr="009F000C">
        <w:t xml:space="preserve">both </w:t>
      </w:r>
      <w:r w:rsidR="0080251B" w:rsidRPr="009F000C">
        <w:t>included patients irrespective of the</w:t>
      </w:r>
      <w:r w:rsidR="0079014E" w:rsidRPr="009F000C">
        <w:t>ir</w:t>
      </w:r>
      <w:r w:rsidR="0080251B" w:rsidRPr="009F000C">
        <w:t xml:space="preserve"> mutation status. </w:t>
      </w:r>
      <w:r w:rsidR="0079014E" w:rsidRPr="009F000C">
        <w:t>As a result</w:t>
      </w:r>
      <w:r w:rsidR="0080251B" w:rsidRPr="009F000C">
        <w:t>, the proportion of patients with BRAF V600</w:t>
      </w:r>
      <w:r w:rsidR="009266D8">
        <w:t>E</w:t>
      </w:r>
      <w:r w:rsidR="0080251B" w:rsidRPr="009F000C">
        <w:t xml:space="preserve"> mutation is unknown.</w:t>
      </w:r>
      <w:r w:rsidR="00467D87" w:rsidRPr="009F000C">
        <w:t xml:space="preserve"> </w:t>
      </w:r>
      <w:r w:rsidR="00467D87" w:rsidRPr="005734A5">
        <w:t>The clinical impact of this difference is uncertain, given the unclear prognostic significance of the BRAF V600E mutation in NSCLC</w:t>
      </w:r>
      <w:r w:rsidR="005A2455" w:rsidRPr="005734A5">
        <w:t xml:space="preserve"> </w:t>
      </w:r>
      <w:r w:rsidR="0080251B" w:rsidRPr="005734A5">
        <w:t xml:space="preserve">(refer to paragraph </w:t>
      </w:r>
      <w:r w:rsidR="0080251B" w:rsidRPr="005734A5">
        <w:fldChar w:fldCharType="begin"/>
      </w:r>
      <w:r w:rsidR="0080251B" w:rsidRPr="005734A5">
        <w:instrText xml:space="preserve"> REF _Ref186457716 \r \h </w:instrText>
      </w:r>
      <w:r w:rsidR="005734A5">
        <w:instrText xml:space="preserve"> \* MERGEFORMAT </w:instrText>
      </w:r>
      <w:r w:rsidR="0080251B" w:rsidRPr="005734A5">
        <w:fldChar w:fldCharType="separate"/>
      </w:r>
      <w:r w:rsidR="00EF4998">
        <w:t>6.13</w:t>
      </w:r>
      <w:r w:rsidR="0080251B" w:rsidRPr="005734A5">
        <w:fldChar w:fldCharType="end"/>
      </w:r>
      <w:r w:rsidR="0080251B" w:rsidRPr="005734A5">
        <w:t xml:space="preserve"> and </w:t>
      </w:r>
      <w:r w:rsidR="0080251B" w:rsidRPr="005734A5">
        <w:fldChar w:fldCharType="begin"/>
      </w:r>
      <w:r w:rsidR="0080251B" w:rsidRPr="005734A5">
        <w:instrText xml:space="preserve"> REF _Ref186457718 \r \h </w:instrText>
      </w:r>
      <w:r w:rsidR="005734A5">
        <w:instrText xml:space="preserve"> \* MERGEFORMAT </w:instrText>
      </w:r>
      <w:r w:rsidR="0080251B" w:rsidRPr="005734A5">
        <w:fldChar w:fldCharType="separate"/>
      </w:r>
      <w:r w:rsidR="00EF4998">
        <w:t>6.14</w:t>
      </w:r>
      <w:r w:rsidR="0080251B" w:rsidRPr="005734A5">
        <w:fldChar w:fldCharType="end"/>
      </w:r>
      <w:r w:rsidR="0080251B" w:rsidRPr="005734A5">
        <w:t xml:space="preserve"> for further details).</w:t>
      </w:r>
    </w:p>
    <w:p w14:paraId="18487733" w14:textId="4C4279E5" w:rsidR="00B736E3" w:rsidRPr="00B736E3" w:rsidRDefault="00D2615B" w:rsidP="00906C89">
      <w:pPr>
        <w:pStyle w:val="ListParagraph"/>
        <w:spacing w:line="259" w:lineRule="auto"/>
        <w:rPr>
          <w:i/>
          <w:iCs/>
        </w:rPr>
      </w:pPr>
      <w:r>
        <w:t xml:space="preserve">The </w:t>
      </w:r>
      <w:r w:rsidR="00B736E3">
        <w:t>E2201 enrolled patients with Stage IV NSCLC, regardless of histology, whereas KN-189 included only NSQ NSCLC patients and KN-407 included only SQ NSCLC patients.</w:t>
      </w:r>
      <w:r w:rsidR="00162C74">
        <w:t xml:space="preserve"> A smaller proportion of patients had SQ NSCLC in the first-line D+T arm compared to the pooled </w:t>
      </w:r>
      <w:proofErr w:type="spellStart"/>
      <w:r w:rsidR="00162C74">
        <w:t>pembrolizumab+PBC</w:t>
      </w:r>
      <w:proofErr w:type="spellEnd"/>
      <w:r w:rsidR="00162C74">
        <w:t xml:space="preserve"> arm (6% vs. 40%). </w:t>
      </w:r>
      <w:r w:rsidR="33D21480" w:rsidRPr="005734A5">
        <w:t xml:space="preserve">While SQ NSCLC, in general, has poorer prognosis than NSQ NSCLC, </w:t>
      </w:r>
      <w:r w:rsidR="3EF1EDA4" w:rsidRPr="005734A5">
        <w:t>both histology type</w:t>
      </w:r>
      <w:r w:rsidR="4BEB0C3B" w:rsidRPr="005734A5">
        <w:t>s</w:t>
      </w:r>
      <w:r w:rsidR="3EF1EDA4" w:rsidRPr="005734A5">
        <w:t xml:space="preserve"> show good response to immunotherapy; and </w:t>
      </w:r>
      <w:r w:rsidR="008E1FBE" w:rsidRPr="005734A5">
        <w:t>therefore,</w:t>
      </w:r>
      <w:r w:rsidR="3EF1EDA4" w:rsidRPr="005734A5">
        <w:t xml:space="preserve"> the impact of this </w:t>
      </w:r>
      <w:r w:rsidR="2326EF00" w:rsidRPr="005734A5">
        <w:t>difference is uncertain</w:t>
      </w:r>
      <w:r w:rsidR="6766E56B" w:rsidRPr="005734A5">
        <w:t>.</w:t>
      </w:r>
    </w:p>
    <w:p w14:paraId="5719B81F" w14:textId="38B42EFF" w:rsidR="00466688" w:rsidRPr="005734A5" w:rsidRDefault="00466688" w:rsidP="00466688">
      <w:pPr>
        <w:pStyle w:val="ListParagraph"/>
      </w:pPr>
      <w:r w:rsidRPr="00466688">
        <w:lastRenderedPageBreak/>
        <w:t xml:space="preserve">A higher proportion of patients in the first-line D+T arm were females compared to pooled </w:t>
      </w:r>
      <w:proofErr w:type="spellStart"/>
      <w:r w:rsidRPr="00466688">
        <w:t>pembrolizumab+PBC</w:t>
      </w:r>
      <w:proofErr w:type="spellEnd"/>
      <w:r w:rsidRPr="00466688">
        <w:t xml:space="preserve"> arm (61% vs. 31%).</w:t>
      </w:r>
      <w:r w:rsidRPr="00466688">
        <w:rPr>
          <w:i/>
          <w:iCs/>
        </w:rPr>
        <w:t xml:space="preserve"> </w:t>
      </w:r>
      <w:r w:rsidRPr="005734A5">
        <w:t xml:space="preserve">This may </w:t>
      </w:r>
      <w:r w:rsidR="006D5311" w:rsidRPr="005734A5">
        <w:t>bias</w:t>
      </w:r>
      <w:r w:rsidRPr="005734A5">
        <w:t xml:space="preserve"> against D+T.</w:t>
      </w:r>
    </w:p>
    <w:p w14:paraId="4F246799" w14:textId="3ADA372D" w:rsidR="003A412E" w:rsidRPr="005734A5" w:rsidRDefault="00D523C1" w:rsidP="003A412E">
      <w:pPr>
        <w:pStyle w:val="ListParagraph"/>
      </w:pPr>
      <w:r w:rsidRPr="005734A5">
        <w:t xml:space="preserve">A smaller proportion of patients had brain metastasis in the first-line D+T arm compared to the pooled </w:t>
      </w:r>
      <w:proofErr w:type="spellStart"/>
      <w:r w:rsidRPr="005734A5">
        <w:t>pembrolizumab+PBC</w:t>
      </w:r>
      <w:proofErr w:type="spellEnd"/>
      <w:r w:rsidRPr="005734A5">
        <w:t xml:space="preserve"> arm (6% vs. 14%).</w:t>
      </w:r>
      <w:r w:rsidR="003A412E" w:rsidRPr="005734A5">
        <w:t xml:space="preserve"> This may favour D+T.</w:t>
      </w:r>
    </w:p>
    <w:p w14:paraId="16F62D7A" w14:textId="4B655B4E" w:rsidR="00D2615B" w:rsidRPr="005734A5" w:rsidRDefault="00D2615B" w:rsidP="00D2615B">
      <w:pPr>
        <w:pStyle w:val="ListParagraph"/>
      </w:pPr>
      <w:r w:rsidRPr="005734A5">
        <w:t xml:space="preserve">A smaller proportion of patients in the first-line D+T arm compared to the pooled </w:t>
      </w:r>
      <w:proofErr w:type="spellStart"/>
      <w:r w:rsidRPr="005734A5">
        <w:t>pembrolizumab+PBC</w:t>
      </w:r>
      <w:proofErr w:type="spellEnd"/>
      <w:r w:rsidRPr="005734A5">
        <w:t xml:space="preserve"> arm were former or current smokers (72% vs. 90%). This may favour D+T.</w:t>
      </w:r>
    </w:p>
    <w:p w14:paraId="057A4C05" w14:textId="12578D10" w:rsidR="001B6D06" w:rsidRPr="001B6D06" w:rsidRDefault="001B6D06" w:rsidP="00906C89">
      <w:pPr>
        <w:pStyle w:val="ListParagraph"/>
        <w:spacing w:line="259" w:lineRule="auto"/>
        <w:rPr>
          <w:i/>
          <w:iCs/>
        </w:rPr>
      </w:pPr>
      <w:r>
        <w:t xml:space="preserve">More patients treated with first-line D+T in the E2201 study compared to the pooled </w:t>
      </w:r>
      <w:proofErr w:type="spellStart"/>
      <w:r>
        <w:t>pembrolizumab+PBC</w:t>
      </w:r>
      <w:proofErr w:type="spellEnd"/>
      <w:r>
        <w:t xml:space="preserve"> arms received subsequent anti-cancer therapies (56% vs. 49%). </w:t>
      </w:r>
      <w:r w:rsidRPr="005734A5">
        <w:t>These differences are expected to affect the OS outcomes</w:t>
      </w:r>
      <w:r w:rsidR="00ED227A" w:rsidRPr="005734A5">
        <w:t>, though</w:t>
      </w:r>
      <w:r w:rsidR="008A3C98" w:rsidRPr="005734A5">
        <w:t xml:space="preserve"> </w:t>
      </w:r>
      <w:r w:rsidR="00B11266" w:rsidRPr="005734A5">
        <w:t>the direction of bias remains unclear due to variations in subsequent treatments and lines of treatment.</w:t>
      </w:r>
    </w:p>
    <w:p w14:paraId="613AA6A7" w14:textId="636178EB" w:rsidR="00EE64B8" w:rsidRDefault="00EE64B8" w:rsidP="00EE64B8">
      <w:pPr>
        <w:pStyle w:val="ListParagraph"/>
        <w:rPr>
          <w:i/>
          <w:iCs/>
        </w:rPr>
      </w:pPr>
      <w:r>
        <w:t xml:space="preserve">The </w:t>
      </w:r>
      <w:r w:rsidRPr="009F000C">
        <w:t>E2201 study assessed tumour response and disease progression by an unblinded investigator and independent review committee (IRC) as supportive analyses, whereas KN-189 and KN-407 assessed disease progression and tumour response using a blinded independent committee review (BICR).</w:t>
      </w:r>
      <w:r w:rsidR="00CA09B6">
        <w:t xml:space="preserve"> </w:t>
      </w:r>
      <w:r w:rsidRPr="005734A5">
        <w:t xml:space="preserve">The non-randomised, open-label design of </w:t>
      </w:r>
      <w:r w:rsidR="001B6D06" w:rsidRPr="005734A5">
        <w:t xml:space="preserve">the </w:t>
      </w:r>
      <w:r w:rsidRPr="005734A5">
        <w:t>E2201 study may bias the results in favour of D+T.</w:t>
      </w:r>
      <w:r w:rsidRPr="009F000C">
        <w:rPr>
          <w:i/>
          <w:iCs/>
        </w:rPr>
        <w:t xml:space="preserve"> </w:t>
      </w:r>
    </w:p>
    <w:p w14:paraId="3870FA2F" w14:textId="43C11175" w:rsidR="00EE64B8" w:rsidRPr="00EE64B8" w:rsidRDefault="002102E1" w:rsidP="00EE64B8">
      <w:pPr>
        <w:pStyle w:val="ListParagraph"/>
      </w:pPr>
      <w:r w:rsidRPr="002102E1">
        <w:t>The median duration of follow-up at the most recent data cut-off</w:t>
      </w:r>
      <w:r w:rsidR="002B64C7">
        <w:t xml:space="preserve"> </w:t>
      </w:r>
      <w:r w:rsidRPr="002102E1">
        <w:t xml:space="preserve">for </w:t>
      </w:r>
      <w:r>
        <w:t xml:space="preserve">the </w:t>
      </w:r>
      <w:r w:rsidRPr="002102E1">
        <w:t>E2201</w:t>
      </w:r>
      <w:r>
        <w:t xml:space="preserve"> study</w:t>
      </w:r>
      <w:r w:rsidRPr="002102E1">
        <w:t xml:space="preserve"> </w:t>
      </w:r>
      <w:r w:rsidR="002B64C7">
        <w:t>(</w:t>
      </w:r>
      <w:r w:rsidR="004F7602">
        <w:t xml:space="preserve">January 2021) </w:t>
      </w:r>
      <w:r w:rsidRPr="002102E1">
        <w:t xml:space="preserve">was 16.30 months (range: 0.41, 80) for those treated with first-line D+T and 16.60 months (range: 0.5, 78.5) for those treated with </w:t>
      </w:r>
      <w:r w:rsidR="00F402CA">
        <w:t>second and subsequent line</w:t>
      </w:r>
      <w:r w:rsidRPr="002102E1">
        <w:t xml:space="preserve"> D+T. The median duration of follow-up was not reported at the most recent data cut-off for both KN-189</w:t>
      </w:r>
      <w:r w:rsidR="00C96333">
        <w:t xml:space="preserve"> (March 2022)</w:t>
      </w:r>
      <w:r w:rsidRPr="002102E1">
        <w:t xml:space="preserve"> and KN-407</w:t>
      </w:r>
      <w:r w:rsidR="00C96333">
        <w:t xml:space="preserve"> (February 2022)</w:t>
      </w:r>
      <w:r w:rsidRPr="002102E1">
        <w:t>. However, the median time from random assignment to data cut-off was 64.6 months (range: 60.1, 72.4) for KN-189 and 56.9 months (range: 49.9, 66.2) for KN-407.</w:t>
      </w:r>
      <w:r>
        <w:t xml:space="preserve"> </w:t>
      </w:r>
    </w:p>
    <w:p w14:paraId="71630BC9" w14:textId="554F6341" w:rsidR="00C10F80" w:rsidRPr="005734A5" w:rsidRDefault="006034E9" w:rsidP="03CF4CC7">
      <w:pPr>
        <w:pStyle w:val="3-BodyText"/>
      </w:pPr>
      <w:bookmarkStart w:id="34" w:name="_Ref187232336"/>
      <w:r w:rsidRPr="005734A5">
        <w:t>Overall</w:t>
      </w:r>
      <w:r w:rsidR="0080251B" w:rsidRPr="005734A5">
        <w:t>, t</w:t>
      </w:r>
      <w:r w:rsidR="00C10F80" w:rsidRPr="005734A5">
        <w:t xml:space="preserve">he results from the unadjusted and unanchored ITC </w:t>
      </w:r>
      <w:r w:rsidR="00467D87" w:rsidRPr="005734A5">
        <w:t>are</w:t>
      </w:r>
      <w:r w:rsidR="00C10F80" w:rsidRPr="005734A5">
        <w:t xml:space="preserve"> associated with a high risk of bias due to transitivity concerns across the E2201 study and the KN-189 and KN-407 trials</w:t>
      </w:r>
      <w:r w:rsidR="0080251B" w:rsidRPr="005734A5">
        <w:t xml:space="preserve"> in terms of </w:t>
      </w:r>
      <w:r w:rsidR="00467D87" w:rsidRPr="005734A5">
        <w:t>disease histology,</w:t>
      </w:r>
      <w:r w:rsidR="00EA78CB" w:rsidRPr="005734A5">
        <w:t xml:space="preserve"> gender, </w:t>
      </w:r>
      <w:r w:rsidR="00467D87" w:rsidRPr="005734A5">
        <w:t xml:space="preserve">brain metastases, smoking status, </w:t>
      </w:r>
      <w:r w:rsidR="00991AA6" w:rsidRPr="005734A5">
        <w:t>subsequent treatment,</w:t>
      </w:r>
      <w:r w:rsidR="00EA78CB" w:rsidRPr="005734A5">
        <w:t xml:space="preserve"> and the</w:t>
      </w:r>
      <w:r w:rsidR="00467D87" w:rsidRPr="005734A5">
        <w:t xml:space="preserve"> follow-up duration.</w:t>
      </w:r>
      <w:bookmarkEnd w:id="34"/>
      <w:r w:rsidR="00467D87" w:rsidRPr="005734A5">
        <w:t xml:space="preserve"> </w:t>
      </w:r>
    </w:p>
    <w:p w14:paraId="4A4FE085" w14:textId="1C5613CC" w:rsidR="00B60939" w:rsidRPr="009F000C" w:rsidRDefault="00B60939" w:rsidP="00EC5836">
      <w:pPr>
        <w:pStyle w:val="4-SubsectionHeading"/>
      </w:pPr>
      <w:bookmarkStart w:id="35" w:name="_Toc22897641"/>
      <w:bookmarkStart w:id="36" w:name="_Toc186369238"/>
      <w:bookmarkStart w:id="37" w:name="_Toc188347771"/>
      <w:r w:rsidRPr="009F000C">
        <w:t>Comparative effectiveness</w:t>
      </w:r>
      <w:bookmarkEnd w:id="35"/>
      <w:bookmarkEnd w:id="36"/>
      <w:bookmarkEnd w:id="37"/>
    </w:p>
    <w:p w14:paraId="029D2486" w14:textId="24FDEB14" w:rsidR="00F74EB3" w:rsidRPr="005632EA" w:rsidRDefault="00F74EB3" w:rsidP="005632EA">
      <w:pPr>
        <w:pStyle w:val="5-SubsectionSubheading"/>
        <w:rPr>
          <w:snapToGrid w:val="0"/>
        </w:rPr>
      </w:pPr>
      <w:bookmarkStart w:id="38" w:name="_Toc188347772"/>
      <w:r w:rsidRPr="005632EA">
        <w:rPr>
          <w:snapToGrid w:val="0"/>
        </w:rPr>
        <w:t xml:space="preserve">Prognostic </w:t>
      </w:r>
      <w:r w:rsidR="00172D7B" w:rsidRPr="005632EA">
        <w:rPr>
          <w:snapToGrid w:val="0"/>
        </w:rPr>
        <w:t>value of BRAF V600E</w:t>
      </w:r>
      <w:bookmarkEnd w:id="38"/>
    </w:p>
    <w:p w14:paraId="2ECC7917" w14:textId="44226BDF" w:rsidR="00F74EB3" w:rsidRPr="00C64DE7" w:rsidRDefault="00196464" w:rsidP="00196464">
      <w:pPr>
        <w:pStyle w:val="3-BodyText"/>
        <w:rPr>
          <w:i/>
          <w:iCs/>
        </w:rPr>
      </w:pPr>
      <w:bookmarkStart w:id="39" w:name="_Ref186457716"/>
      <w:r>
        <w:t>To justify the comparison between the E2201 study, which included patients with the BRAF V600E mutation, and the KN-189 and KN-407 trials, which enrolled patients regardless of mutation status, the submission conducted a systematic literature review to determine the prognostic value of the BRAF V600E mutation.</w:t>
      </w:r>
      <w:r w:rsidR="00906C89">
        <w:t xml:space="preserve"> </w:t>
      </w:r>
      <w:r w:rsidR="00F74EB3">
        <w:t xml:space="preserve">The submission referenced two retrospective observational studies assessing the efficacy of immunotherapy, with or without PBC, in patients with advanced NSCLC harbouring </w:t>
      </w:r>
      <w:r w:rsidR="00F74EB3">
        <w:lastRenderedPageBreak/>
        <w:t xml:space="preserve">the BRAF V600E mutation versus those with wildtype (WT). Brambilla et al. (2023) found no statistically significant differences in either OS </w:t>
      </w:r>
      <w:r w:rsidR="00DC07AC">
        <w:t>(</w:t>
      </w:r>
      <w:r w:rsidR="00F74EB3">
        <w:t xml:space="preserve">p=0.12) </w:t>
      </w:r>
      <w:r w:rsidR="00DC07AC">
        <w:t xml:space="preserve">or </w:t>
      </w:r>
      <w:r w:rsidR="00F74EB3">
        <w:t>PFS</w:t>
      </w:r>
      <w:r w:rsidR="00DC07AC">
        <w:t xml:space="preserve"> (</w:t>
      </w:r>
      <w:r w:rsidR="00F74EB3">
        <w:t>p=0.35). Similarly, Li et al. (2022) reported no statistically significant difference in OS (p=0.15) and PFS (p</w:t>
      </w:r>
      <w:r w:rsidR="00DC07AC">
        <w:t>=</w:t>
      </w:r>
      <w:r w:rsidR="00F74EB3">
        <w:t xml:space="preserve">0.53). </w:t>
      </w:r>
      <w:r w:rsidR="00F74EB3" w:rsidRPr="005734A5">
        <w:t>Notably, these studies were not specifically designed to evaluate the prognostic effect of the presence of a BRAF V600E mutation in NSCLC and included a small number of patients (five and 43, respectively).</w:t>
      </w:r>
      <w:bookmarkEnd w:id="39"/>
    </w:p>
    <w:p w14:paraId="24F1CB5A" w14:textId="7FFA96AF" w:rsidR="00E61B1A" w:rsidRDefault="0028495B" w:rsidP="00906C89">
      <w:pPr>
        <w:pStyle w:val="3-BodyText"/>
        <w:spacing w:line="259" w:lineRule="auto"/>
      </w:pPr>
      <w:bookmarkStart w:id="40" w:name="_Ref187661206"/>
      <w:bookmarkStart w:id="41" w:name="_Ref186457718"/>
      <w:r w:rsidRPr="005734A5">
        <w:t>A l</w:t>
      </w:r>
      <w:r w:rsidR="007273E9" w:rsidRPr="005734A5">
        <w:t>i</w:t>
      </w:r>
      <w:r w:rsidR="0017397B" w:rsidRPr="005734A5">
        <w:t>terature search</w:t>
      </w:r>
      <w:r w:rsidR="007273E9" w:rsidRPr="005734A5">
        <w:t xml:space="preserve"> </w:t>
      </w:r>
      <w:r w:rsidR="0017397B" w:rsidRPr="005734A5">
        <w:t xml:space="preserve">conducted during the evaluation </w:t>
      </w:r>
      <w:r w:rsidR="27645A4F" w:rsidRPr="005734A5">
        <w:t xml:space="preserve">on the </w:t>
      </w:r>
      <w:r w:rsidR="0017397B" w:rsidRPr="005734A5">
        <w:t>prognostic value of BRAF V600E mutation in NSCLC</w:t>
      </w:r>
      <w:r w:rsidR="001A149D" w:rsidRPr="005734A5">
        <w:t xml:space="preserve"> </w:t>
      </w:r>
      <w:r w:rsidR="00C414EE" w:rsidRPr="005734A5">
        <w:t xml:space="preserve">showed </w:t>
      </w:r>
      <w:r w:rsidR="001A149D" w:rsidRPr="005734A5">
        <w:t>inconsisten</w:t>
      </w:r>
      <w:r w:rsidR="00136A43" w:rsidRPr="005734A5">
        <w:t>t</w:t>
      </w:r>
      <w:r w:rsidR="001A149D" w:rsidRPr="005734A5">
        <w:t xml:space="preserve"> </w:t>
      </w:r>
      <w:r w:rsidR="00136A43" w:rsidRPr="005734A5">
        <w:t>findings</w:t>
      </w:r>
      <w:r w:rsidR="0017397B" w:rsidRPr="005734A5">
        <w:t xml:space="preserve">. </w:t>
      </w:r>
      <w:r w:rsidR="00D40071" w:rsidRPr="005734A5">
        <w:t xml:space="preserve">While some studies </w:t>
      </w:r>
      <w:r w:rsidR="00C414EE" w:rsidRPr="005734A5">
        <w:t>reported</w:t>
      </w:r>
      <w:r w:rsidR="00C414EE" w:rsidRPr="03CF4CC7">
        <w:rPr>
          <w:i/>
          <w:iCs/>
        </w:rPr>
        <w:t xml:space="preserve"> </w:t>
      </w:r>
      <w:r w:rsidR="00D40071" w:rsidRPr="005734A5">
        <w:t>no significant differences in survival or response</w:t>
      </w:r>
      <w:r w:rsidR="004B2927" w:rsidRPr="005734A5">
        <w:rPr>
          <w:rStyle w:val="FootnoteReference"/>
        </w:rPr>
        <w:footnoteReference w:id="9"/>
      </w:r>
      <w:r w:rsidR="00D0677F" w:rsidRPr="005734A5">
        <w:rPr>
          <w:vertAlign w:val="superscript"/>
        </w:rPr>
        <w:t>,</w:t>
      </w:r>
      <w:r w:rsidR="001F535E" w:rsidRPr="005734A5">
        <w:rPr>
          <w:rStyle w:val="FootnoteReference"/>
        </w:rPr>
        <w:footnoteReference w:id="10"/>
      </w:r>
      <w:r w:rsidR="00591FB4" w:rsidRPr="005734A5">
        <w:t xml:space="preserve">, </w:t>
      </w:r>
      <w:r w:rsidR="00D0677F" w:rsidRPr="005734A5">
        <w:t>other</w:t>
      </w:r>
      <w:r w:rsidR="00C414EE" w:rsidRPr="005734A5">
        <w:t xml:space="preserve">s indicated </w:t>
      </w:r>
      <w:r w:rsidR="00D0677F" w:rsidRPr="005734A5">
        <w:t>improve</w:t>
      </w:r>
      <w:r w:rsidR="00C414EE" w:rsidRPr="005734A5">
        <w:t xml:space="preserve">d </w:t>
      </w:r>
      <w:r w:rsidR="00D0677F" w:rsidRPr="005734A5">
        <w:t xml:space="preserve">survival </w:t>
      </w:r>
      <w:r w:rsidR="00C414EE" w:rsidRPr="005734A5">
        <w:t>outcomes for</w:t>
      </w:r>
      <w:r w:rsidR="00D0677F" w:rsidRPr="005734A5">
        <w:t xml:space="preserve"> patients with BRAF V600E mutations</w:t>
      </w:r>
      <w:r w:rsidR="00E61B1A" w:rsidRPr="005734A5">
        <w:t>.</w:t>
      </w:r>
      <w:r w:rsidR="00FB54A9" w:rsidRPr="005734A5">
        <w:rPr>
          <w:rStyle w:val="FootnoteReference"/>
        </w:rPr>
        <w:footnoteReference w:id="11"/>
      </w:r>
      <w:r w:rsidR="00E2430D" w:rsidRPr="005734A5">
        <w:rPr>
          <w:vertAlign w:val="superscript"/>
        </w:rPr>
        <w:t>,</w:t>
      </w:r>
      <w:r w:rsidR="00E2430D" w:rsidRPr="005734A5">
        <w:rPr>
          <w:rStyle w:val="FootnoteReference"/>
        </w:rPr>
        <w:footnoteReference w:id="12"/>
      </w:r>
      <w:r w:rsidR="00005B5A" w:rsidRPr="005734A5">
        <w:t xml:space="preserve"> </w:t>
      </w:r>
      <w:r w:rsidR="00C414EE" w:rsidRPr="005734A5">
        <w:t>Conversely, a f</w:t>
      </w:r>
      <w:r w:rsidR="00005B5A" w:rsidRPr="005734A5">
        <w:t>ew studies</w:t>
      </w:r>
      <w:r w:rsidR="00E61B1A" w:rsidRPr="005734A5">
        <w:t xml:space="preserve"> showed that patients with BR</w:t>
      </w:r>
      <w:r w:rsidR="00702E08" w:rsidRPr="005734A5">
        <w:t>AF</w:t>
      </w:r>
      <w:r w:rsidR="00E61B1A" w:rsidRPr="005734A5">
        <w:t xml:space="preserve"> V600E mutations may have poor</w:t>
      </w:r>
      <w:r w:rsidR="630BFF74" w:rsidRPr="005734A5">
        <w:t>er</w:t>
      </w:r>
      <w:r w:rsidR="00E61B1A" w:rsidRPr="005734A5">
        <w:t xml:space="preserve"> prognosis compared to </w:t>
      </w:r>
      <w:r w:rsidR="00C414EE" w:rsidRPr="005734A5">
        <w:t>those</w:t>
      </w:r>
      <w:r w:rsidR="00E61B1A" w:rsidRPr="005734A5">
        <w:t xml:space="preserve"> with BRAF WT</w:t>
      </w:r>
      <w:r w:rsidR="00325BA5" w:rsidRPr="005734A5">
        <w:t xml:space="preserve"> or non-V600E mutation</w:t>
      </w:r>
      <w:r w:rsidR="00E61B1A" w:rsidRPr="005734A5">
        <w:t>.</w:t>
      </w:r>
      <w:r w:rsidR="00FB54A9" w:rsidRPr="005734A5">
        <w:rPr>
          <w:rStyle w:val="FootnoteReference"/>
        </w:rPr>
        <w:footnoteReference w:id="13"/>
      </w:r>
      <w:r w:rsidR="00005B5A" w:rsidRPr="005734A5">
        <w:rPr>
          <w:vertAlign w:val="superscript"/>
        </w:rPr>
        <w:t>,</w:t>
      </w:r>
      <w:r w:rsidR="00005B5A" w:rsidRPr="005734A5">
        <w:rPr>
          <w:rStyle w:val="FootnoteReference"/>
        </w:rPr>
        <w:footnoteReference w:id="14"/>
      </w:r>
      <w:r w:rsidR="00FB54A9" w:rsidRPr="005734A5">
        <w:t xml:space="preserve"> </w:t>
      </w:r>
      <w:r w:rsidR="00E61B1A" w:rsidRPr="005734A5">
        <w:t xml:space="preserve">Overall, </w:t>
      </w:r>
      <w:r w:rsidR="009241D1" w:rsidRPr="009241D1">
        <w:rPr>
          <w:i/>
          <w:iCs/>
        </w:rPr>
        <w:t xml:space="preserve">the </w:t>
      </w:r>
      <w:r w:rsidR="009241D1" w:rsidRPr="004331CD">
        <w:t>evaluation considered</w:t>
      </w:r>
      <w:r w:rsidR="009241D1">
        <w:t xml:space="preserve"> </w:t>
      </w:r>
      <w:r w:rsidR="00E61B1A" w:rsidRPr="005734A5">
        <w:t xml:space="preserve">it was difficult to draw any robust conclusions </w:t>
      </w:r>
      <w:r w:rsidR="00C414EE" w:rsidRPr="005734A5">
        <w:t>regarding</w:t>
      </w:r>
      <w:r w:rsidR="00E61B1A" w:rsidRPr="005734A5">
        <w:t xml:space="preserve"> the prognostic value of BRAF mutations</w:t>
      </w:r>
      <w:r w:rsidR="474AADFB" w:rsidRPr="005734A5">
        <w:t xml:space="preserve"> </w:t>
      </w:r>
      <w:r w:rsidR="0C20258F" w:rsidRPr="005734A5">
        <w:t>i</w:t>
      </w:r>
      <w:r w:rsidR="474AADFB" w:rsidRPr="005734A5">
        <w:t>n NSCLC</w:t>
      </w:r>
      <w:r w:rsidR="00E61B1A" w:rsidRPr="005734A5">
        <w:t>.</w:t>
      </w:r>
      <w:bookmarkEnd w:id="40"/>
      <w:r w:rsidR="005847A4" w:rsidRPr="005847A4">
        <w:t xml:space="preserve"> </w:t>
      </w:r>
      <w:r w:rsidR="005847A4" w:rsidRPr="004331CD">
        <w:t xml:space="preserve">The </w:t>
      </w:r>
      <w:r w:rsidR="00F018E3" w:rsidRPr="00F018E3">
        <w:t xml:space="preserve">Pre-Sub-Committee Response </w:t>
      </w:r>
      <w:r w:rsidR="00F018E3">
        <w:t>(</w:t>
      </w:r>
      <w:r w:rsidR="005847A4" w:rsidRPr="004331CD">
        <w:t>PSCR</w:t>
      </w:r>
      <w:r w:rsidR="00F018E3">
        <w:t>)</w:t>
      </w:r>
      <w:r w:rsidR="0010198B" w:rsidRPr="004331CD">
        <w:t xml:space="preserve"> stated</w:t>
      </w:r>
      <w:r w:rsidR="003F4776" w:rsidRPr="004331CD">
        <w:t xml:space="preserve"> the</w:t>
      </w:r>
      <w:r w:rsidR="00C2049F" w:rsidRPr="004331CD">
        <w:t>se additional studies</w:t>
      </w:r>
      <w:r w:rsidR="00C2049F" w:rsidRPr="004331CD">
        <w:rPr>
          <w:rStyle w:val="PBACnormalChar"/>
        </w:rPr>
        <w:t xml:space="preserve"> </w:t>
      </w:r>
      <w:r w:rsidR="0010198B" w:rsidRPr="004331CD">
        <w:rPr>
          <w:rStyle w:val="PBACnormalChar"/>
        </w:rPr>
        <w:t>were</w:t>
      </w:r>
      <w:r w:rsidR="00C2049F" w:rsidRPr="004331CD">
        <w:rPr>
          <w:rStyle w:val="PBACnormalChar"/>
        </w:rPr>
        <w:t xml:space="preserve"> not appropriate for assessing whether BRAF </w:t>
      </w:r>
      <w:r w:rsidR="00C2049F" w:rsidRPr="004331CD">
        <w:t>V600</w:t>
      </w:r>
      <w:r w:rsidR="00980A76" w:rsidRPr="004331CD">
        <w:t>E</w:t>
      </w:r>
      <w:r w:rsidR="00C2049F" w:rsidRPr="004331CD">
        <w:t xml:space="preserve"> is a treatment effect modifier in metastatic NSCLC treated with immunotherapy</w:t>
      </w:r>
      <w:r w:rsidR="00980A76" w:rsidRPr="004331CD">
        <w:t xml:space="preserve"> as they were not conducted this patient population (i.e., metastatic disease, treated with immunotherapy)</w:t>
      </w:r>
      <w:r w:rsidR="003F4776" w:rsidRPr="004331CD">
        <w:t>. The PSCR</w:t>
      </w:r>
      <w:r w:rsidR="00311591" w:rsidRPr="004331CD">
        <w:t xml:space="preserve"> maintained that t</w:t>
      </w:r>
      <w:r w:rsidR="005847A4" w:rsidRPr="004331CD">
        <w:t>he evidence presented in the submission is the most reliable evidence that BRAF V600E is not a treatment effect modifier in the population of interest.</w:t>
      </w:r>
    </w:p>
    <w:p w14:paraId="2B9A9662" w14:textId="68B5CF11" w:rsidR="003576D9" w:rsidRPr="004331CD" w:rsidRDefault="003576D9" w:rsidP="00906C89">
      <w:pPr>
        <w:pStyle w:val="3-BodyText"/>
        <w:spacing w:line="259" w:lineRule="auto"/>
      </w:pPr>
      <w:r>
        <w:t xml:space="preserve">The PBAC </w:t>
      </w:r>
      <w:r w:rsidR="00D71C60">
        <w:t xml:space="preserve">considered BRAF mutations were </w:t>
      </w:r>
      <w:r w:rsidR="00132379">
        <w:t>not strongly prognostic</w:t>
      </w:r>
      <w:r w:rsidR="008E0582">
        <w:t xml:space="preserve"> in NSCLC and </w:t>
      </w:r>
      <w:r w:rsidR="00884218">
        <w:t xml:space="preserve">treatment with </w:t>
      </w:r>
      <w:r w:rsidR="00035E2F">
        <w:t xml:space="preserve">immunotherapy </w:t>
      </w:r>
      <w:r w:rsidR="00884218">
        <w:t xml:space="preserve">was not a </w:t>
      </w:r>
      <w:r w:rsidR="00035E2F">
        <w:t>treatment effect modifier</w:t>
      </w:r>
      <w:r w:rsidR="001F6910">
        <w:rPr>
          <w:rStyle w:val="FootnoteReference"/>
        </w:rPr>
        <w:footnoteReference w:id="15"/>
      </w:r>
      <w:r w:rsidR="00035E2F">
        <w:t xml:space="preserve">.  </w:t>
      </w:r>
    </w:p>
    <w:p w14:paraId="2982218F" w14:textId="620D30C5" w:rsidR="008B4A2C" w:rsidRPr="005632EA" w:rsidRDefault="00812AC5" w:rsidP="005632EA">
      <w:pPr>
        <w:pStyle w:val="5-SubsectionSubheading"/>
        <w:rPr>
          <w:snapToGrid w:val="0"/>
        </w:rPr>
      </w:pPr>
      <w:bookmarkStart w:id="42" w:name="_Toc188347773"/>
      <w:bookmarkEnd w:id="41"/>
      <w:r w:rsidRPr="005632EA">
        <w:rPr>
          <w:snapToGrid w:val="0"/>
        </w:rPr>
        <w:lastRenderedPageBreak/>
        <w:t>Objective response rate</w:t>
      </w:r>
      <w:bookmarkEnd w:id="42"/>
    </w:p>
    <w:p w14:paraId="33945DA9" w14:textId="56AF1918" w:rsidR="00294E53" w:rsidRPr="009F000C" w:rsidRDefault="00E145CF" w:rsidP="00EC5836">
      <w:pPr>
        <w:pStyle w:val="3-BodyText"/>
      </w:pPr>
      <w:r w:rsidRPr="009F000C">
        <w:fldChar w:fldCharType="begin"/>
      </w:r>
      <w:r w:rsidRPr="009F000C">
        <w:instrText xml:space="preserve"> REF _Ref185496899 \h </w:instrText>
      </w:r>
      <w:r w:rsidRPr="009F000C">
        <w:fldChar w:fldCharType="separate"/>
      </w:r>
      <w:r w:rsidR="00EF4998" w:rsidRPr="009F000C">
        <w:t xml:space="preserve">Table </w:t>
      </w:r>
      <w:r w:rsidR="00EF4998">
        <w:rPr>
          <w:noProof/>
        </w:rPr>
        <w:t>4</w:t>
      </w:r>
      <w:r w:rsidRPr="009F000C">
        <w:fldChar w:fldCharType="end"/>
      </w:r>
      <w:r w:rsidRPr="009F000C">
        <w:t xml:space="preserve"> summarises the results of ORR</w:t>
      </w:r>
      <w:r w:rsidR="00271BF5" w:rsidRPr="009F000C">
        <w:t xml:space="preserve"> </w:t>
      </w:r>
      <w:r w:rsidR="0039147D" w:rsidRPr="009F000C">
        <w:t xml:space="preserve">from the </w:t>
      </w:r>
      <w:r w:rsidR="00325BA5">
        <w:t>intention-to-treat (</w:t>
      </w:r>
      <w:r w:rsidR="0039147D" w:rsidRPr="009F000C">
        <w:t>ITT</w:t>
      </w:r>
      <w:r w:rsidR="00325BA5">
        <w:t>)</w:t>
      </w:r>
      <w:r w:rsidR="0039147D" w:rsidRPr="009F000C">
        <w:t xml:space="preserve"> population at the most recent data cut-off from E2201 study, and KN-189 and KN-407 trials.</w:t>
      </w:r>
    </w:p>
    <w:p w14:paraId="4D6C8016" w14:textId="2B43E5B8" w:rsidR="00234DBE" w:rsidRPr="009F000C" w:rsidRDefault="00234DBE" w:rsidP="00234DBE">
      <w:pPr>
        <w:pStyle w:val="TableFigureHeading"/>
      </w:pPr>
      <w:bookmarkStart w:id="43" w:name="_Ref185496899"/>
      <w:bookmarkStart w:id="44" w:name="_Hlk185443629"/>
      <w:r w:rsidRPr="009F000C">
        <w:t xml:space="preserve">Table </w:t>
      </w:r>
      <w:r w:rsidR="00E77066">
        <w:fldChar w:fldCharType="begin"/>
      </w:r>
      <w:r w:rsidR="00E77066">
        <w:instrText xml:space="preserve"> SEQ Table \* ARABIC </w:instrText>
      </w:r>
      <w:r w:rsidR="00E77066">
        <w:fldChar w:fldCharType="separate"/>
      </w:r>
      <w:r w:rsidR="00EF4998">
        <w:rPr>
          <w:noProof/>
        </w:rPr>
        <w:t>4</w:t>
      </w:r>
      <w:r w:rsidR="00E77066">
        <w:rPr>
          <w:noProof/>
        </w:rPr>
        <w:fldChar w:fldCharType="end"/>
      </w:r>
      <w:bookmarkEnd w:id="43"/>
      <w:r w:rsidRPr="009F000C">
        <w:t>:</w:t>
      </w:r>
      <w:r w:rsidR="00105D89" w:rsidRPr="009F000C">
        <w:t xml:space="preserve"> </w:t>
      </w:r>
      <w:r w:rsidR="001C096D" w:rsidRPr="009F000C">
        <w:t xml:space="preserve">Summary of ORR across the </w:t>
      </w:r>
      <w:r w:rsidR="00382BDF" w:rsidRPr="009F000C">
        <w:t>studies</w:t>
      </w:r>
    </w:p>
    <w:tbl>
      <w:tblPr>
        <w:tblStyle w:val="TableGrid"/>
        <w:tblW w:w="5000" w:type="pct"/>
        <w:tblLook w:val="04A0" w:firstRow="1" w:lastRow="0" w:firstColumn="1" w:lastColumn="0" w:noHBand="0" w:noVBand="1"/>
      </w:tblPr>
      <w:tblGrid>
        <w:gridCol w:w="1093"/>
        <w:gridCol w:w="1436"/>
        <w:gridCol w:w="18"/>
        <w:gridCol w:w="1417"/>
        <w:gridCol w:w="1277"/>
        <w:gridCol w:w="1275"/>
        <w:gridCol w:w="1192"/>
        <w:gridCol w:w="1309"/>
      </w:tblGrid>
      <w:tr w:rsidR="009F000C" w:rsidRPr="009F000C" w14:paraId="4E7A1001" w14:textId="6DE21D6C" w:rsidTr="006F6A8C">
        <w:tc>
          <w:tcPr>
            <w:tcW w:w="606" w:type="pct"/>
            <w:vMerge w:val="restart"/>
          </w:tcPr>
          <w:p w14:paraId="567AA395" w14:textId="77777777" w:rsidR="006F6A8C" w:rsidRPr="009F000C" w:rsidRDefault="006F6A8C" w:rsidP="000B6113">
            <w:pPr>
              <w:pStyle w:val="In-tableHeading"/>
            </w:pPr>
          </w:p>
        </w:tc>
        <w:tc>
          <w:tcPr>
            <w:tcW w:w="1592" w:type="pct"/>
            <w:gridSpan w:val="3"/>
          </w:tcPr>
          <w:p w14:paraId="69752785" w14:textId="256BA182" w:rsidR="006F6A8C" w:rsidRPr="009F000C" w:rsidRDefault="006F6A8C" w:rsidP="00072288">
            <w:pPr>
              <w:pStyle w:val="In-tableHeading"/>
              <w:jc w:val="center"/>
            </w:pPr>
            <w:r w:rsidRPr="009F000C">
              <w:t>E2201</w:t>
            </w:r>
            <w:r w:rsidR="00296CBC" w:rsidRPr="009F000C">
              <w:rPr>
                <w:vertAlign w:val="superscript"/>
              </w:rPr>
              <w:t>a</w:t>
            </w:r>
          </w:p>
        </w:tc>
        <w:tc>
          <w:tcPr>
            <w:tcW w:w="1415" w:type="pct"/>
            <w:gridSpan w:val="2"/>
          </w:tcPr>
          <w:p w14:paraId="0613A79C" w14:textId="2D1FC494" w:rsidR="006F6A8C" w:rsidRPr="009F000C" w:rsidRDefault="006F6A8C" w:rsidP="000B6113">
            <w:pPr>
              <w:pStyle w:val="In-tableHeading"/>
              <w:jc w:val="center"/>
            </w:pPr>
            <w:r w:rsidRPr="009F000C">
              <w:t>KN-189</w:t>
            </w:r>
            <w:r w:rsidR="00296CBC" w:rsidRPr="009F000C">
              <w:rPr>
                <w:vertAlign w:val="superscript"/>
              </w:rPr>
              <w:t>b</w:t>
            </w:r>
          </w:p>
        </w:tc>
        <w:tc>
          <w:tcPr>
            <w:tcW w:w="1387" w:type="pct"/>
            <w:gridSpan w:val="2"/>
          </w:tcPr>
          <w:p w14:paraId="168F9B98" w14:textId="054C9B7B" w:rsidR="006F6A8C" w:rsidRPr="009F000C" w:rsidRDefault="006F6A8C" w:rsidP="000B6113">
            <w:pPr>
              <w:pStyle w:val="In-tableHeading"/>
              <w:jc w:val="center"/>
            </w:pPr>
            <w:r w:rsidRPr="009F000C">
              <w:t>KN-407</w:t>
            </w:r>
            <w:r w:rsidR="00D34E75">
              <w:rPr>
                <w:vertAlign w:val="superscript"/>
              </w:rPr>
              <w:t>c</w:t>
            </w:r>
          </w:p>
        </w:tc>
      </w:tr>
      <w:tr w:rsidR="009F000C" w:rsidRPr="009F000C" w14:paraId="44978845" w14:textId="77777777" w:rsidTr="006F6A8C">
        <w:tc>
          <w:tcPr>
            <w:tcW w:w="606" w:type="pct"/>
            <w:vMerge/>
          </w:tcPr>
          <w:p w14:paraId="404D709E" w14:textId="77777777" w:rsidR="000940C3" w:rsidRPr="009F000C" w:rsidRDefault="000940C3" w:rsidP="000940C3">
            <w:pPr>
              <w:pStyle w:val="In-tableHeading"/>
            </w:pPr>
          </w:p>
        </w:tc>
        <w:tc>
          <w:tcPr>
            <w:tcW w:w="796" w:type="pct"/>
          </w:tcPr>
          <w:p w14:paraId="79EC2074" w14:textId="0ABB69D7" w:rsidR="000940C3" w:rsidRPr="009F000C" w:rsidRDefault="000940C3" w:rsidP="000940C3">
            <w:pPr>
              <w:pStyle w:val="In-tableHeading"/>
              <w:jc w:val="center"/>
            </w:pPr>
            <w:r w:rsidRPr="009F000C">
              <w:t>1</w:t>
            </w:r>
            <w:r w:rsidRPr="009F000C">
              <w:rPr>
                <w:vertAlign w:val="superscript"/>
              </w:rPr>
              <w:t>st</w:t>
            </w:r>
            <w:r w:rsidRPr="009F000C">
              <w:t xml:space="preserve"> Line D+T </w:t>
            </w:r>
          </w:p>
          <w:p w14:paraId="72A60B1B" w14:textId="77777777" w:rsidR="000940C3" w:rsidRPr="009F000C" w:rsidRDefault="000940C3" w:rsidP="000940C3">
            <w:pPr>
              <w:pStyle w:val="In-tableHeading"/>
              <w:jc w:val="center"/>
            </w:pPr>
            <w:r w:rsidRPr="009F000C">
              <w:t>(untreated)</w:t>
            </w:r>
          </w:p>
          <w:p w14:paraId="19146286" w14:textId="67050C82" w:rsidR="000940C3" w:rsidRPr="009F000C" w:rsidRDefault="000940C3" w:rsidP="000940C3">
            <w:pPr>
              <w:pStyle w:val="In-tableHeading"/>
              <w:jc w:val="center"/>
            </w:pPr>
            <w:r w:rsidRPr="009F000C">
              <w:t>N=36</w:t>
            </w:r>
          </w:p>
        </w:tc>
        <w:tc>
          <w:tcPr>
            <w:tcW w:w="796" w:type="pct"/>
            <w:gridSpan w:val="2"/>
          </w:tcPr>
          <w:p w14:paraId="3196789B" w14:textId="7BF2D7B9" w:rsidR="000940C3" w:rsidRPr="009F000C" w:rsidRDefault="000940C3" w:rsidP="000940C3">
            <w:pPr>
              <w:pStyle w:val="In-tableHeading"/>
              <w:jc w:val="center"/>
            </w:pPr>
            <w:r w:rsidRPr="009F000C">
              <w:t>2</w:t>
            </w:r>
            <w:r w:rsidRPr="009F000C">
              <w:rPr>
                <w:vertAlign w:val="superscript"/>
              </w:rPr>
              <w:t>nd</w:t>
            </w:r>
            <w:r w:rsidRPr="009F000C">
              <w:t xml:space="preserve"> Line+ D+T </w:t>
            </w:r>
          </w:p>
          <w:p w14:paraId="749DA4BA" w14:textId="77777777" w:rsidR="000940C3" w:rsidRPr="009F000C" w:rsidRDefault="000940C3" w:rsidP="000940C3">
            <w:pPr>
              <w:pStyle w:val="In-tableHeading"/>
              <w:jc w:val="center"/>
            </w:pPr>
            <w:r w:rsidRPr="009F000C">
              <w:t>(pretreated)</w:t>
            </w:r>
          </w:p>
          <w:p w14:paraId="19892BDD" w14:textId="5EC56C47" w:rsidR="000940C3" w:rsidRPr="009F000C" w:rsidRDefault="000940C3" w:rsidP="000940C3">
            <w:pPr>
              <w:pStyle w:val="In-tableHeading"/>
              <w:jc w:val="center"/>
            </w:pPr>
            <w:r w:rsidRPr="009F000C">
              <w:t>N=57</w:t>
            </w:r>
          </w:p>
        </w:tc>
        <w:tc>
          <w:tcPr>
            <w:tcW w:w="708" w:type="pct"/>
          </w:tcPr>
          <w:p w14:paraId="517D360B" w14:textId="77777777" w:rsidR="000940C3" w:rsidRPr="009F000C" w:rsidRDefault="000940C3" w:rsidP="000940C3">
            <w:pPr>
              <w:pStyle w:val="In-tableHeading"/>
              <w:jc w:val="center"/>
            </w:pPr>
            <w:r w:rsidRPr="009F000C">
              <w:t>PEMBRO+</w:t>
            </w:r>
          </w:p>
          <w:p w14:paraId="0AB103FE" w14:textId="77777777" w:rsidR="000940C3" w:rsidRPr="009F000C" w:rsidRDefault="000940C3" w:rsidP="000940C3">
            <w:pPr>
              <w:pStyle w:val="In-tableHeading"/>
              <w:jc w:val="center"/>
            </w:pPr>
            <w:r w:rsidRPr="009F000C">
              <w:t>PBC</w:t>
            </w:r>
          </w:p>
          <w:p w14:paraId="1564F16B" w14:textId="138B71FC" w:rsidR="000940C3" w:rsidRPr="009F000C" w:rsidRDefault="000940C3" w:rsidP="000940C3">
            <w:pPr>
              <w:pStyle w:val="In-tableHeading"/>
              <w:jc w:val="center"/>
            </w:pPr>
            <w:r w:rsidRPr="009F000C">
              <w:t>N=410</w:t>
            </w:r>
          </w:p>
        </w:tc>
        <w:tc>
          <w:tcPr>
            <w:tcW w:w="707" w:type="pct"/>
          </w:tcPr>
          <w:p w14:paraId="03FA4228" w14:textId="77777777" w:rsidR="000940C3" w:rsidRPr="009F000C" w:rsidRDefault="000940C3" w:rsidP="000940C3">
            <w:pPr>
              <w:pStyle w:val="In-tableHeading"/>
              <w:jc w:val="center"/>
            </w:pPr>
            <w:r w:rsidRPr="009F000C">
              <w:t>PBC</w:t>
            </w:r>
          </w:p>
          <w:p w14:paraId="3E6481B2" w14:textId="3EC34F5F" w:rsidR="000940C3" w:rsidRPr="009F000C" w:rsidRDefault="000940C3" w:rsidP="000940C3">
            <w:pPr>
              <w:pStyle w:val="In-tableHeading"/>
              <w:jc w:val="center"/>
            </w:pPr>
            <w:r w:rsidRPr="009F000C">
              <w:t>N=206</w:t>
            </w:r>
          </w:p>
        </w:tc>
        <w:tc>
          <w:tcPr>
            <w:tcW w:w="661" w:type="pct"/>
          </w:tcPr>
          <w:p w14:paraId="4C4D4E5A" w14:textId="77777777" w:rsidR="000940C3" w:rsidRPr="009F000C" w:rsidRDefault="000940C3" w:rsidP="000940C3">
            <w:pPr>
              <w:pStyle w:val="In-tableHeading"/>
              <w:jc w:val="center"/>
            </w:pPr>
            <w:r w:rsidRPr="009F000C">
              <w:t>PEMBRO+</w:t>
            </w:r>
          </w:p>
          <w:p w14:paraId="62FB3234" w14:textId="77777777" w:rsidR="000940C3" w:rsidRPr="009F000C" w:rsidRDefault="000940C3" w:rsidP="000940C3">
            <w:pPr>
              <w:pStyle w:val="In-tableHeading"/>
              <w:jc w:val="center"/>
            </w:pPr>
            <w:r w:rsidRPr="009F000C">
              <w:t>PBC</w:t>
            </w:r>
          </w:p>
          <w:p w14:paraId="2AB6810F" w14:textId="61F0F9A2" w:rsidR="000940C3" w:rsidRPr="009F000C" w:rsidRDefault="000940C3" w:rsidP="000940C3">
            <w:pPr>
              <w:pStyle w:val="In-tableHeading"/>
              <w:jc w:val="center"/>
            </w:pPr>
            <w:r w:rsidRPr="009F000C">
              <w:t>N=278</w:t>
            </w:r>
          </w:p>
        </w:tc>
        <w:tc>
          <w:tcPr>
            <w:tcW w:w="726" w:type="pct"/>
          </w:tcPr>
          <w:p w14:paraId="139CA8BD" w14:textId="77777777" w:rsidR="000940C3" w:rsidRPr="009F000C" w:rsidRDefault="000940C3" w:rsidP="000940C3">
            <w:pPr>
              <w:pStyle w:val="In-tableHeading"/>
              <w:jc w:val="center"/>
            </w:pPr>
            <w:r w:rsidRPr="009F000C">
              <w:t>PBC</w:t>
            </w:r>
          </w:p>
          <w:p w14:paraId="30D05D49" w14:textId="22FFFB2B" w:rsidR="000940C3" w:rsidRPr="009F000C" w:rsidRDefault="000940C3" w:rsidP="000940C3">
            <w:pPr>
              <w:pStyle w:val="In-tableHeading"/>
              <w:jc w:val="center"/>
            </w:pPr>
            <w:r w:rsidRPr="009F000C">
              <w:t>N=281</w:t>
            </w:r>
          </w:p>
        </w:tc>
      </w:tr>
      <w:tr w:rsidR="009F000C" w:rsidRPr="009F000C" w14:paraId="06D63F30" w14:textId="33FA6AE3" w:rsidTr="00BD3793">
        <w:tc>
          <w:tcPr>
            <w:tcW w:w="2198" w:type="pct"/>
            <w:gridSpan w:val="4"/>
          </w:tcPr>
          <w:p w14:paraId="3BC4C56A" w14:textId="60CF3639" w:rsidR="000C43F0" w:rsidRPr="009F000C" w:rsidRDefault="000C43F0" w:rsidP="000B6113">
            <w:pPr>
              <w:pStyle w:val="In-tableHeading"/>
            </w:pPr>
            <w:r w:rsidRPr="009F000C">
              <w:t>Best response, n (%)</w:t>
            </w:r>
          </w:p>
        </w:tc>
        <w:tc>
          <w:tcPr>
            <w:tcW w:w="1415" w:type="pct"/>
            <w:gridSpan w:val="2"/>
          </w:tcPr>
          <w:p w14:paraId="27295E76" w14:textId="77777777" w:rsidR="000C43F0" w:rsidRPr="009F000C" w:rsidRDefault="000C43F0" w:rsidP="000B6113">
            <w:pPr>
              <w:pStyle w:val="In-tableHeading"/>
            </w:pPr>
          </w:p>
        </w:tc>
        <w:tc>
          <w:tcPr>
            <w:tcW w:w="1387" w:type="pct"/>
            <w:gridSpan w:val="2"/>
          </w:tcPr>
          <w:p w14:paraId="28E34C4D" w14:textId="77777777" w:rsidR="000C43F0" w:rsidRPr="009F000C" w:rsidRDefault="000C43F0" w:rsidP="000B6113">
            <w:pPr>
              <w:pStyle w:val="In-tableHeading"/>
            </w:pPr>
          </w:p>
        </w:tc>
      </w:tr>
      <w:tr w:rsidR="009F000C" w:rsidRPr="009F000C" w14:paraId="394942B2" w14:textId="5D8D66FC" w:rsidTr="00BD3793">
        <w:tc>
          <w:tcPr>
            <w:tcW w:w="606" w:type="pct"/>
          </w:tcPr>
          <w:p w14:paraId="6442D972" w14:textId="6C6904B2" w:rsidR="00585515" w:rsidRPr="009F000C" w:rsidRDefault="00BD3793" w:rsidP="00585515">
            <w:pPr>
              <w:pStyle w:val="In-tableHeading"/>
              <w:rPr>
                <w:b w:val="0"/>
                <w:bCs/>
              </w:rPr>
            </w:pPr>
            <w:r w:rsidRPr="009F000C">
              <w:rPr>
                <w:b w:val="0"/>
                <w:bCs/>
              </w:rPr>
              <w:t>CR</w:t>
            </w:r>
          </w:p>
        </w:tc>
        <w:tc>
          <w:tcPr>
            <w:tcW w:w="806" w:type="pct"/>
            <w:gridSpan w:val="2"/>
          </w:tcPr>
          <w:p w14:paraId="739CCF6A" w14:textId="17A8FF5A" w:rsidR="00585515" w:rsidRPr="009F000C" w:rsidRDefault="00585515" w:rsidP="00585515">
            <w:pPr>
              <w:pStyle w:val="In-tableHeading"/>
              <w:jc w:val="center"/>
              <w:rPr>
                <w:b w:val="0"/>
                <w:bCs/>
              </w:rPr>
            </w:pPr>
            <w:r w:rsidRPr="009F000C">
              <w:rPr>
                <w:b w:val="0"/>
                <w:bCs/>
              </w:rPr>
              <w:t>2 (6%)</w:t>
            </w:r>
          </w:p>
        </w:tc>
        <w:tc>
          <w:tcPr>
            <w:tcW w:w="786" w:type="pct"/>
          </w:tcPr>
          <w:p w14:paraId="61CE1004" w14:textId="5B7F0613" w:rsidR="00585515" w:rsidRPr="009F000C" w:rsidRDefault="00585515" w:rsidP="00585515">
            <w:pPr>
              <w:pStyle w:val="In-tableHeading"/>
              <w:jc w:val="center"/>
              <w:rPr>
                <w:b w:val="0"/>
                <w:bCs/>
              </w:rPr>
            </w:pPr>
            <w:r w:rsidRPr="009F000C">
              <w:rPr>
                <w:b w:val="0"/>
                <w:bCs/>
              </w:rPr>
              <w:t>3 (5%)</w:t>
            </w:r>
          </w:p>
        </w:tc>
        <w:tc>
          <w:tcPr>
            <w:tcW w:w="708" w:type="pct"/>
          </w:tcPr>
          <w:p w14:paraId="1A6DECCB" w14:textId="1B92974F" w:rsidR="00585515" w:rsidRPr="009F000C" w:rsidRDefault="00585515" w:rsidP="00585515">
            <w:pPr>
              <w:pStyle w:val="In-tableHeading"/>
              <w:jc w:val="center"/>
              <w:rPr>
                <w:b w:val="0"/>
                <w:bCs/>
              </w:rPr>
            </w:pPr>
            <w:r w:rsidRPr="009F000C">
              <w:rPr>
                <w:b w:val="0"/>
                <w:bCs/>
              </w:rPr>
              <w:t>10 (2.4%)</w:t>
            </w:r>
          </w:p>
        </w:tc>
        <w:tc>
          <w:tcPr>
            <w:tcW w:w="707" w:type="pct"/>
          </w:tcPr>
          <w:p w14:paraId="425C96C2" w14:textId="769A377F" w:rsidR="00585515" w:rsidRPr="009F000C" w:rsidRDefault="00585515" w:rsidP="00585515">
            <w:pPr>
              <w:pStyle w:val="In-tableHeading"/>
              <w:jc w:val="center"/>
              <w:rPr>
                <w:b w:val="0"/>
                <w:bCs/>
              </w:rPr>
            </w:pPr>
            <w:r w:rsidRPr="009F000C">
              <w:rPr>
                <w:b w:val="0"/>
                <w:bCs/>
              </w:rPr>
              <w:t>1 (0.5%)</w:t>
            </w:r>
          </w:p>
        </w:tc>
        <w:tc>
          <w:tcPr>
            <w:tcW w:w="661" w:type="pct"/>
          </w:tcPr>
          <w:p w14:paraId="7AC9CB8A" w14:textId="494BC371" w:rsidR="00585515" w:rsidRPr="009F000C" w:rsidRDefault="00585515" w:rsidP="00585515">
            <w:pPr>
              <w:pStyle w:val="In-tableHeading"/>
              <w:jc w:val="center"/>
              <w:rPr>
                <w:b w:val="0"/>
                <w:bCs/>
              </w:rPr>
            </w:pPr>
            <w:r w:rsidRPr="009F000C">
              <w:rPr>
                <w:b w:val="0"/>
                <w:bCs/>
              </w:rPr>
              <w:t>10 (3.6%)</w:t>
            </w:r>
          </w:p>
        </w:tc>
        <w:tc>
          <w:tcPr>
            <w:tcW w:w="726" w:type="pct"/>
          </w:tcPr>
          <w:p w14:paraId="14B4B0DC" w14:textId="1EE974D6" w:rsidR="00585515" w:rsidRPr="009F000C" w:rsidRDefault="00585515" w:rsidP="00585515">
            <w:pPr>
              <w:pStyle w:val="In-tableHeading"/>
              <w:jc w:val="center"/>
              <w:rPr>
                <w:b w:val="0"/>
                <w:bCs/>
              </w:rPr>
            </w:pPr>
            <w:r w:rsidRPr="009F000C">
              <w:rPr>
                <w:b w:val="0"/>
                <w:bCs/>
              </w:rPr>
              <w:t>11 (3.9%)</w:t>
            </w:r>
          </w:p>
        </w:tc>
      </w:tr>
      <w:tr w:rsidR="009F000C" w:rsidRPr="009F000C" w14:paraId="6BF2B142" w14:textId="3AF5CB7C" w:rsidTr="00BD3793">
        <w:tc>
          <w:tcPr>
            <w:tcW w:w="606" w:type="pct"/>
          </w:tcPr>
          <w:p w14:paraId="1AD87AB2" w14:textId="005C5A88" w:rsidR="00585515" w:rsidRPr="009F000C" w:rsidRDefault="00BD3793" w:rsidP="00585515">
            <w:pPr>
              <w:pStyle w:val="In-tableHeading"/>
              <w:rPr>
                <w:b w:val="0"/>
                <w:bCs/>
              </w:rPr>
            </w:pPr>
            <w:r w:rsidRPr="009F000C">
              <w:rPr>
                <w:b w:val="0"/>
                <w:bCs/>
              </w:rPr>
              <w:t>PR</w:t>
            </w:r>
          </w:p>
        </w:tc>
        <w:tc>
          <w:tcPr>
            <w:tcW w:w="806" w:type="pct"/>
            <w:gridSpan w:val="2"/>
          </w:tcPr>
          <w:p w14:paraId="7DE7AF5D" w14:textId="4958EC7F" w:rsidR="00585515" w:rsidRPr="009F000C" w:rsidRDefault="00585515" w:rsidP="00585515">
            <w:pPr>
              <w:pStyle w:val="In-tableHeading"/>
              <w:jc w:val="center"/>
              <w:rPr>
                <w:b w:val="0"/>
                <w:bCs/>
              </w:rPr>
            </w:pPr>
            <w:r w:rsidRPr="009F000C">
              <w:rPr>
                <w:b w:val="0"/>
                <w:bCs/>
              </w:rPr>
              <w:t>21 (58%)</w:t>
            </w:r>
          </w:p>
        </w:tc>
        <w:tc>
          <w:tcPr>
            <w:tcW w:w="786" w:type="pct"/>
          </w:tcPr>
          <w:p w14:paraId="3C3F8589" w14:textId="3318DC8C" w:rsidR="00585515" w:rsidRPr="009F000C" w:rsidRDefault="00585515" w:rsidP="00585515">
            <w:pPr>
              <w:pStyle w:val="In-tableHeading"/>
              <w:jc w:val="center"/>
              <w:rPr>
                <w:b w:val="0"/>
                <w:bCs/>
              </w:rPr>
            </w:pPr>
            <w:r w:rsidRPr="009F000C">
              <w:rPr>
                <w:b w:val="0"/>
                <w:bCs/>
              </w:rPr>
              <w:t>36 (63%)</w:t>
            </w:r>
          </w:p>
        </w:tc>
        <w:tc>
          <w:tcPr>
            <w:tcW w:w="708" w:type="pct"/>
          </w:tcPr>
          <w:p w14:paraId="7E1B952B" w14:textId="61C377D5" w:rsidR="00585515" w:rsidRPr="009F000C" w:rsidRDefault="00585515" w:rsidP="00585515">
            <w:pPr>
              <w:pStyle w:val="In-tableHeading"/>
              <w:jc w:val="center"/>
              <w:rPr>
                <w:b w:val="0"/>
                <w:bCs/>
              </w:rPr>
            </w:pPr>
            <w:r w:rsidRPr="009F000C">
              <w:rPr>
                <w:b w:val="0"/>
                <w:bCs/>
              </w:rPr>
              <w:t>188 (45.9%)</w:t>
            </w:r>
          </w:p>
        </w:tc>
        <w:tc>
          <w:tcPr>
            <w:tcW w:w="707" w:type="pct"/>
          </w:tcPr>
          <w:p w14:paraId="255F9C03" w14:textId="154FF388" w:rsidR="00585515" w:rsidRPr="009F000C" w:rsidRDefault="00585515" w:rsidP="00585515">
            <w:pPr>
              <w:pStyle w:val="In-tableHeading"/>
              <w:jc w:val="center"/>
              <w:rPr>
                <w:b w:val="0"/>
                <w:bCs/>
              </w:rPr>
            </w:pPr>
            <w:r w:rsidRPr="009F000C">
              <w:rPr>
                <w:b w:val="0"/>
                <w:bCs/>
              </w:rPr>
              <w:t>40 (19.4%)</w:t>
            </w:r>
          </w:p>
        </w:tc>
        <w:tc>
          <w:tcPr>
            <w:tcW w:w="661" w:type="pct"/>
          </w:tcPr>
          <w:p w14:paraId="5DB4FCDE" w14:textId="7A95B2C5" w:rsidR="00585515" w:rsidRPr="009F000C" w:rsidRDefault="00585515" w:rsidP="00585515">
            <w:pPr>
              <w:pStyle w:val="In-tableHeading"/>
              <w:jc w:val="center"/>
              <w:rPr>
                <w:b w:val="0"/>
                <w:bCs/>
              </w:rPr>
            </w:pPr>
            <w:r w:rsidRPr="009F000C">
              <w:rPr>
                <w:b w:val="0"/>
                <w:bCs/>
              </w:rPr>
              <w:t>163 (58.6%)</w:t>
            </w:r>
          </w:p>
        </w:tc>
        <w:tc>
          <w:tcPr>
            <w:tcW w:w="726" w:type="pct"/>
          </w:tcPr>
          <w:p w14:paraId="028C3934" w14:textId="7D33FDE5" w:rsidR="00585515" w:rsidRPr="009F000C" w:rsidRDefault="00585515" w:rsidP="00585515">
            <w:pPr>
              <w:pStyle w:val="In-tableHeading"/>
              <w:jc w:val="center"/>
              <w:rPr>
                <w:b w:val="0"/>
                <w:bCs/>
              </w:rPr>
            </w:pPr>
            <w:r w:rsidRPr="009F000C">
              <w:rPr>
                <w:b w:val="0"/>
                <w:bCs/>
              </w:rPr>
              <w:t>98 (34.9%)</w:t>
            </w:r>
          </w:p>
        </w:tc>
      </w:tr>
      <w:tr w:rsidR="009F000C" w:rsidRPr="009F000C" w14:paraId="038E9E35" w14:textId="4EDFDEA7" w:rsidTr="00BD3793">
        <w:tc>
          <w:tcPr>
            <w:tcW w:w="606" w:type="pct"/>
          </w:tcPr>
          <w:p w14:paraId="7B58873D" w14:textId="130F5B86" w:rsidR="00585515" w:rsidRPr="009F000C" w:rsidRDefault="00BD3793" w:rsidP="00585515">
            <w:pPr>
              <w:pStyle w:val="In-tableHeading"/>
              <w:rPr>
                <w:b w:val="0"/>
                <w:bCs/>
              </w:rPr>
            </w:pPr>
            <w:r w:rsidRPr="009F000C">
              <w:rPr>
                <w:b w:val="0"/>
                <w:bCs/>
              </w:rPr>
              <w:t>SD</w:t>
            </w:r>
          </w:p>
        </w:tc>
        <w:tc>
          <w:tcPr>
            <w:tcW w:w="806" w:type="pct"/>
            <w:gridSpan w:val="2"/>
          </w:tcPr>
          <w:p w14:paraId="0E492F11" w14:textId="7375A4F1" w:rsidR="00585515" w:rsidRPr="009F000C" w:rsidRDefault="00585515" w:rsidP="00585515">
            <w:pPr>
              <w:pStyle w:val="In-tableHeading"/>
              <w:jc w:val="center"/>
              <w:rPr>
                <w:b w:val="0"/>
                <w:bCs/>
              </w:rPr>
            </w:pPr>
            <w:r w:rsidRPr="009F000C">
              <w:rPr>
                <w:b w:val="0"/>
                <w:bCs/>
              </w:rPr>
              <w:t>4 (11%)</w:t>
            </w:r>
          </w:p>
        </w:tc>
        <w:tc>
          <w:tcPr>
            <w:tcW w:w="786" w:type="pct"/>
          </w:tcPr>
          <w:p w14:paraId="289F550D" w14:textId="5BD1B1F0" w:rsidR="00585515" w:rsidRPr="009F000C" w:rsidRDefault="00585515" w:rsidP="00585515">
            <w:pPr>
              <w:pStyle w:val="In-tableHeading"/>
              <w:jc w:val="center"/>
              <w:rPr>
                <w:b w:val="0"/>
                <w:bCs/>
              </w:rPr>
            </w:pPr>
            <w:r w:rsidRPr="009F000C">
              <w:rPr>
                <w:b w:val="0"/>
                <w:bCs/>
              </w:rPr>
              <w:t>7 (12%)</w:t>
            </w:r>
          </w:p>
        </w:tc>
        <w:tc>
          <w:tcPr>
            <w:tcW w:w="708" w:type="pct"/>
          </w:tcPr>
          <w:p w14:paraId="622CABE9" w14:textId="22D900D2" w:rsidR="00585515" w:rsidRPr="009F000C" w:rsidRDefault="00585515" w:rsidP="00585515">
            <w:pPr>
              <w:pStyle w:val="In-tableHeading"/>
              <w:jc w:val="center"/>
              <w:rPr>
                <w:b w:val="0"/>
                <w:bCs/>
              </w:rPr>
            </w:pPr>
            <w:r w:rsidRPr="009F000C">
              <w:rPr>
                <w:b w:val="0"/>
                <w:bCs/>
              </w:rPr>
              <w:t>149 (36.3%)</w:t>
            </w:r>
          </w:p>
        </w:tc>
        <w:tc>
          <w:tcPr>
            <w:tcW w:w="707" w:type="pct"/>
          </w:tcPr>
          <w:p w14:paraId="5C63615A" w14:textId="373E6D91" w:rsidR="00585515" w:rsidRPr="009F000C" w:rsidRDefault="00585515" w:rsidP="00585515">
            <w:pPr>
              <w:pStyle w:val="In-tableHeading"/>
              <w:jc w:val="center"/>
              <w:rPr>
                <w:b w:val="0"/>
                <w:bCs/>
              </w:rPr>
            </w:pPr>
            <w:r w:rsidRPr="009F000C">
              <w:rPr>
                <w:b w:val="0"/>
                <w:bCs/>
              </w:rPr>
              <w:t>104 (50.5%)</w:t>
            </w:r>
          </w:p>
        </w:tc>
        <w:tc>
          <w:tcPr>
            <w:tcW w:w="661" w:type="pct"/>
          </w:tcPr>
          <w:p w14:paraId="1C7C4959" w14:textId="5BF81EE9" w:rsidR="00585515" w:rsidRPr="009F000C" w:rsidRDefault="00585515" w:rsidP="00585515">
            <w:pPr>
              <w:pStyle w:val="In-tableHeading"/>
              <w:jc w:val="center"/>
              <w:rPr>
                <w:b w:val="0"/>
                <w:bCs/>
              </w:rPr>
            </w:pPr>
            <w:r w:rsidRPr="009F000C">
              <w:rPr>
                <w:b w:val="0"/>
                <w:bCs/>
              </w:rPr>
              <w:t>66 (23.7%)</w:t>
            </w:r>
          </w:p>
        </w:tc>
        <w:tc>
          <w:tcPr>
            <w:tcW w:w="726" w:type="pct"/>
          </w:tcPr>
          <w:p w14:paraId="7D6D9B09" w14:textId="4EA03752" w:rsidR="00585515" w:rsidRPr="009F000C" w:rsidRDefault="00585515" w:rsidP="00585515">
            <w:pPr>
              <w:pStyle w:val="In-tableHeading"/>
              <w:jc w:val="center"/>
              <w:rPr>
                <w:b w:val="0"/>
                <w:bCs/>
              </w:rPr>
            </w:pPr>
            <w:r w:rsidRPr="009F000C">
              <w:rPr>
                <w:b w:val="0"/>
                <w:bCs/>
              </w:rPr>
              <w:t>102 (36.3%)</w:t>
            </w:r>
          </w:p>
        </w:tc>
      </w:tr>
      <w:tr w:rsidR="009F000C" w:rsidRPr="009F000C" w14:paraId="2D2F79CF" w14:textId="573A43C5" w:rsidTr="00BD3793">
        <w:tc>
          <w:tcPr>
            <w:tcW w:w="606" w:type="pct"/>
          </w:tcPr>
          <w:p w14:paraId="54B7D9D4" w14:textId="57239131" w:rsidR="00585515" w:rsidRPr="009F000C" w:rsidRDefault="00BD3793" w:rsidP="00585515">
            <w:pPr>
              <w:pStyle w:val="In-tableHeading"/>
              <w:rPr>
                <w:b w:val="0"/>
                <w:bCs/>
              </w:rPr>
            </w:pPr>
            <w:r w:rsidRPr="009F000C">
              <w:rPr>
                <w:b w:val="0"/>
                <w:bCs/>
              </w:rPr>
              <w:t>PD</w:t>
            </w:r>
          </w:p>
        </w:tc>
        <w:tc>
          <w:tcPr>
            <w:tcW w:w="806" w:type="pct"/>
            <w:gridSpan w:val="2"/>
          </w:tcPr>
          <w:p w14:paraId="2C2C732F" w14:textId="0345A578" w:rsidR="00585515" w:rsidRPr="009F000C" w:rsidRDefault="00585515" w:rsidP="00585515">
            <w:pPr>
              <w:pStyle w:val="In-tableHeading"/>
              <w:jc w:val="center"/>
              <w:rPr>
                <w:b w:val="0"/>
                <w:bCs/>
              </w:rPr>
            </w:pPr>
            <w:r w:rsidRPr="009F000C">
              <w:rPr>
                <w:b w:val="0"/>
                <w:bCs/>
              </w:rPr>
              <w:t>5 (14%)</w:t>
            </w:r>
          </w:p>
        </w:tc>
        <w:tc>
          <w:tcPr>
            <w:tcW w:w="786" w:type="pct"/>
          </w:tcPr>
          <w:p w14:paraId="404B8B65" w14:textId="16A41E2E" w:rsidR="00585515" w:rsidRPr="009F000C" w:rsidRDefault="00585515" w:rsidP="00585515">
            <w:pPr>
              <w:pStyle w:val="In-tableHeading"/>
              <w:jc w:val="center"/>
              <w:rPr>
                <w:b w:val="0"/>
                <w:bCs/>
              </w:rPr>
            </w:pPr>
            <w:r w:rsidRPr="009F000C">
              <w:rPr>
                <w:b w:val="0"/>
                <w:bCs/>
              </w:rPr>
              <w:t>7 (12%)</w:t>
            </w:r>
          </w:p>
        </w:tc>
        <w:tc>
          <w:tcPr>
            <w:tcW w:w="708" w:type="pct"/>
          </w:tcPr>
          <w:p w14:paraId="31CBE892" w14:textId="7A0134FA" w:rsidR="00585515" w:rsidRPr="009F000C" w:rsidRDefault="00585515" w:rsidP="00585515">
            <w:pPr>
              <w:pStyle w:val="In-tableHeading"/>
              <w:jc w:val="center"/>
              <w:rPr>
                <w:b w:val="0"/>
                <w:bCs/>
              </w:rPr>
            </w:pPr>
            <w:r w:rsidRPr="009F000C">
              <w:rPr>
                <w:b w:val="0"/>
                <w:bCs/>
              </w:rPr>
              <w:t>37 (9.0%)</w:t>
            </w:r>
          </w:p>
        </w:tc>
        <w:tc>
          <w:tcPr>
            <w:tcW w:w="707" w:type="pct"/>
          </w:tcPr>
          <w:p w14:paraId="3271138C" w14:textId="70FE2040" w:rsidR="00585515" w:rsidRPr="009F000C" w:rsidRDefault="00585515" w:rsidP="00585515">
            <w:pPr>
              <w:pStyle w:val="In-tableHeading"/>
              <w:jc w:val="center"/>
              <w:rPr>
                <w:b w:val="0"/>
                <w:bCs/>
              </w:rPr>
            </w:pPr>
            <w:r w:rsidRPr="009F000C">
              <w:rPr>
                <w:b w:val="0"/>
                <w:bCs/>
              </w:rPr>
              <w:t>36 (17.5%)</w:t>
            </w:r>
          </w:p>
        </w:tc>
        <w:tc>
          <w:tcPr>
            <w:tcW w:w="661" w:type="pct"/>
          </w:tcPr>
          <w:p w14:paraId="2D0FE0D7" w14:textId="58C6A77C" w:rsidR="00585515" w:rsidRPr="009F000C" w:rsidRDefault="00585515" w:rsidP="00585515">
            <w:pPr>
              <w:pStyle w:val="In-tableHeading"/>
              <w:jc w:val="center"/>
              <w:rPr>
                <w:b w:val="0"/>
                <w:bCs/>
              </w:rPr>
            </w:pPr>
            <w:r w:rsidRPr="009F000C">
              <w:rPr>
                <w:b w:val="0"/>
                <w:bCs/>
              </w:rPr>
              <w:t>17 (6.1%)</w:t>
            </w:r>
          </w:p>
        </w:tc>
        <w:tc>
          <w:tcPr>
            <w:tcW w:w="726" w:type="pct"/>
          </w:tcPr>
          <w:p w14:paraId="7146CFCE" w14:textId="73772BD0" w:rsidR="00585515" w:rsidRPr="009F000C" w:rsidRDefault="00585515" w:rsidP="00585515">
            <w:pPr>
              <w:pStyle w:val="In-tableHeading"/>
              <w:jc w:val="center"/>
              <w:rPr>
                <w:b w:val="0"/>
                <w:bCs/>
              </w:rPr>
            </w:pPr>
            <w:r w:rsidRPr="009F000C">
              <w:rPr>
                <w:b w:val="0"/>
                <w:bCs/>
              </w:rPr>
              <w:t>40 (14.2%)</w:t>
            </w:r>
          </w:p>
        </w:tc>
      </w:tr>
      <w:tr w:rsidR="00BD3793" w14:paraId="119CA272" w14:textId="60D9203D" w:rsidTr="00BD3793">
        <w:tc>
          <w:tcPr>
            <w:tcW w:w="606" w:type="pct"/>
          </w:tcPr>
          <w:p w14:paraId="4A9066F4" w14:textId="5E504258" w:rsidR="00585515" w:rsidRPr="00561121" w:rsidRDefault="00585515" w:rsidP="00585515">
            <w:pPr>
              <w:pStyle w:val="In-tableHeading"/>
              <w:rPr>
                <w:b w:val="0"/>
                <w:bCs/>
              </w:rPr>
            </w:pPr>
            <w:r>
              <w:rPr>
                <w:b w:val="0"/>
                <w:bCs/>
              </w:rPr>
              <w:t>Not evaluable</w:t>
            </w:r>
          </w:p>
        </w:tc>
        <w:tc>
          <w:tcPr>
            <w:tcW w:w="806" w:type="pct"/>
            <w:gridSpan w:val="2"/>
          </w:tcPr>
          <w:p w14:paraId="678D49D3" w14:textId="21E9A012" w:rsidR="00585515" w:rsidRPr="00BD3793" w:rsidRDefault="00585515" w:rsidP="00585515">
            <w:pPr>
              <w:pStyle w:val="In-tableHeading"/>
              <w:jc w:val="center"/>
              <w:rPr>
                <w:b w:val="0"/>
                <w:bCs/>
              </w:rPr>
            </w:pPr>
            <w:r w:rsidRPr="00BD3793">
              <w:rPr>
                <w:b w:val="0"/>
                <w:bCs/>
              </w:rPr>
              <w:t>4 (11%)</w:t>
            </w:r>
          </w:p>
        </w:tc>
        <w:tc>
          <w:tcPr>
            <w:tcW w:w="786" w:type="pct"/>
          </w:tcPr>
          <w:p w14:paraId="20CA72A3" w14:textId="312683F5" w:rsidR="00585515" w:rsidRPr="00BD3793" w:rsidRDefault="00585515" w:rsidP="00585515">
            <w:pPr>
              <w:pStyle w:val="In-tableHeading"/>
              <w:jc w:val="center"/>
              <w:rPr>
                <w:b w:val="0"/>
                <w:bCs/>
              </w:rPr>
            </w:pPr>
            <w:r w:rsidRPr="00BD3793">
              <w:rPr>
                <w:b w:val="0"/>
                <w:bCs/>
              </w:rPr>
              <w:t>4 (7%)</w:t>
            </w:r>
          </w:p>
        </w:tc>
        <w:tc>
          <w:tcPr>
            <w:tcW w:w="708" w:type="pct"/>
          </w:tcPr>
          <w:p w14:paraId="0DFF83C4" w14:textId="1B5A5FF8" w:rsidR="00585515" w:rsidRPr="00BD3793" w:rsidRDefault="00585515" w:rsidP="00585515">
            <w:pPr>
              <w:pStyle w:val="In-tableHeading"/>
              <w:jc w:val="center"/>
              <w:rPr>
                <w:b w:val="0"/>
                <w:bCs/>
              </w:rPr>
            </w:pPr>
            <w:r w:rsidRPr="00BD3793">
              <w:rPr>
                <w:b w:val="0"/>
                <w:bCs/>
              </w:rPr>
              <w:t>12 (2.9%)</w:t>
            </w:r>
          </w:p>
        </w:tc>
        <w:tc>
          <w:tcPr>
            <w:tcW w:w="707" w:type="pct"/>
          </w:tcPr>
          <w:p w14:paraId="4AE0EB5E" w14:textId="60282984" w:rsidR="00585515" w:rsidRPr="00BD3793" w:rsidRDefault="00585515" w:rsidP="00585515">
            <w:pPr>
              <w:pStyle w:val="In-tableHeading"/>
              <w:jc w:val="center"/>
              <w:rPr>
                <w:b w:val="0"/>
                <w:bCs/>
              </w:rPr>
            </w:pPr>
            <w:r w:rsidRPr="00BD3793">
              <w:rPr>
                <w:b w:val="0"/>
                <w:bCs/>
              </w:rPr>
              <w:t>8 (3.9%)</w:t>
            </w:r>
          </w:p>
        </w:tc>
        <w:tc>
          <w:tcPr>
            <w:tcW w:w="661" w:type="pct"/>
          </w:tcPr>
          <w:p w14:paraId="0F282AD9" w14:textId="58142DE4" w:rsidR="00585515" w:rsidRPr="00BD3793" w:rsidRDefault="00585515" w:rsidP="00585515">
            <w:pPr>
              <w:pStyle w:val="In-tableHeading"/>
              <w:jc w:val="center"/>
              <w:rPr>
                <w:b w:val="0"/>
                <w:bCs/>
              </w:rPr>
            </w:pPr>
            <w:r w:rsidRPr="00BD3793">
              <w:rPr>
                <w:b w:val="0"/>
                <w:bCs/>
              </w:rPr>
              <w:t>6 (2.2%)</w:t>
            </w:r>
          </w:p>
        </w:tc>
        <w:tc>
          <w:tcPr>
            <w:tcW w:w="726" w:type="pct"/>
          </w:tcPr>
          <w:p w14:paraId="04B6AD97" w14:textId="3DD8C166" w:rsidR="00585515" w:rsidRPr="00BD3793" w:rsidRDefault="00585515" w:rsidP="00585515">
            <w:pPr>
              <w:pStyle w:val="In-tableHeading"/>
              <w:jc w:val="center"/>
              <w:rPr>
                <w:b w:val="0"/>
                <w:bCs/>
              </w:rPr>
            </w:pPr>
            <w:r w:rsidRPr="00BD3793">
              <w:rPr>
                <w:b w:val="0"/>
                <w:bCs/>
              </w:rPr>
              <w:t>7 (2.5%)</w:t>
            </w:r>
          </w:p>
        </w:tc>
      </w:tr>
      <w:tr w:rsidR="00BD3793" w14:paraId="53EF1412" w14:textId="77777777" w:rsidTr="00BD3793">
        <w:tc>
          <w:tcPr>
            <w:tcW w:w="606" w:type="pct"/>
          </w:tcPr>
          <w:p w14:paraId="64C037F3" w14:textId="710B9C24" w:rsidR="00585515" w:rsidRDefault="005B0C0D" w:rsidP="00585515">
            <w:pPr>
              <w:pStyle w:val="In-tableHeading"/>
              <w:rPr>
                <w:b w:val="0"/>
                <w:bCs/>
              </w:rPr>
            </w:pPr>
            <w:r>
              <w:rPr>
                <w:b w:val="0"/>
                <w:bCs/>
              </w:rPr>
              <w:t>No assessment</w:t>
            </w:r>
          </w:p>
        </w:tc>
        <w:tc>
          <w:tcPr>
            <w:tcW w:w="806" w:type="pct"/>
            <w:gridSpan w:val="2"/>
          </w:tcPr>
          <w:p w14:paraId="3D2F5A17" w14:textId="2BD9D21B" w:rsidR="00585515" w:rsidRPr="00BD3793" w:rsidRDefault="00BD3793" w:rsidP="00585515">
            <w:pPr>
              <w:pStyle w:val="In-tableHeading"/>
              <w:jc w:val="center"/>
              <w:rPr>
                <w:b w:val="0"/>
                <w:bCs/>
              </w:rPr>
            </w:pPr>
            <w:r>
              <w:rPr>
                <w:b w:val="0"/>
                <w:bCs/>
              </w:rPr>
              <w:t>-</w:t>
            </w:r>
          </w:p>
        </w:tc>
        <w:tc>
          <w:tcPr>
            <w:tcW w:w="786" w:type="pct"/>
          </w:tcPr>
          <w:p w14:paraId="5CA00503" w14:textId="5E5E1618" w:rsidR="00585515" w:rsidRPr="00BD3793" w:rsidRDefault="00BD3793" w:rsidP="00585515">
            <w:pPr>
              <w:pStyle w:val="In-tableHeading"/>
              <w:jc w:val="center"/>
              <w:rPr>
                <w:b w:val="0"/>
                <w:bCs/>
              </w:rPr>
            </w:pPr>
            <w:r>
              <w:rPr>
                <w:b w:val="0"/>
                <w:bCs/>
              </w:rPr>
              <w:t>-</w:t>
            </w:r>
          </w:p>
        </w:tc>
        <w:tc>
          <w:tcPr>
            <w:tcW w:w="708" w:type="pct"/>
          </w:tcPr>
          <w:p w14:paraId="01ED2A12" w14:textId="71880234" w:rsidR="00585515" w:rsidRPr="00BD3793" w:rsidRDefault="00DE69C8" w:rsidP="00585515">
            <w:pPr>
              <w:pStyle w:val="In-tableHeading"/>
              <w:jc w:val="center"/>
              <w:rPr>
                <w:b w:val="0"/>
                <w:bCs/>
              </w:rPr>
            </w:pPr>
            <w:r w:rsidRPr="00BD3793">
              <w:rPr>
                <w:b w:val="0"/>
                <w:bCs/>
              </w:rPr>
              <w:t>14 (3.4%)</w:t>
            </w:r>
          </w:p>
        </w:tc>
        <w:tc>
          <w:tcPr>
            <w:tcW w:w="707" w:type="pct"/>
          </w:tcPr>
          <w:p w14:paraId="0273B030" w14:textId="40FD73F1" w:rsidR="00585515" w:rsidRPr="00BD3793" w:rsidRDefault="00BD3793" w:rsidP="00585515">
            <w:pPr>
              <w:pStyle w:val="In-tableHeading"/>
              <w:jc w:val="center"/>
              <w:rPr>
                <w:b w:val="0"/>
                <w:bCs/>
              </w:rPr>
            </w:pPr>
            <w:r w:rsidRPr="00BD3793">
              <w:rPr>
                <w:b w:val="0"/>
                <w:bCs/>
              </w:rPr>
              <w:t>17 (8.3%)</w:t>
            </w:r>
          </w:p>
        </w:tc>
        <w:tc>
          <w:tcPr>
            <w:tcW w:w="661" w:type="pct"/>
          </w:tcPr>
          <w:p w14:paraId="2B3AC508" w14:textId="1931689C" w:rsidR="00585515" w:rsidRPr="00BD3793" w:rsidRDefault="00585515" w:rsidP="00585515">
            <w:pPr>
              <w:pStyle w:val="In-tableHeading"/>
              <w:jc w:val="center"/>
              <w:rPr>
                <w:b w:val="0"/>
                <w:bCs/>
              </w:rPr>
            </w:pPr>
            <w:r w:rsidRPr="00BD3793">
              <w:rPr>
                <w:b w:val="0"/>
                <w:bCs/>
              </w:rPr>
              <w:t>16 (5.8%)</w:t>
            </w:r>
          </w:p>
        </w:tc>
        <w:tc>
          <w:tcPr>
            <w:tcW w:w="726" w:type="pct"/>
          </w:tcPr>
          <w:p w14:paraId="08A59919" w14:textId="3F804331" w:rsidR="00585515" w:rsidRPr="00BD3793" w:rsidRDefault="00585515" w:rsidP="00585515">
            <w:pPr>
              <w:pStyle w:val="In-tableHeading"/>
              <w:jc w:val="center"/>
              <w:rPr>
                <w:b w:val="0"/>
                <w:bCs/>
              </w:rPr>
            </w:pPr>
            <w:r w:rsidRPr="00BD3793">
              <w:rPr>
                <w:b w:val="0"/>
                <w:bCs/>
              </w:rPr>
              <w:t>23 (8.2%)</w:t>
            </w:r>
          </w:p>
        </w:tc>
      </w:tr>
      <w:tr w:rsidR="00D31512" w14:paraId="38623E30" w14:textId="012F7BDB" w:rsidTr="00D31512">
        <w:tc>
          <w:tcPr>
            <w:tcW w:w="5000" w:type="pct"/>
            <w:gridSpan w:val="8"/>
          </w:tcPr>
          <w:p w14:paraId="15AF2953" w14:textId="642C5D46" w:rsidR="00D31512" w:rsidRPr="003F60F9" w:rsidRDefault="00D31512" w:rsidP="000B6113">
            <w:pPr>
              <w:pStyle w:val="TableText0"/>
              <w:rPr>
                <w:b/>
                <w:bCs w:val="0"/>
              </w:rPr>
            </w:pPr>
            <w:r w:rsidRPr="003F60F9">
              <w:rPr>
                <w:b/>
                <w:bCs w:val="0"/>
              </w:rPr>
              <w:t>O</w:t>
            </w:r>
            <w:r>
              <w:rPr>
                <w:b/>
                <w:bCs w:val="0"/>
              </w:rPr>
              <w:t>bjective Response Rate, n (%)</w:t>
            </w:r>
          </w:p>
        </w:tc>
      </w:tr>
      <w:tr w:rsidR="00BD3793" w14:paraId="17735492" w14:textId="1CC3B6F8" w:rsidTr="00BD3793">
        <w:tc>
          <w:tcPr>
            <w:tcW w:w="606" w:type="pct"/>
          </w:tcPr>
          <w:p w14:paraId="040D3A0B" w14:textId="77777777" w:rsidR="005B0C0D" w:rsidRDefault="005B0C0D" w:rsidP="005B0C0D">
            <w:pPr>
              <w:pStyle w:val="TableText0"/>
            </w:pPr>
            <w:r>
              <w:t xml:space="preserve">CR+PR </w:t>
            </w:r>
          </w:p>
          <w:p w14:paraId="2BF88956" w14:textId="13D8F719" w:rsidR="005B0C0D" w:rsidRPr="00561121" w:rsidRDefault="005B0C0D" w:rsidP="005B0C0D">
            <w:pPr>
              <w:pStyle w:val="TableText0"/>
            </w:pPr>
            <w:r>
              <w:t>[95% CI]</w:t>
            </w:r>
          </w:p>
        </w:tc>
        <w:tc>
          <w:tcPr>
            <w:tcW w:w="806" w:type="pct"/>
            <w:gridSpan w:val="2"/>
          </w:tcPr>
          <w:p w14:paraId="1D7B9B71" w14:textId="77777777" w:rsidR="005B0C0D" w:rsidRDefault="005B0C0D" w:rsidP="005B0C0D">
            <w:pPr>
              <w:pStyle w:val="TableText0"/>
              <w:jc w:val="center"/>
            </w:pPr>
            <w:r w:rsidRPr="008330B8">
              <w:t xml:space="preserve">23 (63.9%) </w:t>
            </w:r>
          </w:p>
          <w:p w14:paraId="78B9702C" w14:textId="75EE3AA5" w:rsidR="005B0C0D" w:rsidRDefault="005B0C0D" w:rsidP="005B0C0D">
            <w:pPr>
              <w:pStyle w:val="TableText0"/>
              <w:jc w:val="center"/>
            </w:pPr>
            <w:r>
              <w:t>[</w:t>
            </w:r>
            <w:r w:rsidRPr="008330B8">
              <w:t>46.2%, 79.2%]</w:t>
            </w:r>
          </w:p>
        </w:tc>
        <w:tc>
          <w:tcPr>
            <w:tcW w:w="786" w:type="pct"/>
          </w:tcPr>
          <w:p w14:paraId="3DB19168" w14:textId="77777777" w:rsidR="005B0C0D" w:rsidRDefault="005B0C0D" w:rsidP="005B0C0D">
            <w:pPr>
              <w:pStyle w:val="TableText0"/>
              <w:jc w:val="center"/>
            </w:pPr>
            <w:r w:rsidRPr="00F15598">
              <w:t xml:space="preserve">39 (68.4%) </w:t>
            </w:r>
          </w:p>
          <w:p w14:paraId="7D113035" w14:textId="0A997F34" w:rsidR="005B0C0D" w:rsidRPr="0057563D" w:rsidRDefault="005B0C0D" w:rsidP="005B0C0D">
            <w:pPr>
              <w:pStyle w:val="TableText0"/>
              <w:jc w:val="center"/>
            </w:pPr>
            <w:r w:rsidRPr="00F15598">
              <w:t>[54.8%, 80.1%]</w:t>
            </w:r>
          </w:p>
        </w:tc>
        <w:tc>
          <w:tcPr>
            <w:tcW w:w="708" w:type="pct"/>
          </w:tcPr>
          <w:p w14:paraId="1BA718EB" w14:textId="07C1A4DE" w:rsidR="005B0C0D" w:rsidRPr="0057563D" w:rsidRDefault="005B0C0D" w:rsidP="005B0C0D">
            <w:pPr>
              <w:pStyle w:val="TableText0"/>
              <w:jc w:val="center"/>
            </w:pPr>
            <w:r w:rsidRPr="009545FD">
              <w:t>198 (48.3%) [43.4, 53.2]</w:t>
            </w:r>
          </w:p>
        </w:tc>
        <w:tc>
          <w:tcPr>
            <w:tcW w:w="707" w:type="pct"/>
          </w:tcPr>
          <w:p w14:paraId="7473BA4C" w14:textId="2ADE8A8D" w:rsidR="005B0C0D" w:rsidRPr="0057563D" w:rsidRDefault="005B0C0D" w:rsidP="005B0C0D">
            <w:pPr>
              <w:pStyle w:val="TableText0"/>
              <w:jc w:val="center"/>
            </w:pPr>
            <w:r w:rsidRPr="009545FD">
              <w:t>41 (19.9%) [14.7, 26.0]</w:t>
            </w:r>
          </w:p>
        </w:tc>
        <w:tc>
          <w:tcPr>
            <w:tcW w:w="661" w:type="pct"/>
          </w:tcPr>
          <w:p w14:paraId="16BEE807" w14:textId="69ADD837" w:rsidR="005B0C0D" w:rsidRPr="0057563D" w:rsidRDefault="005B0C0D" w:rsidP="005B0C0D">
            <w:pPr>
              <w:pStyle w:val="TableText0"/>
              <w:jc w:val="center"/>
            </w:pPr>
            <w:r w:rsidRPr="00D74B51">
              <w:t>173 (62.2%) [56.2, 68.0]</w:t>
            </w:r>
          </w:p>
        </w:tc>
        <w:tc>
          <w:tcPr>
            <w:tcW w:w="726" w:type="pct"/>
          </w:tcPr>
          <w:p w14:paraId="1B4F096F" w14:textId="4D4CB1E9" w:rsidR="005B0C0D" w:rsidRPr="0057563D" w:rsidRDefault="005B0C0D" w:rsidP="005B0C0D">
            <w:pPr>
              <w:pStyle w:val="TableText0"/>
              <w:jc w:val="center"/>
            </w:pPr>
            <w:r w:rsidRPr="00D74B51">
              <w:t>109 (38.8%) [33.1, 44.8]</w:t>
            </w:r>
          </w:p>
        </w:tc>
      </w:tr>
    </w:tbl>
    <w:p w14:paraId="35AE914E" w14:textId="77777777" w:rsidR="00D34E75" w:rsidRDefault="00D34E75" w:rsidP="00D34E75">
      <w:pPr>
        <w:pStyle w:val="FooterTableFigure"/>
      </w:pPr>
      <w:r>
        <w:t>Source: Table 2.20, p70; Table 2.29, p79 and Table 2.33, p83 of the submission.</w:t>
      </w:r>
    </w:p>
    <w:p w14:paraId="050924E5" w14:textId="77777777" w:rsidR="00D34E75" w:rsidRDefault="00D34E75" w:rsidP="00D34E75">
      <w:pPr>
        <w:pStyle w:val="FooterTableFigure"/>
      </w:pPr>
      <w:r>
        <w:t xml:space="preserve">CI = confidence interval; </w:t>
      </w:r>
      <w:r w:rsidRPr="005C1346">
        <w:t>CR</w:t>
      </w:r>
      <w:r>
        <w:t xml:space="preserve"> = </w:t>
      </w:r>
      <w:r w:rsidRPr="005C1346">
        <w:t xml:space="preserve">complete response; </w:t>
      </w:r>
      <w:r>
        <w:t xml:space="preserve">DCO = date cut-off; D+T = dabrafenib and trametinib; </w:t>
      </w:r>
      <w:r w:rsidRPr="00B40358">
        <w:rPr>
          <w:rFonts w:eastAsia="Calibri"/>
        </w:rPr>
        <w:t>n = number of participants with event; N = total participants in group</w:t>
      </w:r>
      <w:r>
        <w:rPr>
          <w:rFonts w:eastAsia="Calibri"/>
        </w:rPr>
        <w:t xml:space="preserve">; </w:t>
      </w:r>
      <w:r>
        <w:t xml:space="preserve">ORR = objective response rate; PEMBRO = pembrolizumab; PBC = platinum-based chemotherapy; </w:t>
      </w:r>
      <w:r w:rsidRPr="00EB76F0">
        <w:t>PR</w:t>
      </w:r>
      <w:r>
        <w:t xml:space="preserve"> =</w:t>
      </w:r>
      <w:r w:rsidRPr="00EB76F0">
        <w:t xml:space="preserve"> partial response; PD</w:t>
      </w:r>
      <w:r>
        <w:t xml:space="preserve"> = </w:t>
      </w:r>
      <w:r w:rsidRPr="00EB76F0">
        <w:t>progressive disease</w:t>
      </w:r>
      <w:r>
        <w:t>; SD = stable disease.</w:t>
      </w:r>
    </w:p>
    <w:p w14:paraId="4AD92A93" w14:textId="77777777" w:rsidR="00D34E75" w:rsidRDefault="00D34E75" w:rsidP="00D34E75">
      <w:pPr>
        <w:pStyle w:val="FooterTableFigure"/>
      </w:pPr>
      <w:r w:rsidRPr="0094731A">
        <w:rPr>
          <w:vertAlign w:val="superscript"/>
        </w:rPr>
        <w:t>a</w:t>
      </w:r>
      <w:r>
        <w:t xml:space="preserve"> </w:t>
      </w:r>
      <w:r w:rsidRPr="0094731A">
        <w:t xml:space="preserve">Assessed by the investigator per </w:t>
      </w:r>
      <w:r w:rsidRPr="00B65172">
        <w:t>Response Evaluation Criteria In Solid Tumours</w:t>
      </w:r>
      <w:r>
        <w:t xml:space="preserve"> (RECIST)</w:t>
      </w:r>
      <w:r w:rsidRPr="0094731A">
        <w:t xml:space="preserve"> v 1.1</w:t>
      </w:r>
      <w:r>
        <w:t xml:space="preserve"> at the January 2021 DCO</w:t>
      </w:r>
    </w:p>
    <w:p w14:paraId="08432AE3" w14:textId="77777777" w:rsidR="00D34E75" w:rsidRDefault="00D34E75" w:rsidP="00D34E75">
      <w:pPr>
        <w:pStyle w:val="FooterTableFigure"/>
      </w:pPr>
      <w:r w:rsidRPr="0094731A">
        <w:rPr>
          <w:vertAlign w:val="superscript"/>
        </w:rPr>
        <w:t>b</w:t>
      </w:r>
      <w:r>
        <w:t xml:space="preserve"> </w:t>
      </w:r>
      <w:r w:rsidRPr="007A6783">
        <w:t xml:space="preserve">By blinded </w:t>
      </w:r>
      <w:r w:rsidRPr="001F660B">
        <w:t xml:space="preserve">Independent </w:t>
      </w:r>
      <w:r>
        <w:t>C</w:t>
      </w:r>
      <w:r w:rsidRPr="001F660B">
        <w:t xml:space="preserve">entral </w:t>
      </w:r>
      <w:r>
        <w:t>R</w:t>
      </w:r>
      <w:r w:rsidRPr="001F660B">
        <w:t>eview</w:t>
      </w:r>
      <w:r w:rsidRPr="007A6783">
        <w:t xml:space="preserve"> per RECIST v 1.1</w:t>
      </w:r>
      <w:r>
        <w:t xml:space="preserve"> at the March 2022 DCO</w:t>
      </w:r>
    </w:p>
    <w:p w14:paraId="13D10602" w14:textId="77777777" w:rsidR="00D34E75" w:rsidRDefault="00D34E75" w:rsidP="00D34E75">
      <w:pPr>
        <w:pStyle w:val="FooterTableFigure"/>
      </w:pPr>
      <w:r w:rsidRPr="00230755">
        <w:rPr>
          <w:vertAlign w:val="superscript"/>
        </w:rPr>
        <w:t>c</w:t>
      </w:r>
      <w:r>
        <w:t xml:space="preserve"> </w:t>
      </w:r>
      <w:r w:rsidRPr="007A6783">
        <w:t xml:space="preserve">By blinded </w:t>
      </w:r>
      <w:r w:rsidRPr="001F660B">
        <w:t xml:space="preserve">Independent </w:t>
      </w:r>
      <w:r>
        <w:t>C</w:t>
      </w:r>
      <w:r w:rsidRPr="001F660B">
        <w:t xml:space="preserve">entral </w:t>
      </w:r>
      <w:r>
        <w:t>R</w:t>
      </w:r>
      <w:r w:rsidRPr="001F660B">
        <w:t>eview</w:t>
      </w:r>
      <w:r w:rsidRPr="007A6783">
        <w:t xml:space="preserve"> per RECIST v 1.1</w:t>
      </w:r>
      <w:r>
        <w:t xml:space="preserve"> at the February 2022 DCO</w:t>
      </w:r>
    </w:p>
    <w:p w14:paraId="40187ADB" w14:textId="1C5E3868" w:rsidR="00661AEF" w:rsidRDefault="008B69F8" w:rsidP="000B6113">
      <w:pPr>
        <w:pStyle w:val="3-BodyText"/>
      </w:pPr>
      <w:r>
        <w:t>In E2201 study, ORR</w:t>
      </w:r>
      <w:r w:rsidR="00086240">
        <w:t xml:space="preserve"> </w:t>
      </w:r>
      <w:r w:rsidR="00B71313">
        <w:t xml:space="preserve">in first-line D+T patients was </w:t>
      </w:r>
      <w:r>
        <w:t xml:space="preserve">64% (95% CI: 46, 79) </w:t>
      </w:r>
      <w:r w:rsidR="00B71313">
        <w:t>and</w:t>
      </w:r>
      <w:r w:rsidR="00BA654C">
        <w:t xml:space="preserve"> </w:t>
      </w:r>
      <w:r w:rsidR="00F402CA">
        <w:t>second and subsequent line</w:t>
      </w:r>
      <w:r w:rsidR="00BA654C">
        <w:t xml:space="preserve"> patients was 68% (95% CI: 55, 80) </w:t>
      </w:r>
      <w:r>
        <w:t xml:space="preserve">based on investigator assessment. ORR based on IRC assessment compared to ORR based on investigator assessment was consistent for patients treated with first-line D+T (64% vs. 64%) but lower for those treated with </w:t>
      </w:r>
      <w:r w:rsidR="00F402CA">
        <w:t>second and subsequent line</w:t>
      </w:r>
      <w:r>
        <w:t xml:space="preserve"> D+T (63% vs. 68%).</w:t>
      </w:r>
    </w:p>
    <w:p w14:paraId="18CFD379" w14:textId="2F7137B3" w:rsidR="00BA654C" w:rsidRPr="0094731A" w:rsidRDefault="003D178B" w:rsidP="000B6113">
      <w:pPr>
        <w:pStyle w:val="3-BodyText"/>
      </w:pPr>
      <w:r>
        <w:t xml:space="preserve">For the </w:t>
      </w:r>
      <w:proofErr w:type="spellStart"/>
      <w:r>
        <w:t>pembrolizumab+PBC</w:t>
      </w:r>
      <w:proofErr w:type="spellEnd"/>
      <w:r>
        <w:t xml:space="preserve"> arm, </w:t>
      </w:r>
      <w:r w:rsidRPr="003D178B">
        <w:t xml:space="preserve">the ORR assessed by BICR was 48% (95% CI: 43, 53) </w:t>
      </w:r>
      <w:r>
        <w:t xml:space="preserve">in the KN-189 and </w:t>
      </w:r>
      <w:r w:rsidRPr="003D178B">
        <w:t xml:space="preserve">62% (95% CI: 56, 68) </w:t>
      </w:r>
      <w:r>
        <w:t>in the KN-407</w:t>
      </w:r>
      <w:r w:rsidRPr="003D178B">
        <w:t>.</w:t>
      </w:r>
    </w:p>
    <w:p w14:paraId="4B810C82" w14:textId="51949BCB" w:rsidR="008B4A2C" w:rsidRPr="005632EA" w:rsidRDefault="008B4A2C" w:rsidP="005632EA">
      <w:pPr>
        <w:pStyle w:val="5-SubsectionSubheading"/>
        <w:rPr>
          <w:snapToGrid w:val="0"/>
        </w:rPr>
      </w:pPr>
      <w:bookmarkStart w:id="45" w:name="_Toc188347774"/>
      <w:bookmarkStart w:id="46" w:name="_Hlk185444404"/>
      <w:bookmarkEnd w:id="44"/>
      <w:r w:rsidRPr="005632EA">
        <w:rPr>
          <w:snapToGrid w:val="0"/>
        </w:rPr>
        <w:t>Progression-free survival</w:t>
      </w:r>
      <w:bookmarkEnd w:id="45"/>
    </w:p>
    <w:p w14:paraId="6E07CE9F" w14:textId="1FD9D88B" w:rsidR="008B61A3" w:rsidRPr="008B61A3" w:rsidRDefault="008B61A3" w:rsidP="008B61A3">
      <w:pPr>
        <w:pStyle w:val="3-BodyText"/>
        <w:rPr>
          <w:rFonts w:eastAsia="Calibri"/>
        </w:rPr>
      </w:pPr>
      <w:r w:rsidRPr="008B61A3">
        <w:rPr>
          <w:rFonts w:eastAsia="Calibri"/>
        </w:rPr>
        <w:fldChar w:fldCharType="begin"/>
      </w:r>
      <w:r w:rsidRPr="008B61A3">
        <w:rPr>
          <w:rFonts w:eastAsia="Calibri"/>
        </w:rPr>
        <w:instrText xml:space="preserve"> REF _Ref186813913 \h  \* MERGEFORMAT </w:instrText>
      </w:r>
      <w:r w:rsidRPr="008B61A3">
        <w:rPr>
          <w:rFonts w:eastAsia="Calibri"/>
        </w:rPr>
      </w:r>
      <w:r w:rsidRPr="008B61A3">
        <w:rPr>
          <w:rFonts w:eastAsia="Calibri"/>
        </w:rPr>
        <w:fldChar w:fldCharType="separate"/>
      </w:r>
      <w:r w:rsidR="00EF4998" w:rsidRPr="00EF4998">
        <w:rPr>
          <w:rFonts w:eastAsia="Calibri"/>
        </w:rPr>
        <w:t>Table 5</w:t>
      </w:r>
      <w:r w:rsidRPr="008B61A3">
        <w:rPr>
          <w:rFonts w:eastAsia="Calibri"/>
        </w:rPr>
        <w:fldChar w:fldCharType="end"/>
      </w:r>
      <w:r>
        <w:rPr>
          <w:rFonts w:eastAsia="Calibri"/>
        </w:rPr>
        <w:t xml:space="preserve"> </w:t>
      </w:r>
      <w:r w:rsidRPr="008B61A3">
        <w:rPr>
          <w:rFonts w:eastAsia="Calibri"/>
        </w:rPr>
        <w:t xml:space="preserve">summarises the </w:t>
      </w:r>
      <w:r w:rsidR="00DE07F2">
        <w:rPr>
          <w:rFonts w:eastAsia="Calibri"/>
        </w:rPr>
        <w:t>PF</w:t>
      </w:r>
      <w:r w:rsidRPr="008B61A3">
        <w:rPr>
          <w:rFonts w:eastAsia="Calibri"/>
        </w:rPr>
        <w:t>S results from the ITT population at the most recent data cut-off from the E2201 study, and KN-189 and KN-407 trials.</w:t>
      </w:r>
      <w:r w:rsidR="00DE07F2">
        <w:rPr>
          <w:rFonts w:eastAsia="Calibri"/>
        </w:rPr>
        <w:t xml:space="preserve"> </w:t>
      </w:r>
    </w:p>
    <w:p w14:paraId="24183087" w14:textId="7355BD14" w:rsidR="00242950" w:rsidRPr="00D6076E" w:rsidRDefault="00242950" w:rsidP="00242950">
      <w:pPr>
        <w:pStyle w:val="Caption"/>
        <w:rPr>
          <w:rStyle w:val="CommentReference"/>
          <w:rFonts w:eastAsiaTheme="majorEastAsia" w:cstheme="majorBidi"/>
          <w:b/>
          <w:szCs w:val="24"/>
        </w:rPr>
      </w:pPr>
      <w:bookmarkStart w:id="47" w:name="_Ref186813913"/>
      <w:r w:rsidRPr="00D6076E">
        <w:rPr>
          <w:rStyle w:val="CommentReference"/>
          <w:rFonts w:eastAsiaTheme="majorEastAsia" w:cstheme="majorBidi"/>
          <w:b/>
          <w:szCs w:val="24"/>
        </w:rPr>
        <w:lastRenderedPageBreak/>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EF4998">
        <w:rPr>
          <w:rStyle w:val="CommentReference"/>
          <w:rFonts w:eastAsiaTheme="majorEastAsia" w:cstheme="majorBidi"/>
          <w:b/>
          <w:noProof/>
          <w:szCs w:val="24"/>
        </w:rPr>
        <w:t>5</w:t>
      </w:r>
      <w:r w:rsidRPr="00D6076E">
        <w:rPr>
          <w:rStyle w:val="CommentReference"/>
          <w:rFonts w:eastAsiaTheme="majorEastAsia" w:cstheme="majorBidi"/>
          <w:b/>
          <w:szCs w:val="24"/>
        </w:rPr>
        <w:fldChar w:fldCharType="end"/>
      </w:r>
      <w:bookmarkEnd w:id="47"/>
      <w:r w:rsidRPr="00D6076E">
        <w:rPr>
          <w:rStyle w:val="CommentReference"/>
          <w:rFonts w:eastAsiaTheme="majorEastAsia" w:cstheme="majorBidi"/>
          <w:b/>
          <w:szCs w:val="24"/>
        </w:rPr>
        <w:t xml:space="preserve">: Summary of </w:t>
      </w:r>
      <w:r w:rsidR="00A27736">
        <w:rPr>
          <w:rStyle w:val="CommentReference"/>
          <w:rFonts w:eastAsiaTheme="majorEastAsia" w:cstheme="majorBidi"/>
          <w:b/>
          <w:szCs w:val="24"/>
        </w:rPr>
        <w:t>PFS acro</w:t>
      </w:r>
      <w:r w:rsidR="00BD59BB">
        <w:rPr>
          <w:rStyle w:val="CommentReference"/>
          <w:rFonts w:eastAsiaTheme="majorEastAsia" w:cstheme="majorBidi"/>
          <w:b/>
          <w:szCs w:val="24"/>
        </w:rPr>
        <w:t>ss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140"/>
        <w:gridCol w:w="1235"/>
        <w:gridCol w:w="1298"/>
        <w:gridCol w:w="1266"/>
        <w:gridCol w:w="1264"/>
        <w:gridCol w:w="1264"/>
      </w:tblGrid>
      <w:tr w:rsidR="00C65CD6" w:rsidRPr="00FE70C3" w14:paraId="28AF9D02" w14:textId="2FC0DE62" w:rsidTr="03CF4CC7">
        <w:trPr>
          <w:cantSplit/>
          <w:tblHeader/>
        </w:trPr>
        <w:tc>
          <w:tcPr>
            <w:tcW w:w="859" w:type="pct"/>
            <w:vAlign w:val="center"/>
          </w:tcPr>
          <w:p w14:paraId="6B67B47B" w14:textId="77777777" w:rsidR="00C65CD6" w:rsidRPr="00FE70C3" w:rsidRDefault="00C65CD6" w:rsidP="00C65CD6">
            <w:pPr>
              <w:pStyle w:val="In-tableHeading"/>
              <w:jc w:val="center"/>
            </w:pPr>
          </w:p>
        </w:tc>
        <w:tc>
          <w:tcPr>
            <w:tcW w:w="1317" w:type="pct"/>
            <w:gridSpan w:val="2"/>
          </w:tcPr>
          <w:p w14:paraId="4C6FABFA" w14:textId="6CF64942" w:rsidR="00C65CD6" w:rsidRPr="00FE70C3" w:rsidRDefault="00C65CD6" w:rsidP="00C65CD6">
            <w:pPr>
              <w:pStyle w:val="In-tableHeading"/>
              <w:jc w:val="center"/>
            </w:pPr>
            <w:r>
              <w:t>E2201</w:t>
            </w:r>
          </w:p>
        </w:tc>
        <w:tc>
          <w:tcPr>
            <w:tcW w:w="1422" w:type="pct"/>
            <w:gridSpan w:val="2"/>
          </w:tcPr>
          <w:p w14:paraId="008C7D4D" w14:textId="78A1F330" w:rsidR="00C65CD6" w:rsidRPr="00FE70C3" w:rsidRDefault="00C65CD6" w:rsidP="00C65CD6">
            <w:pPr>
              <w:pStyle w:val="In-tableHeading"/>
              <w:jc w:val="center"/>
            </w:pPr>
            <w:r>
              <w:t>KN-189</w:t>
            </w:r>
          </w:p>
        </w:tc>
        <w:tc>
          <w:tcPr>
            <w:tcW w:w="1402" w:type="pct"/>
            <w:gridSpan w:val="2"/>
          </w:tcPr>
          <w:p w14:paraId="0F4D0DC7" w14:textId="77FB7291" w:rsidR="00C65CD6" w:rsidRPr="00FE70C3" w:rsidRDefault="00C65CD6" w:rsidP="00C65CD6">
            <w:pPr>
              <w:pStyle w:val="In-tableHeading"/>
              <w:jc w:val="center"/>
            </w:pPr>
            <w:r>
              <w:t>KN-407</w:t>
            </w:r>
          </w:p>
        </w:tc>
      </w:tr>
      <w:tr w:rsidR="006A7C10" w:rsidRPr="00FE70C3" w14:paraId="4E91D584" w14:textId="423833ED" w:rsidTr="03CF4CC7">
        <w:trPr>
          <w:cantSplit/>
          <w:tblHeader/>
        </w:trPr>
        <w:tc>
          <w:tcPr>
            <w:tcW w:w="859" w:type="pct"/>
            <w:vAlign w:val="center"/>
          </w:tcPr>
          <w:p w14:paraId="4F0A7A3E" w14:textId="77777777" w:rsidR="006A7C10" w:rsidRPr="00FE70C3" w:rsidRDefault="006A7C10" w:rsidP="006A7C10">
            <w:pPr>
              <w:pStyle w:val="In-tableHeading"/>
              <w:jc w:val="center"/>
            </w:pPr>
          </w:p>
        </w:tc>
        <w:tc>
          <w:tcPr>
            <w:tcW w:w="632" w:type="pct"/>
          </w:tcPr>
          <w:p w14:paraId="31DCB5C0" w14:textId="77777777" w:rsidR="000940C3" w:rsidRDefault="000940C3" w:rsidP="000940C3">
            <w:pPr>
              <w:pStyle w:val="In-tableHeading"/>
              <w:jc w:val="center"/>
            </w:pPr>
            <w:r>
              <w:t>1</w:t>
            </w:r>
            <w:r w:rsidRPr="006A7C10">
              <w:rPr>
                <w:vertAlign w:val="superscript"/>
              </w:rPr>
              <w:t>st</w:t>
            </w:r>
            <w:r>
              <w:t xml:space="preserve"> Line</w:t>
            </w:r>
          </w:p>
          <w:p w14:paraId="6C295151" w14:textId="77777777" w:rsidR="006A7C10" w:rsidRDefault="006A7C10" w:rsidP="006A7C10">
            <w:pPr>
              <w:pStyle w:val="In-tableHeading"/>
              <w:jc w:val="center"/>
            </w:pPr>
            <w:r w:rsidRPr="00F87376">
              <w:t>D+T</w:t>
            </w:r>
            <w:r>
              <w:t xml:space="preserve"> </w:t>
            </w:r>
          </w:p>
          <w:p w14:paraId="30A4FFA2" w14:textId="77777777" w:rsidR="006A7C10" w:rsidRDefault="006A7C10" w:rsidP="006A7C10">
            <w:pPr>
              <w:pStyle w:val="In-tableHeading"/>
              <w:jc w:val="center"/>
            </w:pPr>
            <w:r>
              <w:t>(untreated)</w:t>
            </w:r>
          </w:p>
          <w:p w14:paraId="60007623" w14:textId="44EFB23B" w:rsidR="006A7C10" w:rsidRPr="00FE70C3" w:rsidRDefault="006A7C10" w:rsidP="006A7C10">
            <w:pPr>
              <w:pStyle w:val="In-tableHeading"/>
              <w:jc w:val="center"/>
            </w:pPr>
            <w:r>
              <w:t>N=36</w:t>
            </w:r>
          </w:p>
        </w:tc>
        <w:tc>
          <w:tcPr>
            <w:tcW w:w="685" w:type="pct"/>
          </w:tcPr>
          <w:p w14:paraId="378AAD5E" w14:textId="77777777" w:rsidR="000940C3" w:rsidRDefault="000940C3" w:rsidP="000940C3">
            <w:pPr>
              <w:pStyle w:val="In-tableHeading"/>
              <w:jc w:val="center"/>
            </w:pPr>
            <w:r>
              <w:t>2</w:t>
            </w:r>
            <w:r w:rsidRPr="006A7C10">
              <w:rPr>
                <w:vertAlign w:val="superscript"/>
              </w:rPr>
              <w:t>nd</w:t>
            </w:r>
            <w:r>
              <w:t xml:space="preserve"> Line+</w:t>
            </w:r>
          </w:p>
          <w:p w14:paraId="3E5A7FCB" w14:textId="77777777" w:rsidR="006A7C10" w:rsidRDefault="006A7C10" w:rsidP="006A7C10">
            <w:pPr>
              <w:pStyle w:val="In-tableHeading"/>
              <w:jc w:val="center"/>
            </w:pPr>
            <w:r>
              <w:t xml:space="preserve">D+T </w:t>
            </w:r>
          </w:p>
          <w:p w14:paraId="162C56D1" w14:textId="77777777" w:rsidR="006A7C10" w:rsidRDefault="006A7C10" w:rsidP="006A7C10">
            <w:pPr>
              <w:pStyle w:val="In-tableHeading"/>
              <w:jc w:val="center"/>
            </w:pPr>
            <w:r>
              <w:t>(pretreated)</w:t>
            </w:r>
          </w:p>
          <w:p w14:paraId="0CC0FFD9" w14:textId="3E0B443A" w:rsidR="006A7C10" w:rsidRPr="00FE70C3" w:rsidRDefault="006A7C10" w:rsidP="006A7C10">
            <w:pPr>
              <w:pStyle w:val="In-tableHeading"/>
              <w:jc w:val="center"/>
            </w:pPr>
            <w:r>
              <w:t>N=57</w:t>
            </w:r>
          </w:p>
        </w:tc>
        <w:tc>
          <w:tcPr>
            <w:tcW w:w="720" w:type="pct"/>
          </w:tcPr>
          <w:p w14:paraId="4F3C6896" w14:textId="77777777" w:rsidR="006A7C10" w:rsidRDefault="006A7C10" w:rsidP="006A7C10">
            <w:pPr>
              <w:pStyle w:val="In-tableHeading"/>
              <w:jc w:val="center"/>
            </w:pPr>
            <w:r>
              <w:t>PEMBRO+</w:t>
            </w:r>
          </w:p>
          <w:p w14:paraId="5B851B22" w14:textId="77777777" w:rsidR="006A7C10" w:rsidRDefault="006A7C10" w:rsidP="006A7C10">
            <w:pPr>
              <w:pStyle w:val="In-tableHeading"/>
              <w:jc w:val="center"/>
            </w:pPr>
            <w:r>
              <w:t>PBC</w:t>
            </w:r>
          </w:p>
          <w:p w14:paraId="6323E738" w14:textId="1C6EBC9F" w:rsidR="006A7C10" w:rsidRPr="00FE70C3" w:rsidRDefault="006A7C10" w:rsidP="006A7C10">
            <w:pPr>
              <w:pStyle w:val="In-tableHeading"/>
              <w:jc w:val="center"/>
            </w:pPr>
            <w:r>
              <w:t>N=410</w:t>
            </w:r>
          </w:p>
        </w:tc>
        <w:tc>
          <w:tcPr>
            <w:tcW w:w="702" w:type="pct"/>
          </w:tcPr>
          <w:p w14:paraId="5F46EE5C" w14:textId="77777777" w:rsidR="006A7C10" w:rsidRDefault="006A7C10" w:rsidP="006A7C10">
            <w:pPr>
              <w:pStyle w:val="In-tableHeading"/>
              <w:jc w:val="center"/>
            </w:pPr>
            <w:r>
              <w:t>PBC</w:t>
            </w:r>
          </w:p>
          <w:p w14:paraId="736A42CE" w14:textId="3F332E04" w:rsidR="006A7C10" w:rsidRPr="00FE70C3" w:rsidRDefault="006A7C10" w:rsidP="006A7C10">
            <w:pPr>
              <w:pStyle w:val="In-tableHeading"/>
              <w:jc w:val="center"/>
            </w:pPr>
            <w:r>
              <w:t>N=206</w:t>
            </w:r>
          </w:p>
        </w:tc>
        <w:tc>
          <w:tcPr>
            <w:tcW w:w="701" w:type="pct"/>
          </w:tcPr>
          <w:p w14:paraId="167DBEB6" w14:textId="77777777" w:rsidR="006A7C10" w:rsidRDefault="006A7C10" w:rsidP="006A7C10">
            <w:pPr>
              <w:pStyle w:val="In-tableHeading"/>
              <w:jc w:val="center"/>
            </w:pPr>
            <w:r>
              <w:t>PEMBRO+</w:t>
            </w:r>
          </w:p>
          <w:p w14:paraId="7109FFF7" w14:textId="77777777" w:rsidR="006A7C10" w:rsidRDefault="006A7C10" w:rsidP="006A7C10">
            <w:pPr>
              <w:pStyle w:val="In-tableHeading"/>
              <w:jc w:val="center"/>
            </w:pPr>
            <w:r>
              <w:t>PBC</w:t>
            </w:r>
          </w:p>
          <w:p w14:paraId="012CE251" w14:textId="27AD9B3F" w:rsidR="006A7C10" w:rsidRPr="00FE70C3" w:rsidRDefault="006A7C10" w:rsidP="006A7C10">
            <w:pPr>
              <w:pStyle w:val="In-tableHeading"/>
              <w:jc w:val="center"/>
            </w:pPr>
            <w:r>
              <w:t>N=278</w:t>
            </w:r>
          </w:p>
        </w:tc>
        <w:tc>
          <w:tcPr>
            <w:tcW w:w="701" w:type="pct"/>
          </w:tcPr>
          <w:p w14:paraId="4A2984BF" w14:textId="77777777" w:rsidR="006A7C10" w:rsidRDefault="006A7C10" w:rsidP="006A7C10">
            <w:pPr>
              <w:pStyle w:val="In-tableHeading"/>
              <w:jc w:val="center"/>
            </w:pPr>
            <w:r>
              <w:t>PBC</w:t>
            </w:r>
          </w:p>
          <w:p w14:paraId="31F30163" w14:textId="35D66A74" w:rsidR="006A7C10" w:rsidRPr="00FE70C3" w:rsidRDefault="006A7C10" w:rsidP="006A7C10">
            <w:pPr>
              <w:pStyle w:val="In-tableHeading"/>
              <w:jc w:val="center"/>
            </w:pPr>
            <w:r>
              <w:t>N=281</w:t>
            </w:r>
          </w:p>
        </w:tc>
      </w:tr>
      <w:tr w:rsidR="00C65CD6" w:rsidRPr="00FE70C3" w14:paraId="151CE6DE" w14:textId="55D390E8" w:rsidTr="03CF4CC7">
        <w:trPr>
          <w:cantSplit/>
        </w:trPr>
        <w:tc>
          <w:tcPr>
            <w:tcW w:w="3598" w:type="pct"/>
            <w:gridSpan w:val="5"/>
            <w:vAlign w:val="center"/>
          </w:tcPr>
          <w:p w14:paraId="4BB90C62" w14:textId="77777777" w:rsidR="00C65CD6" w:rsidRPr="00FE70C3" w:rsidRDefault="00C65CD6" w:rsidP="000B6113">
            <w:pPr>
              <w:pStyle w:val="In-tableHeading"/>
            </w:pPr>
            <w:r w:rsidRPr="00FE70C3">
              <w:t>Progression-free survival</w:t>
            </w:r>
          </w:p>
        </w:tc>
        <w:tc>
          <w:tcPr>
            <w:tcW w:w="701" w:type="pct"/>
          </w:tcPr>
          <w:p w14:paraId="306AEF9F" w14:textId="77777777" w:rsidR="00C65CD6" w:rsidRPr="00FE70C3" w:rsidRDefault="00C65CD6" w:rsidP="000B6113">
            <w:pPr>
              <w:pStyle w:val="In-tableHeading"/>
            </w:pPr>
          </w:p>
        </w:tc>
        <w:tc>
          <w:tcPr>
            <w:tcW w:w="701" w:type="pct"/>
          </w:tcPr>
          <w:p w14:paraId="11776A5A" w14:textId="77777777" w:rsidR="00C65CD6" w:rsidRPr="00FE70C3" w:rsidRDefault="00C65CD6" w:rsidP="000B6113">
            <w:pPr>
              <w:pStyle w:val="In-tableHeading"/>
            </w:pPr>
          </w:p>
        </w:tc>
      </w:tr>
      <w:tr w:rsidR="004D476C" w:rsidRPr="00FE70C3" w14:paraId="18564309" w14:textId="6D600262" w:rsidTr="03CF4CC7">
        <w:trPr>
          <w:cantSplit/>
        </w:trPr>
        <w:tc>
          <w:tcPr>
            <w:tcW w:w="859" w:type="pct"/>
            <w:vAlign w:val="center"/>
          </w:tcPr>
          <w:p w14:paraId="10D18F45" w14:textId="77777777" w:rsidR="004D476C" w:rsidRPr="00FE70C3" w:rsidRDefault="004D476C" w:rsidP="004D476C">
            <w:pPr>
              <w:pStyle w:val="TableText0"/>
            </w:pPr>
            <w:r>
              <w:t>Events</w:t>
            </w:r>
            <w:r w:rsidRPr="007F5255">
              <w:t>, n (%)</w:t>
            </w:r>
          </w:p>
        </w:tc>
        <w:tc>
          <w:tcPr>
            <w:tcW w:w="632" w:type="pct"/>
            <w:vAlign w:val="center"/>
          </w:tcPr>
          <w:p w14:paraId="5271FB85" w14:textId="7663797C" w:rsidR="004D476C" w:rsidRPr="00FE70C3" w:rsidRDefault="004D476C" w:rsidP="004D476C">
            <w:pPr>
              <w:pStyle w:val="TableText0"/>
              <w:jc w:val="center"/>
            </w:pPr>
            <w:r w:rsidRPr="00DF5C52">
              <w:t>28 (78%)</w:t>
            </w:r>
          </w:p>
        </w:tc>
        <w:tc>
          <w:tcPr>
            <w:tcW w:w="685" w:type="pct"/>
            <w:vAlign w:val="center"/>
          </w:tcPr>
          <w:p w14:paraId="79CAF2A8" w14:textId="1AEBB900" w:rsidR="004D476C" w:rsidRPr="00FE70C3" w:rsidRDefault="004D476C" w:rsidP="004D476C">
            <w:pPr>
              <w:pStyle w:val="TableText0"/>
              <w:jc w:val="center"/>
            </w:pPr>
            <w:r w:rsidRPr="00B83874">
              <w:t>48 (84%)</w:t>
            </w:r>
          </w:p>
        </w:tc>
        <w:tc>
          <w:tcPr>
            <w:tcW w:w="720" w:type="pct"/>
            <w:vAlign w:val="center"/>
          </w:tcPr>
          <w:p w14:paraId="79CC12F6" w14:textId="57DC270F" w:rsidR="004D476C" w:rsidRPr="00FE70C3" w:rsidRDefault="004D476C" w:rsidP="004D476C">
            <w:pPr>
              <w:pStyle w:val="TableText0"/>
              <w:jc w:val="center"/>
            </w:pPr>
            <w:r w:rsidRPr="00E81DB0">
              <w:t>369 (90.0%)</w:t>
            </w:r>
          </w:p>
        </w:tc>
        <w:tc>
          <w:tcPr>
            <w:tcW w:w="702" w:type="pct"/>
            <w:vAlign w:val="center"/>
          </w:tcPr>
          <w:p w14:paraId="250051FE" w14:textId="5F55A5FA" w:rsidR="004D476C" w:rsidRPr="00FE70C3" w:rsidRDefault="004D476C" w:rsidP="004D476C">
            <w:pPr>
              <w:pStyle w:val="TableText0"/>
              <w:jc w:val="center"/>
            </w:pPr>
            <w:r w:rsidRPr="00704EF6">
              <w:t>201 (97.6%)</w:t>
            </w:r>
          </w:p>
        </w:tc>
        <w:tc>
          <w:tcPr>
            <w:tcW w:w="701" w:type="pct"/>
          </w:tcPr>
          <w:p w14:paraId="174865D6" w14:textId="6EF33238" w:rsidR="004D476C" w:rsidRPr="00FE70C3" w:rsidRDefault="004D476C" w:rsidP="004D476C">
            <w:pPr>
              <w:pStyle w:val="TableText0"/>
              <w:jc w:val="center"/>
            </w:pPr>
            <w:r w:rsidRPr="00594AEB">
              <w:t>241 (86.7%)</w:t>
            </w:r>
          </w:p>
        </w:tc>
        <w:tc>
          <w:tcPr>
            <w:tcW w:w="701" w:type="pct"/>
          </w:tcPr>
          <w:p w14:paraId="4F777C83" w14:textId="1478F4A7" w:rsidR="004D476C" w:rsidRPr="00FE70C3" w:rsidRDefault="004D476C" w:rsidP="004D476C">
            <w:pPr>
              <w:pStyle w:val="TableText0"/>
              <w:jc w:val="center"/>
            </w:pPr>
            <w:r w:rsidRPr="00C8470B">
              <w:t>265 (94.3%)</w:t>
            </w:r>
          </w:p>
        </w:tc>
      </w:tr>
      <w:tr w:rsidR="004D476C" w:rsidRPr="00FE70C3" w14:paraId="3763D0A1" w14:textId="5D109BBA" w:rsidTr="03CF4CC7">
        <w:trPr>
          <w:cantSplit/>
        </w:trPr>
        <w:tc>
          <w:tcPr>
            <w:tcW w:w="859" w:type="pct"/>
            <w:vAlign w:val="center"/>
          </w:tcPr>
          <w:p w14:paraId="405667DE" w14:textId="77777777" w:rsidR="004D476C" w:rsidRPr="00FE70C3" w:rsidRDefault="004D476C" w:rsidP="004D476C">
            <w:pPr>
              <w:pStyle w:val="TableText0"/>
            </w:pPr>
            <w:r w:rsidRPr="00FE70C3">
              <w:t>Median PFS</w:t>
            </w:r>
            <w:r>
              <w:t>,</w:t>
            </w:r>
            <w:r w:rsidRPr="00FE70C3">
              <w:t xml:space="preserve"> months (95% CI)</w:t>
            </w:r>
          </w:p>
        </w:tc>
        <w:tc>
          <w:tcPr>
            <w:tcW w:w="632" w:type="pct"/>
            <w:vAlign w:val="center"/>
          </w:tcPr>
          <w:p w14:paraId="4D67EB2B" w14:textId="77777777" w:rsidR="004D476C" w:rsidRDefault="004D476C" w:rsidP="004D476C">
            <w:pPr>
              <w:pStyle w:val="TableText0"/>
              <w:jc w:val="center"/>
            </w:pPr>
            <w:r>
              <w:t xml:space="preserve">10.8 </w:t>
            </w:r>
          </w:p>
          <w:p w14:paraId="4DDB80F2" w14:textId="177A6456" w:rsidR="004D476C" w:rsidRPr="00FE70C3" w:rsidRDefault="004D476C" w:rsidP="004D476C">
            <w:pPr>
              <w:pStyle w:val="TableText0"/>
              <w:jc w:val="center"/>
            </w:pPr>
            <w:r>
              <w:t>(</w:t>
            </w:r>
            <w:r w:rsidRPr="001E40F5">
              <w:t>7.0, 14.5</w:t>
            </w:r>
            <w:r>
              <w:t>)</w:t>
            </w:r>
          </w:p>
        </w:tc>
        <w:tc>
          <w:tcPr>
            <w:tcW w:w="685" w:type="pct"/>
            <w:vAlign w:val="center"/>
          </w:tcPr>
          <w:p w14:paraId="21A42AB0" w14:textId="77777777" w:rsidR="004D476C" w:rsidRDefault="004D476C" w:rsidP="004D476C">
            <w:pPr>
              <w:pStyle w:val="TableText0"/>
              <w:jc w:val="center"/>
            </w:pPr>
            <w:r w:rsidRPr="00B83874">
              <w:t>10.2</w:t>
            </w:r>
            <w:r>
              <w:t xml:space="preserve"> </w:t>
            </w:r>
          </w:p>
          <w:p w14:paraId="78EEA0D2" w14:textId="26B5A5BE" w:rsidR="004D476C" w:rsidRPr="00FE70C3" w:rsidRDefault="004D476C" w:rsidP="004D476C">
            <w:pPr>
              <w:pStyle w:val="TableText0"/>
              <w:jc w:val="center"/>
            </w:pPr>
            <w:r>
              <w:t>(</w:t>
            </w:r>
            <w:r w:rsidRPr="00E30F24">
              <w:t>6.9, 16.7</w:t>
            </w:r>
            <w:r>
              <w:t>)</w:t>
            </w:r>
          </w:p>
        </w:tc>
        <w:tc>
          <w:tcPr>
            <w:tcW w:w="720" w:type="pct"/>
            <w:vAlign w:val="center"/>
          </w:tcPr>
          <w:p w14:paraId="5D38D2AD" w14:textId="77777777" w:rsidR="004D476C" w:rsidRDefault="004D476C" w:rsidP="004D476C">
            <w:pPr>
              <w:pStyle w:val="TableText0"/>
              <w:jc w:val="center"/>
            </w:pPr>
            <w:r w:rsidRPr="002E2465">
              <w:t xml:space="preserve">9.0 </w:t>
            </w:r>
          </w:p>
          <w:p w14:paraId="759CA17B" w14:textId="05DBD2F6" w:rsidR="004D476C" w:rsidRPr="00FE70C3" w:rsidRDefault="004D476C" w:rsidP="004D476C">
            <w:pPr>
              <w:pStyle w:val="TableText0"/>
              <w:jc w:val="center"/>
            </w:pPr>
            <w:r>
              <w:t>(</w:t>
            </w:r>
            <w:r w:rsidRPr="002E2465">
              <w:t>8.1, 10.4</w:t>
            </w:r>
            <w:r>
              <w:t>)</w:t>
            </w:r>
          </w:p>
        </w:tc>
        <w:tc>
          <w:tcPr>
            <w:tcW w:w="702" w:type="pct"/>
            <w:vAlign w:val="center"/>
          </w:tcPr>
          <w:p w14:paraId="62921680" w14:textId="77777777" w:rsidR="004D476C" w:rsidRDefault="004D476C" w:rsidP="004D476C">
            <w:pPr>
              <w:pStyle w:val="TableText0"/>
              <w:jc w:val="center"/>
            </w:pPr>
            <w:r w:rsidRPr="005856C0">
              <w:t xml:space="preserve">4.9 </w:t>
            </w:r>
          </w:p>
          <w:p w14:paraId="14EBDC01" w14:textId="2EFAB22C" w:rsidR="004D476C" w:rsidRPr="00FE70C3" w:rsidRDefault="004D476C" w:rsidP="004D476C">
            <w:pPr>
              <w:pStyle w:val="TableText0"/>
              <w:jc w:val="center"/>
            </w:pPr>
            <w:r>
              <w:t>(</w:t>
            </w:r>
            <w:r w:rsidRPr="005856C0">
              <w:t>4.7, 5.5</w:t>
            </w:r>
            <w:r>
              <w:t>)</w:t>
            </w:r>
          </w:p>
        </w:tc>
        <w:tc>
          <w:tcPr>
            <w:tcW w:w="701" w:type="pct"/>
          </w:tcPr>
          <w:p w14:paraId="719099E8" w14:textId="77777777" w:rsidR="00F90820" w:rsidRDefault="004D476C" w:rsidP="004D476C">
            <w:pPr>
              <w:pStyle w:val="TableText0"/>
              <w:jc w:val="center"/>
            </w:pPr>
            <w:r w:rsidRPr="00594AEB">
              <w:t xml:space="preserve">8.0 </w:t>
            </w:r>
          </w:p>
          <w:p w14:paraId="61330569" w14:textId="5FCDB473" w:rsidR="004D476C" w:rsidRPr="00FE70C3" w:rsidRDefault="00F90820" w:rsidP="004D476C">
            <w:pPr>
              <w:pStyle w:val="TableText0"/>
              <w:jc w:val="center"/>
            </w:pPr>
            <w:r>
              <w:t>(</w:t>
            </w:r>
            <w:r w:rsidR="004D476C" w:rsidRPr="00594AEB">
              <w:t>6.3, 8.5</w:t>
            </w:r>
            <w:r>
              <w:t>)</w:t>
            </w:r>
          </w:p>
        </w:tc>
        <w:tc>
          <w:tcPr>
            <w:tcW w:w="701" w:type="pct"/>
          </w:tcPr>
          <w:p w14:paraId="2CDE1B65" w14:textId="77777777" w:rsidR="00F90820" w:rsidRDefault="004D476C" w:rsidP="004D476C">
            <w:pPr>
              <w:pStyle w:val="TableText0"/>
              <w:jc w:val="center"/>
            </w:pPr>
            <w:r w:rsidRPr="00C8470B">
              <w:t xml:space="preserve">5.1 </w:t>
            </w:r>
          </w:p>
          <w:p w14:paraId="7D637AFC" w14:textId="050F0922" w:rsidR="004D476C" w:rsidRPr="00FE70C3" w:rsidRDefault="00F90820" w:rsidP="004D476C">
            <w:pPr>
              <w:pStyle w:val="TableText0"/>
              <w:jc w:val="center"/>
            </w:pPr>
            <w:r>
              <w:t>(</w:t>
            </w:r>
            <w:r w:rsidR="004D476C" w:rsidRPr="00C8470B">
              <w:t>4.3, 6.0</w:t>
            </w:r>
            <w:r>
              <w:t>)</w:t>
            </w:r>
          </w:p>
        </w:tc>
      </w:tr>
      <w:tr w:rsidR="00F90820" w:rsidRPr="00FE70C3" w14:paraId="7BEAE380" w14:textId="77777777" w:rsidTr="03CF4CC7">
        <w:trPr>
          <w:cantSplit/>
        </w:trPr>
        <w:tc>
          <w:tcPr>
            <w:tcW w:w="859" w:type="pct"/>
          </w:tcPr>
          <w:p w14:paraId="43FA2269" w14:textId="70983BCC" w:rsidR="00F90820" w:rsidRPr="007F5255" w:rsidRDefault="00F90820" w:rsidP="000B6113">
            <w:pPr>
              <w:pStyle w:val="TableText0"/>
            </w:pPr>
            <w:r>
              <w:t>HR (95% CI)</w:t>
            </w:r>
          </w:p>
        </w:tc>
        <w:tc>
          <w:tcPr>
            <w:tcW w:w="632" w:type="pct"/>
            <w:vAlign w:val="center"/>
          </w:tcPr>
          <w:p w14:paraId="6E06FE11" w14:textId="7C47FE15" w:rsidR="00F90820" w:rsidRPr="007F5255" w:rsidRDefault="00F90820" w:rsidP="000B6113">
            <w:pPr>
              <w:pStyle w:val="TableText0"/>
              <w:jc w:val="center"/>
              <w:rPr>
                <w:rFonts w:cs="Arial"/>
              </w:rPr>
            </w:pPr>
            <w:r>
              <w:rPr>
                <w:rFonts w:cs="Arial"/>
              </w:rPr>
              <w:t>NA</w:t>
            </w:r>
          </w:p>
        </w:tc>
        <w:tc>
          <w:tcPr>
            <w:tcW w:w="685" w:type="pct"/>
            <w:vAlign w:val="center"/>
          </w:tcPr>
          <w:p w14:paraId="1D4DCFE8" w14:textId="13E7CCDE" w:rsidR="00F90820" w:rsidRPr="007F5255" w:rsidRDefault="00F90820" w:rsidP="000B6113">
            <w:pPr>
              <w:pStyle w:val="TableText0"/>
              <w:jc w:val="center"/>
              <w:rPr>
                <w:rFonts w:cs="Arial"/>
              </w:rPr>
            </w:pPr>
            <w:r>
              <w:rPr>
                <w:rFonts w:cs="Arial"/>
              </w:rPr>
              <w:t>NA</w:t>
            </w:r>
          </w:p>
        </w:tc>
        <w:tc>
          <w:tcPr>
            <w:tcW w:w="1422" w:type="pct"/>
            <w:gridSpan w:val="2"/>
            <w:vAlign w:val="center"/>
          </w:tcPr>
          <w:p w14:paraId="70917161" w14:textId="01A1F500" w:rsidR="00F90820" w:rsidRDefault="00F90820" w:rsidP="000B6113">
            <w:pPr>
              <w:pStyle w:val="TableText0"/>
              <w:jc w:val="center"/>
            </w:pPr>
            <w:r w:rsidRPr="00B17C6D">
              <w:t xml:space="preserve">0.50 </w:t>
            </w:r>
            <w:r>
              <w:t>(</w:t>
            </w:r>
            <w:r w:rsidRPr="00B17C6D">
              <w:t>0.42, 0.60</w:t>
            </w:r>
            <w:r>
              <w:t>)</w:t>
            </w:r>
          </w:p>
        </w:tc>
        <w:tc>
          <w:tcPr>
            <w:tcW w:w="1402" w:type="pct"/>
            <w:gridSpan w:val="2"/>
          </w:tcPr>
          <w:p w14:paraId="1CFEF432" w14:textId="70D58205" w:rsidR="00F90820" w:rsidRDefault="00635DDC" w:rsidP="000B6113">
            <w:pPr>
              <w:pStyle w:val="TableText0"/>
              <w:jc w:val="center"/>
            </w:pPr>
            <w:r w:rsidRPr="00635DDC">
              <w:t xml:space="preserve">0.62 </w:t>
            </w:r>
            <w:r>
              <w:t>(</w:t>
            </w:r>
            <w:r w:rsidRPr="00635DDC">
              <w:t>0.52</w:t>
            </w:r>
            <w:r>
              <w:t>,</w:t>
            </w:r>
            <w:r w:rsidRPr="00635DDC">
              <w:t xml:space="preserve"> 0.74</w:t>
            </w:r>
            <w:r>
              <w:t>)</w:t>
            </w:r>
          </w:p>
        </w:tc>
      </w:tr>
    </w:tbl>
    <w:bookmarkEnd w:id="46"/>
    <w:p w14:paraId="38E2F747" w14:textId="2408FAE6" w:rsidR="006652F2" w:rsidRDefault="006652F2" w:rsidP="006652F2">
      <w:pPr>
        <w:pStyle w:val="FooterTableFigure"/>
      </w:pPr>
      <w:r>
        <w:t>Source: Table 2.2</w:t>
      </w:r>
      <w:r w:rsidR="00E76CAD">
        <w:t>2</w:t>
      </w:r>
      <w:r>
        <w:t>, p7</w:t>
      </w:r>
      <w:r w:rsidR="00E76CAD">
        <w:t>1</w:t>
      </w:r>
      <w:r>
        <w:t>; Table 2.2</w:t>
      </w:r>
      <w:r w:rsidR="00F43028">
        <w:t>7</w:t>
      </w:r>
      <w:r>
        <w:t>, p</w:t>
      </w:r>
      <w:r w:rsidR="00F43028">
        <w:t>77</w:t>
      </w:r>
      <w:r>
        <w:t xml:space="preserve"> and Table 2.3</w:t>
      </w:r>
      <w:r w:rsidR="00E83B9A">
        <w:t xml:space="preserve">1, </w:t>
      </w:r>
      <w:r>
        <w:t>p8</w:t>
      </w:r>
      <w:r w:rsidR="00E83B9A">
        <w:t>1</w:t>
      </w:r>
      <w:r>
        <w:t xml:space="preserve"> of the submission.</w:t>
      </w:r>
    </w:p>
    <w:p w14:paraId="26DA5108" w14:textId="7F03545E" w:rsidR="00B105BB" w:rsidRDefault="006652F2" w:rsidP="006652F2">
      <w:pPr>
        <w:pStyle w:val="FooterTableFigure"/>
      </w:pPr>
      <w:r>
        <w:t xml:space="preserve">CI = confidence interval; </w:t>
      </w:r>
      <w:r w:rsidRPr="005C1346">
        <w:t>CR</w:t>
      </w:r>
      <w:r>
        <w:t xml:space="preserve"> = </w:t>
      </w:r>
      <w:r w:rsidRPr="005C1346">
        <w:t xml:space="preserve">complete response; </w:t>
      </w:r>
      <w:r>
        <w:t xml:space="preserve">D+T = dabrafenib and trametinib; </w:t>
      </w:r>
      <w:r w:rsidR="00E83B9A">
        <w:t xml:space="preserve">HR = hazard ratio; </w:t>
      </w:r>
      <w:r w:rsidRPr="00B40358">
        <w:rPr>
          <w:rFonts w:eastAsia="Calibri"/>
        </w:rPr>
        <w:t>n = number of participants with event; N = total participants in group</w:t>
      </w:r>
      <w:r>
        <w:rPr>
          <w:rFonts w:eastAsia="Calibri"/>
        </w:rPr>
        <w:t xml:space="preserve">; </w:t>
      </w:r>
      <w:r w:rsidR="00E83B9A">
        <w:rPr>
          <w:rFonts w:eastAsia="Calibri"/>
        </w:rPr>
        <w:t xml:space="preserve">NA = not applicable; </w:t>
      </w:r>
      <w:r>
        <w:t>ORR = o</w:t>
      </w:r>
      <w:r w:rsidR="00E163E6">
        <w:t>bjective</w:t>
      </w:r>
      <w:r>
        <w:t xml:space="preserve"> response rate; PEMBRO = pembrolizumab; PBC = platinum-based chemotherapy; </w:t>
      </w:r>
      <w:r w:rsidR="00B33944">
        <w:t>PFS = progression-free survival.</w:t>
      </w:r>
    </w:p>
    <w:p w14:paraId="19600259" w14:textId="0A915F8C" w:rsidR="00DA0194" w:rsidRPr="00906C89" w:rsidRDefault="00C43B69" w:rsidP="03CF4CC7">
      <w:pPr>
        <w:pStyle w:val="3-BodyText"/>
        <w:rPr>
          <w:rFonts w:eastAsia="Calibri"/>
          <w:i/>
          <w:iCs/>
        </w:rPr>
      </w:pPr>
      <w:r w:rsidRPr="03CF4CC7">
        <w:rPr>
          <w:rFonts w:eastAsia="Calibri"/>
        </w:rPr>
        <w:t xml:space="preserve">In E2201 study, </w:t>
      </w:r>
      <w:r w:rsidR="00DA0194" w:rsidRPr="03CF4CC7">
        <w:rPr>
          <w:rFonts w:eastAsia="Calibri"/>
        </w:rPr>
        <w:t xml:space="preserve">based on investigator assessment, approximately 78% patients treated with first-line D+T and 84% patients treated with </w:t>
      </w:r>
      <w:r w:rsidR="00F402CA">
        <w:rPr>
          <w:rFonts w:eastAsia="Calibri"/>
        </w:rPr>
        <w:t>second and subsequent line</w:t>
      </w:r>
      <w:r w:rsidR="00DA0194" w:rsidRPr="03CF4CC7">
        <w:rPr>
          <w:rFonts w:eastAsia="Calibri"/>
        </w:rPr>
        <w:t xml:space="preserve"> D+T had disease progression or died, with a median PFS of 10.8 months (95% CI: 7.0, 14.5) and 10.2 months (95% CI: 6.9, 16.7), respectively. Median PFS based on IRC assessment was </w:t>
      </w:r>
      <w:r w:rsidR="005F3C43">
        <w:rPr>
          <w:rFonts w:eastAsia="Calibri"/>
        </w:rPr>
        <w:t>14</w:t>
      </w:r>
      <w:r w:rsidR="00D96D42">
        <w:rPr>
          <w:rFonts w:eastAsia="Calibri"/>
        </w:rPr>
        <w:t>.</w:t>
      </w:r>
      <w:r w:rsidR="001849DE">
        <w:rPr>
          <w:rFonts w:eastAsia="Calibri"/>
        </w:rPr>
        <w:t xml:space="preserve">6 months </w:t>
      </w:r>
      <w:r w:rsidR="00DA0194" w:rsidRPr="03CF4CC7">
        <w:rPr>
          <w:rFonts w:eastAsia="Calibri"/>
        </w:rPr>
        <w:t xml:space="preserve">for patients treated with first-line D+T </w:t>
      </w:r>
      <w:r w:rsidR="001849DE">
        <w:rPr>
          <w:rFonts w:eastAsia="Calibri"/>
        </w:rPr>
        <w:t xml:space="preserve">and 8.6 months for </w:t>
      </w:r>
      <w:r w:rsidR="00DA0194" w:rsidRPr="03CF4CC7">
        <w:rPr>
          <w:rFonts w:eastAsia="Calibri"/>
        </w:rPr>
        <w:t xml:space="preserve">those treated with </w:t>
      </w:r>
      <w:r w:rsidR="00F402CA">
        <w:rPr>
          <w:rFonts w:eastAsia="Calibri"/>
        </w:rPr>
        <w:t>second and subsequent line</w:t>
      </w:r>
      <w:r w:rsidR="00DA0194" w:rsidRPr="03CF4CC7">
        <w:rPr>
          <w:rFonts w:eastAsia="Calibri"/>
        </w:rPr>
        <w:t xml:space="preserve"> D+T</w:t>
      </w:r>
      <w:r w:rsidR="006850C8">
        <w:rPr>
          <w:rFonts w:eastAsia="Calibri"/>
        </w:rPr>
        <w:t>.</w:t>
      </w:r>
    </w:p>
    <w:p w14:paraId="2521A7FC" w14:textId="5EF18562" w:rsidR="00D62E94" w:rsidRPr="00D62E94" w:rsidRDefault="00267E9B" w:rsidP="00D62E94">
      <w:pPr>
        <w:pStyle w:val="3-BodyText"/>
        <w:rPr>
          <w:rFonts w:eastAsia="Calibri"/>
          <w:i/>
          <w:iCs/>
        </w:rPr>
      </w:pPr>
      <w:r>
        <w:rPr>
          <w:rFonts w:eastAsia="Calibri"/>
        </w:rPr>
        <w:fldChar w:fldCharType="begin"/>
      </w:r>
      <w:r>
        <w:rPr>
          <w:rFonts w:eastAsia="Calibri"/>
        </w:rPr>
        <w:instrText xml:space="preserve"> REF _Ref188431623 \h </w:instrText>
      </w:r>
      <w:r>
        <w:rPr>
          <w:rFonts w:eastAsia="Calibri"/>
        </w:rPr>
      </w:r>
      <w:r>
        <w:rPr>
          <w:rFonts w:eastAsia="Calibri"/>
        </w:rPr>
        <w:fldChar w:fldCharType="separate"/>
      </w:r>
      <w:r w:rsidR="00EF4998">
        <w:t xml:space="preserve">Figure </w:t>
      </w:r>
      <w:r w:rsidR="00EF4998">
        <w:rPr>
          <w:noProof/>
        </w:rPr>
        <w:t>1</w:t>
      </w:r>
      <w:r>
        <w:rPr>
          <w:rFonts w:eastAsia="Calibri"/>
        </w:rPr>
        <w:fldChar w:fldCharType="end"/>
      </w:r>
      <w:r w:rsidR="002F2CD7" w:rsidRPr="002F2CD7">
        <w:rPr>
          <w:rFonts w:eastAsia="Calibri"/>
        </w:rPr>
        <w:t xml:space="preserve"> and </w:t>
      </w:r>
      <w:r w:rsidR="002F2CD7" w:rsidRPr="002F2CD7">
        <w:rPr>
          <w:rFonts w:eastAsia="Calibri"/>
        </w:rPr>
        <w:fldChar w:fldCharType="begin"/>
      </w:r>
      <w:r w:rsidR="002F2CD7" w:rsidRPr="002F2CD7">
        <w:rPr>
          <w:rFonts w:eastAsia="Calibri"/>
        </w:rPr>
        <w:instrText xml:space="preserve"> REF _Ref186814386 \h </w:instrText>
      </w:r>
      <w:r w:rsidR="002F2CD7" w:rsidRPr="002F2CD7">
        <w:rPr>
          <w:rFonts w:eastAsia="Calibri"/>
        </w:rPr>
      </w:r>
      <w:r w:rsidR="002F2CD7" w:rsidRPr="002F2CD7">
        <w:rPr>
          <w:rFonts w:eastAsia="Calibri"/>
        </w:rPr>
        <w:fldChar w:fldCharType="separate"/>
      </w:r>
      <w:r w:rsidR="00EF4998">
        <w:t xml:space="preserve">Figure </w:t>
      </w:r>
      <w:r w:rsidR="00EF4998">
        <w:rPr>
          <w:noProof/>
        </w:rPr>
        <w:t>2</w:t>
      </w:r>
      <w:r w:rsidR="002F2CD7" w:rsidRPr="002F2CD7">
        <w:rPr>
          <w:rFonts w:eastAsia="Calibri"/>
        </w:rPr>
        <w:fldChar w:fldCharType="end"/>
      </w:r>
      <w:r w:rsidR="002F2CD7" w:rsidRPr="002F2CD7">
        <w:rPr>
          <w:rFonts w:eastAsia="Calibri"/>
        </w:rPr>
        <w:t xml:space="preserve"> present the Kaplan-Meier plots for PFS in the D+T treatment arms from the E2201 study.</w:t>
      </w:r>
      <w:r w:rsidR="002F2CD7">
        <w:rPr>
          <w:rFonts w:eastAsia="Calibri"/>
        </w:rPr>
        <w:t xml:space="preserve"> </w:t>
      </w:r>
      <w:r w:rsidR="00D62E94" w:rsidRPr="002F2CD7">
        <w:rPr>
          <w:rFonts w:eastAsia="Calibri"/>
        </w:rPr>
        <w:t xml:space="preserve">In the E2201 study, the PFS rates </w:t>
      </w:r>
      <w:r w:rsidR="000D1B56">
        <w:rPr>
          <w:rFonts w:eastAsia="Calibri"/>
        </w:rPr>
        <w:t xml:space="preserve">for </w:t>
      </w:r>
      <w:r w:rsidR="00D62E94" w:rsidRPr="002F2CD7">
        <w:rPr>
          <w:rFonts w:eastAsia="Calibri"/>
        </w:rPr>
        <w:t xml:space="preserve">patients treated with first-line D+T </w:t>
      </w:r>
      <w:r w:rsidR="00386CFA">
        <w:rPr>
          <w:rFonts w:eastAsia="Calibri"/>
        </w:rPr>
        <w:t>were 42% at 12 months and 13% at 24 months. For those receiving</w:t>
      </w:r>
      <w:r w:rsidR="00D62E94" w:rsidRPr="002F2CD7">
        <w:rPr>
          <w:rFonts w:eastAsia="Calibri"/>
        </w:rPr>
        <w:t xml:space="preserve"> </w:t>
      </w:r>
      <w:r w:rsidR="00386CFA">
        <w:rPr>
          <w:rFonts w:eastAsia="Calibri"/>
        </w:rPr>
        <w:t xml:space="preserve">treatment </w:t>
      </w:r>
      <w:r w:rsidR="00D62E94" w:rsidRPr="002F2CD7">
        <w:rPr>
          <w:rFonts w:eastAsia="Calibri"/>
        </w:rPr>
        <w:t xml:space="preserve">with </w:t>
      </w:r>
      <w:r w:rsidR="00F402CA">
        <w:rPr>
          <w:rFonts w:eastAsia="Calibri"/>
        </w:rPr>
        <w:t>second and subsequent line</w:t>
      </w:r>
      <w:r w:rsidR="00D62E94" w:rsidRPr="002F2CD7">
        <w:rPr>
          <w:rFonts w:eastAsia="Calibri"/>
        </w:rPr>
        <w:t xml:space="preserve"> D+T</w:t>
      </w:r>
      <w:r w:rsidR="00386CFA">
        <w:rPr>
          <w:rFonts w:eastAsia="Calibri"/>
        </w:rPr>
        <w:t>, the PFS rates were</w:t>
      </w:r>
      <w:r w:rsidR="00D62E94" w:rsidRPr="002F2CD7">
        <w:rPr>
          <w:rFonts w:eastAsia="Calibri"/>
        </w:rPr>
        <w:t xml:space="preserve"> 43% </w:t>
      </w:r>
      <w:r w:rsidR="00386CFA" w:rsidRPr="002F2CD7">
        <w:rPr>
          <w:rFonts w:eastAsia="Calibri"/>
        </w:rPr>
        <w:t xml:space="preserve">at 12 months </w:t>
      </w:r>
      <w:r w:rsidR="00D62E94" w:rsidRPr="002F2CD7">
        <w:rPr>
          <w:rFonts w:eastAsia="Calibri"/>
        </w:rPr>
        <w:t xml:space="preserve">and </w:t>
      </w:r>
      <w:r w:rsidR="00386CFA">
        <w:rPr>
          <w:rFonts w:eastAsia="Calibri"/>
        </w:rPr>
        <w:t xml:space="preserve">25% </w:t>
      </w:r>
      <w:r w:rsidR="00D62E94" w:rsidRPr="002F2CD7">
        <w:rPr>
          <w:rFonts w:eastAsia="Calibri"/>
        </w:rPr>
        <w:t xml:space="preserve">at 24 months. </w:t>
      </w:r>
    </w:p>
    <w:p w14:paraId="06407EBA" w14:textId="31AB98EE" w:rsidR="006850C8" w:rsidRDefault="006850C8" w:rsidP="006850C8">
      <w:pPr>
        <w:pStyle w:val="Caption"/>
      </w:pPr>
      <w:bookmarkStart w:id="48" w:name="_Ref188431623"/>
      <w:r>
        <w:t xml:space="preserve">Figure </w:t>
      </w:r>
      <w:r w:rsidR="00E77066">
        <w:fldChar w:fldCharType="begin"/>
      </w:r>
      <w:r w:rsidR="00E77066">
        <w:instrText xml:space="preserve"> SEQ Figure \* ARABIC </w:instrText>
      </w:r>
      <w:r w:rsidR="00E77066">
        <w:fldChar w:fldCharType="separate"/>
      </w:r>
      <w:r w:rsidR="00EF4998">
        <w:rPr>
          <w:noProof/>
        </w:rPr>
        <w:t>1</w:t>
      </w:r>
      <w:r w:rsidR="00E77066">
        <w:rPr>
          <w:noProof/>
        </w:rPr>
        <w:fldChar w:fldCharType="end"/>
      </w:r>
      <w:bookmarkEnd w:id="48"/>
      <w:r>
        <w:t>: Kaplan-Meier curves for PFS for first-line D+T (untreated patients) in E2201 study</w:t>
      </w:r>
    </w:p>
    <w:p w14:paraId="734A4DCE" w14:textId="77777777" w:rsidR="006850C8" w:rsidRDefault="006850C8" w:rsidP="006850C8">
      <w:pPr>
        <w:pStyle w:val="FooterTableFigure"/>
        <w:rPr>
          <w:rFonts w:eastAsia="Calibri"/>
        </w:rPr>
      </w:pPr>
      <w:r>
        <w:rPr>
          <w:b/>
          <w:bCs/>
          <w:noProof/>
        </w:rPr>
        <w:drawing>
          <wp:inline distT="0" distB="0" distL="0" distR="0" wp14:anchorId="33B20DD7" wp14:editId="50C9B07E">
            <wp:extent cx="5731510" cy="2679065"/>
            <wp:effectExtent l="0" t="0" r="2540" b="6985"/>
            <wp:docPr id="407008687" name="Picture 3" descr="A graph showing the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08687" name="Picture 3" descr="A graph showing the number of patients&#10;&#10;Description automatically generated"/>
                    <pic:cNvPicPr/>
                  </pic:nvPicPr>
                  <pic:blipFill>
                    <a:blip r:embed="rId8"/>
                    <a:stretch>
                      <a:fillRect/>
                    </a:stretch>
                  </pic:blipFill>
                  <pic:spPr>
                    <a:xfrm>
                      <a:off x="0" y="0"/>
                      <a:ext cx="5735782" cy="2681062"/>
                    </a:xfrm>
                    <a:prstGeom prst="rect">
                      <a:avLst/>
                    </a:prstGeom>
                  </pic:spPr>
                </pic:pic>
              </a:graphicData>
            </a:graphic>
          </wp:inline>
        </w:drawing>
      </w:r>
    </w:p>
    <w:p w14:paraId="0497C66F" w14:textId="77777777" w:rsidR="006850C8" w:rsidRDefault="006850C8" w:rsidP="006850C8">
      <w:pPr>
        <w:pStyle w:val="FooterTableFigure"/>
        <w:rPr>
          <w:rFonts w:eastAsia="Calibri"/>
        </w:rPr>
      </w:pPr>
      <w:r>
        <w:rPr>
          <w:rFonts w:eastAsia="Calibri"/>
        </w:rPr>
        <w:t>Source: Figure 2.3, p72 of the submission.</w:t>
      </w:r>
    </w:p>
    <w:p w14:paraId="4DA447B2" w14:textId="4D2B1A36" w:rsidR="006850C8" w:rsidRDefault="00D34E75" w:rsidP="006850C8">
      <w:pPr>
        <w:pStyle w:val="FooterTableFigure"/>
        <w:rPr>
          <w:rFonts w:eastAsia="Calibri"/>
        </w:rPr>
      </w:pPr>
      <w:r>
        <w:rPr>
          <w:rFonts w:eastAsia="Calibri"/>
        </w:rPr>
        <w:t xml:space="preserve">D+T = Dabrafenib and trametinib; </w:t>
      </w:r>
      <w:r w:rsidR="006850C8">
        <w:rPr>
          <w:rFonts w:eastAsia="Calibri"/>
        </w:rPr>
        <w:t>PFS = progression-free survival.</w:t>
      </w:r>
    </w:p>
    <w:p w14:paraId="325F5A6C" w14:textId="77777777" w:rsidR="006850C8" w:rsidRPr="00387937" w:rsidRDefault="006850C8" w:rsidP="006850C8">
      <w:pPr>
        <w:pStyle w:val="FooterTableFigure"/>
        <w:rPr>
          <w:rFonts w:eastAsia="Calibri"/>
        </w:rPr>
      </w:pPr>
      <w:r>
        <w:rPr>
          <w:rFonts w:eastAsia="Calibri"/>
        </w:rPr>
        <w:t xml:space="preserve">Note: </w:t>
      </w:r>
      <w:r w:rsidRPr="00897681">
        <w:rPr>
          <w:rFonts w:eastAsia="Calibri"/>
        </w:rPr>
        <w:t xml:space="preserve">Lines represent </w:t>
      </w:r>
      <w:r>
        <w:rPr>
          <w:rFonts w:eastAsia="Calibri"/>
        </w:rPr>
        <w:t>Kaplan-Meier</w:t>
      </w:r>
      <w:r w:rsidRPr="00897681">
        <w:rPr>
          <w:rFonts w:eastAsia="Calibri"/>
        </w:rPr>
        <w:t xml:space="preserve"> estimate with 95% </w:t>
      </w:r>
      <w:r>
        <w:rPr>
          <w:rFonts w:eastAsia="Calibri"/>
        </w:rPr>
        <w:t>confidence interval</w:t>
      </w:r>
    </w:p>
    <w:p w14:paraId="58D20126" w14:textId="43BCFBEB" w:rsidR="006850C8" w:rsidRDefault="006850C8" w:rsidP="006850C8">
      <w:pPr>
        <w:pStyle w:val="Caption"/>
      </w:pPr>
      <w:bookmarkStart w:id="49" w:name="_Ref186814386"/>
      <w:r>
        <w:lastRenderedPageBreak/>
        <w:t xml:space="preserve">Figure </w:t>
      </w:r>
      <w:r w:rsidR="00E77066">
        <w:fldChar w:fldCharType="begin"/>
      </w:r>
      <w:r w:rsidR="00E77066">
        <w:instrText xml:space="preserve"> SEQ Figure \* ARABIC </w:instrText>
      </w:r>
      <w:r w:rsidR="00E77066">
        <w:fldChar w:fldCharType="separate"/>
      </w:r>
      <w:r w:rsidR="00EF4998">
        <w:rPr>
          <w:noProof/>
        </w:rPr>
        <w:t>2</w:t>
      </w:r>
      <w:r w:rsidR="00E77066">
        <w:rPr>
          <w:noProof/>
        </w:rPr>
        <w:fldChar w:fldCharType="end"/>
      </w:r>
      <w:bookmarkEnd w:id="49"/>
      <w:r>
        <w:t>: Kaplan-Meier curves for PFS for second-line and beyond D+T (pretreated patients) in E2201 study</w:t>
      </w:r>
    </w:p>
    <w:p w14:paraId="0B82E341" w14:textId="77777777" w:rsidR="006850C8" w:rsidRDefault="006850C8" w:rsidP="006850C8">
      <w:pPr>
        <w:pStyle w:val="FooterTableFigure"/>
        <w:rPr>
          <w:rFonts w:eastAsia="Calibri"/>
        </w:rPr>
      </w:pPr>
      <w:r>
        <w:rPr>
          <w:b/>
          <w:bCs/>
          <w:noProof/>
        </w:rPr>
        <w:drawing>
          <wp:inline distT="0" distB="0" distL="0" distR="0" wp14:anchorId="6484C53C" wp14:editId="548F8B7A">
            <wp:extent cx="5731510" cy="2645410"/>
            <wp:effectExtent l="0" t="0" r="2540" b="2540"/>
            <wp:docPr id="962587973" name="Picture 4"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87973" name="Picture 4" descr="A graph of a number&#10;&#10;Description automatically generated"/>
                    <pic:cNvPicPr/>
                  </pic:nvPicPr>
                  <pic:blipFill>
                    <a:blip r:embed="rId9"/>
                    <a:stretch>
                      <a:fillRect/>
                    </a:stretch>
                  </pic:blipFill>
                  <pic:spPr>
                    <a:xfrm>
                      <a:off x="0" y="0"/>
                      <a:ext cx="5748009" cy="2653025"/>
                    </a:xfrm>
                    <a:prstGeom prst="rect">
                      <a:avLst/>
                    </a:prstGeom>
                  </pic:spPr>
                </pic:pic>
              </a:graphicData>
            </a:graphic>
          </wp:inline>
        </w:drawing>
      </w:r>
    </w:p>
    <w:p w14:paraId="3754DCED" w14:textId="77777777" w:rsidR="006850C8" w:rsidRDefault="006850C8" w:rsidP="006850C8">
      <w:pPr>
        <w:pStyle w:val="FooterTableFigure"/>
        <w:rPr>
          <w:rFonts w:eastAsia="Calibri"/>
        </w:rPr>
      </w:pPr>
      <w:r>
        <w:rPr>
          <w:rFonts w:eastAsia="Calibri"/>
        </w:rPr>
        <w:t>Source: Figure 2.3, p72 of the submission.</w:t>
      </w:r>
    </w:p>
    <w:p w14:paraId="4DAC3F4C" w14:textId="01A483C9" w:rsidR="006850C8" w:rsidRDefault="006850C8" w:rsidP="006850C8">
      <w:pPr>
        <w:pStyle w:val="FooterTableFigure"/>
        <w:rPr>
          <w:rFonts w:eastAsia="Calibri"/>
        </w:rPr>
      </w:pPr>
      <w:r>
        <w:rPr>
          <w:rFonts w:eastAsia="Calibri"/>
        </w:rPr>
        <w:t>D+T = dabrafenib and trametinib</w:t>
      </w:r>
      <w:r w:rsidR="00D34E75">
        <w:rPr>
          <w:rFonts w:eastAsia="Calibri"/>
        </w:rPr>
        <w:t xml:space="preserve">; </w:t>
      </w:r>
      <w:r>
        <w:rPr>
          <w:rFonts w:eastAsia="Calibri"/>
        </w:rPr>
        <w:t>PFS = progression-free survival.</w:t>
      </w:r>
    </w:p>
    <w:p w14:paraId="64052039" w14:textId="209313CD" w:rsidR="006850C8" w:rsidRDefault="006850C8" w:rsidP="006850C8">
      <w:pPr>
        <w:pStyle w:val="FooterTableFigure"/>
        <w:rPr>
          <w:rFonts w:eastAsia="Calibri"/>
        </w:rPr>
      </w:pPr>
      <w:r>
        <w:rPr>
          <w:rFonts w:eastAsia="Calibri"/>
        </w:rPr>
        <w:t xml:space="preserve">Note: </w:t>
      </w:r>
      <w:r w:rsidRPr="00897681">
        <w:rPr>
          <w:rFonts w:eastAsia="Calibri"/>
        </w:rPr>
        <w:t xml:space="preserve">Lines represent </w:t>
      </w:r>
      <w:r>
        <w:rPr>
          <w:rFonts w:eastAsia="Calibri"/>
        </w:rPr>
        <w:t>Kaplan-Meier</w:t>
      </w:r>
      <w:r w:rsidRPr="00897681">
        <w:rPr>
          <w:rFonts w:eastAsia="Calibri"/>
        </w:rPr>
        <w:t xml:space="preserve"> estimate with 95% </w:t>
      </w:r>
      <w:r>
        <w:rPr>
          <w:rFonts w:eastAsia="Calibri"/>
        </w:rPr>
        <w:t>confidence interval.</w:t>
      </w:r>
    </w:p>
    <w:p w14:paraId="5612A4DD" w14:textId="77777777" w:rsidR="00167039" w:rsidRDefault="00C43B69" w:rsidP="007C59B2">
      <w:pPr>
        <w:pStyle w:val="3-BodyText"/>
        <w:rPr>
          <w:rFonts w:eastAsia="Calibri"/>
        </w:rPr>
      </w:pPr>
      <w:r w:rsidRPr="007C59B2">
        <w:rPr>
          <w:rFonts w:eastAsia="Calibri"/>
        </w:rPr>
        <w:t xml:space="preserve">In the KN-189 and KN-407 trials, approximately </w:t>
      </w:r>
      <w:r w:rsidR="00EE1044" w:rsidRPr="007C59B2">
        <w:rPr>
          <w:rFonts w:eastAsia="Calibri"/>
        </w:rPr>
        <w:t>90</w:t>
      </w:r>
      <w:r w:rsidRPr="007C59B2">
        <w:rPr>
          <w:rFonts w:eastAsia="Calibri"/>
        </w:rPr>
        <w:t xml:space="preserve">% and </w:t>
      </w:r>
      <w:r w:rsidR="00EE1044" w:rsidRPr="007C59B2">
        <w:rPr>
          <w:rFonts w:eastAsia="Calibri"/>
        </w:rPr>
        <w:t>87</w:t>
      </w:r>
      <w:r w:rsidRPr="007C59B2">
        <w:rPr>
          <w:rFonts w:eastAsia="Calibri"/>
        </w:rPr>
        <w:t xml:space="preserve">% of patients treated with </w:t>
      </w:r>
      <w:proofErr w:type="spellStart"/>
      <w:r w:rsidRPr="007C59B2">
        <w:rPr>
          <w:rFonts w:eastAsia="Calibri"/>
        </w:rPr>
        <w:t>pembrolizumab+PBC</w:t>
      </w:r>
      <w:proofErr w:type="spellEnd"/>
      <w:r w:rsidRPr="007C59B2">
        <w:rPr>
          <w:rFonts w:eastAsia="Calibri"/>
        </w:rPr>
        <w:t xml:space="preserve"> had </w:t>
      </w:r>
      <w:r w:rsidR="00EE1044" w:rsidRPr="007C59B2">
        <w:rPr>
          <w:rFonts w:eastAsia="Calibri"/>
        </w:rPr>
        <w:t xml:space="preserve">progressed </w:t>
      </w:r>
      <w:r w:rsidRPr="007C59B2">
        <w:rPr>
          <w:rFonts w:eastAsia="Calibri"/>
        </w:rPr>
        <w:t xml:space="preserve">at the five-year follow-up, respectively. The median </w:t>
      </w:r>
      <w:r w:rsidR="00B05E9D" w:rsidRPr="007C59B2">
        <w:rPr>
          <w:rFonts w:eastAsia="Calibri"/>
        </w:rPr>
        <w:t>PFS</w:t>
      </w:r>
      <w:r w:rsidR="00B4523A" w:rsidRPr="007C59B2">
        <w:rPr>
          <w:rFonts w:eastAsia="Calibri"/>
        </w:rPr>
        <w:t xml:space="preserve">, as per BICR, </w:t>
      </w:r>
      <w:r w:rsidRPr="007C59B2">
        <w:rPr>
          <w:rFonts w:eastAsia="Calibri"/>
        </w:rPr>
        <w:t xml:space="preserve">for </w:t>
      </w:r>
      <w:proofErr w:type="spellStart"/>
      <w:r w:rsidRPr="007C59B2">
        <w:rPr>
          <w:rFonts w:eastAsia="Calibri"/>
        </w:rPr>
        <w:t>pembrolizumab+PBC</w:t>
      </w:r>
      <w:proofErr w:type="spellEnd"/>
      <w:r w:rsidRPr="007C59B2">
        <w:rPr>
          <w:rFonts w:eastAsia="Calibri"/>
        </w:rPr>
        <w:t xml:space="preserve"> was</w:t>
      </w:r>
      <w:r w:rsidR="00661AEF" w:rsidRPr="007C59B2">
        <w:rPr>
          <w:rFonts w:eastAsia="Calibri"/>
        </w:rPr>
        <w:t xml:space="preserve"> 9.0 months (95% CI: 8.1, 10.4) in KN-189 and 8.0 months (95% CI: 6.3, 8.5) in KN-407.</w:t>
      </w:r>
      <w:r w:rsidR="00793B3B">
        <w:rPr>
          <w:rFonts w:eastAsia="Calibri"/>
        </w:rPr>
        <w:t xml:space="preserve"> </w:t>
      </w:r>
    </w:p>
    <w:p w14:paraId="0CF3218A" w14:textId="30C37140" w:rsidR="00C43B69" w:rsidRPr="00506DC2" w:rsidRDefault="00167039" w:rsidP="000B6113">
      <w:pPr>
        <w:pStyle w:val="3-BodyText"/>
        <w:rPr>
          <w:rFonts w:eastAsia="Calibri"/>
        </w:rPr>
      </w:pPr>
      <w:r w:rsidRPr="00506DC2">
        <w:rPr>
          <w:rFonts w:eastAsia="Calibri"/>
        </w:rPr>
        <w:fldChar w:fldCharType="begin"/>
      </w:r>
      <w:r w:rsidRPr="00506DC2">
        <w:rPr>
          <w:rFonts w:eastAsia="Calibri"/>
        </w:rPr>
        <w:instrText xml:space="preserve"> REF _Ref187609920 \h </w:instrText>
      </w:r>
      <w:r w:rsidRPr="00506DC2">
        <w:rPr>
          <w:rFonts w:eastAsia="Calibri"/>
        </w:rPr>
      </w:r>
      <w:r w:rsidRPr="00506DC2">
        <w:rPr>
          <w:rFonts w:eastAsia="Calibri"/>
        </w:rPr>
        <w:fldChar w:fldCharType="separate"/>
      </w:r>
      <w:r w:rsidR="00EF4998">
        <w:t xml:space="preserve">Figure </w:t>
      </w:r>
      <w:r w:rsidR="00EF4998">
        <w:rPr>
          <w:noProof/>
        </w:rPr>
        <w:t>3</w:t>
      </w:r>
      <w:r w:rsidRPr="00506DC2">
        <w:rPr>
          <w:rFonts w:eastAsia="Calibri"/>
        </w:rPr>
        <w:fldChar w:fldCharType="end"/>
      </w:r>
      <w:r w:rsidRPr="00506DC2">
        <w:rPr>
          <w:rFonts w:eastAsia="Calibri"/>
        </w:rPr>
        <w:t xml:space="preserve"> and </w:t>
      </w:r>
      <w:r w:rsidRPr="00506DC2">
        <w:rPr>
          <w:rFonts w:eastAsia="Calibri"/>
        </w:rPr>
        <w:fldChar w:fldCharType="begin"/>
      </w:r>
      <w:r w:rsidRPr="00506DC2">
        <w:rPr>
          <w:rFonts w:eastAsia="Calibri"/>
        </w:rPr>
        <w:instrText xml:space="preserve"> REF _Ref187609922 \h </w:instrText>
      </w:r>
      <w:r w:rsidRPr="00506DC2">
        <w:rPr>
          <w:rFonts w:eastAsia="Calibri"/>
        </w:rPr>
      </w:r>
      <w:r w:rsidRPr="00506DC2">
        <w:rPr>
          <w:rFonts w:eastAsia="Calibri"/>
        </w:rPr>
        <w:fldChar w:fldCharType="separate"/>
      </w:r>
      <w:r w:rsidR="00EF4998">
        <w:t xml:space="preserve">Figure </w:t>
      </w:r>
      <w:r w:rsidR="00EF4998">
        <w:rPr>
          <w:noProof/>
        </w:rPr>
        <w:t>4</w:t>
      </w:r>
      <w:r w:rsidRPr="00506DC2">
        <w:rPr>
          <w:rFonts w:eastAsia="Calibri"/>
        </w:rPr>
        <w:fldChar w:fldCharType="end"/>
      </w:r>
      <w:r w:rsidR="00506DC2" w:rsidRPr="00506DC2">
        <w:rPr>
          <w:rFonts w:eastAsia="Calibri"/>
        </w:rPr>
        <w:t xml:space="preserve"> </w:t>
      </w:r>
      <w:r w:rsidR="00793B3B" w:rsidRPr="00506DC2">
        <w:rPr>
          <w:rFonts w:eastAsia="Calibri"/>
        </w:rPr>
        <w:t xml:space="preserve">present the Kaplan-Meier plots for PFS in the KN-189 and KN-407 trials. </w:t>
      </w:r>
      <w:r w:rsidR="009F6AFE" w:rsidRPr="009F6AFE">
        <w:rPr>
          <w:rFonts w:eastAsia="Calibri"/>
        </w:rPr>
        <w:t xml:space="preserve">In KN-189, the PFS rates with </w:t>
      </w:r>
      <w:proofErr w:type="spellStart"/>
      <w:r w:rsidR="009F6AFE" w:rsidRPr="009F6AFE">
        <w:rPr>
          <w:rFonts w:eastAsia="Calibri"/>
        </w:rPr>
        <w:t>pembrolizumab+PBC</w:t>
      </w:r>
      <w:proofErr w:type="spellEnd"/>
      <w:r w:rsidR="009F6AFE" w:rsidRPr="009F6AFE">
        <w:rPr>
          <w:rFonts w:eastAsia="Calibri"/>
        </w:rPr>
        <w:t xml:space="preserve"> were 40% at 12 months and 23% at 24 months. In KN-407, the PFS rates with </w:t>
      </w:r>
      <w:proofErr w:type="spellStart"/>
      <w:r w:rsidR="009F6AFE" w:rsidRPr="009F6AFE">
        <w:rPr>
          <w:rFonts w:eastAsia="Calibri"/>
        </w:rPr>
        <w:t>pembrolizumab+PBC</w:t>
      </w:r>
      <w:proofErr w:type="spellEnd"/>
      <w:r w:rsidR="009F6AFE" w:rsidRPr="009F6AFE">
        <w:rPr>
          <w:rFonts w:eastAsia="Calibri"/>
        </w:rPr>
        <w:t xml:space="preserve"> were 36% at 12 months and 21% at 24 months. At 60 months, the PFS rates were 8% in KN-189 and 11% in KN-407 with </w:t>
      </w:r>
      <w:proofErr w:type="spellStart"/>
      <w:r w:rsidR="009F6AFE" w:rsidRPr="009F6AFE">
        <w:rPr>
          <w:rFonts w:eastAsia="Calibri"/>
        </w:rPr>
        <w:t>pembrolizumab+PBC</w:t>
      </w:r>
      <w:proofErr w:type="spellEnd"/>
      <w:r w:rsidR="009F6AFE" w:rsidRPr="009F6AFE">
        <w:rPr>
          <w:rFonts w:eastAsia="Calibri"/>
        </w:rPr>
        <w:t>.</w:t>
      </w:r>
    </w:p>
    <w:p w14:paraId="5B3BDADE" w14:textId="0486672B" w:rsidR="00DE123D" w:rsidRDefault="00512E4D" w:rsidP="00DE123D">
      <w:pPr>
        <w:pStyle w:val="Caption"/>
      </w:pPr>
      <w:bookmarkStart w:id="50" w:name="_Ref187609920"/>
      <w:r>
        <w:t xml:space="preserve">Figure </w:t>
      </w:r>
      <w:r w:rsidR="00E77066">
        <w:fldChar w:fldCharType="begin"/>
      </w:r>
      <w:r w:rsidR="00E77066">
        <w:instrText xml:space="preserve"> SEQ Figure \* ARABIC </w:instrText>
      </w:r>
      <w:r w:rsidR="00E77066">
        <w:fldChar w:fldCharType="separate"/>
      </w:r>
      <w:r w:rsidR="00EF4998">
        <w:rPr>
          <w:noProof/>
        </w:rPr>
        <w:t>3</w:t>
      </w:r>
      <w:r w:rsidR="00E77066">
        <w:rPr>
          <w:noProof/>
        </w:rPr>
        <w:fldChar w:fldCharType="end"/>
      </w:r>
      <w:bookmarkEnd w:id="50"/>
      <w:r w:rsidR="00DE123D">
        <w:t>: Kaplan-Meier curves for PFS in KN-189 trial</w:t>
      </w:r>
    </w:p>
    <w:p w14:paraId="07BA3333" w14:textId="77777777" w:rsidR="00BD69DA" w:rsidRDefault="00BD69DA" w:rsidP="00BD69DA">
      <w:pPr>
        <w:pStyle w:val="FooterTableFigure"/>
        <w:rPr>
          <w:rFonts w:eastAsia="Calibri"/>
        </w:rPr>
      </w:pPr>
      <w:r>
        <w:rPr>
          <w:noProof/>
        </w:rPr>
        <w:drawing>
          <wp:inline distT="0" distB="0" distL="0" distR="0" wp14:anchorId="66FB77BD" wp14:editId="582D84B8">
            <wp:extent cx="4392291" cy="2669061"/>
            <wp:effectExtent l="0" t="0" r="8890" b="0"/>
            <wp:docPr id="495239031" name="Picture 4" descr="A graph showing the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74196" name="Picture 4" descr="A graph showing the number of patients&#10;&#10;Description automatically generated"/>
                    <pic:cNvPicPr/>
                  </pic:nvPicPr>
                  <pic:blipFill>
                    <a:blip r:embed="rId10"/>
                    <a:stretch>
                      <a:fillRect/>
                    </a:stretch>
                  </pic:blipFill>
                  <pic:spPr>
                    <a:xfrm>
                      <a:off x="0" y="0"/>
                      <a:ext cx="4404265" cy="2676337"/>
                    </a:xfrm>
                    <a:prstGeom prst="rect">
                      <a:avLst/>
                    </a:prstGeom>
                  </pic:spPr>
                </pic:pic>
              </a:graphicData>
            </a:graphic>
          </wp:inline>
        </w:drawing>
      </w:r>
    </w:p>
    <w:p w14:paraId="0D4AE72C" w14:textId="77777777" w:rsidR="00BD69DA" w:rsidRDefault="00BD69DA" w:rsidP="00BD69DA">
      <w:pPr>
        <w:pStyle w:val="FooterTableFigure"/>
        <w:rPr>
          <w:rFonts w:eastAsia="Calibri"/>
        </w:rPr>
      </w:pPr>
      <w:r>
        <w:rPr>
          <w:rFonts w:eastAsia="Calibri"/>
        </w:rPr>
        <w:t xml:space="preserve">Source: Figure 2.6, p78 of the submission. </w:t>
      </w:r>
    </w:p>
    <w:p w14:paraId="0D934CF1" w14:textId="7250F4F7" w:rsidR="00BD69DA" w:rsidRDefault="00BD69DA" w:rsidP="00BD69DA">
      <w:pPr>
        <w:pStyle w:val="FooterTableFigure"/>
        <w:rPr>
          <w:rFonts w:eastAsia="Calibri"/>
        </w:rPr>
      </w:pPr>
      <w:r w:rsidRPr="005A0969">
        <w:rPr>
          <w:rFonts w:eastAsia="Calibri"/>
        </w:rPr>
        <w:lastRenderedPageBreak/>
        <w:t>CI</w:t>
      </w:r>
      <w:r>
        <w:rPr>
          <w:rFonts w:eastAsia="Calibri"/>
        </w:rPr>
        <w:t xml:space="preserve"> =</w:t>
      </w:r>
      <w:r w:rsidRPr="005A0969">
        <w:rPr>
          <w:rFonts w:eastAsia="Calibri"/>
        </w:rPr>
        <w:t xml:space="preserve"> Confidence interval;</w:t>
      </w:r>
      <w:r>
        <w:rPr>
          <w:rFonts w:eastAsia="Calibri"/>
        </w:rPr>
        <w:t xml:space="preserve"> chemo = chemotherapy; </w:t>
      </w:r>
      <w:r w:rsidRPr="005A0969">
        <w:rPr>
          <w:rFonts w:eastAsia="Calibri"/>
        </w:rPr>
        <w:t>HR</w:t>
      </w:r>
      <w:r>
        <w:rPr>
          <w:rFonts w:eastAsia="Calibri"/>
        </w:rPr>
        <w:t xml:space="preserve"> =</w:t>
      </w:r>
      <w:r w:rsidRPr="005A0969">
        <w:rPr>
          <w:rFonts w:eastAsia="Calibri"/>
        </w:rPr>
        <w:t xml:space="preserve"> Hazard ratio; PFS</w:t>
      </w:r>
      <w:r>
        <w:rPr>
          <w:rFonts w:eastAsia="Calibri"/>
        </w:rPr>
        <w:t xml:space="preserve"> = p</w:t>
      </w:r>
      <w:r w:rsidRPr="005A0969">
        <w:rPr>
          <w:rFonts w:eastAsia="Calibri"/>
        </w:rPr>
        <w:t>rogression-free survival</w:t>
      </w:r>
      <w:r w:rsidR="00906C89">
        <w:rPr>
          <w:rFonts w:eastAsia="Calibri"/>
        </w:rPr>
        <w:t>.</w:t>
      </w:r>
    </w:p>
    <w:p w14:paraId="7B674339" w14:textId="77777777" w:rsidR="00906C89" w:rsidRDefault="00906C89" w:rsidP="00906C89">
      <w:pPr>
        <w:pStyle w:val="3-BodyText"/>
        <w:numPr>
          <w:ilvl w:val="0"/>
          <w:numId w:val="0"/>
        </w:numPr>
        <w:ind w:left="720" w:hanging="720"/>
        <w:rPr>
          <w:rFonts w:eastAsia="Calibri"/>
        </w:rPr>
      </w:pPr>
    </w:p>
    <w:p w14:paraId="01029879" w14:textId="268C659E" w:rsidR="00167039" w:rsidRDefault="00167039" w:rsidP="00167039">
      <w:pPr>
        <w:pStyle w:val="Caption"/>
      </w:pPr>
      <w:bookmarkStart w:id="51" w:name="_Ref187609922"/>
      <w:r>
        <w:t xml:space="preserve">Figure </w:t>
      </w:r>
      <w:r w:rsidR="00E77066">
        <w:fldChar w:fldCharType="begin"/>
      </w:r>
      <w:r w:rsidR="00E77066">
        <w:instrText xml:space="preserve"> SEQ Figure \* ARABIC </w:instrText>
      </w:r>
      <w:r w:rsidR="00E77066">
        <w:fldChar w:fldCharType="separate"/>
      </w:r>
      <w:r w:rsidR="00EF4998">
        <w:rPr>
          <w:noProof/>
        </w:rPr>
        <w:t>4</w:t>
      </w:r>
      <w:r w:rsidR="00E77066">
        <w:rPr>
          <w:noProof/>
        </w:rPr>
        <w:fldChar w:fldCharType="end"/>
      </w:r>
      <w:bookmarkEnd w:id="51"/>
      <w:r>
        <w:t xml:space="preserve">: </w:t>
      </w:r>
      <w:r w:rsidRPr="00793B3B">
        <w:t>Kaplan-Meier curves for PFS in KN-407 trial</w:t>
      </w:r>
    </w:p>
    <w:p w14:paraId="7D5233AE" w14:textId="22D695BC" w:rsidR="00512E4D" w:rsidRDefault="00D075EB" w:rsidP="00512E4D">
      <w:pPr>
        <w:pStyle w:val="FooterTableFigure"/>
        <w:rPr>
          <w:rFonts w:eastAsia="Calibri"/>
        </w:rPr>
      </w:pPr>
      <w:r>
        <w:rPr>
          <w:rFonts w:eastAsia="Calibri"/>
          <w:noProof/>
        </w:rPr>
        <w:drawing>
          <wp:inline distT="0" distB="0" distL="0" distR="0" wp14:anchorId="12A0054E" wp14:editId="42571BE9">
            <wp:extent cx="4566285" cy="2895600"/>
            <wp:effectExtent l="0" t="0" r="5715" b="0"/>
            <wp:docPr id="95338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6285" cy="2895600"/>
                    </a:xfrm>
                    <a:prstGeom prst="rect">
                      <a:avLst/>
                    </a:prstGeom>
                    <a:noFill/>
                  </pic:spPr>
                </pic:pic>
              </a:graphicData>
            </a:graphic>
          </wp:inline>
        </w:drawing>
      </w:r>
    </w:p>
    <w:p w14:paraId="55958356" w14:textId="66470FFA" w:rsidR="00512E4D" w:rsidRDefault="00512E4D" w:rsidP="00512E4D">
      <w:pPr>
        <w:pStyle w:val="FooterTableFigure"/>
        <w:rPr>
          <w:rFonts w:eastAsia="Calibri"/>
        </w:rPr>
      </w:pPr>
      <w:r>
        <w:rPr>
          <w:rFonts w:eastAsia="Calibri"/>
        </w:rPr>
        <w:t xml:space="preserve">Source: </w:t>
      </w:r>
      <w:r w:rsidR="00957EA2">
        <w:rPr>
          <w:rFonts w:eastAsia="Calibri"/>
        </w:rPr>
        <w:t xml:space="preserve">Figure 2.9, p81 of the submission. </w:t>
      </w:r>
    </w:p>
    <w:p w14:paraId="63DC4E16" w14:textId="77777777" w:rsidR="00512E4D" w:rsidRDefault="00512E4D" w:rsidP="00512E4D">
      <w:pPr>
        <w:pStyle w:val="FooterTableFigure"/>
        <w:rPr>
          <w:rFonts w:eastAsia="Calibri"/>
        </w:rPr>
      </w:pPr>
      <w:r w:rsidRPr="005A0969">
        <w:rPr>
          <w:rFonts w:eastAsia="Calibri"/>
        </w:rPr>
        <w:t>CI</w:t>
      </w:r>
      <w:r>
        <w:rPr>
          <w:rFonts w:eastAsia="Calibri"/>
        </w:rPr>
        <w:t xml:space="preserve"> =</w:t>
      </w:r>
      <w:r w:rsidRPr="005A0969">
        <w:rPr>
          <w:rFonts w:eastAsia="Calibri"/>
        </w:rPr>
        <w:t xml:space="preserve"> Confidence interval;</w:t>
      </w:r>
      <w:r>
        <w:rPr>
          <w:rFonts w:eastAsia="Calibri"/>
        </w:rPr>
        <w:t xml:space="preserve"> chemo = chemotherapy; </w:t>
      </w:r>
      <w:r w:rsidRPr="005A0969">
        <w:rPr>
          <w:rFonts w:eastAsia="Calibri"/>
        </w:rPr>
        <w:t>HR</w:t>
      </w:r>
      <w:r>
        <w:rPr>
          <w:rFonts w:eastAsia="Calibri"/>
        </w:rPr>
        <w:t xml:space="preserve"> =</w:t>
      </w:r>
      <w:r w:rsidRPr="005A0969">
        <w:rPr>
          <w:rFonts w:eastAsia="Calibri"/>
        </w:rPr>
        <w:t xml:space="preserve"> Hazard ratio; PFS</w:t>
      </w:r>
      <w:r>
        <w:rPr>
          <w:rFonts w:eastAsia="Calibri"/>
        </w:rPr>
        <w:t xml:space="preserve"> = p</w:t>
      </w:r>
      <w:r w:rsidRPr="005A0969">
        <w:rPr>
          <w:rFonts w:eastAsia="Calibri"/>
        </w:rPr>
        <w:t>rogression-free survival</w:t>
      </w:r>
    </w:p>
    <w:p w14:paraId="6F8D3BDD" w14:textId="6132FC8A" w:rsidR="008B4A2C" w:rsidRPr="005632EA" w:rsidRDefault="008B4A2C" w:rsidP="005632EA">
      <w:pPr>
        <w:pStyle w:val="5-SubsectionSubheading"/>
        <w:rPr>
          <w:snapToGrid w:val="0"/>
        </w:rPr>
      </w:pPr>
      <w:bookmarkStart w:id="52" w:name="_Toc188347775"/>
      <w:r w:rsidRPr="005632EA">
        <w:rPr>
          <w:snapToGrid w:val="0"/>
        </w:rPr>
        <w:t>Overall survival</w:t>
      </w:r>
      <w:bookmarkEnd w:id="52"/>
    </w:p>
    <w:p w14:paraId="31ACACE5" w14:textId="4AD57E4E" w:rsidR="00906C89" w:rsidRPr="008B4A2C" w:rsidDel="009F6AFE" w:rsidRDefault="00906C89" w:rsidP="000B6113">
      <w:pPr>
        <w:pStyle w:val="3-BodyText"/>
        <w:rPr>
          <w:rFonts w:eastAsia="Calibri"/>
        </w:rPr>
      </w:pPr>
      <w:r>
        <w:rPr>
          <w:rFonts w:eastAsia="Calibri"/>
        </w:rPr>
        <w:fldChar w:fldCharType="begin"/>
      </w:r>
      <w:r>
        <w:rPr>
          <w:rFonts w:eastAsia="Calibri"/>
        </w:rPr>
        <w:instrText xml:space="preserve"> REF _Ref187661769 \h </w:instrText>
      </w:r>
      <w:r>
        <w:rPr>
          <w:rFonts w:eastAsia="Calibri"/>
        </w:rPr>
      </w:r>
      <w:r>
        <w:rPr>
          <w:rFonts w:eastAsia="Calibri"/>
        </w:rPr>
        <w:fldChar w:fldCharType="separate"/>
      </w:r>
      <w:r w:rsidR="00EF4998">
        <w:t xml:space="preserve">Table </w:t>
      </w:r>
      <w:r w:rsidR="00EF4998">
        <w:rPr>
          <w:noProof/>
        </w:rPr>
        <w:t>6</w:t>
      </w:r>
      <w:r>
        <w:rPr>
          <w:rFonts w:eastAsia="Calibri"/>
        </w:rPr>
        <w:fldChar w:fldCharType="end"/>
      </w:r>
      <w:r w:rsidR="00F85EA4" w:rsidRPr="009F6AFE">
        <w:rPr>
          <w:rFonts w:eastAsia="Calibri"/>
        </w:rPr>
        <w:t xml:space="preserve"> summarises the OS results from the ITT population at the most recent data cut-off from the E2201 study, and KN-189 and KN-407 trials. </w:t>
      </w:r>
    </w:p>
    <w:p w14:paraId="1BD7E867" w14:textId="79DF4B1C" w:rsidR="00906C89" w:rsidRPr="00906C89" w:rsidRDefault="00906C89" w:rsidP="00906C89">
      <w:pPr>
        <w:pStyle w:val="Caption"/>
      </w:pPr>
      <w:bookmarkStart w:id="53" w:name="_Ref187661769"/>
      <w:r>
        <w:t xml:space="preserve">Table </w:t>
      </w:r>
      <w:r w:rsidR="00E77066">
        <w:fldChar w:fldCharType="begin"/>
      </w:r>
      <w:r w:rsidR="00E77066">
        <w:instrText xml:space="preserve"> SEQ Table \* ARABIC </w:instrText>
      </w:r>
      <w:r w:rsidR="00E77066">
        <w:fldChar w:fldCharType="separate"/>
      </w:r>
      <w:r w:rsidR="00EF4998">
        <w:rPr>
          <w:noProof/>
        </w:rPr>
        <w:t>6</w:t>
      </w:r>
      <w:r w:rsidR="00E77066">
        <w:rPr>
          <w:noProof/>
        </w:rPr>
        <w:fldChar w:fldCharType="end"/>
      </w:r>
      <w:bookmarkEnd w:id="53"/>
      <w:r>
        <w:t xml:space="preserve">: </w:t>
      </w:r>
      <w:r w:rsidRPr="00906C89">
        <w:rPr>
          <w:rStyle w:val="CommentReference"/>
          <w:rFonts w:eastAsiaTheme="majorEastAsia" w:cstheme="majorBidi"/>
          <w:b/>
          <w:bCs w:val="0"/>
          <w:szCs w:val="24"/>
        </w:rPr>
        <w:t>Summary of OS across studies</w:t>
      </w:r>
      <w:r w:rsidRPr="009F6AFE">
        <w:rPr>
          <w:rStyle w:val="CommentReference"/>
          <w:rFonts w:eastAsiaTheme="majorEastAsia" w:cstheme="majorBidi"/>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33"/>
        <w:gridCol w:w="1138"/>
        <w:gridCol w:w="1417"/>
        <w:gridCol w:w="1277"/>
        <w:gridCol w:w="1417"/>
        <w:gridCol w:w="1365"/>
      </w:tblGrid>
      <w:tr w:rsidR="00BF22C4" w:rsidRPr="00FE70C3" w14:paraId="1A0884BD" w14:textId="77777777" w:rsidTr="03CF4CC7">
        <w:trPr>
          <w:cantSplit/>
          <w:tblHeader/>
        </w:trPr>
        <w:tc>
          <w:tcPr>
            <w:tcW w:w="704" w:type="pct"/>
            <w:vAlign w:val="center"/>
          </w:tcPr>
          <w:p w14:paraId="778B280C" w14:textId="77777777" w:rsidR="00635DDC" w:rsidRPr="00FE70C3" w:rsidRDefault="00635DDC" w:rsidP="000B6113">
            <w:pPr>
              <w:pStyle w:val="In-tableHeading"/>
              <w:jc w:val="center"/>
            </w:pPr>
          </w:p>
        </w:tc>
        <w:tc>
          <w:tcPr>
            <w:tcW w:w="1259" w:type="pct"/>
            <w:gridSpan w:val="2"/>
          </w:tcPr>
          <w:p w14:paraId="308C4833" w14:textId="77777777" w:rsidR="00635DDC" w:rsidRPr="00FE70C3" w:rsidRDefault="00635DDC" w:rsidP="000B6113">
            <w:pPr>
              <w:pStyle w:val="In-tableHeading"/>
              <w:jc w:val="center"/>
            </w:pPr>
            <w:r>
              <w:t>E2201</w:t>
            </w:r>
          </w:p>
        </w:tc>
        <w:tc>
          <w:tcPr>
            <w:tcW w:w="1494" w:type="pct"/>
            <w:gridSpan w:val="2"/>
          </w:tcPr>
          <w:p w14:paraId="10BA9F7A" w14:textId="77777777" w:rsidR="00635DDC" w:rsidRPr="00FE70C3" w:rsidRDefault="00635DDC" w:rsidP="000B6113">
            <w:pPr>
              <w:pStyle w:val="In-tableHeading"/>
              <w:jc w:val="center"/>
            </w:pPr>
            <w:r>
              <w:t>KN-189</w:t>
            </w:r>
          </w:p>
        </w:tc>
        <w:tc>
          <w:tcPr>
            <w:tcW w:w="1543" w:type="pct"/>
            <w:gridSpan w:val="2"/>
          </w:tcPr>
          <w:p w14:paraId="6284C1B7" w14:textId="77777777" w:rsidR="00635DDC" w:rsidRPr="00FE70C3" w:rsidRDefault="00635DDC" w:rsidP="000B6113">
            <w:pPr>
              <w:pStyle w:val="In-tableHeading"/>
              <w:jc w:val="center"/>
            </w:pPr>
            <w:r>
              <w:t>KN-407</w:t>
            </w:r>
          </w:p>
        </w:tc>
      </w:tr>
      <w:tr w:rsidR="000940C3" w:rsidRPr="00FE70C3" w14:paraId="32D2F495" w14:textId="77777777" w:rsidTr="03CF4CC7">
        <w:trPr>
          <w:cantSplit/>
          <w:tblHeader/>
        </w:trPr>
        <w:tc>
          <w:tcPr>
            <w:tcW w:w="704" w:type="pct"/>
            <w:vAlign w:val="center"/>
          </w:tcPr>
          <w:p w14:paraId="53D918C8" w14:textId="77777777" w:rsidR="000940C3" w:rsidRPr="00FE70C3" w:rsidRDefault="000940C3" w:rsidP="000940C3">
            <w:pPr>
              <w:pStyle w:val="In-tableHeading"/>
              <w:jc w:val="center"/>
            </w:pPr>
          </w:p>
        </w:tc>
        <w:tc>
          <w:tcPr>
            <w:tcW w:w="628" w:type="pct"/>
          </w:tcPr>
          <w:p w14:paraId="7E11DFE4" w14:textId="77777777" w:rsidR="000940C3" w:rsidRDefault="000940C3" w:rsidP="000940C3">
            <w:pPr>
              <w:pStyle w:val="In-tableHeading"/>
              <w:jc w:val="center"/>
            </w:pPr>
            <w:r>
              <w:t>1</w:t>
            </w:r>
            <w:r w:rsidRPr="006A7C10">
              <w:rPr>
                <w:vertAlign w:val="superscript"/>
              </w:rPr>
              <w:t>st</w:t>
            </w:r>
            <w:r>
              <w:t xml:space="preserve"> Line</w:t>
            </w:r>
          </w:p>
          <w:p w14:paraId="0EC71FF2" w14:textId="77777777" w:rsidR="000940C3" w:rsidRDefault="000940C3" w:rsidP="000940C3">
            <w:pPr>
              <w:pStyle w:val="In-tableHeading"/>
              <w:jc w:val="center"/>
            </w:pPr>
            <w:r w:rsidRPr="00F87376">
              <w:t>D+T</w:t>
            </w:r>
            <w:r>
              <w:t xml:space="preserve"> </w:t>
            </w:r>
          </w:p>
          <w:p w14:paraId="082152F8" w14:textId="77777777" w:rsidR="000940C3" w:rsidRDefault="000940C3" w:rsidP="000940C3">
            <w:pPr>
              <w:pStyle w:val="In-tableHeading"/>
              <w:jc w:val="center"/>
            </w:pPr>
            <w:r>
              <w:t>(untreated)</w:t>
            </w:r>
          </w:p>
          <w:p w14:paraId="109A9938" w14:textId="0178B596" w:rsidR="000940C3" w:rsidRPr="00FE70C3" w:rsidRDefault="000940C3" w:rsidP="000940C3">
            <w:pPr>
              <w:pStyle w:val="In-tableHeading"/>
              <w:jc w:val="center"/>
            </w:pPr>
            <w:r>
              <w:t>N=36</w:t>
            </w:r>
          </w:p>
        </w:tc>
        <w:tc>
          <w:tcPr>
            <w:tcW w:w="631" w:type="pct"/>
          </w:tcPr>
          <w:p w14:paraId="7EA4420F" w14:textId="77777777" w:rsidR="000940C3" w:rsidRDefault="000940C3" w:rsidP="000940C3">
            <w:pPr>
              <w:pStyle w:val="In-tableHeading"/>
              <w:jc w:val="center"/>
            </w:pPr>
            <w:r>
              <w:t>2</w:t>
            </w:r>
            <w:r w:rsidRPr="006A7C10">
              <w:rPr>
                <w:vertAlign w:val="superscript"/>
              </w:rPr>
              <w:t>nd</w:t>
            </w:r>
            <w:r>
              <w:t xml:space="preserve"> Line+</w:t>
            </w:r>
          </w:p>
          <w:p w14:paraId="7E8732DE" w14:textId="77777777" w:rsidR="000940C3" w:rsidRDefault="000940C3" w:rsidP="000940C3">
            <w:pPr>
              <w:pStyle w:val="In-tableHeading"/>
              <w:jc w:val="center"/>
            </w:pPr>
            <w:r>
              <w:t xml:space="preserve">D+T </w:t>
            </w:r>
          </w:p>
          <w:p w14:paraId="23B76929" w14:textId="77777777" w:rsidR="000940C3" w:rsidRDefault="000940C3" w:rsidP="000940C3">
            <w:pPr>
              <w:pStyle w:val="In-tableHeading"/>
              <w:jc w:val="center"/>
            </w:pPr>
            <w:r>
              <w:t>(pretreated)</w:t>
            </w:r>
          </w:p>
          <w:p w14:paraId="2395E4D7" w14:textId="4E49FCC5" w:rsidR="000940C3" w:rsidRPr="00FE70C3" w:rsidRDefault="000940C3" w:rsidP="000940C3">
            <w:pPr>
              <w:pStyle w:val="In-tableHeading"/>
              <w:jc w:val="center"/>
            </w:pPr>
            <w:r>
              <w:t>N=57</w:t>
            </w:r>
          </w:p>
        </w:tc>
        <w:tc>
          <w:tcPr>
            <w:tcW w:w="786" w:type="pct"/>
          </w:tcPr>
          <w:p w14:paraId="4878C4D3" w14:textId="77777777" w:rsidR="000940C3" w:rsidRDefault="000940C3" w:rsidP="000940C3">
            <w:pPr>
              <w:pStyle w:val="In-tableHeading"/>
              <w:jc w:val="center"/>
            </w:pPr>
            <w:r>
              <w:t>PEMBRO+</w:t>
            </w:r>
          </w:p>
          <w:p w14:paraId="5C23BFBF" w14:textId="77777777" w:rsidR="000940C3" w:rsidRDefault="000940C3" w:rsidP="000940C3">
            <w:pPr>
              <w:pStyle w:val="In-tableHeading"/>
              <w:jc w:val="center"/>
            </w:pPr>
            <w:r>
              <w:t>PBC</w:t>
            </w:r>
          </w:p>
          <w:p w14:paraId="627FEE35" w14:textId="77777777" w:rsidR="000940C3" w:rsidRPr="00FE70C3" w:rsidRDefault="000940C3" w:rsidP="000940C3">
            <w:pPr>
              <w:pStyle w:val="In-tableHeading"/>
              <w:jc w:val="center"/>
            </w:pPr>
            <w:r>
              <w:t>N=410</w:t>
            </w:r>
          </w:p>
        </w:tc>
        <w:tc>
          <w:tcPr>
            <w:tcW w:w="708" w:type="pct"/>
          </w:tcPr>
          <w:p w14:paraId="60E24FB4" w14:textId="77777777" w:rsidR="000940C3" w:rsidRDefault="000940C3" w:rsidP="000940C3">
            <w:pPr>
              <w:pStyle w:val="In-tableHeading"/>
              <w:jc w:val="center"/>
            </w:pPr>
            <w:r>
              <w:t>PBC</w:t>
            </w:r>
          </w:p>
          <w:p w14:paraId="65188E2C" w14:textId="77777777" w:rsidR="000940C3" w:rsidRPr="00FE70C3" w:rsidRDefault="000940C3" w:rsidP="000940C3">
            <w:pPr>
              <w:pStyle w:val="In-tableHeading"/>
              <w:jc w:val="center"/>
            </w:pPr>
            <w:r>
              <w:t>N=206</w:t>
            </w:r>
          </w:p>
        </w:tc>
        <w:tc>
          <w:tcPr>
            <w:tcW w:w="786" w:type="pct"/>
          </w:tcPr>
          <w:p w14:paraId="7A130965" w14:textId="77777777" w:rsidR="000940C3" w:rsidRDefault="000940C3" w:rsidP="000940C3">
            <w:pPr>
              <w:pStyle w:val="In-tableHeading"/>
              <w:jc w:val="center"/>
            </w:pPr>
            <w:r>
              <w:t>PEMBRO+</w:t>
            </w:r>
          </w:p>
          <w:p w14:paraId="475C589C" w14:textId="77777777" w:rsidR="000940C3" w:rsidRDefault="000940C3" w:rsidP="000940C3">
            <w:pPr>
              <w:pStyle w:val="In-tableHeading"/>
              <w:jc w:val="center"/>
            </w:pPr>
            <w:r>
              <w:t>PBC</w:t>
            </w:r>
          </w:p>
          <w:p w14:paraId="3CC02852" w14:textId="77777777" w:rsidR="000940C3" w:rsidRPr="00FE70C3" w:rsidRDefault="000940C3" w:rsidP="000940C3">
            <w:pPr>
              <w:pStyle w:val="In-tableHeading"/>
              <w:jc w:val="center"/>
            </w:pPr>
            <w:r>
              <w:t>N=278</w:t>
            </w:r>
          </w:p>
        </w:tc>
        <w:tc>
          <w:tcPr>
            <w:tcW w:w="757" w:type="pct"/>
          </w:tcPr>
          <w:p w14:paraId="32D7AEDA" w14:textId="77777777" w:rsidR="000940C3" w:rsidRDefault="000940C3" w:rsidP="000940C3">
            <w:pPr>
              <w:pStyle w:val="In-tableHeading"/>
              <w:jc w:val="center"/>
            </w:pPr>
            <w:r>
              <w:t>PBC</w:t>
            </w:r>
          </w:p>
          <w:p w14:paraId="175BAB9A" w14:textId="77777777" w:rsidR="000940C3" w:rsidRPr="00FE70C3" w:rsidRDefault="000940C3" w:rsidP="000940C3">
            <w:pPr>
              <w:pStyle w:val="In-tableHeading"/>
              <w:jc w:val="center"/>
            </w:pPr>
            <w:r>
              <w:t>N=281</w:t>
            </w:r>
          </w:p>
        </w:tc>
      </w:tr>
      <w:tr w:rsidR="00BF22C4" w:rsidRPr="00FE70C3" w14:paraId="0176E19D" w14:textId="77777777" w:rsidTr="03CF4CC7">
        <w:trPr>
          <w:cantSplit/>
        </w:trPr>
        <w:tc>
          <w:tcPr>
            <w:tcW w:w="3457" w:type="pct"/>
            <w:gridSpan w:val="5"/>
            <w:vAlign w:val="center"/>
          </w:tcPr>
          <w:p w14:paraId="61FDD676" w14:textId="14BB8C19" w:rsidR="00635DDC" w:rsidRPr="00FE70C3" w:rsidRDefault="00635DDC" w:rsidP="000B6113">
            <w:pPr>
              <w:pStyle w:val="In-tableHeading"/>
            </w:pPr>
            <w:r>
              <w:t>Overall</w:t>
            </w:r>
            <w:r w:rsidRPr="00FE70C3">
              <w:t xml:space="preserve"> survival</w:t>
            </w:r>
          </w:p>
        </w:tc>
        <w:tc>
          <w:tcPr>
            <w:tcW w:w="786" w:type="pct"/>
          </w:tcPr>
          <w:p w14:paraId="62196101" w14:textId="77777777" w:rsidR="00635DDC" w:rsidRPr="00FE70C3" w:rsidRDefault="00635DDC" w:rsidP="000B6113">
            <w:pPr>
              <w:pStyle w:val="In-tableHeading"/>
            </w:pPr>
          </w:p>
        </w:tc>
        <w:tc>
          <w:tcPr>
            <w:tcW w:w="757" w:type="pct"/>
          </w:tcPr>
          <w:p w14:paraId="02AB5209" w14:textId="77777777" w:rsidR="00635DDC" w:rsidRPr="00FE70C3" w:rsidRDefault="00635DDC" w:rsidP="000B6113">
            <w:pPr>
              <w:pStyle w:val="In-tableHeading"/>
            </w:pPr>
          </w:p>
        </w:tc>
      </w:tr>
      <w:tr w:rsidR="00BF22C4" w:rsidRPr="00FE70C3" w14:paraId="647E1D7B" w14:textId="77777777" w:rsidTr="03CF4CC7">
        <w:trPr>
          <w:cantSplit/>
        </w:trPr>
        <w:tc>
          <w:tcPr>
            <w:tcW w:w="704" w:type="pct"/>
            <w:vAlign w:val="center"/>
          </w:tcPr>
          <w:p w14:paraId="48B9FC4F" w14:textId="5EB6645E" w:rsidR="0059540C" w:rsidRPr="00FE70C3" w:rsidRDefault="0059540C" w:rsidP="0059540C">
            <w:pPr>
              <w:pStyle w:val="TableText0"/>
            </w:pPr>
            <w:r w:rsidRPr="007F5255">
              <w:t>Deaths, n</w:t>
            </w:r>
            <w:r>
              <w:t xml:space="preserve"> </w:t>
            </w:r>
            <w:r w:rsidRPr="007F5255">
              <w:t>(%)</w:t>
            </w:r>
          </w:p>
        </w:tc>
        <w:tc>
          <w:tcPr>
            <w:tcW w:w="628" w:type="pct"/>
            <w:vAlign w:val="center"/>
          </w:tcPr>
          <w:p w14:paraId="22113CFC" w14:textId="5D4069D3" w:rsidR="0059540C" w:rsidRPr="00FE70C3" w:rsidRDefault="0059540C" w:rsidP="00BF22C4">
            <w:pPr>
              <w:pStyle w:val="TableText0"/>
              <w:jc w:val="center"/>
            </w:pPr>
            <w:r w:rsidRPr="00E56FFD">
              <w:t>27 (75%)</w:t>
            </w:r>
          </w:p>
        </w:tc>
        <w:tc>
          <w:tcPr>
            <w:tcW w:w="631" w:type="pct"/>
            <w:vAlign w:val="center"/>
          </w:tcPr>
          <w:p w14:paraId="0A5D5190" w14:textId="41A38DC1" w:rsidR="0059540C" w:rsidRPr="00FE70C3" w:rsidRDefault="0059540C" w:rsidP="00BF22C4">
            <w:pPr>
              <w:pStyle w:val="TableText0"/>
              <w:jc w:val="center"/>
            </w:pPr>
            <w:r w:rsidRPr="00C6083F">
              <w:t>49 (86%)</w:t>
            </w:r>
          </w:p>
        </w:tc>
        <w:tc>
          <w:tcPr>
            <w:tcW w:w="786" w:type="pct"/>
            <w:vAlign w:val="center"/>
          </w:tcPr>
          <w:p w14:paraId="390EB5C3" w14:textId="19E46C6C" w:rsidR="0059540C" w:rsidRPr="00FE70C3" w:rsidRDefault="0059540C" w:rsidP="00BF22C4">
            <w:pPr>
              <w:pStyle w:val="TableText0"/>
              <w:jc w:val="center"/>
            </w:pPr>
            <w:r w:rsidRPr="00D0505F">
              <w:t>329 (80.2%)</w:t>
            </w:r>
          </w:p>
        </w:tc>
        <w:tc>
          <w:tcPr>
            <w:tcW w:w="708" w:type="pct"/>
            <w:vAlign w:val="center"/>
          </w:tcPr>
          <w:p w14:paraId="045FD961" w14:textId="6B202BD2" w:rsidR="0059540C" w:rsidRPr="00FE70C3" w:rsidRDefault="0059540C" w:rsidP="00BF22C4">
            <w:pPr>
              <w:pStyle w:val="TableText0"/>
              <w:jc w:val="center"/>
            </w:pPr>
            <w:r w:rsidRPr="00D0505F">
              <w:t>183 (88.8%)</w:t>
            </w:r>
          </w:p>
        </w:tc>
        <w:tc>
          <w:tcPr>
            <w:tcW w:w="786" w:type="pct"/>
            <w:vAlign w:val="center"/>
          </w:tcPr>
          <w:p w14:paraId="6C23020D" w14:textId="44D4652D" w:rsidR="0059540C" w:rsidRPr="00FE70C3" w:rsidRDefault="0059540C" w:rsidP="00BF22C4">
            <w:pPr>
              <w:pStyle w:val="TableText0"/>
              <w:jc w:val="center"/>
            </w:pPr>
            <w:r w:rsidRPr="00103289">
              <w:t>225 (80.9%)</w:t>
            </w:r>
          </w:p>
        </w:tc>
        <w:tc>
          <w:tcPr>
            <w:tcW w:w="757" w:type="pct"/>
            <w:vAlign w:val="center"/>
          </w:tcPr>
          <w:p w14:paraId="1612A62F" w14:textId="233A419F" w:rsidR="0059540C" w:rsidRPr="00FE70C3" w:rsidRDefault="0059540C" w:rsidP="00BF22C4">
            <w:pPr>
              <w:pStyle w:val="TableText0"/>
              <w:jc w:val="center"/>
            </w:pPr>
            <w:r w:rsidRPr="00103289">
              <w:t>248 (88.3%)</w:t>
            </w:r>
          </w:p>
        </w:tc>
      </w:tr>
      <w:tr w:rsidR="00BF22C4" w:rsidRPr="00FE70C3" w14:paraId="4E0D5224" w14:textId="77777777" w:rsidTr="03CF4CC7">
        <w:trPr>
          <w:cantSplit/>
        </w:trPr>
        <w:tc>
          <w:tcPr>
            <w:tcW w:w="704" w:type="pct"/>
            <w:vAlign w:val="center"/>
          </w:tcPr>
          <w:p w14:paraId="553DF1AA" w14:textId="4C1EE110" w:rsidR="00755823" w:rsidRPr="00FE70C3" w:rsidRDefault="00755823" w:rsidP="00755823">
            <w:pPr>
              <w:pStyle w:val="TableText0"/>
            </w:pPr>
            <w:r w:rsidRPr="00FE70C3">
              <w:t>Median months OS (95% CI)</w:t>
            </w:r>
          </w:p>
        </w:tc>
        <w:tc>
          <w:tcPr>
            <w:tcW w:w="628" w:type="pct"/>
            <w:vAlign w:val="center"/>
          </w:tcPr>
          <w:p w14:paraId="7DFD2867" w14:textId="4F0BC3E8" w:rsidR="00755823" w:rsidRDefault="00755823" w:rsidP="00BF22C4">
            <w:pPr>
              <w:pStyle w:val="TableText0"/>
              <w:jc w:val="center"/>
            </w:pPr>
            <w:r w:rsidRPr="00527F1B">
              <w:t>17.3</w:t>
            </w:r>
          </w:p>
          <w:p w14:paraId="2407702E" w14:textId="1994D6B2" w:rsidR="00755823" w:rsidRPr="00FE70C3" w:rsidRDefault="00755823" w:rsidP="00BF22C4">
            <w:pPr>
              <w:pStyle w:val="TableText0"/>
              <w:jc w:val="center"/>
            </w:pPr>
            <w:r>
              <w:t>(1</w:t>
            </w:r>
            <w:r w:rsidRPr="00527F1B">
              <w:t>2.3, 40.2</w:t>
            </w:r>
            <w:r>
              <w:t>)</w:t>
            </w:r>
          </w:p>
        </w:tc>
        <w:tc>
          <w:tcPr>
            <w:tcW w:w="631" w:type="pct"/>
            <w:vAlign w:val="center"/>
          </w:tcPr>
          <w:p w14:paraId="555C763C" w14:textId="11678B27" w:rsidR="00755823" w:rsidRDefault="00755823" w:rsidP="00BF22C4">
            <w:pPr>
              <w:pStyle w:val="TableText0"/>
              <w:jc w:val="center"/>
            </w:pPr>
            <w:r w:rsidRPr="009709B8">
              <w:t>18.2</w:t>
            </w:r>
          </w:p>
          <w:p w14:paraId="36623065" w14:textId="7403EB08" w:rsidR="00755823" w:rsidRPr="00FE70C3" w:rsidRDefault="00755823" w:rsidP="00BF22C4">
            <w:pPr>
              <w:pStyle w:val="TableText0"/>
              <w:jc w:val="center"/>
            </w:pPr>
            <w:r>
              <w:t>(</w:t>
            </w:r>
            <w:r w:rsidRPr="009709B8">
              <w:t>14.3, 28.6</w:t>
            </w:r>
            <w:r>
              <w:t>)</w:t>
            </w:r>
          </w:p>
        </w:tc>
        <w:tc>
          <w:tcPr>
            <w:tcW w:w="786" w:type="pct"/>
            <w:vAlign w:val="center"/>
          </w:tcPr>
          <w:p w14:paraId="5F5F166D" w14:textId="5295134A" w:rsidR="00755823" w:rsidRDefault="00755823" w:rsidP="00BF22C4">
            <w:pPr>
              <w:pStyle w:val="TableText0"/>
              <w:jc w:val="center"/>
            </w:pPr>
            <w:r w:rsidRPr="00A614EB">
              <w:t>22.0</w:t>
            </w:r>
          </w:p>
          <w:p w14:paraId="1D7D6099" w14:textId="1C6B671A" w:rsidR="00755823" w:rsidRPr="00FE70C3" w:rsidRDefault="00755823" w:rsidP="00BF22C4">
            <w:pPr>
              <w:pStyle w:val="TableText0"/>
              <w:jc w:val="center"/>
            </w:pPr>
            <w:r>
              <w:t>(</w:t>
            </w:r>
            <w:r w:rsidRPr="00A614EB">
              <w:t>19.5 to 24.5</w:t>
            </w:r>
            <w:r>
              <w:t>)</w:t>
            </w:r>
          </w:p>
        </w:tc>
        <w:tc>
          <w:tcPr>
            <w:tcW w:w="708" w:type="pct"/>
            <w:vAlign w:val="center"/>
          </w:tcPr>
          <w:p w14:paraId="06C913EA" w14:textId="3C11DD44" w:rsidR="00755823" w:rsidRDefault="00755823" w:rsidP="00BF22C4">
            <w:pPr>
              <w:pStyle w:val="TableText0"/>
              <w:jc w:val="center"/>
            </w:pPr>
            <w:r w:rsidRPr="00A614EB">
              <w:t>10.6</w:t>
            </w:r>
          </w:p>
          <w:p w14:paraId="17FD70B6" w14:textId="2D112BC6" w:rsidR="00755823" w:rsidRPr="00FE70C3" w:rsidRDefault="00755823" w:rsidP="00BF22C4">
            <w:pPr>
              <w:pStyle w:val="TableText0"/>
              <w:jc w:val="center"/>
            </w:pPr>
            <w:r>
              <w:t>(</w:t>
            </w:r>
            <w:r w:rsidRPr="00A614EB">
              <w:t>8.7 to 13.6</w:t>
            </w:r>
            <w:r>
              <w:t>)</w:t>
            </w:r>
          </w:p>
        </w:tc>
        <w:tc>
          <w:tcPr>
            <w:tcW w:w="786" w:type="pct"/>
            <w:vAlign w:val="center"/>
          </w:tcPr>
          <w:p w14:paraId="2DA4C303" w14:textId="77777777" w:rsidR="00BF22C4" w:rsidRDefault="00755823" w:rsidP="00BF22C4">
            <w:pPr>
              <w:pStyle w:val="TableText0"/>
              <w:jc w:val="center"/>
            </w:pPr>
            <w:r w:rsidRPr="006430A4">
              <w:t>17.2</w:t>
            </w:r>
          </w:p>
          <w:p w14:paraId="6A1AF494" w14:textId="05E141C4" w:rsidR="00755823" w:rsidRPr="00FE70C3" w:rsidRDefault="00755823" w:rsidP="00BF22C4">
            <w:pPr>
              <w:pStyle w:val="TableText0"/>
              <w:jc w:val="center"/>
            </w:pPr>
            <w:r w:rsidRPr="006430A4">
              <w:t xml:space="preserve"> </w:t>
            </w:r>
            <w:r>
              <w:t>(</w:t>
            </w:r>
            <w:r w:rsidRPr="006430A4">
              <w:t>14.4, 19.7</w:t>
            </w:r>
            <w:r>
              <w:t>)</w:t>
            </w:r>
          </w:p>
        </w:tc>
        <w:tc>
          <w:tcPr>
            <w:tcW w:w="757" w:type="pct"/>
            <w:vAlign w:val="center"/>
          </w:tcPr>
          <w:p w14:paraId="5E8A9775" w14:textId="77777777" w:rsidR="00BF22C4" w:rsidRDefault="00755823" w:rsidP="00BF22C4">
            <w:pPr>
              <w:pStyle w:val="TableText0"/>
              <w:jc w:val="center"/>
            </w:pPr>
            <w:r w:rsidRPr="006430A4">
              <w:t xml:space="preserve">11.6 </w:t>
            </w:r>
          </w:p>
          <w:p w14:paraId="6CB099E8" w14:textId="196BFB0B" w:rsidR="00755823" w:rsidRPr="00FE70C3" w:rsidRDefault="00755823" w:rsidP="00BF22C4">
            <w:pPr>
              <w:pStyle w:val="TableText0"/>
              <w:jc w:val="center"/>
            </w:pPr>
            <w:r>
              <w:t>(</w:t>
            </w:r>
            <w:r w:rsidRPr="006430A4">
              <w:t>10.1, 13.7</w:t>
            </w:r>
            <w:r>
              <w:t>)</w:t>
            </w:r>
          </w:p>
        </w:tc>
      </w:tr>
      <w:tr w:rsidR="00BF22C4" w:rsidRPr="00FE70C3" w14:paraId="4013D59A" w14:textId="77777777" w:rsidTr="03CF4CC7">
        <w:trPr>
          <w:cantSplit/>
        </w:trPr>
        <w:tc>
          <w:tcPr>
            <w:tcW w:w="704" w:type="pct"/>
          </w:tcPr>
          <w:p w14:paraId="3F9985CF" w14:textId="77777777" w:rsidR="00635DDC" w:rsidRPr="007F5255" w:rsidRDefault="00635DDC" w:rsidP="000B6113">
            <w:pPr>
              <w:pStyle w:val="TableText0"/>
            </w:pPr>
            <w:r>
              <w:t>HR (95% CI)</w:t>
            </w:r>
          </w:p>
        </w:tc>
        <w:tc>
          <w:tcPr>
            <w:tcW w:w="628" w:type="pct"/>
            <w:vAlign w:val="center"/>
          </w:tcPr>
          <w:p w14:paraId="7FAF2A57" w14:textId="4A2E41E7" w:rsidR="00635DDC" w:rsidRPr="007F5255" w:rsidRDefault="00F97D67" w:rsidP="000B6113">
            <w:pPr>
              <w:pStyle w:val="TableText0"/>
              <w:jc w:val="center"/>
              <w:rPr>
                <w:rFonts w:cs="Arial"/>
              </w:rPr>
            </w:pPr>
            <w:r>
              <w:rPr>
                <w:rFonts w:cs="Arial"/>
              </w:rPr>
              <w:t>NA</w:t>
            </w:r>
          </w:p>
        </w:tc>
        <w:tc>
          <w:tcPr>
            <w:tcW w:w="631" w:type="pct"/>
            <w:vAlign w:val="center"/>
          </w:tcPr>
          <w:p w14:paraId="7DF85698" w14:textId="6BDB9713" w:rsidR="00635DDC" w:rsidRPr="007F5255" w:rsidRDefault="00F97D67" w:rsidP="000B6113">
            <w:pPr>
              <w:pStyle w:val="TableText0"/>
              <w:jc w:val="center"/>
              <w:rPr>
                <w:rFonts w:cs="Arial"/>
              </w:rPr>
            </w:pPr>
            <w:r>
              <w:rPr>
                <w:rFonts w:cs="Arial"/>
              </w:rPr>
              <w:t>NA</w:t>
            </w:r>
          </w:p>
        </w:tc>
        <w:tc>
          <w:tcPr>
            <w:tcW w:w="1494" w:type="pct"/>
            <w:gridSpan w:val="2"/>
            <w:vAlign w:val="center"/>
          </w:tcPr>
          <w:p w14:paraId="3B1F0353" w14:textId="66F9C611" w:rsidR="00635DDC" w:rsidRDefault="00CC6FE8" w:rsidP="000B6113">
            <w:pPr>
              <w:pStyle w:val="TableText0"/>
              <w:jc w:val="center"/>
            </w:pPr>
            <w:r w:rsidRPr="00CC6FE8">
              <w:t xml:space="preserve">0.60 </w:t>
            </w:r>
            <w:r>
              <w:t>(</w:t>
            </w:r>
            <w:r w:rsidRPr="00CC6FE8">
              <w:t>0.50, 0.72</w:t>
            </w:r>
            <w:r>
              <w:t>)</w:t>
            </w:r>
          </w:p>
        </w:tc>
        <w:tc>
          <w:tcPr>
            <w:tcW w:w="1543" w:type="pct"/>
            <w:gridSpan w:val="2"/>
          </w:tcPr>
          <w:p w14:paraId="2FCF559B" w14:textId="3C221553" w:rsidR="00635DDC" w:rsidRDefault="002475E7" w:rsidP="000B6113">
            <w:pPr>
              <w:pStyle w:val="TableText0"/>
              <w:jc w:val="center"/>
            </w:pPr>
            <w:r w:rsidRPr="002475E7">
              <w:t xml:space="preserve">0.71 </w:t>
            </w:r>
            <w:r>
              <w:t>(</w:t>
            </w:r>
            <w:r w:rsidRPr="002475E7">
              <w:t>0.59 to 0.85</w:t>
            </w:r>
            <w:r>
              <w:t>)</w:t>
            </w:r>
          </w:p>
        </w:tc>
      </w:tr>
    </w:tbl>
    <w:p w14:paraId="0DB4EDC6" w14:textId="75B4202E" w:rsidR="009A3E5F" w:rsidRDefault="00635DDC" w:rsidP="009A3E5F">
      <w:pPr>
        <w:pStyle w:val="FooterTableFigure"/>
      </w:pPr>
      <w:r w:rsidRPr="00FE70C3">
        <w:rPr>
          <w:rFonts w:eastAsia="Calibri"/>
        </w:rPr>
        <w:t xml:space="preserve">Source: </w:t>
      </w:r>
      <w:r w:rsidR="009A3E5F">
        <w:t>Source: Table 2.2</w:t>
      </w:r>
      <w:r w:rsidR="00387937">
        <w:t>4</w:t>
      </w:r>
      <w:r w:rsidR="009A3E5F">
        <w:t>, p7</w:t>
      </w:r>
      <w:r w:rsidR="00387937">
        <w:t>3</w:t>
      </w:r>
      <w:r w:rsidR="009A3E5F">
        <w:t>; Table 2.2</w:t>
      </w:r>
      <w:r w:rsidR="00FB04B3">
        <w:t>8</w:t>
      </w:r>
      <w:r w:rsidR="009A3E5F">
        <w:t>, p7</w:t>
      </w:r>
      <w:r w:rsidR="00FB04B3">
        <w:t>8</w:t>
      </w:r>
      <w:r w:rsidR="009A3E5F">
        <w:t xml:space="preserve"> and Table 2.3</w:t>
      </w:r>
      <w:r w:rsidR="00913714">
        <w:t>2</w:t>
      </w:r>
      <w:r w:rsidR="009A3E5F">
        <w:t>, p8</w:t>
      </w:r>
      <w:r w:rsidR="00913714">
        <w:t>2</w:t>
      </w:r>
      <w:r w:rsidR="009A3E5F">
        <w:t xml:space="preserve"> of the submission.</w:t>
      </w:r>
    </w:p>
    <w:p w14:paraId="71126E5D" w14:textId="76723DC0" w:rsidR="009A3E5F" w:rsidRDefault="009A3E5F" w:rsidP="009A3E5F">
      <w:pPr>
        <w:pStyle w:val="FooterTableFigure"/>
      </w:pPr>
      <w:r>
        <w:t xml:space="preserve">CI = confidence interval; </w:t>
      </w:r>
      <w:r w:rsidRPr="005C1346">
        <w:t>CR</w:t>
      </w:r>
      <w:r>
        <w:t xml:space="preserve"> = </w:t>
      </w:r>
      <w:r w:rsidRPr="005C1346">
        <w:t xml:space="preserve">complete response; </w:t>
      </w:r>
      <w:r>
        <w:t xml:space="preserve">D+T = dabrafenib and trametinib; HR = hazard ratio; </w:t>
      </w:r>
      <w:r w:rsidRPr="00B40358">
        <w:rPr>
          <w:rFonts w:eastAsia="Calibri"/>
        </w:rPr>
        <w:t>n = number of participants with event; N = total participants in group</w:t>
      </w:r>
      <w:r>
        <w:rPr>
          <w:rFonts w:eastAsia="Calibri"/>
        </w:rPr>
        <w:t xml:space="preserve">; NA = not applicable; </w:t>
      </w:r>
      <w:r>
        <w:t>ORR = o</w:t>
      </w:r>
      <w:r w:rsidR="00E163E6">
        <w:t>bjective</w:t>
      </w:r>
      <w:r>
        <w:t xml:space="preserve"> response rate; PEMBRO = pembrolizumab; PBC = platinum-based chemotherapy; OS = overall survival. </w:t>
      </w:r>
    </w:p>
    <w:p w14:paraId="1318EEDC" w14:textId="4D549734" w:rsidR="00680001" w:rsidRDefault="00C211CF" w:rsidP="00B758F5">
      <w:pPr>
        <w:pStyle w:val="3-BodyText"/>
        <w:rPr>
          <w:rFonts w:eastAsia="Calibri"/>
        </w:rPr>
      </w:pPr>
      <w:r w:rsidRPr="00C211CF">
        <w:rPr>
          <w:rFonts w:eastAsia="Calibri"/>
        </w:rPr>
        <w:t xml:space="preserve">In E2201 study, </w:t>
      </w:r>
      <w:r w:rsidR="00F171AE">
        <w:rPr>
          <w:rFonts w:eastAsia="Calibri"/>
        </w:rPr>
        <w:t xml:space="preserve">at the </w:t>
      </w:r>
      <w:r w:rsidR="00750080">
        <w:rPr>
          <w:rFonts w:eastAsia="Calibri"/>
        </w:rPr>
        <w:t xml:space="preserve">most </w:t>
      </w:r>
      <w:r w:rsidR="00F171AE">
        <w:rPr>
          <w:rFonts w:eastAsia="Calibri"/>
        </w:rPr>
        <w:t xml:space="preserve">recent data cut-off, </w:t>
      </w:r>
      <w:r w:rsidRPr="00C211CF">
        <w:rPr>
          <w:rFonts w:eastAsia="Calibri"/>
        </w:rPr>
        <w:t xml:space="preserve">approximately 75% patients treated with first-line </w:t>
      </w:r>
      <w:r>
        <w:rPr>
          <w:rFonts w:eastAsia="Calibri"/>
        </w:rPr>
        <w:t>D+T</w:t>
      </w:r>
      <w:r w:rsidRPr="00C211CF">
        <w:rPr>
          <w:rFonts w:eastAsia="Calibri"/>
        </w:rPr>
        <w:t xml:space="preserve"> and 86% patients treated with </w:t>
      </w:r>
      <w:r w:rsidR="00F402CA">
        <w:rPr>
          <w:rFonts w:eastAsia="Calibri"/>
        </w:rPr>
        <w:t>second and subsequent line</w:t>
      </w:r>
      <w:r w:rsidRPr="00C211CF">
        <w:rPr>
          <w:rFonts w:eastAsia="Calibri"/>
        </w:rPr>
        <w:t xml:space="preserve"> </w:t>
      </w:r>
      <w:r w:rsidR="00714FD9">
        <w:rPr>
          <w:rFonts w:eastAsia="Calibri"/>
        </w:rPr>
        <w:t>D+T</w:t>
      </w:r>
      <w:r w:rsidRPr="00C211CF">
        <w:rPr>
          <w:rFonts w:eastAsia="Calibri"/>
        </w:rPr>
        <w:t xml:space="preserve"> had died, with median OS of 17.3 months (95% CI: 12.3, 40.2) and 18.2 months (95% CI: 14.3, 28.6), respectively. </w:t>
      </w:r>
    </w:p>
    <w:p w14:paraId="1C73EA87" w14:textId="3B1B8798" w:rsidR="009F6AFE" w:rsidRPr="009F6AFE" w:rsidRDefault="002166A8" w:rsidP="009F6AFE">
      <w:pPr>
        <w:pStyle w:val="3-BodyText"/>
        <w:rPr>
          <w:rFonts w:eastAsia="Calibri"/>
        </w:rPr>
      </w:pPr>
      <w:r>
        <w:rPr>
          <w:rFonts w:eastAsia="Calibri"/>
        </w:rPr>
        <w:lastRenderedPageBreak/>
        <w:fldChar w:fldCharType="begin"/>
      </w:r>
      <w:r>
        <w:rPr>
          <w:rFonts w:eastAsia="Calibri"/>
        </w:rPr>
        <w:instrText xml:space="preserve"> REF _Ref187610373 \h </w:instrText>
      </w:r>
      <w:r>
        <w:rPr>
          <w:rFonts w:eastAsia="Calibri"/>
        </w:rPr>
      </w:r>
      <w:r>
        <w:rPr>
          <w:rFonts w:eastAsia="Calibri"/>
        </w:rPr>
        <w:fldChar w:fldCharType="separate"/>
      </w:r>
      <w:r w:rsidR="00EF4998">
        <w:t xml:space="preserve">Figure </w:t>
      </w:r>
      <w:r w:rsidR="00EF4998">
        <w:rPr>
          <w:noProof/>
        </w:rPr>
        <w:t>5</w:t>
      </w:r>
      <w:r>
        <w:rPr>
          <w:rFonts w:eastAsia="Calibri"/>
        </w:rPr>
        <w:fldChar w:fldCharType="end"/>
      </w:r>
      <w:r>
        <w:rPr>
          <w:rFonts w:eastAsia="Calibri"/>
        </w:rPr>
        <w:t xml:space="preserve"> and </w:t>
      </w:r>
      <w:r>
        <w:rPr>
          <w:rFonts w:eastAsia="Calibri"/>
        </w:rPr>
        <w:fldChar w:fldCharType="begin"/>
      </w:r>
      <w:r>
        <w:rPr>
          <w:rFonts w:eastAsia="Calibri"/>
        </w:rPr>
        <w:instrText xml:space="preserve"> REF _Ref187610374 \h </w:instrText>
      </w:r>
      <w:r>
        <w:rPr>
          <w:rFonts w:eastAsia="Calibri"/>
        </w:rPr>
      </w:r>
      <w:r>
        <w:rPr>
          <w:rFonts w:eastAsia="Calibri"/>
        </w:rPr>
        <w:fldChar w:fldCharType="separate"/>
      </w:r>
      <w:r w:rsidR="00EF4998">
        <w:t xml:space="preserve">Figure </w:t>
      </w:r>
      <w:r w:rsidR="00EF4998">
        <w:rPr>
          <w:noProof/>
        </w:rPr>
        <w:t>6</w:t>
      </w:r>
      <w:r>
        <w:rPr>
          <w:rFonts w:eastAsia="Calibri"/>
        </w:rPr>
        <w:fldChar w:fldCharType="end"/>
      </w:r>
      <w:r w:rsidR="009F6AFE">
        <w:rPr>
          <w:rFonts w:eastAsia="Calibri"/>
        </w:rPr>
        <w:t xml:space="preserve"> present the Kaplan-Meier plots for OS in the D+T treatment arms from the E2201 study. </w:t>
      </w:r>
      <w:r w:rsidR="009F6AFE" w:rsidRPr="03CF4CC7">
        <w:rPr>
          <w:rFonts w:eastAsia="Calibri"/>
        </w:rPr>
        <w:t xml:space="preserve">In the E2201 study, the OS rates </w:t>
      </w:r>
      <w:r w:rsidR="00386CFA">
        <w:rPr>
          <w:rFonts w:eastAsia="Calibri"/>
        </w:rPr>
        <w:t xml:space="preserve">for patients treated with first-line </w:t>
      </w:r>
      <w:r w:rsidR="009F6AFE" w:rsidRPr="03CF4CC7">
        <w:rPr>
          <w:rFonts w:eastAsia="Calibri"/>
        </w:rPr>
        <w:t xml:space="preserve">D+T </w:t>
      </w:r>
      <w:r w:rsidR="00386CFA">
        <w:rPr>
          <w:rFonts w:eastAsia="Calibri"/>
        </w:rPr>
        <w:t xml:space="preserve">were </w:t>
      </w:r>
      <w:r w:rsidR="009F6AFE" w:rsidRPr="03CF4CC7">
        <w:rPr>
          <w:rFonts w:eastAsia="Calibri"/>
        </w:rPr>
        <w:t xml:space="preserve">74%  </w:t>
      </w:r>
      <w:r w:rsidR="00386CFA">
        <w:rPr>
          <w:rFonts w:eastAsia="Calibri"/>
        </w:rPr>
        <w:t xml:space="preserve">at 12 months </w:t>
      </w:r>
      <w:r w:rsidR="009F6AFE" w:rsidRPr="03CF4CC7">
        <w:rPr>
          <w:rFonts w:eastAsia="Calibri"/>
        </w:rPr>
        <w:t xml:space="preserve">and </w:t>
      </w:r>
      <w:r w:rsidR="00386CFA">
        <w:rPr>
          <w:rFonts w:eastAsia="Calibri"/>
        </w:rPr>
        <w:t xml:space="preserve">49% </w:t>
      </w:r>
      <w:r w:rsidR="009F6AFE" w:rsidRPr="03CF4CC7">
        <w:rPr>
          <w:rFonts w:eastAsia="Calibri"/>
        </w:rPr>
        <w:t>at 24 months</w:t>
      </w:r>
      <w:r w:rsidR="00386CFA">
        <w:rPr>
          <w:rFonts w:eastAsia="Calibri"/>
        </w:rPr>
        <w:t xml:space="preserve">. For those receiving treatment with </w:t>
      </w:r>
      <w:r w:rsidR="00F402CA">
        <w:rPr>
          <w:rFonts w:eastAsia="Calibri"/>
        </w:rPr>
        <w:t>second and subsequent line</w:t>
      </w:r>
      <w:r w:rsidR="00386CFA">
        <w:rPr>
          <w:rFonts w:eastAsia="Calibri"/>
        </w:rPr>
        <w:t xml:space="preserve"> D+T treatment, the OS rates were 66% at 12 months and </w:t>
      </w:r>
      <w:r w:rsidR="009F6AFE" w:rsidRPr="03CF4CC7">
        <w:rPr>
          <w:rFonts w:eastAsia="Calibri"/>
        </w:rPr>
        <w:t xml:space="preserve"> 41%</w:t>
      </w:r>
      <w:r w:rsidR="00386CFA">
        <w:rPr>
          <w:rFonts w:eastAsia="Calibri"/>
        </w:rPr>
        <w:t xml:space="preserve"> at 24 months</w:t>
      </w:r>
      <w:r w:rsidR="009F6AFE" w:rsidRPr="03CF4CC7">
        <w:rPr>
          <w:rFonts w:eastAsia="Calibri"/>
        </w:rPr>
        <w:t xml:space="preserve">. </w:t>
      </w:r>
    </w:p>
    <w:p w14:paraId="4A1AA178" w14:textId="036E8114" w:rsidR="009F6AFE" w:rsidRDefault="009F6AFE" w:rsidP="009F6AFE">
      <w:pPr>
        <w:pStyle w:val="Caption"/>
      </w:pPr>
      <w:bookmarkStart w:id="54" w:name="_Ref187610373"/>
      <w:r>
        <w:t xml:space="preserve">Figure </w:t>
      </w:r>
      <w:r w:rsidR="00E77066">
        <w:fldChar w:fldCharType="begin"/>
      </w:r>
      <w:r w:rsidR="00E77066">
        <w:instrText xml:space="preserve"> SEQ Figure \* ARABIC </w:instrText>
      </w:r>
      <w:r w:rsidR="00E77066">
        <w:fldChar w:fldCharType="separate"/>
      </w:r>
      <w:r w:rsidR="00EF4998">
        <w:rPr>
          <w:noProof/>
        </w:rPr>
        <w:t>5</w:t>
      </w:r>
      <w:r w:rsidR="00E77066">
        <w:rPr>
          <w:noProof/>
        </w:rPr>
        <w:fldChar w:fldCharType="end"/>
      </w:r>
      <w:bookmarkEnd w:id="54"/>
      <w:r>
        <w:t>: Kaplan-Meier curves for OS for first-line D+T (untreated patients) in E2201 study</w:t>
      </w:r>
    </w:p>
    <w:p w14:paraId="7AB15F04" w14:textId="77777777" w:rsidR="009F6AFE" w:rsidRDefault="009F6AFE" w:rsidP="009F6AFE">
      <w:pPr>
        <w:pStyle w:val="FooterTableFigure"/>
        <w:rPr>
          <w:rFonts w:eastAsia="Calibri"/>
        </w:rPr>
      </w:pPr>
      <w:r>
        <w:rPr>
          <w:b/>
          <w:bCs/>
          <w:noProof/>
        </w:rPr>
        <w:drawing>
          <wp:inline distT="0" distB="0" distL="0" distR="0" wp14:anchorId="6DD8E1E7" wp14:editId="09EFBB5B">
            <wp:extent cx="5731231" cy="2642260"/>
            <wp:effectExtent l="0" t="0" r="3175" b="5715"/>
            <wp:docPr id="1598551990" name="Picture 3" descr="A graph showing a number of it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01142" name="Picture 3" descr="A graph showing a number of items&#10;&#10;Description automatically generated with medium confidence"/>
                    <pic:cNvPicPr/>
                  </pic:nvPicPr>
                  <pic:blipFill>
                    <a:blip r:embed="rId12"/>
                    <a:stretch>
                      <a:fillRect/>
                    </a:stretch>
                  </pic:blipFill>
                  <pic:spPr>
                    <a:xfrm>
                      <a:off x="0" y="0"/>
                      <a:ext cx="5731231" cy="2642260"/>
                    </a:xfrm>
                    <a:prstGeom prst="rect">
                      <a:avLst/>
                    </a:prstGeom>
                  </pic:spPr>
                </pic:pic>
              </a:graphicData>
            </a:graphic>
          </wp:inline>
        </w:drawing>
      </w:r>
    </w:p>
    <w:p w14:paraId="01972846" w14:textId="77777777" w:rsidR="009F6AFE" w:rsidRDefault="009F6AFE" w:rsidP="009F6AFE">
      <w:pPr>
        <w:pStyle w:val="FooterTableFigure"/>
        <w:rPr>
          <w:rFonts w:eastAsia="Calibri"/>
        </w:rPr>
      </w:pPr>
      <w:r>
        <w:rPr>
          <w:rFonts w:eastAsia="Calibri"/>
        </w:rPr>
        <w:t>Source: Figure 2.4, p74 of the submission.</w:t>
      </w:r>
    </w:p>
    <w:p w14:paraId="1EF0B6CF" w14:textId="6D2F02C1" w:rsidR="009F6AFE" w:rsidRDefault="00D34E75" w:rsidP="009F6AFE">
      <w:pPr>
        <w:pStyle w:val="FooterTableFigure"/>
        <w:rPr>
          <w:rFonts w:eastAsia="Calibri"/>
        </w:rPr>
      </w:pPr>
      <w:r>
        <w:rPr>
          <w:rFonts w:eastAsia="Calibri"/>
        </w:rPr>
        <w:t xml:space="preserve">D+T = dabrafenib and trametinib; </w:t>
      </w:r>
      <w:r w:rsidR="009F6AFE">
        <w:rPr>
          <w:rFonts w:eastAsia="Calibri"/>
        </w:rPr>
        <w:t>OS = overall survival.</w:t>
      </w:r>
    </w:p>
    <w:p w14:paraId="13A1F194" w14:textId="77777777" w:rsidR="009F6AFE" w:rsidRPr="00387937" w:rsidRDefault="009F6AFE" w:rsidP="009F6AFE">
      <w:pPr>
        <w:pStyle w:val="FooterTableFigure"/>
        <w:rPr>
          <w:rFonts w:eastAsia="Calibri"/>
        </w:rPr>
      </w:pPr>
      <w:r>
        <w:rPr>
          <w:rFonts w:eastAsia="Calibri"/>
        </w:rPr>
        <w:t xml:space="preserve">Note: </w:t>
      </w:r>
      <w:r w:rsidRPr="00897681">
        <w:rPr>
          <w:rFonts w:eastAsia="Calibri"/>
        </w:rPr>
        <w:t xml:space="preserve">Lines represent </w:t>
      </w:r>
      <w:r>
        <w:rPr>
          <w:rFonts w:eastAsia="Calibri"/>
        </w:rPr>
        <w:t>Kaplan-Meier</w:t>
      </w:r>
      <w:r w:rsidRPr="00897681">
        <w:rPr>
          <w:rFonts w:eastAsia="Calibri"/>
        </w:rPr>
        <w:t xml:space="preserve"> estimate with 95% </w:t>
      </w:r>
      <w:r>
        <w:rPr>
          <w:rFonts w:eastAsia="Calibri"/>
        </w:rPr>
        <w:t>confidence interval</w:t>
      </w:r>
    </w:p>
    <w:p w14:paraId="6DEE8E9A" w14:textId="307A0CEF" w:rsidR="009F6AFE" w:rsidRDefault="009F6AFE" w:rsidP="009F6AFE">
      <w:pPr>
        <w:pStyle w:val="Caption"/>
      </w:pPr>
      <w:bookmarkStart w:id="55" w:name="_Ref187610374"/>
      <w:r>
        <w:t xml:space="preserve">Figure </w:t>
      </w:r>
      <w:r w:rsidR="00E77066">
        <w:fldChar w:fldCharType="begin"/>
      </w:r>
      <w:r w:rsidR="00E77066">
        <w:instrText xml:space="preserve"> SEQ Figure \* ARABIC </w:instrText>
      </w:r>
      <w:r w:rsidR="00E77066">
        <w:fldChar w:fldCharType="separate"/>
      </w:r>
      <w:r w:rsidR="00EF4998">
        <w:rPr>
          <w:noProof/>
        </w:rPr>
        <w:t>6</w:t>
      </w:r>
      <w:r w:rsidR="00E77066">
        <w:rPr>
          <w:noProof/>
        </w:rPr>
        <w:fldChar w:fldCharType="end"/>
      </w:r>
      <w:bookmarkEnd w:id="55"/>
      <w:r>
        <w:t>: Kaplan-Meier curves for OS for second-line and beyond D+T (pretreated patients) in E2201 study</w:t>
      </w:r>
    </w:p>
    <w:p w14:paraId="73E18BF3" w14:textId="77777777" w:rsidR="009F6AFE" w:rsidRDefault="009F6AFE" w:rsidP="009F6AFE">
      <w:pPr>
        <w:pStyle w:val="FooterTableFigure"/>
        <w:rPr>
          <w:rFonts w:eastAsia="Calibri"/>
        </w:rPr>
      </w:pPr>
      <w:r>
        <w:rPr>
          <w:b/>
          <w:bCs/>
          <w:noProof/>
        </w:rPr>
        <w:drawing>
          <wp:inline distT="0" distB="0" distL="0" distR="0" wp14:anchorId="49CFDF14" wp14:editId="46ADE76B">
            <wp:extent cx="5638744" cy="2653025"/>
            <wp:effectExtent l="0" t="0" r="635" b="0"/>
            <wp:docPr id="1446471151" name="Picture 4" descr="A graph showing the number of the same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47084" name="Picture 4" descr="A graph showing the number of the same number&#10;&#10;Description automatically generated with medium confidence"/>
                    <pic:cNvPicPr/>
                  </pic:nvPicPr>
                  <pic:blipFill>
                    <a:blip r:embed="rId13"/>
                    <a:stretch>
                      <a:fillRect/>
                    </a:stretch>
                  </pic:blipFill>
                  <pic:spPr>
                    <a:xfrm>
                      <a:off x="0" y="0"/>
                      <a:ext cx="5638744" cy="2653025"/>
                    </a:xfrm>
                    <a:prstGeom prst="rect">
                      <a:avLst/>
                    </a:prstGeom>
                  </pic:spPr>
                </pic:pic>
              </a:graphicData>
            </a:graphic>
          </wp:inline>
        </w:drawing>
      </w:r>
    </w:p>
    <w:p w14:paraId="2EC2D999" w14:textId="77777777" w:rsidR="009F6AFE" w:rsidRDefault="009F6AFE" w:rsidP="009F6AFE">
      <w:pPr>
        <w:pStyle w:val="FooterTableFigure"/>
        <w:rPr>
          <w:rFonts w:eastAsia="Calibri"/>
        </w:rPr>
      </w:pPr>
      <w:r>
        <w:rPr>
          <w:rFonts w:eastAsia="Calibri"/>
        </w:rPr>
        <w:t>Source: Figure 2.4, p74 of the submission.</w:t>
      </w:r>
    </w:p>
    <w:p w14:paraId="042280DA" w14:textId="4E9CB740" w:rsidR="009F6AFE" w:rsidRDefault="00D34E75" w:rsidP="009F6AFE">
      <w:pPr>
        <w:pStyle w:val="FooterTableFigure"/>
        <w:rPr>
          <w:rFonts w:eastAsia="Calibri"/>
        </w:rPr>
      </w:pPr>
      <w:r>
        <w:rPr>
          <w:rFonts w:eastAsia="Calibri"/>
        </w:rPr>
        <w:t xml:space="preserve">D+T = dabrafenib and trametinib; </w:t>
      </w:r>
      <w:r w:rsidR="009F6AFE">
        <w:rPr>
          <w:rFonts w:eastAsia="Calibri"/>
        </w:rPr>
        <w:t>OS = overall survival.</w:t>
      </w:r>
    </w:p>
    <w:p w14:paraId="3AB5DC80" w14:textId="77777777" w:rsidR="009F6AFE" w:rsidRDefault="009F6AFE" w:rsidP="009F6AFE">
      <w:pPr>
        <w:pStyle w:val="FooterTableFigure"/>
        <w:rPr>
          <w:rFonts w:eastAsia="Calibri"/>
        </w:rPr>
      </w:pPr>
      <w:r>
        <w:rPr>
          <w:rFonts w:eastAsia="Calibri"/>
        </w:rPr>
        <w:t xml:space="preserve">Note: </w:t>
      </w:r>
      <w:r w:rsidRPr="00897681">
        <w:rPr>
          <w:rFonts w:eastAsia="Calibri"/>
        </w:rPr>
        <w:t xml:space="preserve">Lines represent </w:t>
      </w:r>
      <w:r>
        <w:rPr>
          <w:rFonts w:eastAsia="Calibri"/>
        </w:rPr>
        <w:t>Kaplan-Meier</w:t>
      </w:r>
      <w:r w:rsidRPr="00897681">
        <w:rPr>
          <w:rFonts w:eastAsia="Calibri"/>
        </w:rPr>
        <w:t xml:space="preserve"> estimate with 95% </w:t>
      </w:r>
      <w:r>
        <w:rPr>
          <w:rFonts w:eastAsia="Calibri"/>
        </w:rPr>
        <w:t>confidence interval.</w:t>
      </w:r>
    </w:p>
    <w:p w14:paraId="0994CB7D" w14:textId="7C843AD8" w:rsidR="0096245F" w:rsidRPr="009F6AFE" w:rsidRDefault="0070325E" w:rsidP="0096245F">
      <w:pPr>
        <w:pStyle w:val="3-BodyText"/>
        <w:rPr>
          <w:rFonts w:eastAsia="Calibri"/>
          <w:i/>
          <w:iCs/>
        </w:rPr>
      </w:pPr>
      <w:r w:rsidRPr="0070325E">
        <w:rPr>
          <w:rFonts w:eastAsia="Calibri"/>
        </w:rPr>
        <w:t xml:space="preserve">In the KN-189 and KN-407 trials, approximately 80% and 81% of patients treated with </w:t>
      </w:r>
      <w:proofErr w:type="spellStart"/>
      <w:r w:rsidRPr="0070325E">
        <w:rPr>
          <w:rFonts w:eastAsia="Calibri"/>
        </w:rPr>
        <w:t>pembrolizumab+PBC</w:t>
      </w:r>
      <w:proofErr w:type="spellEnd"/>
      <w:r w:rsidRPr="0070325E">
        <w:rPr>
          <w:rFonts w:eastAsia="Calibri"/>
        </w:rPr>
        <w:t xml:space="preserve"> had died at the five-year follow-up, respectively.</w:t>
      </w:r>
      <w:r>
        <w:rPr>
          <w:rFonts w:eastAsia="Calibri"/>
        </w:rPr>
        <w:t xml:space="preserve"> </w:t>
      </w:r>
      <w:r w:rsidR="0070636B">
        <w:rPr>
          <w:rFonts w:eastAsia="Calibri"/>
        </w:rPr>
        <w:t xml:space="preserve">The </w:t>
      </w:r>
      <w:r w:rsidRPr="0070325E">
        <w:rPr>
          <w:rFonts w:eastAsia="Calibri"/>
        </w:rPr>
        <w:t xml:space="preserve">median </w:t>
      </w:r>
      <w:r>
        <w:rPr>
          <w:rFonts w:eastAsia="Calibri"/>
        </w:rPr>
        <w:t xml:space="preserve">OS </w:t>
      </w:r>
      <w:r w:rsidR="0070636B">
        <w:rPr>
          <w:rFonts w:eastAsia="Calibri"/>
        </w:rPr>
        <w:lastRenderedPageBreak/>
        <w:t xml:space="preserve">for </w:t>
      </w:r>
      <w:proofErr w:type="spellStart"/>
      <w:r w:rsidR="0070636B">
        <w:rPr>
          <w:rFonts w:eastAsia="Calibri"/>
        </w:rPr>
        <w:t>pembrolizumab+PBC</w:t>
      </w:r>
      <w:proofErr w:type="spellEnd"/>
      <w:r w:rsidR="0070636B">
        <w:rPr>
          <w:rFonts w:eastAsia="Calibri"/>
        </w:rPr>
        <w:t xml:space="preserve"> </w:t>
      </w:r>
      <w:r w:rsidRPr="0070325E">
        <w:rPr>
          <w:rFonts w:eastAsia="Calibri"/>
        </w:rPr>
        <w:t>was 22.0 months (95% CI: 19.5</w:t>
      </w:r>
      <w:r>
        <w:rPr>
          <w:rFonts w:eastAsia="Calibri"/>
        </w:rPr>
        <w:t xml:space="preserve">, </w:t>
      </w:r>
      <w:r w:rsidRPr="0070325E">
        <w:rPr>
          <w:rFonts w:eastAsia="Calibri"/>
        </w:rPr>
        <w:t>24.5) in KN-189 and 17.2 months (95% CI: 14.4</w:t>
      </w:r>
      <w:r>
        <w:rPr>
          <w:rFonts w:eastAsia="Calibri"/>
        </w:rPr>
        <w:t xml:space="preserve">, </w:t>
      </w:r>
      <w:r w:rsidRPr="0070325E">
        <w:rPr>
          <w:rFonts w:eastAsia="Calibri"/>
        </w:rPr>
        <w:t>19.7) in KN-407.</w:t>
      </w:r>
    </w:p>
    <w:p w14:paraId="127111DD" w14:textId="55E99A48" w:rsidR="009F6AFE" w:rsidRPr="00506DC2" w:rsidRDefault="002166A8" w:rsidP="009F6AFE">
      <w:pPr>
        <w:pStyle w:val="3-BodyText"/>
        <w:rPr>
          <w:rFonts w:eastAsia="Calibri"/>
        </w:rPr>
      </w:pPr>
      <w:r>
        <w:rPr>
          <w:rFonts w:eastAsia="Calibri"/>
        </w:rPr>
        <w:fldChar w:fldCharType="begin"/>
      </w:r>
      <w:r>
        <w:rPr>
          <w:rFonts w:eastAsia="Calibri"/>
        </w:rPr>
        <w:instrText xml:space="preserve"> REF _Ref187610301 \h </w:instrText>
      </w:r>
      <w:r>
        <w:rPr>
          <w:rFonts w:eastAsia="Calibri"/>
        </w:rPr>
      </w:r>
      <w:r>
        <w:rPr>
          <w:rFonts w:eastAsia="Calibri"/>
        </w:rPr>
        <w:fldChar w:fldCharType="separate"/>
      </w:r>
      <w:r w:rsidR="00EF4998">
        <w:t xml:space="preserve">Figure </w:t>
      </w:r>
      <w:r w:rsidR="00EF4998">
        <w:rPr>
          <w:noProof/>
        </w:rPr>
        <w:t>7</w:t>
      </w:r>
      <w:r>
        <w:rPr>
          <w:rFonts w:eastAsia="Calibri"/>
        </w:rPr>
        <w:fldChar w:fldCharType="end"/>
      </w:r>
      <w:r w:rsidR="00287465">
        <w:rPr>
          <w:rFonts w:eastAsia="Calibri"/>
        </w:rPr>
        <w:t xml:space="preserve"> </w:t>
      </w:r>
      <w:r>
        <w:rPr>
          <w:rFonts w:eastAsia="Calibri"/>
        </w:rPr>
        <w:t xml:space="preserve">and </w:t>
      </w:r>
      <w:r>
        <w:rPr>
          <w:rFonts w:eastAsia="Calibri"/>
        </w:rPr>
        <w:fldChar w:fldCharType="begin"/>
      </w:r>
      <w:r>
        <w:rPr>
          <w:rFonts w:eastAsia="Calibri"/>
        </w:rPr>
        <w:instrText xml:space="preserve"> REF _Ref187610303 \h </w:instrText>
      </w:r>
      <w:r>
        <w:rPr>
          <w:rFonts w:eastAsia="Calibri"/>
        </w:rPr>
      </w:r>
      <w:r>
        <w:rPr>
          <w:rFonts w:eastAsia="Calibri"/>
        </w:rPr>
        <w:fldChar w:fldCharType="separate"/>
      </w:r>
      <w:r w:rsidR="00EF4998">
        <w:t xml:space="preserve">Figure </w:t>
      </w:r>
      <w:r w:rsidR="00EF4998">
        <w:rPr>
          <w:noProof/>
        </w:rPr>
        <w:t>8</w:t>
      </w:r>
      <w:r>
        <w:rPr>
          <w:rFonts w:eastAsia="Calibri"/>
        </w:rPr>
        <w:fldChar w:fldCharType="end"/>
      </w:r>
      <w:r w:rsidR="009F6AFE" w:rsidRPr="00506DC2">
        <w:rPr>
          <w:rFonts w:eastAsia="Calibri"/>
        </w:rPr>
        <w:t xml:space="preserve"> present the Kaplan-Meier plots for </w:t>
      </w:r>
      <w:r w:rsidR="00791A48">
        <w:rPr>
          <w:rFonts w:eastAsia="Calibri"/>
        </w:rPr>
        <w:t>OS</w:t>
      </w:r>
      <w:r w:rsidR="009F6AFE" w:rsidRPr="00506DC2">
        <w:rPr>
          <w:rFonts w:eastAsia="Calibri"/>
        </w:rPr>
        <w:t xml:space="preserve"> in the KN-189 and KN-407 trials. </w:t>
      </w:r>
      <w:r w:rsidR="009F6AFE" w:rsidRPr="009F6AFE">
        <w:rPr>
          <w:rFonts w:eastAsia="Calibri"/>
        </w:rPr>
        <w:t xml:space="preserve">In KN-189, the </w:t>
      </w:r>
      <w:r w:rsidR="00E87ACC">
        <w:rPr>
          <w:rFonts w:eastAsia="Calibri"/>
        </w:rPr>
        <w:t>OS</w:t>
      </w:r>
      <w:r w:rsidR="00E87ACC" w:rsidRPr="009F6AFE">
        <w:rPr>
          <w:rFonts w:eastAsia="Calibri"/>
        </w:rPr>
        <w:t xml:space="preserve"> </w:t>
      </w:r>
      <w:r w:rsidR="009F6AFE" w:rsidRPr="009F6AFE">
        <w:rPr>
          <w:rFonts w:eastAsia="Calibri"/>
        </w:rPr>
        <w:t xml:space="preserve">rates with </w:t>
      </w:r>
      <w:proofErr w:type="spellStart"/>
      <w:r w:rsidR="009F6AFE" w:rsidRPr="009F6AFE">
        <w:rPr>
          <w:rFonts w:eastAsia="Calibri"/>
        </w:rPr>
        <w:t>pembrolizumab+PBC</w:t>
      </w:r>
      <w:proofErr w:type="spellEnd"/>
      <w:r w:rsidR="009F6AFE" w:rsidRPr="009F6AFE">
        <w:rPr>
          <w:rFonts w:eastAsia="Calibri"/>
        </w:rPr>
        <w:t xml:space="preserve"> were </w:t>
      </w:r>
      <w:r w:rsidR="00E87ACC">
        <w:rPr>
          <w:rFonts w:eastAsia="Calibri"/>
        </w:rPr>
        <w:t>70</w:t>
      </w:r>
      <w:r w:rsidR="009F6AFE" w:rsidRPr="009F6AFE">
        <w:rPr>
          <w:rFonts w:eastAsia="Calibri"/>
        </w:rPr>
        <w:t xml:space="preserve">% at 12 months and </w:t>
      </w:r>
      <w:r w:rsidR="00E87ACC">
        <w:rPr>
          <w:rFonts w:eastAsia="Calibri"/>
        </w:rPr>
        <w:t>46</w:t>
      </w:r>
      <w:r w:rsidR="009F6AFE" w:rsidRPr="009F6AFE">
        <w:rPr>
          <w:rFonts w:eastAsia="Calibri"/>
        </w:rPr>
        <w:t xml:space="preserve">% at 24 months. In KN-407, the </w:t>
      </w:r>
      <w:r w:rsidR="00E87ACC">
        <w:rPr>
          <w:rFonts w:eastAsia="Calibri"/>
        </w:rPr>
        <w:t>OS</w:t>
      </w:r>
      <w:r w:rsidR="00E87ACC" w:rsidRPr="009F6AFE">
        <w:rPr>
          <w:rFonts w:eastAsia="Calibri"/>
        </w:rPr>
        <w:t xml:space="preserve"> </w:t>
      </w:r>
      <w:r w:rsidR="009F6AFE" w:rsidRPr="009F6AFE">
        <w:rPr>
          <w:rFonts w:eastAsia="Calibri"/>
        </w:rPr>
        <w:t xml:space="preserve">rates with </w:t>
      </w:r>
      <w:proofErr w:type="spellStart"/>
      <w:r w:rsidR="009F6AFE" w:rsidRPr="009F6AFE">
        <w:rPr>
          <w:rFonts w:eastAsia="Calibri"/>
        </w:rPr>
        <w:t>pembrolizumab+PBC</w:t>
      </w:r>
      <w:proofErr w:type="spellEnd"/>
      <w:r w:rsidR="009F6AFE" w:rsidRPr="009F6AFE">
        <w:rPr>
          <w:rFonts w:eastAsia="Calibri"/>
        </w:rPr>
        <w:t xml:space="preserve"> were </w:t>
      </w:r>
      <w:r w:rsidR="00E87ACC">
        <w:rPr>
          <w:rFonts w:eastAsia="Calibri"/>
        </w:rPr>
        <w:t>65</w:t>
      </w:r>
      <w:r w:rsidR="009F6AFE" w:rsidRPr="009F6AFE">
        <w:rPr>
          <w:rFonts w:eastAsia="Calibri"/>
        </w:rPr>
        <w:t xml:space="preserve">% at 12 months and </w:t>
      </w:r>
      <w:r w:rsidR="00E87ACC">
        <w:rPr>
          <w:rFonts w:eastAsia="Calibri"/>
        </w:rPr>
        <w:t>36</w:t>
      </w:r>
      <w:r w:rsidR="009F6AFE" w:rsidRPr="009F6AFE">
        <w:rPr>
          <w:rFonts w:eastAsia="Calibri"/>
        </w:rPr>
        <w:t xml:space="preserve">% at 24 months. At 60 months, the </w:t>
      </w:r>
      <w:r w:rsidR="00F334B1">
        <w:rPr>
          <w:rFonts w:eastAsia="Calibri"/>
        </w:rPr>
        <w:t>OS</w:t>
      </w:r>
      <w:r w:rsidR="009F6AFE" w:rsidRPr="009F6AFE">
        <w:rPr>
          <w:rFonts w:eastAsia="Calibri"/>
        </w:rPr>
        <w:t xml:space="preserve"> rates were </w:t>
      </w:r>
      <w:r w:rsidR="00F334B1">
        <w:rPr>
          <w:rFonts w:eastAsia="Calibri"/>
        </w:rPr>
        <w:t>19</w:t>
      </w:r>
      <w:r w:rsidR="009F6AFE" w:rsidRPr="009F6AFE">
        <w:rPr>
          <w:rFonts w:eastAsia="Calibri"/>
        </w:rPr>
        <w:t xml:space="preserve">% in KN-189 and </w:t>
      </w:r>
      <w:r w:rsidR="00F334B1">
        <w:rPr>
          <w:rFonts w:eastAsia="Calibri"/>
        </w:rPr>
        <w:t>18</w:t>
      </w:r>
      <w:r w:rsidR="009F6AFE" w:rsidRPr="009F6AFE">
        <w:rPr>
          <w:rFonts w:eastAsia="Calibri"/>
        </w:rPr>
        <w:t xml:space="preserve">% in KN-407 with </w:t>
      </w:r>
      <w:proofErr w:type="spellStart"/>
      <w:r w:rsidR="009F6AFE" w:rsidRPr="009F6AFE">
        <w:rPr>
          <w:rFonts w:eastAsia="Calibri"/>
        </w:rPr>
        <w:t>pembrolizumab+PBC</w:t>
      </w:r>
      <w:proofErr w:type="spellEnd"/>
      <w:r w:rsidR="009F6AFE" w:rsidRPr="009F6AFE">
        <w:rPr>
          <w:rFonts w:eastAsia="Calibri"/>
        </w:rPr>
        <w:t>.</w:t>
      </w:r>
    </w:p>
    <w:p w14:paraId="16C6FBD7" w14:textId="43DF55EE" w:rsidR="009F6AFE" w:rsidRDefault="009F6AFE" w:rsidP="009F6AFE">
      <w:pPr>
        <w:pStyle w:val="Caption"/>
      </w:pPr>
      <w:bookmarkStart w:id="56" w:name="_Ref187610301"/>
      <w:r>
        <w:t xml:space="preserve">Figure </w:t>
      </w:r>
      <w:r w:rsidR="00E77066">
        <w:fldChar w:fldCharType="begin"/>
      </w:r>
      <w:r w:rsidR="00E77066">
        <w:instrText xml:space="preserve"> SEQ Figure \* ARABIC </w:instrText>
      </w:r>
      <w:r w:rsidR="00E77066">
        <w:fldChar w:fldCharType="separate"/>
      </w:r>
      <w:r w:rsidR="00EF4998">
        <w:rPr>
          <w:noProof/>
        </w:rPr>
        <w:t>7</w:t>
      </w:r>
      <w:r w:rsidR="00E77066">
        <w:rPr>
          <w:noProof/>
        </w:rPr>
        <w:fldChar w:fldCharType="end"/>
      </w:r>
      <w:bookmarkEnd w:id="56"/>
      <w:r>
        <w:t xml:space="preserve">: Kaplan-Meier curves for </w:t>
      </w:r>
      <w:r w:rsidR="00AD43DE">
        <w:t>OS</w:t>
      </w:r>
      <w:r>
        <w:t xml:space="preserve"> in KN-189 trial</w:t>
      </w:r>
    </w:p>
    <w:p w14:paraId="6D7C2586" w14:textId="77777777" w:rsidR="00AD43DE" w:rsidRDefault="00AD43DE" w:rsidP="00AD43DE">
      <w:pPr>
        <w:pStyle w:val="FooterTableFigure"/>
        <w:rPr>
          <w:rFonts w:eastAsia="Calibri"/>
        </w:rPr>
      </w:pPr>
      <w:r>
        <w:rPr>
          <w:noProof/>
        </w:rPr>
        <w:drawing>
          <wp:inline distT="0" distB="0" distL="0" distR="0" wp14:anchorId="0DA53E57" wp14:editId="17553AD8">
            <wp:extent cx="4593142" cy="2987574"/>
            <wp:effectExtent l="0" t="0" r="0" b="3810"/>
            <wp:docPr id="1243642017" name="Picture 4" descr="A graph showing the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53871" name="Picture 4" descr="A graph showing the number of patients&#10;&#10;Description automatically generated"/>
                    <pic:cNvPicPr/>
                  </pic:nvPicPr>
                  <pic:blipFill>
                    <a:blip r:embed="rId14"/>
                    <a:stretch>
                      <a:fillRect/>
                    </a:stretch>
                  </pic:blipFill>
                  <pic:spPr>
                    <a:xfrm>
                      <a:off x="0" y="0"/>
                      <a:ext cx="4622183" cy="3006463"/>
                    </a:xfrm>
                    <a:prstGeom prst="rect">
                      <a:avLst/>
                    </a:prstGeom>
                  </pic:spPr>
                </pic:pic>
              </a:graphicData>
            </a:graphic>
          </wp:inline>
        </w:drawing>
      </w:r>
    </w:p>
    <w:p w14:paraId="4EB8868E" w14:textId="77777777" w:rsidR="00AD43DE" w:rsidRDefault="00AD43DE" w:rsidP="00AD43DE">
      <w:pPr>
        <w:pStyle w:val="FooterTableFigure"/>
        <w:rPr>
          <w:rFonts w:eastAsia="Calibri"/>
        </w:rPr>
      </w:pPr>
      <w:r>
        <w:rPr>
          <w:rFonts w:eastAsia="Calibri"/>
        </w:rPr>
        <w:t xml:space="preserve">Source: Figure 2.7, p79 of the submission. </w:t>
      </w:r>
    </w:p>
    <w:p w14:paraId="180EDF9D" w14:textId="77777777" w:rsidR="00AD43DE" w:rsidRDefault="00AD43DE" w:rsidP="00AD43DE">
      <w:pPr>
        <w:pStyle w:val="FooterTableFigure"/>
        <w:rPr>
          <w:rFonts w:eastAsia="Calibri"/>
        </w:rPr>
      </w:pPr>
      <w:r w:rsidRPr="005A0969">
        <w:rPr>
          <w:rFonts w:eastAsia="Calibri"/>
        </w:rPr>
        <w:t>CI</w:t>
      </w:r>
      <w:r>
        <w:rPr>
          <w:rFonts w:eastAsia="Calibri"/>
        </w:rPr>
        <w:t xml:space="preserve"> =</w:t>
      </w:r>
      <w:r w:rsidRPr="005A0969">
        <w:rPr>
          <w:rFonts w:eastAsia="Calibri"/>
        </w:rPr>
        <w:t xml:space="preserve"> Confidence interval;</w:t>
      </w:r>
      <w:r>
        <w:rPr>
          <w:rFonts w:eastAsia="Calibri"/>
        </w:rPr>
        <w:t xml:space="preserve"> chemo = chemotherapy; </w:t>
      </w:r>
      <w:r w:rsidRPr="005A0969">
        <w:rPr>
          <w:rFonts w:eastAsia="Calibri"/>
        </w:rPr>
        <w:t>HR</w:t>
      </w:r>
      <w:r>
        <w:rPr>
          <w:rFonts w:eastAsia="Calibri"/>
        </w:rPr>
        <w:t xml:space="preserve"> =</w:t>
      </w:r>
      <w:r w:rsidRPr="005A0969">
        <w:rPr>
          <w:rFonts w:eastAsia="Calibri"/>
        </w:rPr>
        <w:t xml:space="preserve"> Hazard ratio; </w:t>
      </w:r>
      <w:r>
        <w:rPr>
          <w:rFonts w:eastAsia="Calibri"/>
        </w:rPr>
        <w:t>OS = overall survival.</w:t>
      </w:r>
    </w:p>
    <w:p w14:paraId="6AB8358E" w14:textId="21F5D639" w:rsidR="009F6AFE" w:rsidRDefault="009F6AFE" w:rsidP="009F6AFE">
      <w:pPr>
        <w:pStyle w:val="FooterTableFigure"/>
        <w:rPr>
          <w:rFonts w:eastAsia="Calibri"/>
        </w:rPr>
      </w:pPr>
    </w:p>
    <w:p w14:paraId="48A9F182" w14:textId="50D22AFB" w:rsidR="009F6AFE" w:rsidRDefault="009F6AFE" w:rsidP="009F6AFE">
      <w:pPr>
        <w:pStyle w:val="Caption"/>
      </w:pPr>
      <w:bookmarkStart w:id="57" w:name="_Ref187610303"/>
      <w:r>
        <w:lastRenderedPageBreak/>
        <w:t xml:space="preserve">Figure </w:t>
      </w:r>
      <w:r w:rsidR="00E77066">
        <w:fldChar w:fldCharType="begin"/>
      </w:r>
      <w:r w:rsidR="00E77066">
        <w:instrText xml:space="preserve"> SEQ Figure \* ARABIC </w:instrText>
      </w:r>
      <w:r w:rsidR="00E77066">
        <w:fldChar w:fldCharType="separate"/>
      </w:r>
      <w:r w:rsidR="00EF4998">
        <w:rPr>
          <w:noProof/>
        </w:rPr>
        <w:t>8</w:t>
      </w:r>
      <w:r w:rsidR="00E77066">
        <w:rPr>
          <w:noProof/>
        </w:rPr>
        <w:fldChar w:fldCharType="end"/>
      </w:r>
      <w:bookmarkEnd w:id="57"/>
      <w:r>
        <w:t xml:space="preserve">: </w:t>
      </w:r>
      <w:r w:rsidRPr="00793B3B">
        <w:t xml:space="preserve">Kaplan-Meier curves for </w:t>
      </w:r>
      <w:r w:rsidR="00AD43DE">
        <w:t>OS</w:t>
      </w:r>
      <w:r w:rsidRPr="00793B3B">
        <w:t xml:space="preserve"> in KN-407 trial</w:t>
      </w:r>
    </w:p>
    <w:p w14:paraId="4612C600" w14:textId="77777777" w:rsidR="00D30DF6" w:rsidRDefault="00D30DF6" w:rsidP="00D30DF6">
      <w:pPr>
        <w:pStyle w:val="FooterTableFigure"/>
        <w:rPr>
          <w:rFonts w:eastAsia="Calibri"/>
        </w:rPr>
      </w:pPr>
      <w:r>
        <w:rPr>
          <w:noProof/>
        </w:rPr>
        <w:drawing>
          <wp:inline distT="0" distB="0" distL="0" distR="0" wp14:anchorId="2ACE7A2E" wp14:editId="4E320768">
            <wp:extent cx="4821655" cy="3049762"/>
            <wp:effectExtent l="0" t="0" r="0" b="0"/>
            <wp:docPr id="1317807364" name="Picture 4" descr="A graph showing the number of patients with can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33387" name="Picture 4" descr="A graph showing the number of patients with cancer&#10;&#10;Description automatically generated"/>
                    <pic:cNvPicPr/>
                  </pic:nvPicPr>
                  <pic:blipFill>
                    <a:blip r:embed="rId15"/>
                    <a:stretch>
                      <a:fillRect/>
                    </a:stretch>
                  </pic:blipFill>
                  <pic:spPr>
                    <a:xfrm>
                      <a:off x="0" y="0"/>
                      <a:ext cx="4824403" cy="3051500"/>
                    </a:xfrm>
                    <a:prstGeom prst="rect">
                      <a:avLst/>
                    </a:prstGeom>
                  </pic:spPr>
                </pic:pic>
              </a:graphicData>
            </a:graphic>
          </wp:inline>
        </w:drawing>
      </w:r>
    </w:p>
    <w:p w14:paraId="5942C0A5" w14:textId="77777777" w:rsidR="00D30DF6" w:rsidRDefault="00D30DF6" w:rsidP="00D30DF6">
      <w:pPr>
        <w:pStyle w:val="FooterTableFigure"/>
        <w:rPr>
          <w:rFonts w:eastAsia="Calibri"/>
        </w:rPr>
      </w:pPr>
      <w:r>
        <w:rPr>
          <w:rFonts w:eastAsia="Calibri"/>
        </w:rPr>
        <w:t xml:space="preserve">Source: Figure 2.10, p82 of the submission. </w:t>
      </w:r>
    </w:p>
    <w:p w14:paraId="3AA2D22E" w14:textId="6C9BDE03" w:rsidR="009F6AFE" w:rsidRDefault="00D30DF6" w:rsidP="009F6AFE">
      <w:pPr>
        <w:pStyle w:val="FooterTableFigure"/>
        <w:rPr>
          <w:rFonts w:eastAsia="Calibri"/>
        </w:rPr>
      </w:pPr>
      <w:r w:rsidRPr="005A0969">
        <w:rPr>
          <w:rFonts w:eastAsia="Calibri"/>
        </w:rPr>
        <w:t>CI</w:t>
      </w:r>
      <w:r>
        <w:rPr>
          <w:rFonts w:eastAsia="Calibri"/>
        </w:rPr>
        <w:t xml:space="preserve"> =</w:t>
      </w:r>
      <w:r w:rsidRPr="005A0969">
        <w:rPr>
          <w:rFonts w:eastAsia="Calibri"/>
        </w:rPr>
        <w:t xml:space="preserve"> Confidence interval;</w:t>
      </w:r>
      <w:r>
        <w:rPr>
          <w:rFonts w:eastAsia="Calibri"/>
        </w:rPr>
        <w:t xml:space="preserve"> chemo = chemotherapy; </w:t>
      </w:r>
      <w:r w:rsidRPr="005A0969">
        <w:rPr>
          <w:rFonts w:eastAsia="Calibri"/>
        </w:rPr>
        <w:t>HR</w:t>
      </w:r>
      <w:r>
        <w:rPr>
          <w:rFonts w:eastAsia="Calibri"/>
        </w:rPr>
        <w:t xml:space="preserve"> =</w:t>
      </w:r>
      <w:r w:rsidRPr="005A0969">
        <w:rPr>
          <w:rFonts w:eastAsia="Calibri"/>
        </w:rPr>
        <w:t xml:space="preserve"> Hazard ratio; </w:t>
      </w:r>
      <w:r>
        <w:rPr>
          <w:rFonts w:eastAsia="Calibri"/>
        </w:rPr>
        <w:t>OS = overall survival.</w:t>
      </w:r>
    </w:p>
    <w:p w14:paraId="24D29B3C" w14:textId="77777777" w:rsidR="00AD43DE" w:rsidRDefault="00AD43DE" w:rsidP="009F6AFE">
      <w:pPr>
        <w:pStyle w:val="FooterTableFigure"/>
        <w:rPr>
          <w:rFonts w:eastAsia="Calibri"/>
        </w:rPr>
      </w:pPr>
    </w:p>
    <w:p w14:paraId="384079CE" w14:textId="2F7EC8D2" w:rsidR="00642481" w:rsidRPr="005632EA" w:rsidRDefault="008B4A2C" w:rsidP="005632EA">
      <w:pPr>
        <w:pStyle w:val="5-SubsectionSubheading"/>
        <w:rPr>
          <w:snapToGrid w:val="0"/>
        </w:rPr>
      </w:pPr>
      <w:bookmarkStart w:id="58" w:name="_Toc188347776"/>
      <w:r w:rsidRPr="005632EA">
        <w:rPr>
          <w:snapToGrid w:val="0"/>
        </w:rPr>
        <w:t>Duration of response</w:t>
      </w:r>
      <w:bookmarkEnd w:id="58"/>
    </w:p>
    <w:p w14:paraId="78FB066B" w14:textId="6B432FE5" w:rsidR="0077043B" w:rsidRDefault="000A2069" w:rsidP="0077043B">
      <w:pPr>
        <w:pStyle w:val="3-BodyText"/>
        <w:rPr>
          <w:rFonts w:eastAsia="Calibri"/>
        </w:rPr>
      </w:pPr>
      <w:r>
        <w:rPr>
          <w:rFonts w:eastAsia="Calibri"/>
        </w:rPr>
        <w:t>In E2201 study, the median duration of response (</w:t>
      </w:r>
      <w:proofErr w:type="spellStart"/>
      <w:r>
        <w:rPr>
          <w:rFonts w:eastAsia="Calibri"/>
        </w:rPr>
        <w:t>D</w:t>
      </w:r>
      <w:r w:rsidR="007D2951">
        <w:rPr>
          <w:rFonts w:eastAsia="Calibri"/>
        </w:rPr>
        <w:t>o</w:t>
      </w:r>
      <w:r>
        <w:rPr>
          <w:rFonts w:eastAsia="Calibri"/>
        </w:rPr>
        <w:t>R</w:t>
      </w:r>
      <w:proofErr w:type="spellEnd"/>
      <w:r>
        <w:rPr>
          <w:rFonts w:eastAsia="Calibri"/>
        </w:rPr>
        <w:t>)</w:t>
      </w:r>
      <w:r w:rsidR="003846DC">
        <w:rPr>
          <w:rFonts w:eastAsia="Calibri"/>
        </w:rPr>
        <w:t xml:space="preserve">, assessed by </w:t>
      </w:r>
      <w:r w:rsidR="003846DC" w:rsidRPr="003846DC">
        <w:rPr>
          <w:rFonts w:eastAsia="Calibri"/>
        </w:rPr>
        <w:t>the investigator</w:t>
      </w:r>
      <w:r w:rsidR="003846DC">
        <w:rPr>
          <w:rFonts w:eastAsia="Calibri"/>
        </w:rPr>
        <w:t>,</w:t>
      </w:r>
      <w:r>
        <w:rPr>
          <w:rFonts w:eastAsia="Calibri"/>
        </w:rPr>
        <w:t xml:space="preserve"> was </w:t>
      </w:r>
      <w:r w:rsidR="00702A41">
        <w:rPr>
          <w:rFonts w:eastAsia="Calibri"/>
        </w:rPr>
        <w:t xml:space="preserve">10.2 months (95% CI: 8.3, 15.2) for </w:t>
      </w:r>
      <w:r w:rsidR="00E2506D">
        <w:rPr>
          <w:rFonts w:eastAsia="Calibri"/>
        </w:rPr>
        <w:t>first-line D+T</w:t>
      </w:r>
      <w:r w:rsidR="00702A41">
        <w:rPr>
          <w:rFonts w:eastAsia="Calibri"/>
        </w:rPr>
        <w:t xml:space="preserve"> </w:t>
      </w:r>
      <w:r w:rsidR="00E2506D">
        <w:rPr>
          <w:rFonts w:eastAsia="Calibri"/>
        </w:rPr>
        <w:t xml:space="preserve">arm </w:t>
      </w:r>
      <w:r w:rsidR="00702A41">
        <w:rPr>
          <w:rFonts w:eastAsia="Calibri"/>
        </w:rPr>
        <w:t xml:space="preserve">and </w:t>
      </w:r>
      <w:r w:rsidR="00E874C2">
        <w:rPr>
          <w:rFonts w:eastAsia="Calibri"/>
        </w:rPr>
        <w:t>9.8 months (95% CI: 5.4, 23.5)</w:t>
      </w:r>
      <w:r w:rsidR="00D71DDE">
        <w:rPr>
          <w:rFonts w:eastAsia="Calibri"/>
        </w:rPr>
        <w:t xml:space="preserve"> for </w:t>
      </w:r>
      <w:r w:rsidR="00F402CA">
        <w:rPr>
          <w:rFonts w:eastAsia="Calibri"/>
        </w:rPr>
        <w:t>second and subsequent line</w:t>
      </w:r>
      <w:r w:rsidR="00AE18DD">
        <w:rPr>
          <w:rFonts w:eastAsia="Calibri"/>
        </w:rPr>
        <w:t xml:space="preserve"> D+T</w:t>
      </w:r>
      <w:r w:rsidR="00E874C2">
        <w:rPr>
          <w:rFonts w:eastAsia="Calibri"/>
        </w:rPr>
        <w:t xml:space="preserve">. </w:t>
      </w:r>
      <w:r w:rsidR="007D2951">
        <w:rPr>
          <w:rFonts w:eastAsia="Calibri"/>
        </w:rPr>
        <w:t xml:space="preserve">The median </w:t>
      </w:r>
      <w:proofErr w:type="spellStart"/>
      <w:r w:rsidR="007D2951">
        <w:rPr>
          <w:rFonts w:eastAsia="Calibri"/>
        </w:rPr>
        <w:t>DoR</w:t>
      </w:r>
      <w:proofErr w:type="spellEnd"/>
      <w:r w:rsidR="00A01C12">
        <w:rPr>
          <w:rFonts w:eastAsia="Calibri"/>
        </w:rPr>
        <w:t xml:space="preserve"> </w:t>
      </w:r>
      <w:r w:rsidR="00AE045D">
        <w:rPr>
          <w:rFonts w:eastAsia="Calibri"/>
        </w:rPr>
        <w:t>evaluated by</w:t>
      </w:r>
      <w:r w:rsidR="007D2951">
        <w:rPr>
          <w:rFonts w:eastAsia="Calibri"/>
        </w:rPr>
        <w:t xml:space="preserve"> IRC assessments, was </w:t>
      </w:r>
      <w:r w:rsidR="00454FC9">
        <w:rPr>
          <w:rFonts w:eastAsia="Calibri"/>
        </w:rPr>
        <w:t xml:space="preserve">15.2 months for </w:t>
      </w:r>
      <w:r w:rsidR="00A01C12">
        <w:rPr>
          <w:rFonts w:eastAsia="Calibri"/>
        </w:rPr>
        <w:t>the</w:t>
      </w:r>
      <w:r w:rsidR="00454FC9">
        <w:rPr>
          <w:rFonts w:eastAsia="Calibri"/>
        </w:rPr>
        <w:t xml:space="preserve"> </w:t>
      </w:r>
      <w:r w:rsidR="00A61A90">
        <w:rPr>
          <w:rFonts w:eastAsia="Calibri"/>
        </w:rPr>
        <w:t>first-line D+T arm</w:t>
      </w:r>
      <w:r w:rsidR="0093275E">
        <w:rPr>
          <w:rFonts w:eastAsia="Calibri"/>
        </w:rPr>
        <w:t xml:space="preserve">) and </w:t>
      </w:r>
      <w:r w:rsidR="00454FC9">
        <w:rPr>
          <w:rFonts w:eastAsia="Calibri"/>
        </w:rPr>
        <w:t xml:space="preserve">12.6 months for </w:t>
      </w:r>
      <w:r w:rsidR="00F402CA">
        <w:rPr>
          <w:rFonts w:eastAsia="Calibri"/>
        </w:rPr>
        <w:t>second and subsequent line</w:t>
      </w:r>
      <w:r w:rsidR="00A61A90">
        <w:rPr>
          <w:rFonts w:eastAsia="Calibri"/>
        </w:rPr>
        <w:t xml:space="preserve"> D+T arm</w:t>
      </w:r>
      <w:r w:rsidR="00454FC9">
        <w:rPr>
          <w:rFonts w:eastAsia="Calibri"/>
        </w:rPr>
        <w:t>.</w:t>
      </w:r>
    </w:p>
    <w:p w14:paraId="43E39574" w14:textId="6BE47B50" w:rsidR="0095013F" w:rsidRDefault="0095013F" w:rsidP="0077043B">
      <w:pPr>
        <w:pStyle w:val="3-BodyText"/>
        <w:rPr>
          <w:rFonts w:eastAsia="Calibri"/>
        </w:rPr>
      </w:pPr>
      <w:r>
        <w:rPr>
          <w:rFonts w:eastAsia="Calibri"/>
        </w:rPr>
        <w:t xml:space="preserve">The </w:t>
      </w:r>
      <w:proofErr w:type="spellStart"/>
      <w:r>
        <w:rPr>
          <w:rFonts w:eastAsia="Calibri"/>
        </w:rPr>
        <w:t>DoR</w:t>
      </w:r>
      <w:proofErr w:type="spellEnd"/>
      <w:r>
        <w:rPr>
          <w:rFonts w:eastAsia="Calibri"/>
        </w:rPr>
        <w:t>, assessed by blinded IR</w:t>
      </w:r>
      <w:r w:rsidR="009A05E4">
        <w:rPr>
          <w:rFonts w:eastAsia="Calibri"/>
        </w:rPr>
        <w:t>C</w:t>
      </w:r>
      <w:r>
        <w:rPr>
          <w:rFonts w:eastAsia="Calibri"/>
        </w:rPr>
        <w:t xml:space="preserve">, </w:t>
      </w:r>
      <w:r w:rsidR="00667CB4">
        <w:rPr>
          <w:rFonts w:eastAsia="Calibri"/>
        </w:rPr>
        <w:t xml:space="preserve">was longer for patients treated with </w:t>
      </w:r>
      <w:proofErr w:type="spellStart"/>
      <w:r w:rsidR="00667CB4">
        <w:rPr>
          <w:rFonts w:eastAsia="Calibri"/>
        </w:rPr>
        <w:t>pembrolizumab+PBC</w:t>
      </w:r>
      <w:proofErr w:type="spellEnd"/>
      <w:r w:rsidR="00667CB4">
        <w:rPr>
          <w:rFonts w:eastAsia="Calibri"/>
        </w:rPr>
        <w:t xml:space="preserve"> </w:t>
      </w:r>
      <w:r w:rsidR="00EC0C40">
        <w:rPr>
          <w:rFonts w:eastAsia="Calibri"/>
        </w:rPr>
        <w:t xml:space="preserve">arm </w:t>
      </w:r>
      <w:r w:rsidR="00667CB4">
        <w:rPr>
          <w:rFonts w:eastAsia="Calibri"/>
        </w:rPr>
        <w:t xml:space="preserve">compared to </w:t>
      </w:r>
      <w:proofErr w:type="spellStart"/>
      <w:r w:rsidR="00667CB4">
        <w:rPr>
          <w:rFonts w:eastAsia="Calibri"/>
        </w:rPr>
        <w:t>placebo+PBC</w:t>
      </w:r>
      <w:proofErr w:type="spellEnd"/>
      <w:r w:rsidR="00667CB4">
        <w:rPr>
          <w:rFonts w:eastAsia="Calibri"/>
        </w:rPr>
        <w:t xml:space="preserve"> </w:t>
      </w:r>
      <w:r w:rsidR="00EC0C40">
        <w:rPr>
          <w:rFonts w:eastAsia="Calibri"/>
        </w:rPr>
        <w:t xml:space="preserve">arm </w:t>
      </w:r>
      <w:r w:rsidR="00667CB4">
        <w:rPr>
          <w:rFonts w:eastAsia="Calibri"/>
        </w:rPr>
        <w:t>in both KN-189</w:t>
      </w:r>
      <w:r w:rsidR="00E34123">
        <w:rPr>
          <w:rFonts w:eastAsia="Calibri"/>
        </w:rPr>
        <w:t xml:space="preserve"> </w:t>
      </w:r>
      <w:r w:rsidR="00E34123" w:rsidRPr="00E34123">
        <w:rPr>
          <w:rFonts w:eastAsia="Calibri"/>
        </w:rPr>
        <w:t>(12.7 months vs</w:t>
      </w:r>
      <w:r w:rsidR="00E239AF">
        <w:rPr>
          <w:rFonts w:eastAsia="Calibri"/>
        </w:rPr>
        <w:t>.</w:t>
      </w:r>
      <w:r w:rsidR="00E34123" w:rsidRPr="00E34123">
        <w:rPr>
          <w:rFonts w:eastAsia="Calibri"/>
        </w:rPr>
        <w:t xml:space="preserve"> 7.1 months)</w:t>
      </w:r>
      <w:r w:rsidR="00667CB4">
        <w:rPr>
          <w:rFonts w:eastAsia="Calibri"/>
        </w:rPr>
        <w:t xml:space="preserve"> and KN-407</w:t>
      </w:r>
      <w:r w:rsidR="00603101">
        <w:rPr>
          <w:rFonts w:eastAsia="Calibri"/>
        </w:rPr>
        <w:t xml:space="preserve"> </w:t>
      </w:r>
      <w:r w:rsidR="00603101" w:rsidRPr="00603101">
        <w:rPr>
          <w:rFonts w:eastAsia="Calibri"/>
        </w:rPr>
        <w:t>(9.0 months vs</w:t>
      </w:r>
      <w:r w:rsidR="00E239AF">
        <w:rPr>
          <w:rFonts w:eastAsia="Calibri"/>
        </w:rPr>
        <w:t>.</w:t>
      </w:r>
      <w:r w:rsidR="00603101" w:rsidRPr="00603101">
        <w:rPr>
          <w:rFonts w:eastAsia="Calibri"/>
        </w:rPr>
        <w:t xml:space="preserve"> 4.9 months)</w:t>
      </w:r>
      <w:r w:rsidR="00667CB4">
        <w:rPr>
          <w:rFonts w:eastAsia="Calibri"/>
        </w:rPr>
        <w:t xml:space="preserve"> trials.</w:t>
      </w:r>
    </w:p>
    <w:p w14:paraId="5B73D303" w14:textId="69BB8867" w:rsidR="002E1014" w:rsidRDefault="00A6244F" w:rsidP="00D564F7">
      <w:pPr>
        <w:pStyle w:val="5-SubsectionSubheading"/>
        <w:rPr>
          <w:snapToGrid w:val="0"/>
        </w:rPr>
      </w:pPr>
      <w:bookmarkStart w:id="59" w:name="_Toc186369239"/>
      <w:bookmarkStart w:id="60" w:name="_Toc188347777"/>
      <w:r>
        <w:rPr>
          <w:snapToGrid w:val="0"/>
        </w:rPr>
        <w:t>Indirect Comparison</w:t>
      </w:r>
      <w:r w:rsidR="004E469F">
        <w:rPr>
          <w:snapToGrid w:val="0"/>
        </w:rPr>
        <w:t>s</w:t>
      </w:r>
      <w:bookmarkEnd w:id="59"/>
      <w:bookmarkEnd w:id="60"/>
    </w:p>
    <w:p w14:paraId="53FC21DE" w14:textId="1F7D170B" w:rsidR="001B1E1D" w:rsidRPr="008B0206" w:rsidRDefault="001F3068" w:rsidP="000B6113">
      <w:pPr>
        <w:pStyle w:val="3-BodyText"/>
        <w:rPr>
          <w:rFonts w:eastAsia="Calibri"/>
        </w:rPr>
      </w:pPr>
      <w:r w:rsidRPr="002F60A5">
        <w:rPr>
          <w:rFonts w:eastAsia="Calibri"/>
        </w:rPr>
        <w:t xml:space="preserve">The submission presented an unadjusted and unanchored ITC of first-line D+T </w:t>
      </w:r>
      <w:r w:rsidR="002F60A5" w:rsidRPr="002F60A5">
        <w:rPr>
          <w:rFonts w:eastAsia="Calibri"/>
        </w:rPr>
        <w:t xml:space="preserve">arm </w:t>
      </w:r>
      <w:r w:rsidRPr="002F60A5">
        <w:rPr>
          <w:rFonts w:eastAsia="Calibri"/>
        </w:rPr>
        <w:t xml:space="preserve">from the E2201 study and pooled </w:t>
      </w:r>
      <w:proofErr w:type="spellStart"/>
      <w:r w:rsidRPr="002F60A5">
        <w:rPr>
          <w:rFonts w:eastAsia="Calibri"/>
        </w:rPr>
        <w:t>pembrolizumab+PBC</w:t>
      </w:r>
      <w:proofErr w:type="spellEnd"/>
      <w:r w:rsidRPr="002F60A5">
        <w:rPr>
          <w:rFonts w:eastAsia="Calibri"/>
        </w:rPr>
        <w:t xml:space="preserve"> arm</w:t>
      </w:r>
      <w:r w:rsidR="009E1E80" w:rsidRPr="002F60A5">
        <w:rPr>
          <w:rFonts w:eastAsia="Calibri"/>
        </w:rPr>
        <w:t xml:space="preserve">s from the KN-189 and KN-407 trials. </w:t>
      </w:r>
      <w:r w:rsidR="00AB5317" w:rsidRPr="008B0206">
        <w:rPr>
          <w:rFonts w:eastAsia="Calibri"/>
        </w:rPr>
        <w:t xml:space="preserve">The ESC noted </w:t>
      </w:r>
      <w:r w:rsidR="00E462C6" w:rsidRPr="008B0206">
        <w:rPr>
          <w:rFonts w:eastAsia="Calibri"/>
        </w:rPr>
        <w:t>the median OS for patients with</w:t>
      </w:r>
      <w:r w:rsidR="002B5B98" w:rsidRPr="008B0206">
        <w:rPr>
          <w:rFonts w:eastAsia="Calibri"/>
        </w:rPr>
        <w:t xml:space="preserve"> SQ</w:t>
      </w:r>
      <w:r w:rsidR="00E462C6" w:rsidRPr="008B0206">
        <w:rPr>
          <w:rFonts w:eastAsia="Calibri"/>
        </w:rPr>
        <w:t xml:space="preserve"> NSCLC</w:t>
      </w:r>
      <w:r w:rsidR="00452463" w:rsidRPr="008B0206">
        <w:rPr>
          <w:rFonts w:eastAsia="Calibri"/>
        </w:rPr>
        <w:t xml:space="preserve"> in KN-407 </w:t>
      </w:r>
      <w:r w:rsidR="00E462C6" w:rsidRPr="008B0206">
        <w:rPr>
          <w:rFonts w:eastAsia="Calibri"/>
        </w:rPr>
        <w:t xml:space="preserve"> (17.2 months) was less than </w:t>
      </w:r>
      <w:r w:rsidR="002B5B98" w:rsidRPr="008B0206">
        <w:rPr>
          <w:rFonts w:eastAsia="Calibri"/>
        </w:rPr>
        <w:t xml:space="preserve">for </w:t>
      </w:r>
      <w:r w:rsidR="00E462C6" w:rsidRPr="008B0206">
        <w:rPr>
          <w:rFonts w:eastAsia="Calibri"/>
        </w:rPr>
        <w:t xml:space="preserve">patients with </w:t>
      </w:r>
      <w:r w:rsidR="002B5B98" w:rsidRPr="008B0206">
        <w:rPr>
          <w:rFonts w:eastAsia="Calibri"/>
        </w:rPr>
        <w:t xml:space="preserve">NSQ </w:t>
      </w:r>
      <w:r w:rsidR="00E462C6" w:rsidRPr="008B0206">
        <w:rPr>
          <w:rFonts w:eastAsia="Calibri"/>
        </w:rPr>
        <w:t xml:space="preserve">NSCLC </w:t>
      </w:r>
      <w:r w:rsidR="00452463" w:rsidRPr="008B0206">
        <w:rPr>
          <w:rFonts w:eastAsia="Calibri"/>
        </w:rPr>
        <w:t xml:space="preserve">in KN-189 </w:t>
      </w:r>
      <w:r w:rsidR="00E462C6" w:rsidRPr="008B0206">
        <w:rPr>
          <w:rFonts w:eastAsia="Calibri"/>
        </w:rPr>
        <w:t xml:space="preserve">(22 months) and considered this may favour D+T. </w:t>
      </w:r>
      <w:r w:rsidR="005B23CA" w:rsidRPr="005B23CA">
        <w:rPr>
          <w:rFonts w:eastAsia="Calibri"/>
        </w:rPr>
        <w:t xml:space="preserve">The </w:t>
      </w:r>
      <w:r w:rsidR="005B23CA">
        <w:rPr>
          <w:rFonts w:eastAsia="Calibri"/>
        </w:rPr>
        <w:t xml:space="preserve">pre-PBAC response presented </w:t>
      </w:r>
      <w:r w:rsidR="005B23CA" w:rsidRPr="005B23CA">
        <w:rPr>
          <w:rFonts w:eastAsia="Calibri"/>
        </w:rPr>
        <w:t xml:space="preserve">results of the comparison between D+T and the individual pembrolizumab studies for the outcomes of PFS and OS. </w:t>
      </w:r>
      <w:r w:rsidR="005B23CA">
        <w:rPr>
          <w:rFonts w:eastAsia="Calibri"/>
        </w:rPr>
        <w:t>The pre-PBAC response noted that, c</w:t>
      </w:r>
      <w:r w:rsidR="005B23CA" w:rsidRPr="005B23CA">
        <w:rPr>
          <w:rFonts w:eastAsia="Calibri"/>
        </w:rPr>
        <w:t xml:space="preserve">onsistent with the results based on the pooled data for pembrolizumab, there </w:t>
      </w:r>
      <w:r w:rsidR="005B23CA">
        <w:rPr>
          <w:rFonts w:eastAsia="Calibri"/>
        </w:rPr>
        <w:t>was</w:t>
      </w:r>
      <w:r w:rsidR="005B23CA" w:rsidRPr="005B23CA">
        <w:rPr>
          <w:rFonts w:eastAsia="Calibri"/>
        </w:rPr>
        <w:t xml:space="preserve"> no statistically significant difference in the risk of disease progression or death between D+T and pembrolizumab using the individual studies.</w:t>
      </w:r>
    </w:p>
    <w:p w14:paraId="4DA9C7D4" w14:textId="77777777" w:rsidR="0043782E" w:rsidRDefault="0043782E" w:rsidP="0043782E">
      <w:pPr>
        <w:pStyle w:val="3-BodyText"/>
        <w:numPr>
          <w:ilvl w:val="0"/>
          <w:numId w:val="0"/>
        </w:numPr>
        <w:ind w:left="720" w:hanging="720"/>
        <w:rPr>
          <w:b/>
          <w:bCs/>
        </w:rPr>
      </w:pPr>
      <w:r w:rsidRPr="00812AC5">
        <w:rPr>
          <w:b/>
          <w:bCs/>
        </w:rPr>
        <w:t>Objective response rate</w:t>
      </w:r>
    </w:p>
    <w:p w14:paraId="49A97E0D" w14:textId="5462D4B4" w:rsidR="005063E1" w:rsidRPr="00812AC5" w:rsidRDefault="003A10A9" w:rsidP="005063E1">
      <w:pPr>
        <w:pStyle w:val="3-BodyText"/>
      </w:pPr>
      <w:r>
        <w:lastRenderedPageBreak/>
        <w:fldChar w:fldCharType="begin"/>
      </w:r>
      <w:r>
        <w:instrText xml:space="preserve"> REF _Ref186809194 \h </w:instrText>
      </w:r>
      <w:r>
        <w:fldChar w:fldCharType="separate"/>
      </w:r>
      <w:r w:rsidR="00EF4998">
        <w:t xml:space="preserve">Table </w:t>
      </w:r>
      <w:r w:rsidR="00EF4998">
        <w:rPr>
          <w:noProof/>
        </w:rPr>
        <w:t>7</w:t>
      </w:r>
      <w:r>
        <w:fldChar w:fldCharType="end"/>
      </w:r>
      <w:r w:rsidR="009907FA">
        <w:t xml:space="preserve"> summarises the </w:t>
      </w:r>
      <w:r w:rsidR="009907FA" w:rsidRPr="009907FA">
        <w:t>ITC results of O</w:t>
      </w:r>
      <w:r w:rsidR="009907FA">
        <w:t>RR</w:t>
      </w:r>
      <w:r w:rsidR="006A328F">
        <w:t xml:space="preserve"> </w:t>
      </w:r>
      <w:r w:rsidR="006A328F" w:rsidRPr="0052689A">
        <w:t xml:space="preserve">between first-line D+T and pooled </w:t>
      </w:r>
      <w:proofErr w:type="spellStart"/>
      <w:r w:rsidR="006A328F" w:rsidRPr="0052689A">
        <w:t>pembrolizumab+PBC</w:t>
      </w:r>
      <w:proofErr w:type="spellEnd"/>
      <w:r w:rsidR="006A328F" w:rsidRPr="0052689A">
        <w:t xml:space="preserve"> arms</w:t>
      </w:r>
      <w:r w:rsidR="006A328F">
        <w:t>.</w:t>
      </w:r>
    </w:p>
    <w:p w14:paraId="00DC10F6" w14:textId="0BDB25E8" w:rsidR="00067CB1" w:rsidRDefault="00067CB1" w:rsidP="00067CB1">
      <w:pPr>
        <w:pStyle w:val="Caption"/>
      </w:pPr>
      <w:bookmarkStart w:id="61" w:name="_Ref186809194"/>
      <w:r>
        <w:t xml:space="preserve">Table </w:t>
      </w:r>
      <w:r w:rsidR="00E77066">
        <w:fldChar w:fldCharType="begin"/>
      </w:r>
      <w:r w:rsidR="00E77066">
        <w:instrText xml:space="preserve"> SEQ Table \* ARABIC </w:instrText>
      </w:r>
      <w:r w:rsidR="00E77066">
        <w:fldChar w:fldCharType="separate"/>
      </w:r>
      <w:r w:rsidR="00EF4998">
        <w:rPr>
          <w:noProof/>
        </w:rPr>
        <w:t>7</w:t>
      </w:r>
      <w:r w:rsidR="00E77066">
        <w:rPr>
          <w:noProof/>
        </w:rPr>
        <w:fldChar w:fldCharType="end"/>
      </w:r>
      <w:bookmarkEnd w:id="61"/>
      <w:r w:rsidR="00E163E6">
        <w:t xml:space="preserve">: </w:t>
      </w:r>
      <w:r w:rsidR="00A615F9">
        <w:t>Unanchored and unadjusted indirect comparison of ORR between D+T and PEMBRO+PBC</w:t>
      </w:r>
    </w:p>
    <w:tbl>
      <w:tblPr>
        <w:tblStyle w:val="TableGrid"/>
        <w:tblW w:w="0" w:type="auto"/>
        <w:tblLook w:val="04A0" w:firstRow="1" w:lastRow="0" w:firstColumn="1" w:lastColumn="0" w:noHBand="0" w:noVBand="1"/>
      </w:tblPr>
      <w:tblGrid>
        <w:gridCol w:w="2122"/>
        <w:gridCol w:w="1379"/>
        <w:gridCol w:w="1379"/>
        <w:gridCol w:w="1379"/>
        <w:gridCol w:w="1379"/>
        <w:gridCol w:w="1379"/>
      </w:tblGrid>
      <w:tr w:rsidR="00FB4CEC" w14:paraId="45F6A380" w14:textId="77777777" w:rsidTr="009960FD">
        <w:tc>
          <w:tcPr>
            <w:tcW w:w="2122" w:type="dxa"/>
          </w:tcPr>
          <w:p w14:paraId="4FA5E867" w14:textId="26F82683" w:rsidR="00FB4CEC" w:rsidRDefault="00FB4CEC" w:rsidP="00FB4CEC">
            <w:pPr>
              <w:pStyle w:val="In-tableHeading"/>
            </w:pPr>
            <w:r w:rsidRPr="00F87376">
              <w:t>Comparison</w:t>
            </w:r>
          </w:p>
        </w:tc>
        <w:tc>
          <w:tcPr>
            <w:tcW w:w="1379" w:type="dxa"/>
          </w:tcPr>
          <w:p w14:paraId="2AD1A4F7" w14:textId="3D5BCDEF" w:rsidR="005A6563" w:rsidRDefault="000940C3" w:rsidP="000940C3">
            <w:pPr>
              <w:pStyle w:val="In-tableHeading"/>
              <w:jc w:val="center"/>
            </w:pPr>
            <w:r>
              <w:t>1</w:t>
            </w:r>
            <w:r w:rsidRPr="002D5566">
              <w:rPr>
                <w:vertAlign w:val="superscript"/>
              </w:rPr>
              <w:t>st</w:t>
            </w:r>
            <w:r>
              <w:t xml:space="preserve"> Line </w:t>
            </w:r>
            <w:r w:rsidR="00FB4CEC" w:rsidRPr="00F87376">
              <w:t>D+T</w:t>
            </w:r>
            <w:r w:rsidR="002D5566">
              <w:t xml:space="preserve"> </w:t>
            </w:r>
            <w:r w:rsidR="005A6563">
              <w:t>(</w:t>
            </w:r>
            <w:r w:rsidR="002D5566">
              <w:t>u</w:t>
            </w:r>
            <w:r w:rsidR="005A6563">
              <w:t>ntreated)</w:t>
            </w:r>
          </w:p>
        </w:tc>
        <w:tc>
          <w:tcPr>
            <w:tcW w:w="1379" w:type="dxa"/>
          </w:tcPr>
          <w:p w14:paraId="47B260A3" w14:textId="6D4F66CE" w:rsidR="00FB4CEC" w:rsidRDefault="00FB4CEC" w:rsidP="007A2C0A">
            <w:pPr>
              <w:pStyle w:val="In-tableHeading"/>
              <w:jc w:val="center"/>
            </w:pPr>
            <w:r w:rsidRPr="00F87376">
              <w:t>Pooled PEMB + PBC</w:t>
            </w:r>
          </w:p>
        </w:tc>
        <w:tc>
          <w:tcPr>
            <w:tcW w:w="1379" w:type="dxa"/>
          </w:tcPr>
          <w:p w14:paraId="21321CF1" w14:textId="18F019FE" w:rsidR="00FB4CEC" w:rsidRDefault="00FB4CEC" w:rsidP="007A2C0A">
            <w:pPr>
              <w:pStyle w:val="In-tableHeading"/>
              <w:jc w:val="center"/>
            </w:pPr>
            <w:r w:rsidRPr="00F87376">
              <w:t xml:space="preserve">RD </w:t>
            </w:r>
            <w:r w:rsidR="007A2C0A">
              <w:t>(</w:t>
            </w:r>
            <w:r w:rsidRPr="00F87376">
              <w:t>95% CI</w:t>
            </w:r>
            <w:r w:rsidR="007A2C0A">
              <w:t>)</w:t>
            </w:r>
          </w:p>
        </w:tc>
        <w:tc>
          <w:tcPr>
            <w:tcW w:w="1379" w:type="dxa"/>
          </w:tcPr>
          <w:p w14:paraId="1A8D0738" w14:textId="1F139292" w:rsidR="00FB4CEC" w:rsidRDefault="00726634" w:rsidP="007A2C0A">
            <w:pPr>
              <w:pStyle w:val="In-tableHeading"/>
              <w:jc w:val="center"/>
            </w:pPr>
            <w:r w:rsidRPr="00726634">
              <w:t xml:space="preserve">RR </w:t>
            </w:r>
            <w:r w:rsidR="007A2C0A">
              <w:t>(</w:t>
            </w:r>
            <w:r w:rsidRPr="00726634">
              <w:t>95% CI</w:t>
            </w:r>
            <w:r w:rsidR="007A2C0A">
              <w:t>)</w:t>
            </w:r>
          </w:p>
        </w:tc>
        <w:tc>
          <w:tcPr>
            <w:tcW w:w="1379" w:type="dxa"/>
          </w:tcPr>
          <w:p w14:paraId="2F5AB5A1" w14:textId="2C1E9709" w:rsidR="00FB4CEC" w:rsidRDefault="007A2C0A" w:rsidP="007A2C0A">
            <w:pPr>
              <w:pStyle w:val="In-tableHeading"/>
              <w:jc w:val="center"/>
            </w:pPr>
            <w:r w:rsidRPr="007A2C0A">
              <w:t xml:space="preserve">OR </w:t>
            </w:r>
            <w:r>
              <w:t>(</w:t>
            </w:r>
            <w:r w:rsidRPr="007A2C0A">
              <w:t>95% CI</w:t>
            </w:r>
            <w:r>
              <w:t>)</w:t>
            </w:r>
          </w:p>
        </w:tc>
      </w:tr>
      <w:tr w:rsidR="00D80DE6" w14:paraId="1B83A9C1" w14:textId="77777777" w:rsidTr="009960FD">
        <w:tc>
          <w:tcPr>
            <w:tcW w:w="2122" w:type="dxa"/>
          </w:tcPr>
          <w:p w14:paraId="39B001D7" w14:textId="77777777" w:rsidR="00D80DE6" w:rsidRDefault="00D80DE6" w:rsidP="00D80DE6">
            <w:pPr>
              <w:pStyle w:val="TableText0"/>
            </w:pPr>
            <w:r w:rsidRPr="00887A37">
              <w:t xml:space="preserve">1st line D+T </w:t>
            </w:r>
          </w:p>
          <w:p w14:paraId="21EB4051" w14:textId="1A549613" w:rsidR="00D80DE6" w:rsidRDefault="00D80DE6" w:rsidP="00D80DE6">
            <w:pPr>
              <w:pStyle w:val="TableText0"/>
            </w:pPr>
            <w:r w:rsidRPr="00887A37">
              <w:t xml:space="preserve">vs pooled </w:t>
            </w:r>
            <w:r w:rsidR="009960FD">
              <w:t>P</w:t>
            </w:r>
            <w:r w:rsidRPr="00887A37">
              <w:t>EMB</w:t>
            </w:r>
            <w:r w:rsidR="00D34E75">
              <w:t>RO</w:t>
            </w:r>
            <w:r w:rsidRPr="00887A37">
              <w:t>+PBC</w:t>
            </w:r>
          </w:p>
        </w:tc>
        <w:tc>
          <w:tcPr>
            <w:tcW w:w="1379" w:type="dxa"/>
          </w:tcPr>
          <w:p w14:paraId="3FB0DF8A" w14:textId="77777777" w:rsidR="006473CF" w:rsidRDefault="006473CF" w:rsidP="00A6664B">
            <w:pPr>
              <w:pStyle w:val="TableText0"/>
              <w:jc w:val="center"/>
            </w:pPr>
            <w:r>
              <w:t>23/36</w:t>
            </w:r>
          </w:p>
          <w:p w14:paraId="590F1C98" w14:textId="7F7C892C" w:rsidR="00D80DE6" w:rsidRDefault="006473CF" w:rsidP="00A6664B">
            <w:pPr>
              <w:pStyle w:val="TableText0"/>
              <w:jc w:val="center"/>
            </w:pPr>
            <w:r>
              <w:t>(63.9%)</w:t>
            </w:r>
          </w:p>
        </w:tc>
        <w:tc>
          <w:tcPr>
            <w:tcW w:w="1379" w:type="dxa"/>
          </w:tcPr>
          <w:p w14:paraId="0D5A9285" w14:textId="66B3A44C" w:rsidR="00A6664B" w:rsidRDefault="0057563D" w:rsidP="00A6664B">
            <w:pPr>
              <w:pStyle w:val="TableText0"/>
              <w:jc w:val="center"/>
            </w:pPr>
            <w:r w:rsidRPr="0057563D">
              <w:t>371/688</w:t>
            </w:r>
          </w:p>
          <w:p w14:paraId="33C8E3C3" w14:textId="7D2B9E08" w:rsidR="00D80DE6" w:rsidRDefault="0057563D" w:rsidP="00A6664B">
            <w:pPr>
              <w:pStyle w:val="TableText0"/>
              <w:jc w:val="center"/>
            </w:pPr>
            <w:r w:rsidRPr="0057563D">
              <w:t>(53.9%)</w:t>
            </w:r>
          </w:p>
        </w:tc>
        <w:tc>
          <w:tcPr>
            <w:tcW w:w="1379" w:type="dxa"/>
          </w:tcPr>
          <w:p w14:paraId="5B30EE52" w14:textId="77777777" w:rsidR="00A6664B" w:rsidRDefault="00A6664B" w:rsidP="00A6664B">
            <w:pPr>
              <w:pStyle w:val="TableText0"/>
              <w:jc w:val="center"/>
            </w:pPr>
            <w:r w:rsidRPr="00A6664B">
              <w:t>0.10</w:t>
            </w:r>
          </w:p>
          <w:p w14:paraId="3CD682F0" w14:textId="7F33B174" w:rsidR="00D80DE6" w:rsidRDefault="00A6664B" w:rsidP="00A6664B">
            <w:pPr>
              <w:pStyle w:val="TableText0"/>
              <w:jc w:val="center"/>
            </w:pPr>
            <w:r>
              <w:t>(</w:t>
            </w:r>
            <w:r w:rsidRPr="00A6664B">
              <w:t>-0.06</w:t>
            </w:r>
            <w:r>
              <w:t>,</w:t>
            </w:r>
            <w:r w:rsidRPr="00A6664B">
              <w:t xml:space="preserve"> 0.26</w:t>
            </w:r>
            <w:r>
              <w:t>)</w:t>
            </w:r>
          </w:p>
        </w:tc>
        <w:tc>
          <w:tcPr>
            <w:tcW w:w="1379" w:type="dxa"/>
          </w:tcPr>
          <w:p w14:paraId="1BE841B7" w14:textId="77777777" w:rsidR="005A7CCC" w:rsidRDefault="005A7CCC" w:rsidP="005A7CCC">
            <w:pPr>
              <w:pStyle w:val="TableText0"/>
              <w:jc w:val="center"/>
            </w:pPr>
            <w:r w:rsidRPr="005A7CCC">
              <w:t xml:space="preserve">1.18 </w:t>
            </w:r>
          </w:p>
          <w:p w14:paraId="0C69F587" w14:textId="52763551" w:rsidR="00D80DE6" w:rsidRDefault="005A7CCC" w:rsidP="005A7CCC">
            <w:pPr>
              <w:pStyle w:val="TableText0"/>
              <w:jc w:val="center"/>
            </w:pPr>
            <w:r>
              <w:t>(</w:t>
            </w:r>
            <w:r w:rsidRPr="005A7CCC">
              <w:t>0.92</w:t>
            </w:r>
            <w:r>
              <w:t>,</w:t>
            </w:r>
            <w:r w:rsidRPr="005A7CCC">
              <w:t xml:space="preserve"> 1.53</w:t>
            </w:r>
            <w:r>
              <w:t>)</w:t>
            </w:r>
          </w:p>
        </w:tc>
        <w:tc>
          <w:tcPr>
            <w:tcW w:w="1379" w:type="dxa"/>
          </w:tcPr>
          <w:p w14:paraId="7FE7E5D1" w14:textId="36D75185" w:rsidR="009960FD" w:rsidRDefault="009960FD" w:rsidP="009960FD">
            <w:pPr>
              <w:pStyle w:val="TableText0"/>
              <w:jc w:val="center"/>
            </w:pPr>
            <w:r w:rsidRPr="009960FD">
              <w:t>1.51</w:t>
            </w:r>
          </w:p>
          <w:p w14:paraId="57FCE255" w14:textId="7196B7CF" w:rsidR="00D80DE6" w:rsidRDefault="009960FD" w:rsidP="009960FD">
            <w:pPr>
              <w:pStyle w:val="TableText0"/>
              <w:jc w:val="center"/>
            </w:pPr>
            <w:r>
              <w:t>(</w:t>
            </w:r>
            <w:r w:rsidRPr="009960FD">
              <w:t>0.75</w:t>
            </w:r>
            <w:r>
              <w:t>,</w:t>
            </w:r>
            <w:r w:rsidRPr="009960FD">
              <w:t xml:space="preserve"> 3.03</w:t>
            </w:r>
            <w:r>
              <w:t>)</w:t>
            </w:r>
          </w:p>
        </w:tc>
      </w:tr>
    </w:tbl>
    <w:p w14:paraId="0E25EE28" w14:textId="2D31CC15" w:rsidR="00627591" w:rsidRDefault="00067CB1" w:rsidP="00067CB1">
      <w:pPr>
        <w:pStyle w:val="FooterTableFigure"/>
      </w:pPr>
      <w:r>
        <w:t>Source: Table 2.46, p92 of the submission.</w:t>
      </w:r>
    </w:p>
    <w:p w14:paraId="3F48BE09" w14:textId="65F273C5" w:rsidR="00067CB1" w:rsidRDefault="00067CB1" w:rsidP="00067CB1">
      <w:pPr>
        <w:pStyle w:val="FooterTableFigure"/>
      </w:pPr>
      <w:r>
        <w:t>CI =</w:t>
      </w:r>
      <w:r w:rsidR="003F60F9">
        <w:t xml:space="preserve"> </w:t>
      </w:r>
      <w:r>
        <w:t xml:space="preserve">confidence interval; D+T = dabrafenib and trametinib; OR = odds ratio; </w:t>
      </w:r>
      <w:r w:rsidR="00D34E75">
        <w:t xml:space="preserve">ORR = objective response rate; </w:t>
      </w:r>
      <w:r>
        <w:t>PEMB</w:t>
      </w:r>
      <w:r w:rsidR="00D34E75">
        <w:t>RO</w:t>
      </w:r>
      <w:r w:rsidR="00F65A74">
        <w:t xml:space="preserve"> = </w:t>
      </w:r>
      <w:r>
        <w:t>pembrolizumab</w:t>
      </w:r>
      <w:r w:rsidR="00F65A74">
        <w:t>; PBC</w:t>
      </w:r>
      <w:r w:rsidR="00554A9C">
        <w:t xml:space="preserve"> </w:t>
      </w:r>
      <w:r w:rsidR="00F65A74">
        <w:t>=</w:t>
      </w:r>
      <w:r>
        <w:t xml:space="preserve"> platinum-based chemotherapy; RD= risk difference; RR = relative risk</w:t>
      </w:r>
      <w:r w:rsidR="003F60F9">
        <w:t>.</w:t>
      </w:r>
      <w:r>
        <w:t xml:space="preserve"> </w:t>
      </w:r>
    </w:p>
    <w:p w14:paraId="76FD27C4" w14:textId="55E6B582" w:rsidR="00AE2034" w:rsidRDefault="00AE2034" w:rsidP="00AE2034">
      <w:pPr>
        <w:pStyle w:val="3-BodyText"/>
      </w:pPr>
      <w:r w:rsidRPr="00AE2034">
        <w:t xml:space="preserve">The ORR for first-line D+T was not statistically significantly different to </w:t>
      </w:r>
      <w:r w:rsidR="00890D4E">
        <w:t>that for the</w:t>
      </w:r>
      <w:r w:rsidR="00FD66C7">
        <w:t xml:space="preserve"> </w:t>
      </w:r>
      <w:r w:rsidRPr="00AE2034">
        <w:t>pooled</w:t>
      </w:r>
      <w:r w:rsidR="00FD66C7">
        <w:t xml:space="preserve"> estimate for</w:t>
      </w:r>
      <w:r w:rsidRPr="00AE2034">
        <w:t xml:space="preserve"> </w:t>
      </w:r>
      <w:proofErr w:type="spellStart"/>
      <w:r w:rsidRPr="00AE2034">
        <w:t>pembrolizumab+PBC</w:t>
      </w:r>
      <w:proofErr w:type="spellEnd"/>
      <w:r w:rsidRPr="00AE2034">
        <w:t xml:space="preserve"> (RR</w:t>
      </w:r>
      <w:r w:rsidR="00D90C26">
        <w:t xml:space="preserve">: </w:t>
      </w:r>
      <w:r w:rsidRPr="00AE2034">
        <w:t xml:space="preserve">1.18, 95% CI: 0.92, 1.53). </w:t>
      </w:r>
    </w:p>
    <w:p w14:paraId="15FB30DB" w14:textId="2E5C91F8" w:rsidR="001D6144" w:rsidRPr="001D6144" w:rsidRDefault="001D6144" w:rsidP="001D6144">
      <w:pPr>
        <w:pStyle w:val="3-BodyText"/>
        <w:numPr>
          <w:ilvl w:val="0"/>
          <w:numId w:val="0"/>
        </w:numPr>
        <w:rPr>
          <w:b/>
          <w:bCs/>
        </w:rPr>
      </w:pPr>
      <w:r w:rsidRPr="001D6144">
        <w:rPr>
          <w:b/>
          <w:bCs/>
        </w:rPr>
        <w:t>Progression-free survival and overall survival</w:t>
      </w:r>
    </w:p>
    <w:p w14:paraId="3DF91E54" w14:textId="6B5F2D7D" w:rsidR="007E7426" w:rsidRDefault="001E54E6" w:rsidP="000B6113">
      <w:pPr>
        <w:pStyle w:val="3-BodyText"/>
      </w:pPr>
      <w:r w:rsidRPr="00AC563A">
        <w:rPr>
          <w:lang w:val="en-US"/>
        </w:rPr>
        <w:t xml:space="preserve">The ITC results of OS and PFS </w:t>
      </w:r>
      <w:r w:rsidR="006A328F" w:rsidRPr="0052689A">
        <w:t xml:space="preserve">between first-line D+T and pooled </w:t>
      </w:r>
      <w:proofErr w:type="spellStart"/>
      <w:r w:rsidR="006A328F" w:rsidRPr="0052689A">
        <w:t>pembrolizumab+PBC</w:t>
      </w:r>
      <w:proofErr w:type="spellEnd"/>
      <w:r w:rsidR="006A328F" w:rsidRPr="0052689A">
        <w:t xml:space="preserve"> arms</w:t>
      </w:r>
      <w:r w:rsidR="006A328F">
        <w:t xml:space="preserve"> </w:t>
      </w:r>
      <w:r w:rsidRPr="00AC563A">
        <w:rPr>
          <w:lang w:val="en-US"/>
        </w:rPr>
        <w:t>are summarised</w:t>
      </w:r>
      <w:r w:rsidRPr="00FF1D20">
        <w:t xml:space="preserve"> in </w:t>
      </w:r>
      <w:r>
        <w:fldChar w:fldCharType="begin"/>
      </w:r>
      <w:r>
        <w:instrText xml:space="preserve"> REF _Ref186806392 \h </w:instrText>
      </w:r>
      <w:r>
        <w:fldChar w:fldCharType="separate"/>
      </w:r>
      <w:r w:rsidR="00EF4998">
        <w:t xml:space="preserve">Table </w:t>
      </w:r>
      <w:r w:rsidR="00EF4998">
        <w:rPr>
          <w:noProof/>
        </w:rPr>
        <w:t>8</w:t>
      </w:r>
      <w:r>
        <w:fldChar w:fldCharType="end"/>
      </w:r>
      <w:r>
        <w:t>.</w:t>
      </w:r>
      <w:r w:rsidR="002853CD">
        <w:t xml:space="preserve"> The corresponding </w:t>
      </w:r>
      <w:r w:rsidR="00D03866">
        <w:t xml:space="preserve">Kaplan-Meier curves are presented in </w:t>
      </w:r>
      <w:r w:rsidR="002853CD">
        <w:fldChar w:fldCharType="begin"/>
      </w:r>
      <w:r w:rsidR="002853CD">
        <w:instrText xml:space="preserve"> REF _Ref186805458 \h </w:instrText>
      </w:r>
      <w:r w:rsidR="002853CD">
        <w:fldChar w:fldCharType="separate"/>
      </w:r>
      <w:r w:rsidR="00EF4998">
        <w:t xml:space="preserve">Figure </w:t>
      </w:r>
      <w:r w:rsidR="00EF4998">
        <w:rPr>
          <w:noProof/>
        </w:rPr>
        <w:t>9</w:t>
      </w:r>
      <w:r w:rsidR="002853CD">
        <w:fldChar w:fldCharType="end"/>
      </w:r>
      <w:r w:rsidR="002853CD">
        <w:t xml:space="preserve"> and </w:t>
      </w:r>
      <w:r w:rsidR="002853CD">
        <w:fldChar w:fldCharType="begin"/>
      </w:r>
      <w:r w:rsidR="002853CD">
        <w:instrText xml:space="preserve"> REF _Ref186805457 \h </w:instrText>
      </w:r>
      <w:r w:rsidR="002853CD">
        <w:fldChar w:fldCharType="separate"/>
      </w:r>
      <w:r w:rsidR="00EF4998">
        <w:t xml:space="preserve">Figure </w:t>
      </w:r>
      <w:r w:rsidR="00EF4998">
        <w:rPr>
          <w:noProof/>
        </w:rPr>
        <w:t>10</w:t>
      </w:r>
      <w:r w:rsidR="002853CD">
        <w:fldChar w:fldCharType="end"/>
      </w:r>
      <w:r w:rsidR="00AC563A">
        <w:t>.</w:t>
      </w:r>
      <w:r w:rsidR="00A67EEC">
        <w:t xml:space="preserve"> </w:t>
      </w:r>
    </w:p>
    <w:p w14:paraId="7EB2A94F" w14:textId="54C94DE9" w:rsidR="00806ECC" w:rsidRDefault="00806ECC" w:rsidP="00806ECC">
      <w:pPr>
        <w:pStyle w:val="Caption"/>
      </w:pPr>
      <w:bookmarkStart w:id="62" w:name="_Ref186806392"/>
      <w:r>
        <w:t xml:space="preserve">Table </w:t>
      </w:r>
      <w:r w:rsidR="00E77066">
        <w:fldChar w:fldCharType="begin"/>
      </w:r>
      <w:r w:rsidR="00E77066">
        <w:instrText xml:space="preserve"> SEQ Table \* ARABIC </w:instrText>
      </w:r>
      <w:r w:rsidR="00E77066">
        <w:fldChar w:fldCharType="separate"/>
      </w:r>
      <w:r w:rsidR="00EF4998">
        <w:rPr>
          <w:noProof/>
        </w:rPr>
        <w:t>8</w:t>
      </w:r>
      <w:r w:rsidR="00E77066">
        <w:rPr>
          <w:noProof/>
        </w:rPr>
        <w:fldChar w:fldCharType="end"/>
      </w:r>
      <w:bookmarkEnd w:id="62"/>
      <w:r w:rsidR="00B84D05">
        <w:t xml:space="preserve">: Unanchored and unadjusted indirect comparison of PFS and OS between </w:t>
      </w:r>
      <w:r w:rsidR="001D0103">
        <w:t>D+T</w:t>
      </w:r>
      <w:r w:rsidR="00B84D05">
        <w:t xml:space="preserve"> and </w:t>
      </w:r>
      <w:r w:rsidR="001D0103">
        <w:t>PEMBRO+PBC</w:t>
      </w:r>
    </w:p>
    <w:tbl>
      <w:tblPr>
        <w:tblStyle w:val="TableGrid"/>
        <w:tblW w:w="5000" w:type="pct"/>
        <w:tblLook w:val="04A0" w:firstRow="1" w:lastRow="0" w:firstColumn="1" w:lastColumn="0" w:noHBand="0" w:noVBand="1"/>
      </w:tblPr>
      <w:tblGrid>
        <w:gridCol w:w="3921"/>
        <w:gridCol w:w="2548"/>
        <w:gridCol w:w="2548"/>
      </w:tblGrid>
      <w:tr w:rsidR="00C120E5" w14:paraId="78289EBE" w14:textId="77777777" w:rsidTr="03CF4CC7">
        <w:tc>
          <w:tcPr>
            <w:tcW w:w="2174" w:type="pct"/>
          </w:tcPr>
          <w:p w14:paraId="0630E2EE" w14:textId="2FA2C429" w:rsidR="00C120E5" w:rsidRDefault="00C120E5" w:rsidP="000B6113">
            <w:pPr>
              <w:pStyle w:val="In-tableHeading"/>
            </w:pPr>
          </w:p>
        </w:tc>
        <w:tc>
          <w:tcPr>
            <w:tcW w:w="1413" w:type="pct"/>
          </w:tcPr>
          <w:p w14:paraId="4140F218" w14:textId="38B8977F" w:rsidR="00C120E5" w:rsidRDefault="002D5566" w:rsidP="000B6113">
            <w:pPr>
              <w:pStyle w:val="In-tableHeading"/>
              <w:jc w:val="center"/>
            </w:pPr>
            <w:r>
              <w:t>1</w:t>
            </w:r>
            <w:r w:rsidRPr="002D5566">
              <w:rPr>
                <w:vertAlign w:val="superscript"/>
              </w:rPr>
              <w:t>st</w:t>
            </w:r>
            <w:r>
              <w:t xml:space="preserve"> Line</w:t>
            </w:r>
            <w:r w:rsidR="000940C3">
              <w:t xml:space="preserve"> </w:t>
            </w:r>
            <w:r w:rsidR="000940C3" w:rsidRPr="00F87376">
              <w:t>D+T</w:t>
            </w:r>
            <w:r w:rsidR="000940C3">
              <w:t xml:space="preserve"> </w:t>
            </w:r>
          </w:p>
          <w:p w14:paraId="11F9DBC8" w14:textId="6BD2B065" w:rsidR="005A6563" w:rsidRDefault="005A6563" w:rsidP="000B6113">
            <w:pPr>
              <w:pStyle w:val="In-tableHeading"/>
              <w:jc w:val="center"/>
            </w:pPr>
            <w:r>
              <w:t>(</w:t>
            </w:r>
            <w:r w:rsidR="002D5566">
              <w:t>u</w:t>
            </w:r>
            <w:r>
              <w:t>ntreated)</w:t>
            </w:r>
          </w:p>
          <w:p w14:paraId="1C7E6847" w14:textId="29EB459A" w:rsidR="00C120E5" w:rsidRDefault="00C120E5" w:rsidP="000B6113">
            <w:pPr>
              <w:pStyle w:val="In-tableHeading"/>
              <w:jc w:val="center"/>
            </w:pPr>
            <w:r>
              <w:t>N=36</w:t>
            </w:r>
          </w:p>
        </w:tc>
        <w:tc>
          <w:tcPr>
            <w:tcW w:w="1413" w:type="pct"/>
          </w:tcPr>
          <w:p w14:paraId="24909513" w14:textId="77777777" w:rsidR="005A6563" w:rsidRDefault="00C120E5" w:rsidP="000B6113">
            <w:pPr>
              <w:pStyle w:val="In-tableHeading"/>
              <w:jc w:val="center"/>
            </w:pPr>
            <w:r w:rsidRPr="00F87376">
              <w:t xml:space="preserve">Pooled </w:t>
            </w:r>
          </w:p>
          <w:p w14:paraId="19C7F9FC" w14:textId="36B0A36B" w:rsidR="005A6563" w:rsidRDefault="00C120E5" w:rsidP="005A6563">
            <w:pPr>
              <w:pStyle w:val="In-tableHeading"/>
              <w:jc w:val="center"/>
            </w:pPr>
            <w:r w:rsidRPr="00F87376">
              <w:t>PEMB</w:t>
            </w:r>
            <w:r w:rsidR="002475E7">
              <w:t>RO</w:t>
            </w:r>
            <w:r w:rsidR="005A6563">
              <w:t>+</w:t>
            </w:r>
            <w:r w:rsidRPr="00F87376">
              <w:t>PBC</w:t>
            </w:r>
          </w:p>
          <w:p w14:paraId="38733EE4" w14:textId="69526A61" w:rsidR="00C120E5" w:rsidRDefault="00C120E5" w:rsidP="000B6113">
            <w:pPr>
              <w:pStyle w:val="In-tableHeading"/>
              <w:jc w:val="center"/>
            </w:pPr>
            <w:r>
              <w:t>N=688</w:t>
            </w:r>
          </w:p>
        </w:tc>
      </w:tr>
      <w:tr w:rsidR="003F60F9" w14:paraId="4049A679" w14:textId="77777777" w:rsidTr="03CF4CC7">
        <w:tc>
          <w:tcPr>
            <w:tcW w:w="5000" w:type="pct"/>
            <w:gridSpan w:val="3"/>
          </w:tcPr>
          <w:p w14:paraId="721F92A5" w14:textId="0B6E1220" w:rsidR="003F60F9" w:rsidRPr="00F87376" w:rsidRDefault="003F60F9" w:rsidP="003F60F9">
            <w:pPr>
              <w:pStyle w:val="In-tableHeading"/>
            </w:pPr>
            <w:r>
              <w:t>PFS</w:t>
            </w:r>
          </w:p>
        </w:tc>
      </w:tr>
      <w:tr w:rsidR="003F60F9" w14:paraId="6CC78851" w14:textId="77777777" w:rsidTr="03CF4CC7">
        <w:tc>
          <w:tcPr>
            <w:tcW w:w="2174" w:type="pct"/>
          </w:tcPr>
          <w:p w14:paraId="10A4AD6A" w14:textId="43D165BA" w:rsidR="003F60F9" w:rsidRPr="00561121" w:rsidRDefault="003F60F9" w:rsidP="003F60F9">
            <w:pPr>
              <w:pStyle w:val="In-tableHeading"/>
              <w:rPr>
                <w:b w:val="0"/>
                <w:bCs/>
              </w:rPr>
            </w:pPr>
            <w:r w:rsidRPr="00561121">
              <w:rPr>
                <w:b w:val="0"/>
                <w:bCs/>
              </w:rPr>
              <w:t>Median PFS (IQR), months</w:t>
            </w:r>
          </w:p>
        </w:tc>
        <w:tc>
          <w:tcPr>
            <w:tcW w:w="1413" w:type="pct"/>
          </w:tcPr>
          <w:p w14:paraId="189D7E59" w14:textId="21504C06" w:rsidR="003F60F9" w:rsidRPr="003F60F9" w:rsidRDefault="003F60F9" w:rsidP="003F60F9">
            <w:pPr>
              <w:pStyle w:val="In-tableHeading"/>
              <w:jc w:val="center"/>
              <w:rPr>
                <w:b w:val="0"/>
                <w:bCs/>
              </w:rPr>
            </w:pPr>
            <w:r w:rsidRPr="003F60F9">
              <w:rPr>
                <w:b w:val="0"/>
                <w:bCs/>
              </w:rPr>
              <w:t>10.85 (5.6</w:t>
            </w:r>
            <w:r w:rsidR="00D34E75">
              <w:rPr>
                <w:b w:val="0"/>
                <w:bCs/>
              </w:rPr>
              <w:t>0</w:t>
            </w:r>
            <w:r w:rsidRPr="003F60F9">
              <w:rPr>
                <w:b w:val="0"/>
                <w:bCs/>
              </w:rPr>
              <w:t>, 16.65)</w:t>
            </w:r>
          </w:p>
        </w:tc>
        <w:tc>
          <w:tcPr>
            <w:tcW w:w="1413" w:type="pct"/>
          </w:tcPr>
          <w:p w14:paraId="6D04D0B4" w14:textId="351084F4" w:rsidR="003F60F9" w:rsidRPr="003F60F9" w:rsidRDefault="003F60F9" w:rsidP="003F60F9">
            <w:pPr>
              <w:pStyle w:val="In-tableHeading"/>
              <w:jc w:val="center"/>
              <w:rPr>
                <w:b w:val="0"/>
                <w:bCs/>
              </w:rPr>
            </w:pPr>
            <w:r w:rsidRPr="003F60F9">
              <w:rPr>
                <w:b w:val="0"/>
                <w:bCs/>
              </w:rPr>
              <w:t>8.48 (4.73, 21.43)</w:t>
            </w:r>
          </w:p>
        </w:tc>
      </w:tr>
      <w:tr w:rsidR="00CA1E95" w14:paraId="0B413DAF" w14:textId="77777777" w:rsidTr="03CF4CC7">
        <w:tc>
          <w:tcPr>
            <w:tcW w:w="2174" w:type="pct"/>
          </w:tcPr>
          <w:p w14:paraId="0E9672B1" w14:textId="234BB677" w:rsidR="00CA1E95" w:rsidRPr="00561121" w:rsidRDefault="00CA1E95" w:rsidP="000B6113">
            <w:pPr>
              <w:pStyle w:val="In-tableHeading"/>
              <w:rPr>
                <w:b w:val="0"/>
                <w:bCs/>
              </w:rPr>
            </w:pPr>
            <w:r w:rsidRPr="00561121">
              <w:rPr>
                <w:b w:val="0"/>
                <w:bCs/>
              </w:rPr>
              <w:t xml:space="preserve">D+T vs </w:t>
            </w:r>
            <w:r w:rsidR="00D34E75" w:rsidRPr="00D34E75">
              <w:rPr>
                <w:b w:val="0"/>
                <w:bCs/>
              </w:rPr>
              <w:t>PEMBRO+PBC</w:t>
            </w:r>
            <w:r w:rsidRPr="00561121">
              <w:rPr>
                <w:b w:val="0"/>
                <w:bCs/>
              </w:rPr>
              <w:t>, HR (95% CI)</w:t>
            </w:r>
          </w:p>
        </w:tc>
        <w:tc>
          <w:tcPr>
            <w:tcW w:w="2826" w:type="pct"/>
            <w:gridSpan w:val="2"/>
          </w:tcPr>
          <w:p w14:paraId="5E7D62B9" w14:textId="558627BB" w:rsidR="00CA1E95" w:rsidRPr="003F60F9" w:rsidRDefault="37965250" w:rsidP="03CF4CC7">
            <w:pPr>
              <w:pStyle w:val="In-tableHeading"/>
              <w:jc w:val="center"/>
              <w:rPr>
                <w:b w:val="0"/>
              </w:rPr>
            </w:pPr>
            <w:r>
              <w:rPr>
                <w:b w:val="0"/>
              </w:rPr>
              <w:t>1.02 (0.70, 1.51)</w:t>
            </w:r>
          </w:p>
        </w:tc>
      </w:tr>
      <w:tr w:rsidR="003F60F9" w14:paraId="18A07259" w14:textId="77777777" w:rsidTr="03CF4CC7">
        <w:tc>
          <w:tcPr>
            <w:tcW w:w="5000" w:type="pct"/>
            <w:gridSpan w:val="3"/>
          </w:tcPr>
          <w:p w14:paraId="4D2935AD" w14:textId="1AD83EF6" w:rsidR="003F60F9" w:rsidRPr="003F60F9" w:rsidRDefault="003F60F9" w:rsidP="003F60F9">
            <w:pPr>
              <w:pStyle w:val="TableText0"/>
              <w:rPr>
                <w:b/>
                <w:bCs w:val="0"/>
              </w:rPr>
            </w:pPr>
            <w:r w:rsidRPr="003F60F9">
              <w:rPr>
                <w:b/>
                <w:bCs w:val="0"/>
              </w:rPr>
              <w:t>OS</w:t>
            </w:r>
          </w:p>
        </w:tc>
      </w:tr>
      <w:tr w:rsidR="00DF58FF" w14:paraId="10C32C9B" w14:textId="77777777" w:rsidTr="03CF4CC7">
        <w:tc>
          <w:tcPr>
            <w:tcW w:w="2174" w:type="pct"/>
          </w:tcPr>
          <w:p w14:paraId="75A96B5C" w14:textId="6C824B99" w:rsidR="00DF58FF" w:rsidRPr="00561121" w:rsidRDefault="00DF58FF" w:rsidP="00DF58FF">
            <w:pPr>
              <w:pStyle w:val="TableText0"/>
            </w:pPr>
            <w:r w:rsidRPr="00561121">
              <w:t>Median</w:t>
            </w:r>
            <w:r>
              <w:t xml:space="preserve"> OS</w:t>
            </w:r>
            <w:r w:rsidRPr="00561121">
              <w:t xml:space="preserve"> (IQR), months</w:t>
            </w:r>
          </w:p>
        </w:tc>
        <w:tc>
          <w:tcPr>
            <w:tcW w:w="1413" w:type="pct"/>
          </w:tcPr>
          <w:p w14:paraId="7F88AF5D" w14:textId="6F11F157" w:rsidR="00DF58FF" w:rsidRDefault="00DF58FF" w:rsidP="00DF58FF">
            <w:pPr>
              <w:pStyle w:val="TableText0"/>
              <w:jc w:val="center"/>
            </w:pPr>
            <w:r w:rsidRPr="007059F0">
              <w:t>17.3</w:t>
            </w:r>
            <w:r w:rsidR="00D34E75">
              <w:t>0</w:t>
            </w:r>
            <w:r w:rsidRPr="007059F0">
              <w:t xml:space="preserve"> (11.7</w:t>
            </w:r>
            <w:r w:rsidR="002A179C">
              <w:t>0</w:t>
            </w:r>
            <w:r w:rsidRPr="007059F0">
              <w:t>, 58.7</w:t>
            </w:r>
            <w:r w:rsidR="002A179C">
              <w:t>0</w:t>
            </w:r>
            <w:r w:rsidRPr="007059F0">
              <w:t>)</w:t>
            </w:r>
          </w:p>
        </w:tc>
        <w:tc>
          <w:tcPr>
            <w:tcW w:w="1413" w:type="pct"/>
          </w:tcPr>
          <w:p w14:paraId="39BC883C" w14:textId="1E647D7C" w:rsidR="00DF58FF" w:rsidRPr="0057563D" w:rsidRDefault="00DF58FF" w:rsidP="00DF58FF">
            <w:pPr>
              <w:pStyle w:val="TableText0"/>
              <w:jc w:val="center"/>
            </w:pPr>
            <w:r w:rsidRPr="007059F0">
              <w:t>19.85 (9.5</w:t>
            </w:r>
            <w:r w:rsidR="002A179C">
              <w:t>0</w:t>
            </w:r>
            <w:r w:rsidRPr="007059F0">
              <w:t>, 44.63)</w:t>
            </w:r>
          </w:p>
        </w:tc>
      </w:tr>
      <w:tr w:rsidR="00060767" w14:paraId="6558D2B0" w14:textId="77777777" w:rsidTr="03CF4CC7">
        <w:tc>
          <w:tcPr>
            <w:tcW w:w="2174" w:type="pct"/>
          </w:tcPr>
          <w:p w14:paraId="42BEBAB3" w14:textId="3C392C27" w:rsidR="00060767" w:rsidRPr="00561121" w:rsidRDefault="00060767" w:rsidP="00561121">
            <w:pPr>
              <w:pStyle w:val="TableText0"/>
            </w:pPr>
            <w:r w:rsidRPr="00561121">
              <w:t xml:space="preserve">D+T vs </w:t>
            </w:r>
            <w:r w:rsidR="00D34E75" w:rsidRPr="00D34E75">
              <w:t>PEMBRO+PBC</w:t>
            </w:r>
            <w:r w:rsidRPr="00561121">
              <w:t>, HR (95% CI)</w:t>
            </w:r>
          </w:p>
        </w:tc>
        <w:tc>
          <w:tcPr>
            <w:tcW w:w="2826" w:type="pct"/>
            <w:gridSpan w:val="2"/>
          </w:tcPr>
          <w:p w14:paraId="58378792" w14:textId="7E918AC8" w:rsidR="00060767" w:rsidRPr="0057563D" w:rsidRDefault="00060767" w:rsidP="00561121">
            <w:pPr>
              <w:pStyle w:val="TableText0"/>
              <w:jc w:val="center"/>
            </w:pPr>
            <w:r w:rsidRPr="00060767">
              <w:t>1.10 (0.74, 1.64)</w:t>
            </w:r>
          </w:p>
        </w:tc>
      </w:tr>
    </w:tbl>
    <w:p w14:paraId="5BF86EC5" w14:textId="463594BA" w:rsidR="003F60F9" w:rsidRDefault="003F60F9" w:rsidP="003F60F9">
      <w:pPr>
        <w:pStyle w:val="FooterTableFigure"/>
      </w:pPr>
      <w:r>
        <w:t>Source: Table 2.47, p93 and Table 2.48, p94 of the submission.</w:t>
      </w:r>
    </w:p>
    <w:p w14:paraId="64BE72A0" w14:textId="41633865" w:rsidR="003F60F9" w:rsidRDefault="003F60F9" w:rsidP="003F60F9">
      <w:pPr>
        <w:pStyle w:val="FooterTableFigure"/>
      </w:pPr>
      <w:r>
        <w:t xml:space="preserve">CI = confidence interval; D+T = dabrafenib and trametinib; </w:t>
      </w:r>
      <w:r w:rsidR="00DB165A">
        <w:t xml:space="preserve">HR = hazard ratio; </w:t>
      </w:r>
      <w:r>
        <w:t>IQR = inter</w:t>
      </w:r>
      <w:r w:rsidR="00DB165A">
        <w:t xml:space="preserve">quartile range; </w:t>
      </w:r>
      <w:r w:rsidR="00D34E75" w:rsidRPr="00D34E75">
        <w:t xml:space="preserve">N = total participants in group; </w:t>
      </w:r>
      <w:r>
        <w:t>OS = overall survival; PEMB</w:t>
      </w:r>
      <w:r w:rsidR="002475E7">
        <w:t>RO =</w:t>
      </w:r>
      <w:r>
        <w:t xml:space="preserve"> pembrolizumab</w:t>
      </w:r>
      <w:r w:rsidR="002475E7">
        <w:t xml:space="preserve">; PBC = </w:t>
      </w:r>
      <w:r>
        <w:t>platinum-based chemotherapy</w:t>
      </w:r>
      <w:r w:rsidR="001D0103">
        <w:t>; PFS = progression-free survival</w:t>
      </w:r>
      <w:r w:rsidR="000D2D8C">
        <w:t>.</w:t>
      </w:r>
    </w:p>
    <w:p w14:paraId="6BA9330C" w14:textId="77777777" w:rsidR="00287465" w:rsidRDefault="00287465" w:rsidP="00287465">
      <w:pPr>
        <w:pStyle w:val="3-BodyText"/>
        <w:numPr>
          <w:ilvl w:val="0"/>
          <w:numId w:val="0"/>
        </w:numPr>
        <w:ind w:left="720" w:hanging="720"/>
      </w:pPr>
    </w:p>
    <w:p w14:paraId="46418C33" w14:textId="77665633" w:rsidR="009F5FCC" w:rsidRDefault="009F5FCC" w:rsidP="009F5FCC">
      <w:pPr>
        <w:pStyle w:val="Caption"/>
      </w:pPr>
      <w:bookmarkStart w:id="63" w:name="_Ref186805458"/>
      <w:bookmarkStart w:id="64" w:name="_Ref186805450"/>
      <w:r>
        <w:lastRenderedPageBreak/>
        <w:t xml:space="preserve">Figure </w:t>
      </w:r>
      <w:r w:rsidR="00E77066">
        <w:fldChar w:fldCharType="begin"/>
      </w:r>
      <w:r w:rsidR="00E77066">
        <w:instrText xml:space="preserve"> SEQ Figure \* ARABIC </w:instrText>
      </w:r>
      <w:r w:rsidR="00E77066">
        <w:fldChar w:fldCharType="separate"/>
      </w:r>
      <w:r w:rsidR="00EF4998">
        <w:rPr>
          <w:noProof/>
        </w:rPr>
        <w:t>9</w:t>
      </w:r>
      <w:r w:rsidR="00E77066">
        <w:rPr>
          <w:noProof/>
        </w:rPr>
        <w:fldChar w:fldCharType="end"/>
      </w:r>
      <w:bookmarkEnd w:id="63"/>
      <w:r w:rsidR="005C6B80">
        <w:t>:</w:t>
      </w:r>
      <w:r w:rsidR="005C2236">
        <w:t xml:space="preserve"> Overlay of Kaplan-Meier </w:t>
      </w:r>
      <w:r w:rsidR="00B70974">
        <w:t>PF</w:t>
      </w:r>
      <w:r w:rsidR="005C2236">
        <w:t>S curves for first-line D+T (untreated patients) from E2201 study and pooled pembrolizumab trials (KN-189 and KN-407)</w:t>
      </w:r>
      <w:bookmarkEnd w:id="64"/>
    </w:p>
    <w:p w14:paraId="5762B69E" w14:textId="7634758B" w:rsidR="009F5FCC" w:rsidRDefault="009F5FCC" w:rsidP="003F60F9">
      <w:pPr>
        <w:pStyle w:val="FooterTableFigure"/>
      </w:pPr>
      <w:r>
        <w:rPr>
          <w:noProof/>
        </w:rPr>
        <w:drawing>
          <wp:inline distT="0" distB="0" distL="0" distR="0" wp14:anchorId="2A4F6651" wp14:editId="0C5D1715">
            <wp:extent cx="5050800" cy="3223241"/>
            <wp:effectExtent l="0" t="0" r="0" b="0"/>
            <wp:docPr id="1319419956" name="Picture 1" descr="A graph of survival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19956" name="Picture 1" descr="A graph of survival of patients&#10;&#10;Description automatically generated with medium confidence"/>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5050800" cy="3223241"/>
                    </a:xfrm>
                    <a:prstGeom prst="rect">
                      <a:avLst/>
                    </a:prstGeom>
                    <a:ln>
                      <a:noFill/>
                    </a:ln>
                    <a:extLst>
                      <a:ext uri="{53640926-AAD7-44D8-BBD7-CCE9431645EC}">
                        <a14:shadowObscured xmlns:a14="http://schemas.microsoft.com/office/drawing/2010/main"/>
                      </a:ext>
                    </a:extLst>
                  </pic:spPr>
                </pic:pic>
              </a:graphicData>
            </a:graphic>
          </wp:inline>
        </w:drawing>
      </w:r>
    </w:p>
    <w:p w14:paraId="030CD7B1" w14:textId="73F8294E" w:rsidR="005C2236" w:rsidRDefault="005C2236" w:rsidP="005C2236">
      <w:pPr>
        <w:pStyle w:val="FooterTableFigure"/>
        <w:rPr>
          <w:rFonts w:eastAsia="Calibri"/>
        </w:rPr>
      </w:pPr>
      <w:r>
        <w:rPr>
          <w:rFonts w:eastAsia="Calibri"/>
        </w:rPr>
        <w:t>Source: Figure 2.14, p93 of the submission.</w:t>
      </w:r>
    </w:p>
    <w:p w14:paraId="6D97E5D1" w14:textId="1F1144F2" w:rsidR="00806ECC" w:rsidRPr="005C2236" w:rsidRDefault="005C2236" w:rsidP="005C2236">
      <w:pPr>
        <w:pStyle w:val="FooterTableFigure"/>
        <w:rPr>
          <w:rFonts w:eastAsia="Calibri"/>
        </w:rPr>
      </w:pPr>
      <w:r>
        <w:rPr>
          <w:rFonts w:eastAsia="Calibri"/>
        </w:rPr>
        <w:t>D+T = dabrafenib and trametinib</w:t>
      </w:r>
      <w:r w:rsidR="00D34E75">
        <w:rPr>
          <w:rFonts w:eastAsia="Calibri"/>
        </w:rPr>
        <w:t>;</w:t>
      </w:r>
      <w:r>
        <w:rPr>
          <w:rFonts w:eastAsia="Calibri"/>
        </w:rPr>
        <w:t xml:space="preserve"> PFS = progression-free survival.</w:t>
      </w:r>
    </w:p>
    <w:p w14:paraId="2BBCBAD6" w14:textId="56E90570" w:rsidR="005C6B80" w:rsidRDefault="005C6B80" w:rsidP="005C6B80">
      <w:pPr>
        <w:pStyle w:val="Caption"/>
      </w:pPr>
      <w:bookmarkStart w:id="65" w:name="_Ref186805457"/>
      <w:bookmarkStart w:id="66" w:name="_Ref186805452"/>
      <w:r>
        <w:t xml:space="preserve">Figure </w:t>
      </w:r>
      <w:r w:rsidR="00E77066">
        <w:fldChar w:fldCharType="begin"/>
      </w:r>
      <w:r w:rsidR="00E77066">
        <w:instrText xml:space="preserve"> SEQ Figure \* ARABIC </w:instrText>
      </w:r>
      <w:r w:rsidR="00E77066">
        <w:fldChar w:fldCharType="separate"/>
      </w:r>
      <w:r w:rsidR="00EF4998">
        <w:rPr>
          <w:noProof/>
        </w:rPr>
        <w:t>10</w:t>
      </w:r>
      <w:r w:rsidR="00E77066">
        <w:rPr>
          <w:noProof/>
        </w:rPr>
        <w:fldChar w:fldCharType="end"/>
      </w:r>
      <w:bookmarkEnd w:id="65"/>
      <w:r>
        <w:t>:</w:t>
      </w:r>
      <w:r w:rsidR="007C3357">
        <w:t xml:space="preserve"> </w:t>
      </w:r>
      <w:r w:rsidR="00EB238F">
        <w:t xml:space="preserve">Overlay of Kaplan-Meier </w:t>
      </w:r>
      <w:r w:rsidR="005C2236">
        <w:t>OS</w:t>
      </w:r>
      <w:r w:rsidR="00CF47BE">
        <w:t xml:space="preserve"> </w:t>
      </w:r>
      <w:r w:rsidR="00EB238F">
        <w:t xml:space="preserve">curves for first-line D+T (untreated patients) from E2201 study and </w:t>
      </w:r>
      <w:r w:rsidR="00CF47BE">
        <w:t xml:space="preserve">pooled pembrolizumab trials </w:t>
      </w:r>
      <w:r w:rsidR="005C2236">
        <w:t>(KN-189 and KN-407)</w:t>
      </w:r>
      <w:bookmarkEnd w:id="66"/>
    </w:p>
    <w:p w14:paraId="2738FD87" w14:textId="37325198" w:rsidR="005C6B80" w:rsidRDefault="005C6B80" w:rsidP="005C2236">
      <w:pPr>
        <w:pStyle w:val="3-BodyText"/>
        <w:numPr>
          <w:ilvl w:val="0"/>
          <w:numId w:val="0"/>
        </w:numPr>
        <w:spacing w:after="0"/>
      </w:pPr>
      <w:r>
        <w:rPr>
          <w:noProof/>
        </w:rPr>
        <w:drawing>
          <wp:inline distT="0" distB="0" distL="0" distR="0" wp14:anchorId="00289EFC" wp14:editId="0B4C6220">
            <wp:extent cx="5052159" cy="3240000"/>
            <wp:effectExtent l="0" t="0" r="0" b="0"/>
            <wp:docPr id="1184687049" name="Picture 1" descr="A graph of survival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87049" name="Picture 1" descr="A graph of survival of patients&#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5052159" cy="3240000"/>
                    </a:xfrm>
                    <a:prstGeom prst="rect">
                      <a:avLst/>
                    </a:prstGeom>
                    <a:ln>
                      <a:noFill/>
                    </a:ln>
                    <a:extLst>
                      <a:ext uri="{53640926-AAD7-44D8-BBD7-CCE9431645EC}">
                        <a14:shadowObscured xmlns:a14="http://schemas.microsoft.com/office/drawing/2010/main"/>
                      </a:ext>
                    </a:extLst>
                  </pic:spPr>
                </pic:pic>
              </a:graphicData>
            </a:graphic>
          </wp:inline>
        </w:drawing>
      </w:r>
    </w:p>
    <w:p w14:paraId="16FE7C87" w14:textId="7EB0827E" w:rsidR="005C2236" w:rsidRDefault="005C2236" w:rsidP="005C2236">
      <w:pPr>
        <w:pStyle w:val="FooterTableFigure"/>
        <w:rPr>
          <w:rFonts w:eastAsia="Calibri"/>
        </w:rPr>
      </w:pPr>
      <w:r>
        <w:rPr>
          <w:rFonts w:eastAsia="Calibri"/>
        </w:rPr>
        <w:t>Source: Figure 2.15, p94 of the submission.</w:t>
      </w:r>
    </w:p>
    <w:p w14:paraId="43ED9EA5" w14:textId="76A0EEA1" w:rsidR="00CF47BE" w:rsidRDefault="005C2236" w:rsidP="005C2236">
      <w:pPr>
        <w:pStyle w:val="FooterTableFigure"/>
        <w:rPr>
          <w:rFonts w:eastAsia="Calibri"/>
        </w:rPr>
      </w:pPr>
      <w:r>
        <w:rPr>
          <w:rFonts w:eastAsia="Calibri"/>
        </w:rPr>
        <w:t>D+T = dabrafenib and trametinib</w:t>
      </w:r>
      <w:r w:rsidR="00D34E75">
        <w:rPr>
          <w:rFonts w:eastAsia="Calibri"/>
        </w:rPr>
        <w:t>;</w:t>
      </w:r>
      <w:r>
        <w:rPr>
          <w:rFonts w:eastAsia="Calibri"/>
        </w:rPr>
        <w:t xml:space="preserve"> OS = overall survival.</w:t>
      </w:r>
    </w:p>
    <w:p w14:paraId="2F14D256" w14:textId="77777777" w:rsidR="005632EA" w:rsidRDefault="005632EA" w:rsidP="005632EA">
      <w:pPr>
        <w:pStyle w:val="3-BodyText"/>
      </w:pPr>
      <w:r>
        <w:lastRenderedPageBreak/>
        <w:t xml:space="preserve">The indirect comparison of efficacy showed no significant difference in PFS (HR: 1.02; 95% CI: 0.70, 1.51) and OS (HR: 1.10; 95% CI: 0.74, 1.64) between first-line D+T arm and pooled </w:t>
      </w:r>
      <w:proofErr w:type="spellStart"/>
      <w:r>
        <w:t>pembrolizumab+PBC</w:t>
      </w:r>
      <w:proofErr w:type="spellEnd"/>
      <w:r>
        <w:t xml:space="preserve"> arm. </w:t>
      </w:r>
    </w:p>
    <w:p w14:paraId="7B3AD9AD" w14:textId="6A3289FD" w:rsidR="00F16767" w:rsidRDefault="064F6898">
      <w:pPr>
        <w:pStyle w:val="3-BodyText"/>
        <w:spacing w:line="259" w:lineRule="auto"/>
        <w:rPr>
          <w:i/>
          <w:iCs/>
        </w:rPr>
      </w:pPr>
      <w:r w:rsidRPr="00196464">
        <w:t>A</w:t>
      </w:r>
      <w:r w:rsidR="00175093" w:rsidRPr="00196464">
        <w:t>lthough the</w:t>
      </w:r>
      <w:r w:rsidR="005632EA" w:rsidRPr="00196464">
        <w:t xml:space="preserve"> median PFS was numerically higher in first-line D+T arm compared to pooled </w:t>
      </w:r>
      <w:proofErr w:type="spellStart"/>
      <w:r w:rsidR="005632EA" w:rsidRPr="00196464">
        <w:t>pembrolizumab+PBC</w:t>
      </w:r>
      <w:proofErr w:type="spellEnd"/>
      <w:r w:rsidR="005632EA" w:rsidRPr="00196464">
        <w:t xml:space="preserve"> arm (10.9 months vs. 8.5 months), the </w:t>
      </w:r>
      <w:r w:rsidR="00287465">
        <w:t>HR</w:t>
      </w:r>
      <w:r w:rsidR="005632EA" w:rsidRPr="00196464">
        <w:t xml:space="preserve"> for PFS was approximately 1.</w:t>
      </w:r>
      <w:r w:rsidR="00AE66E6" w:rsidRPr="00196464">
        <w:t xml:space="preserve"> </w:t>
      </w:r>
    </w:p>
    <w:p w14:paraId="5548676E" w14:textId="6E5C7102" w:rsidR="00B260BD" w:rsidRPr="00196464" w:rsidRDefault="00DD3548" w:rsidP="005632EA">
      <w:pPr>
        <w:pStyle w:val="3-BodyText"/>
      </w:pPr>
      <w:r w:rsidRPr="00196464">
        <w:t>T</w:t>
      </w:r>
      <w:r w:rsidR="00B260BD" w:rsidRPr="00196464">
        <w:t xml:space="preserve">he median OS was numerically lower in the first-line D+T arm compared to pooled </w:t>
      </w:r>
      <w:proofErr w:type="spellStart"/>
      <w:r w:rsidR="00B260BD" w:rsidRPr="00196464">
        <w:t>pembrolizumab+PBC</w:t>
      </w:r>
      <w:proofErr w:type="spellEnd"/>
      <w:r w:rsidR="00B260BD" w:rsidRPr="00196464">
        <w:t xml:space="preserve"> arm (17.3 months vs. 19.9 months), </w:t>
      </w:r>
      <w:r w:rsidR="00605A50" w:rsidRPr="00196464">
        <w:t xml:space="preserve">with a </w:t>
      </w:r>
      <w:r w:rsidR="00B260BD" w:rsidRPr="00196464">
        <w:t xml:space="preserve">hazard </w:t>
      </w:r>
      <w:r w:rsidRPr="00196464">
        <w:t xml:space="preserve">ratio for </w:t>
      </w:r>
      <w:r w:rsidR="00C32A29" w:rsidRPr="00196464">
        <w:t>O</w:t>
      </w:r>
      <w:r w:rsidRPr="00196464">
        <w:t xml:space="preserve">S </w:t>
      </w:r>
      <w:r w:rsidR="00605A50" w:rsidRPr="00196464">
        <w:t xml:space="preserve">of </w:t>
      </w:r>
      <w:r w:rsidRPr="00196464">
        <w:t>1.10</w:t>
      </w:r>
      <w:r w:rsidR="0071192D" w:rsidRPr="00196464">
        <w:t>.</w:t>
      </w:r>
      <w:r w:rsidR="00C32A29" w:rsidRPr="00196464">
        <w:t xml:space="preserve"> </w:t>
      </w:r>
    </w:p>
    <w:p w14:paraId="54F3B1C3" w14:textId="2645A13C" w:rsidR="001A7D85" w:rsidRPr="00A67EEC" w:rsidRDefault="001A7D85" w:rsidP="000B6113">
      <w:pPr>
        <w:pStyle w:val="3-BodyText"/>
        <w:rPr>
          <w:rFonts w:eastAsia="Calibri"/>
        </w:rPr>
      </w:pPr>
      <w:r w:rsidRPr="00A67EEC">
        <w:rPr>
          <w:rFonts w:eastAsia="Calibri"/>
        </w:rPr>
        <w:t>The results from the unadjusted and unanchored ITC should be interpreted with caution</w:t>
      </w:r>
      <w:r w:rsidR="00287465" w:rsidRPr="00A67EEC">
        <w:rPr>
          <w:rFonts w:eastAsia="Calibri"/>
        </w:rPr>
        <w:t xml:space="preserve"> because</w:t>
      </w:r>
      <w:r w:rsidRPr="00A67EEC">
        <w:rPr>
          <w:rFonts w:eastAsia="Calibri"/>
        </w:rPr>
        <w:t>:</w:t>
      </w:r>
    </w:p>
    <w:p w14:paraId="0B18954B" w14:textId="507BD26E" w:rsidR="001A7D85" w:rsidRPr="00A67EEC" w:rsidRDefault="001A7D85" w:rsidP="00CA0079">
      <w:pPr>
        <w:pStyle w:val="ListParagraph"/>
        <w:rPr>
          <w:rFonts w:eastAsia="Calibri"/>
        </w:rPr>
      </w:pPr>
      <w:r w:rsidRPr="00A67EEC">
        <w:t>The r</w:t>
      </w:r>
      <w:r w:rsidR="009F6ABF" w:rsidRPr="00A67EEC">
        <w:t>elative treatment</w:t>
      </w:r>
      <w:r w:rsidR="00E35010" w:rsidRPr="00A67EEC">
        <w:t xml:space="preserve"> effect</w:t>
      </w:r>
      <w:r w:rsidR="009F6ABF" w:rsidRPr="00A67EEC">
        <w:t xml:space="preserve"> fo</w:t>
      </w:r>
      <w:r w:rsidR="00D035AC" w:rsidRPr="00A67EEC">
        <w:t xml:space="preserve">r D+T and </w:t>
      </w:r>
      <w:proofErr w:type="spellStart"/>
      <w:r w:rsidR="00D035AC" w:rsidRPr="00A67EEC">
        <w:t>pembrolizumab+PBC</w:t>
      </w:r>
      <w:proofErr w:type="spellEnd"/>
      <w:r w:rsidR="00D035AC" w:rsidRPr="00A67EEC">
        <w:t xml:space="preserve"> </w:t>
      </w:r>
      <w:r w:rsidR="00D22187" w:rsidRPr="00A67EEC">
        <w:t>did not appear to be</w:t>
      </w:r>
      <w:r w:rsidR="009F6ABF" w:rsidRPr="00A67EEC">
        <w:t xml:space="preserve"> constant</w:t>
      </w:r>
      <w:r w:rsidR="00C0358E" w:rsidRPr="00A67EEC">
        <w:t xml:space="preserve"> over </w:t>
      </w:r>
      <w:r w:rsidR="00F30BE6" w:rsidRPr="00A67EEC">
        <w:t>time</w:t>
      </w:r>
      <w:r w:rsidRPr="00A67EEC">
        <w:t>.</w:t>
      </w:r>
    </w:p>
    <w:p w14:paraId="1BE8850E" w14:textId="6A8CAD6E" w:rsidR="001A7D85" w:rsidRPr="00A67EEC" w:rsidRDefault="00C463F7" w:rsidP="00CA0079">
      <w:pPr>
        <w:pStyle w:val="ListParagraph"/>
        <w:rPr>
          <w:rFonts w:eastAsia="Calibri"/>
        </w:rPr>
      </w:pPr>
      <w:r w:rsidRPr="00A67EEC">
        <w:t xml:space="preserve">D+T, a targeted therapy, and </w:t>
      </w:r>
      <w:proofErr w:type="spellStart"/>
      <w:r w:rsidRPr="00A67EEC">
        <w:t>pembrolizumab+PBC</w:t>
      </w:r>
      <w:proofErr w:type="spellEnd"/>
      <w:r w:rsidRPr="00A67EEC">
        <w:t xml:space="preserve">, </w:t>
      </w:r>
      <w:r w:rsidR="00221F9E" w:rsidRPr="00A67EEC">
        <w:t>combination of immunotherapy and chemotherapy,</w:t>
      </w:r>
      <w:r w:rsidRPr="00A67EEC">
        <w:t xml:space="preserve"> have </w:t>
      </w:r>
      <w:r w:rsidR="008A34CF" w:rsidRPr="00A67EEC">
        <w:t>distinct</w:t>
      </w:r>
      <w:r w:rsidRPr="00A67EEC">
        <w:t xml:space="preserve"> </w:t>
      </w:r>
      <w:r w:rsidR="00221F9E" w:rsidRPr="00A67EEC">
        <w:t>mechanism</w:t>
      </w:r>
      <w:r w:rsidR="682E5EEF" w:rsidRPr="00A67EEC">
        <w:t>s</w:t>
      </w:r>
      <w:r w:rsidR="00221F9E" w:rsidRPr="00A67EEC">
        <w:t xml:space="preserve"> of action</w:t>
      </w:r>
      <w:r w:rsidR="008A34CF" w:rsidRPr="00A67EEC">
        <w:t xml:space="preserve">, resulting in </w:t>
      </w:r>
      <w:r w:rsidR="000F5103" w:rsidRPr="00A67EEC">
        <w:t xml:space="preserve">different </w:t>
      </w:r>
      <w:r w:rsidRPr="00A67EEC">
        <w:t>response</w:t>
      </w:r>
      <w:r w:rsidR="008A34CF" w:rsidRPr="00A67EEC">
        <w:t xml:space="preserve"> pattern</w:t>
      </w:r>
      <w:r w:rsidR="62B8A849" w:rsidRPr="00A67EEC">
        <w:t>s</w:t>
      </w:r>
      <w:r w:rsidR="00221F9E" w:rsidRPr="00A67EEC">
        <w:t xml:space="preserve">. </w:t>
      </w:r>
    </w:p>
    <w:p w14:paraId="73F2E7CC" w14:textId="77777777" w:rsidR="001A7D85" w:rsidRPr="00A67EEC" w:rsidRDefault="001A7D85" w:rsidP="00CA0079">
      <w:pPr>
        <w:pStyle w:val="ListParagraph"/>
        <w:rPr>
          <w:rFonts w:eastAsia="Calibri"/>
        </w:rPr>
      </w:pPr>
      <w:r w:rsidRPr="00A67EEC">
        <w:t>T</w:t>
      </w:r>
      <w:r w:rsidR="00482B0F" w:rsidRPr="00A67EEC">
        <w:rPr>
          <w:rFonts w:eastAsia="Calibri"/>
        </w:rPr>
        <w:t xml:space="preserve">he </w:t>
      </w:r>
      <w:r w:rsidR="00CF1D75" w:rsidRPr="00A67EEC">
        <w:rPr>
          <w:rFonts w:eastAsia="Calibri"/>
        </w:rPr>
        <w:t xml:space="preserve">number </w:t>
      </w:r>
      <w:r w:rsidR="009538A7" w:rsidRPr="00A67EEC">
        <w:rPr>
          <w:rFonts w:eastAsia="Calibri"/>
        </w:rPr>
        <w:t>of patients at</w:t>
      </w:r>
      <w:r w:rsidR="00CF1D75" w:rsidRPr="00A67EEC">
        <w:rPr>
          <w:rFonts w:eastAsia="Calibri"/>
        </w:rPr>
        <w:t xml:space="preserve"> risk </w:t>
      </w:r>
      <w:r w:rsidR="00F24ABD" w:rsidRPr="00A67EEC">
        <w:rPr>
          <w:rFonts w:eastAsia="Calibri"/>
        </w:rPr>
        <w:t xml:space="preserve">for </w:t>
      </w:r>
      <w:r w:rsidR="00CF1D75" w:rsidRPr="00A67EEC">
        <w:rPr>
          <w:rFonts w:eastAsia="Calibri"/>
        </w:rPr>
        <w:t>informing the PFS and OS curve</w:t>
      </w:r>
      <w:r w:rsidR="007261D3" w:rsidRPr="00A67EEC">
        <w:rPr>
          <w:rFonts w:eastAsia="Calibri"/>
        </w:rPr>
        <w:t>s</w:t>
      </w:r>
      <w:r w:rsidR="00F24ABD" w:rsidRPr="00A67EEC">
        <w:rPr>
          <w:rFonts w:eastAsia="Calibri"/>
        </w:rPr>
        <w:t xml:space="preserve"> was relatively small for</w:t>
      </w:r>
      <w:r w:rsidR="007261D3" w:rsidRPr="00A67EEC">
        <w:rPr>
          <w:rFonts w:eastAsia="Calibri"/>
        </w:rPr>
        <w:t xml:space="preserve"> the</w:t>
      </w:r>
      <w:r w:rsidR="00CF1D75" w:rsidRPr="00A67EEC">
        <w:rPr>
          <w:rFonts w:eastAsia="Calibri"/>
        </w:rPr>
        <w:t xml:space="preserve"> D+T </w:t>
      </w:r>
      <w:r w:rsidR="007261D3" w:rsidRPr="00A67EEC">
        <w:rPr>
          <w:rFonts w:eastAsia="Calibri"/>
        </w:rPr>
        <w:t xml:space="preserve">group </w:t>
      </w:r>
      <w:r w:rsidR="005A1C77" w:rsidRPr="00A67EEC">
        <w:rPr>
          <w:rFonts w:eastAsia="Calibri"/>
        </w:rPr>
        <w:t xml:space="preserve">compared to </w:t>
      </w:r>
      <w:proofErr w:type="spellStart"/>
      <w:r w:rsidR="005A1C77" w:rsidRPr="00A67EEC">
        <w:rPr>
          <w:rFonts w:eastAsia="Calibri"/>
        </w:rPr>
        <w:t>pembrolizumab+PBC</w:t>
      </w:r>
      <w:proofErr w:type="spellEnd"/>
      <w:r w:rsidR="007261D3" w:rsidRPr="00A67EEC">
        <w:rPr>
          <w:rFonts w:eastAsia="Calibri"/>
        </w:rPr>
        <w:t xml:space="preserve"> group. </w:t>
      </w:r>
    </w:p>
    <w:p w14:paraId="1EA61989" w14:textId="369B7383" w:rsidR="00C13E5D" w:rsidRPr="002F6E0E" w:rsidRDefault="00D035AC" w:rsidP="001A7D85">
      <w:pPr>
        <w:pStyle w:val="ListParagraph"/>
        <w:rPr>
          <w:rFonts w:eastAsia="Calibri"/>
        </w:rPr>
      </w:pPr>
      <w:r w:rsidRPr="002F6E0E">
        <w:rPr>
          <w:rFonts w:eastAsia="Calibri"/>
        </w:rPr>
        <w:t>A</w:t>
      </w:r>
      <w:r w:rsidR="007261D3" w:rsidRPr="002F6E0E">
        <w:rPr>
          <w:rFonts w:eastAsia="Calibri"/>
        </w:rPr>
        <w:t xml:space="preserve">s stated in paragraph </w:t>
      </w:r>
      <w:r w:rsidR="007261D3" w:rsidRPr="002F6E0E">
        <w:rPr>
          <w:rFonts w:eastAsia="Calibri"/>
        </w:rPr>
        <w:fldChar w:fldCharType="begin"/>
      </w:r>
      <w:r w:rsidR="007261D3" w:rsidRPr="002F6E0E">
        <w:rPr>
          <w:rFonts w:eastAsia="Calibri"/>
        </w:rPr>
        <w:instrText xml:space="preserve"> REF _Ref187232454 \r \h </w:instrText>
      </w:r>
      <w:r w:rsidR="005B3503" w:rsidRPr="002F6E0E">
        <w:rPr>
          <w:rFonts w:eastAsia="Calibri"/>
        </w:rPr>
        <w:instrText xml:space="preserve"> \* MERGEFORMAT </w:instrText>
      </w:r>
      <w:r w:rsidR="007261D3" w:rsidRPr="002F6E0E">
        <w:rPr>
          <w:rFonts w:eastAsia="Calibri"/>
        </w:rPr>
      </w:r>
      <w:r w:rsidR="007261D3" w:rsidRPr="002F6E0E">
        <w:rPr>
          <w:rFonts w:eastAsia="Calibri"/>
        </w:rPr>
        <w:fldChar w:fldCharType="separate"/>
      </w:r>
      <w:r w:rsidR="00EF4998">
        <w:rPr>
          <w:rFonts w:eastAsia="Calibri"/>
        </w:rPr>
        <w:t>6.11</w:t>
      </w:r>
      <w:r w:rsidR="007261D3" w:rsidRPr="002F6E0E">
        <w:rPr>
          <w:rFonts w:eastAsia="Calibri"/>
        </w:rPr>
        <w:fldChar w:fldCharType="end"/>
      </w:r>
      <w:r w:rsidR="007261D3" w:rsidRPr="002F6E0E">
        <w:rPr>
          <w:rFonts w:eastAsia="Calibri"/>
        </w:rPr>
        <w:t xml:space="preserve"> and </w:t>
      </w:r>
      <w:r w:rsidR="007261D3" w:rsidRPr="002F6E0E">
        <w:rPr>
          <w:rFonts w:eastAsia="Calibri"/>
        </w:rPr>
        <w:fldChar w:fldCharType="begin"/>
      </w:r>
      <w:r w:rsidR="007261D3" w:rsidRPr="002F6E0E">
        <w:rPr>
          <w:rFonts w:eastAsia="Calibri"/>
        </w:rPr>
        <w:instrText xml:space="preserve"> REF _Ref187232336 \r \h  \* MERGEFORMAT </w:instrText>
      </w:r>
      <w:r w:rsidR="007261D3" w:rsidRPr="002F6E0E">
        <w:rPr>
          <w:rFonts w:eastAsia="Calibri"/>
        </w:rPr>
      </w:r>
      <w:r w:rsidR="007261D3" w:rsidRPr="002F6E0E">
        <w:rPr>
          <w:rFonts w:eastAsia="Calibri"/>
        </w:rPr>
        <w:fldChar w:fldCharType="separate"/>
      </w:r>
      <w:r w:rsidR="00EF4998">
        <w:rPr>
          <w:rFonts w:eastAsia="Calibri"/>
        </w:rPr>
        <w:t>6.12</w:t>
      </w:r>
      <w:r w:rsidR="007261D3" w:rsidRPr="002F6E0E">
        <w:rPr>
          <w:rFonts w:eastAsia="Calibri"/>
        </w:rPr>
        <w:fldChar w:fldCharType="end"/>
      </w:r>
      <w:r w:rsidR="00F24ABD" w:rsidRPr="002F6E0E">
        <w:rPr>
          <w:rFonts w:eastAsia="Calibri"/>
        </w:rPr>
        <w:t>,</w:t>
      </w:r>
      <w:r w:rsidR="002B546C" w:rsidRPr="002F6E0E">
        <w:rPr>
          <w:rFonts w:eastAsia="Calibri"/>
        </w:rPr>
        <w:t xml:space="preserve"> </w:t>
      </w:r>
      <w:r w:rsidR="00445567" w:rsidRPr="002F6E0E">
        <w:rPr>
          <w:rFonts w:eastAsia="Calibri"/>
        </w:rPr>
        <w:t>there were</w:t>
      </w:r>
      <w:r w:rsidR="00F615F7" w:rsidRPr="002F6E0E">
        <w:rPr>
          <w:rFonts w:eastAsia="Calibri"/>
        </w:rPr>
        <w:t xml:space="preserve"> </w:t>
      </w:r>
      <w:r w:rsidR="002B546C" w:rsidRPr="002F6E0E">
        <w:rPr>
          <w:rFonts w:eastAsia="Calibri"/>
        </w:rPr>
        <w:t xml:space="preserve">differences </w:t>
      </w:r>
      <w:r w:rsidR="007261D3" w:rsidRPr="002F6E0E">
        <w:rPr>
          <w:rFonts w:eastAsia="Calibri"/>
        </w:rPr>
        <w:t>across</w:t>
      </w:r>
      <w:r w:rsidR="002B546C" w:rsidRPr="002F6E0E">
        <w:rPr>
          <w:rFonts w:eastAsia="Calibri"/>
        </w:rPr>
        <w:t xml:space="preserve"> the studies</w:t>
      </w:r>
      <w:r w:rsidR="00FD7DA3" w:rsidRPr="002F6E0E">
        <w:rPr>
          <w:rFonts w:eastAsia="Calibri"/>
        </w:rPr>
        <w:t xml:space="preserve">, </w:t>
      </w:r>
      <w:r w:rsidR="002B546C" w:rsidRPr="002F6E0E">
        <w:rPr>
          <w:rFonts w:eastAsia="Calibri"/>
        </w:rPr>
        <w:t>in terms of disease histology, gender, brain metastases, smoking status, subsequent treatment, and the</w:t>
      </w:r>
      <w:r w:rsidR="00B53DBD" w:rsidRPr="002F6E0E">
        <w:rPr>
          <w:rFonts w:eastAsia="Calibri"/>
        </w:rPr>
        <w:t xml:space="preserve"> trial</w:t>
      </w:r>
      <w:r w:rsidR="002B546C" w:rsidRPr="002F6E0E">
        <w:rPr>
          <w:rFonts w:eastAsia="Calibri"/>
        </w:rPr>
        <w:t xml:space="preserve"> follow-up duration</w:t>
      </w:r>
      <w:r w:rsidR="00FD7DA3" w:rsidRPr="002F6E0E">
        <w:rPr>
          <w:rFonts w:eastAsia="Calibri"/>
        </w:rPr>
        <w:t xml:space="preserve">. </w:t>
      </w:r>
    </w:p>
    <w:p w14:paraId="1452C351" w14:textId="0D19F1B0" w:rsidR="00B60939" w:rsidRPr="00C9624D" w:rsidRDefault="00B60939" w:rsidP="00D86231">
      <w:pPr>
        <w:pStyle w:val="4-SubsectionHeading"/>
      </w:pPr>
      <w:bookmarkStart w:id="67" w:name="_Toc22897642"/>
      <w:bookmarkStart w:id="68" w:name="_Toc186369240"/>
      <w:bookmarkStart w:id="69" w:name="_Toc188347778"/>
      <w:r w:rsidRPr="00C9624D">
        <w:t>Comparative harms</w:t>
      </w:r>
      <w:bookmarkEnd w:id="67"/>
      <w:bookmarkEnd w:id="68"/>
      <w:bookmarkEnd w:id="69"/>
    </w:p>
    <w:p w14:paraId="657085C8" w14:textId="731823ED" w:rsidR="00774A85" w:rsidRDefault="0068681E" w:rsidP="000B6113">
      <w:pPr>
        <w:pStyle w:val="3-BodyText"/>
        <w:rPr>
          <w:rFonts w:eastAsia="Calibri"/>
        </w:rPr>
      </w:pPr>
      <w:r w:rsidRPr="03CF4CC7">
        <w:rPr>
          <w:rFonts w:eastAsia="Calibri"/>
        </w:rPr>
        <w:t>In the E2201 study, all patients except one experienced an adverse event</w:t>
      </w:r>
      <w:r w:rsidR="00482B0F" w:rsidRPr="03CF4CC7">
        <w:rPr>
          <w:rFonts w:eastAsia="Calibri"/>
        </w:rPr>
        <w:t xml:space="preserve"> (AE)</w:t>
      </w:r>
      <w:r w:rsidRPr="03CF4CC7">
        <w:rPr>
          <w:rFonts w:eastAsia="Calibri"/>
        </w:rPr>
        <w:t>, with 89% experiencing a treatment-related AE</w:t>
      </w:r>
      <w:r w:rsidR="00D54114" w:rsidRPr="03CF4CC7">
        <w:rPr>
          <w:rFonts w:eastAsia="Calibri"/>
        </w:rPr>
        <w:t>s</w:t>
      </w:r>
      <w:r w:rsidRPr="03CF4CC7">
        <w:rPr>
          <w:rFonts w:eastAsia="Calibri"/>
        </w:rPr>
        <w:t xml:space="preserve">. A high proportion of patients experienced a serious AE (SAE; 67%), with 43% experiencing a treatment-related SAE. A total of 25% permanently discontinued treatment due to an AE. </w:t>
      </w:r>
      <w:r w:rsidR="00360775" w:rsidRPr="03CF4CC7">
        <w:rPr>
          <w:rFonts w:eastAsia="Calibri"/>
        </w:rPr>
        <w:t xml:space="preserve">Death </w:t>
      </w:r>
      <w:r w:rsidR="000709C9" w:rsidRPr="03CF4CC7">
        <w:rPr>
          <w:rFonts w:eastAsia="Calibri"/>
        </w:rPr>
        <w:t>occurred</w:t>
      </w:r>
      <w:r w:rsidR="00360775" w:rsidRPr="03CF4CC7">
        <w:rPr>
          <w:rFonts w:eastAsia="Calibri"/>
        </w:rPr>
        <w:t xml:space="preserve"> in </w:t>
      </w:r>
      <w:r w:rsidR="000709C9" w:rsidRPr="03CF4CC7">
        <w:rPr>
          <w:rFonts w:eastAsia="Calibri"/>
        </w:rPr>
        <w:t>9% of patients due to AE.</w:t>
      </w:r>
    </w:p>
    <w:p w14:paraId="703CF95D" w14:textId="1CA1354A" w:rsidR="000709C9" w:rsidRDefault="00C05B2C" w:rsidP="000709C9">
      <w:pPr>
        <w:pStyle w:val="3-BodyText"/>
        <w:rPr>
          <w:rFonts w:eastAsia="Calibri"/>
        </w:rPr>
      </w:pPr>
      <w:r w:rsidRPr="00C05B2C">
        <w:rPr>
          <w:rFonts w:eastAsia="Calibri"/>
        </w:rPr>
        <w:t xml:space="preserve">In the KN-189 trial, all but one patient in the </w:t>
      </w:r>
      <w:proofErr w:type="spellStart"/>
      <w:r w:rsidRPr="00C05B2C">
        <w:rPr>
          <w:rFonts w:eastAsia="Calibri"/>
        </w:rPr>
        <w:t>pembrolizumab+PBC</w:t>
      </w:r>
      <w:proofErr w:type="spellEnd"/>
      <w:r w:rsidRPr="00C05B2C">
        <w:rPr>
          <w:rFonts w:eastAsia="Calibri"/>
        </w:rPr>
        <w:t xml:space="preserve"> arm experienced an AE, with 93% experiencing</w:t>
      </w:r>
      <w:r w:rsidR="00482B0F">
        <w:rPr>
          <w:rFonts w:eastAsia="Calibri"/>
        </w:rPr>
        <w:t xml:space="preserve"> a</w:t>
      </w:r>
      <w:r w:rsidRPr="00C05B2C">
        <w:rPr>
          <w:rFonts w:eastAsia="Calibri"/>
        </w:rPr>
        <w:t xml:space="preserve"> treatment-related AEs. In the KN-407 trial, approximately 99% of patients experienced an AE, with 96% </w:t>
      </w:r>
      <w:r w:rsidR="00482B0F">
        <w:rPr>
          <w:rFonts w:eastAsia="Calibri"/>
        </w:rPr>
        <w:t>experiencing</w:t>
      </w:r>
      <w:r w:rsidRPr="00C05B2C">
        <w:rPr>
          <w:rFonts w:eastAsia="Calibri"/>
        </w:rPr>
        <w:t xml:space="preserve"> </w:t>
      </w:r>
      <w:r w:rsidR="00482B0F">
        <w:rPr>
          <w:rFonts w:eastAsia="Calibri"/>
        </w:rPr>
        <w:t xml:space="preserve">a </w:t>
      </w:r>
      <w:r w:rsidRPr="00C05B2C">
        <w:rPr>
          <w:rFonts w:eastAsia="Calibri"/>
        </w:rPr>
        <w:t>treatment-related AEs. Treatment discontinuation due to AEs occurred in 36% of patients in KN-189 and 29% in KN-407</w:t>
      </w:r>
      <w:r w:rsidR="00676C50">
        <w:rPr>
          <w:rFonts w:eastAsia="Calibri"/>
        </w:rPr>
        <w:t xml:space="preserve"> trials</w:t>
      </w:r>
      <w:r w:rsidRPr="00C05B2C">
        <w:rPr>
          <w:rFonts w:eastAsia="Calibri"/>
        </w:rPr>
        <w:t>.</w:t>
      </w:r>
      <w:r w:rsidR="000709C9">
        <w:rPr>
          <w:rFonts w:eastAsia="Calibri"/>
        </w:rPr>
        <w:t xml:space="preserve"> Death due to AEs occurred in </w:t>
      </w:r>
      <w:r w:rsidR="00A241BB">
        <w:rPr>
          <w:rFonts w:eastAsia="Calibri"/>
        </w:rPr>
        <w:t>7</w:t>
      </w:r>
      <w:r w:rsidR="000709C9">
        <w:rPr>
          <w:rFonts w:eastAsia="Calibri"/>
        </w:rPr>
        <w:t xml:space="preserve">% of patients </w:t>
      </w:r>
      <w:r w:rsidR="00A241BB">
        <w:rPr>
          <w:rFonts w:eastAsia="Calibri"/>
        </w:rPr>
        <w:t xml:space="preserve">in KN-189 and </w:t>
      </w:r>
      <w:r w:rsidR="00676C50">
        <w:rPr>
          <w:rFonts w:eastAsia="Calibri"/>
        </w:rPr>
        <w:t>4% in KN-407 trials</w:t>
      </w:r>
      <w:r w:rsidR="000709C9">
        <w:rPr>
          <w:rFonts w:eastAsia="Calibri"/>
        </w:rPr>
        <w:t>.</w:t>
      </w:r>
    </w:p>
    <w:p w14:paraId="1DA56543" w14:textId="77BC9D19" w:rsidR="00332392" w:rsidRPr="00332392" w:rsidRDefault="00332392" w:rsidP="00332392">
      <w:pPr>
        <w:pStyle w:val="3-BodyText"/>
        <w:rPr>
          <w:rFonts w:eastAsia="Calibri"/>
        </w:rPr>
      </w:pPr>
      <w:r w:rsidRPr="03CF4CC7">
        <w:rPr>
          <w:rFonts w:eastAsia="Calibri"/>
        </w:rPr>
        <w:t xml:space="preserve">D+T and </w:t>
      </w:r>
      <w:proofErr w:type="spellStart"/>
      <w:r w:rsidRPr="03CF4CC7">
        <w:rPr>
          <w:rFonts w:eastAsia="Calibri"/>
        </w:rPr>
        <w:t>pembrolizumab+PBC</w:t>
      </w:r>
      <w:proofErr w:type="spellEnd"/>
      <w:r w:rsidRPr="03CF4CC7">
        <w:rPr>
          <w:rFonts w:eastAsia="Calibri"/>
        </w:rPr>
        <w:t xml:space="preserve"> have distinct safety profile</w:t>
      </w:r>
      <w:r w:rsidR="2041934E" w:rsidRPr="03CF4CC7">
        <w:rPr>
          <w:rFonts w:eastAsia="Calibri"/>
        </w:rPr>
        <w:t>s</w:t>
      </w:r>
      <w:r w:rsidRPr="03CF4CC7">
        <w:rPr>
          <w:rFonts w:eastAsia="Calibri"/>
        </w:rPr>
        <w:t xml:space="preserve">. </w:t>
      </w:r>
      <w:r w:rsidR="00492A06" w:rsidRPr="03CF4CC7">
        <w:rPr>
          <w:rFonts w:eastAsia="Calibri"/>
        </w:rPr>
        <w:t>In the D+T treatment arm, t</w:t>
      </w:r>
      <w:r w:rsidRPr="03CF4CC7">
        <w:rPr>
          <w:rFonts w:eastAsia="Calibri"/>
        </w:rPr>
        <w:t>he most common Grade</w:t>
      </w:r>
      <w:r w:rsidR="7FC5624B" w:rsidRPr="03CF4CC7">
        <w:rPr>
          <w:rFonts w:eastAsia="Calibri"/>
        </w:rPr>
        <w:t xml:space="preserve"> </w:t>
      </w:r>
      <w:r w:rsidRPr="03CF4CC7">
        <w:rPr>
          <w:rFonts w:eastAsia="Calibri"/>
        </w:rPr>
        <w:t>≥3 AEs were hypertension and hyponatraemia (10% each)</w:t>
      </w:r>
      <w:r w:rsidR="00492A06" w:rsidRPr="03CF4CC7">
        <w:rPr>
          <w:rFonts w:eastAsia="Calibri"/>
        </w:rPr>
        <w:t>,</w:t>
      </w:r>
      <w:r w:rsidRPr="03CF4CC7">
        <w:rPr>
          <w:rFonts w:eastAsia="Calibri"/>
        </w:rPr>
        <w:t xml:space="preserve"> followed by dyspnoea (8%), neutropenia (8%), pyrexia (6%), </w:t>
      </w:r>
      <w:r w:rsidR="00492A06" w:rsidRPr="03CF4CC7">
        <w:rPr>
          <w:rFonts w:eastAsia="Calibri"/>
        </w:rPr>
        <w:t xml:space="preserve">increased </w:t>
      </w:r>
      <w:r w:rsidRPr="03CF4CC7">
        <w:rPr>
          <w:rFonts w:eastAsia="Calibri"/>
        </w:rPr>
        <w:t>alanine aminotransferase (6%)</w:t>
      </w:r>
      <w:r w:rsidR="00492A06" w:rsidRPr="03CF4CC7">
        <w:rPr>
          <w:rFonts w:eastAsia="Calibri"/>
        </w:rPr>
        <w:t>,</w:t>
      </w:r>
      <w:r w:rsidRPr="03CF4CC7">
        <w:rPr>
          <w:rFonts w:eastAsia="Calibri"/>
        </w:rPr>
        <w:t xml:space="preserve"> and anaemia (5%).</w:t>
      </w:r>
      <w:r w:rsidR="0066181F" w:rsidRPr="03CF4CC7">
        <w:rPr>
          <w:rFonts w:eastAsia="Calibri"/>
        </w:rPr>
        <w:t xml:space="preserve"> </w:t>
      </w:r>
      <w:r w:rsidR="00492A06" w:rsidRPr="03CF4CC7">
        <w:rPr>
          <w:rFonts w:eastAsia="Calibri"/>
        </w:rPr>
        <w:t xml:space="preserve">In the </w:t>
      </w:r>
      <w:proofErr w:type="spellStart"/>
      <w:r w:rsidR="00492A06" w:rsidRPr="03CF4CC7">
        <w:rPr>
          <w:rFonts w:eastAsia="Calibri"/>
        </w:rPr>
        <w:t>pembrolizumab+PBC</w:t>
      </w:r>
      <w:proofErr w:type="spellEnd"/>
      <w:r w:rsidR="00492A06" w:rsidRPr="03CF4CC7">
        <w:rPr>
          <w:rFonts w:eastAsia="Calibri"/>
        </w:rPr>
        <w:t xml:space="preserve"> arm, </w:t>
      </w:r>
      <w:r w:rsidR="00E83CB5" w:rsidRPr="03CF4CC7">
        <w:rPr>
          <w:rFonts w:eastAsia="Calibri"/>
        </w:rPr>
        <w:t>th</w:t>
      </w:r>
      <w:r w:rsidRPr="03CF4CC7">
        <w:rPr>
          <w:rFonts w:eastAsia="Calibri"/>
        </w:rPr>
        <w:t xml:space="preserve">e most </w:t>
      </w:r>
      <w:r w:rsidR="00E83CB5" w:rsidRPr="03CF4CC7">
        <w:rPr>
          <w:rFonts w:eastAsia="Calibri"/>
        </w:rPr>
        <w:t>c</w:t>
      </w:r>
      <w:r w:rsidRPr="03CF4CC7">
        <w:rPr>
          <w:rFonts w:eastAsia="Calibri"/>
        </w:rPr>
        <w:t>ommon Grade</w:t>
      </w:r>
      <w:r w:rsidR="788BA389" w:rsidRPr="03CF4CC7">
        <w:rPr>
          <w:rFonts w:eastAsia="Calibri"/>
        </w:rPr>
        <w:t xml:space="preserve"> </w:t>
      </w:r>
      <w:r w:rsidRPr="03CF4CC7">
        <w:rPr>
          <w:rFonts w:eastAsia="Calibri"/>
        </w:rPr>
        <w:t xml:space="preserve">≥3 AEs arm </w:t>
      </w:r>
      <w:r w:rsidR="008B338A" w:rsidRPr="03CF4CC7">
        <w:rPr>
          <w:rFonts w:eastAsia="Calibri"/>
        </w:rPr>
        <w:t>were</w:t>
      </w:r>
      <w:r w:rsidR="005104E3" w:rsidRPr="03CF4CC7">
        <w:rPr>
          <w:rFonts w:eastAsia="Calibri"/>
        </w:rPr>
        <w:t xml:space="preserve"> </w:t>
      </w:r>
      <w:r w:rsidR="00A51B21" w:rsidRPr="03CF4CC7">
        <w:rPr>
          <w:rFonts w:eastAsia="Calibri"/>
        </w:rPr>
        <w:t xml:space="preserve">neutropenia (17%), thrombocytopenia (9%), fatigue </w:t>
      </w:r>
      <w:r w:rsidR="00A51B21" w:rsidRPr="03CF4CC7">
        <w:rPr>
          <w:rFonts w:eastAsia="Calibri"/>
        </w:rPr>
        <w:lastRenderedPageBreak/>
        <w:t>(8%), asthenia (7%), and diarrhoea (5%) in the KN-189 trial</w:t>
      </w:r>
      <w:r w:rsidR="00E83CB5" w:rsidRPr="03CF4CC7">
        <w:rPr>
          <w:rFonts w:eastAsia="Calibri"/>
        </w:rPr>
        <w:t>,</w:t>
      </w:r>
      <w:r w:rsidR="00E1225A" w:rsidRPr="03CF4CC7">
        <w:rPr>
          <w:rFonts w:eastAsia="Calibri"/>
        </w:rPr>
        <w:t xml:space="preserve"> and </w:t>
      </w:r>
      <w:r w:rsidR="005104E3" w:rsidRPr="03CF4CC7">
        <w:rPr>
          <w:rFonts w:eastAsia="Calibri"/>
        </w:rPr>
        <w:t xml:space="preserve">neutropenia (23%), </w:t>
      </w:r>
      <w:r w:rsidR="00697768" w:rsidRPr="03CF4CC7">
        <w:rPr>
          <w:rFonts w:eastAsia="Calibri"/>
        </w:rPr>
        <w:t xml:space="preserve">anaemia (16%), </w:t>
      </w:r>
      <w:r w:rsidR="005104E3" w:rsidRPr="03CF4CC7">
        <w:rPr>
          <w:rFonts w:eastAsia="Calibri"/>
        </w:rPr>
        <w:t>and thrombocytopenia (8%) in KN-407 trial.</w:t>
      </w:r>
    </w:p>
    <w:p w14:paraId="28DB05C7" w14:textId="5283A266" w:rsidR="00A615F9" w:rsidRDefault="009A3FF0" w:rsidP="000B6113">
      <w:pPr>
        <w:pStyle w:val="3-BodyText"/>
      </w:pPr>
      <w:r>
        <w:t>The submission presented a</w:t>
      </w:r>
      <w:r w:rsidR="004D373D">
        <w:t>n</w:t>
      </w:r>
      <w:r>
        <w:t xml:space="preserve"> </w:t>
      </w:r>
      <w:r w:rsidR="004D373D">
        <w:t>unanchored and unadjusted ITC</w:t>
      </w:r>
      <w:r>
        <w:t xml:space="preserve"> of safety data for D+T, including both first-line D+T and </w:t>
      </w:r>
      <w:r w:rsidR="00F402CA">
        <w:t>second and subsequent line</w:t>
      </w:r>
      <w:r>
        <w:t xml:space="preserve"> D+T, from the E2201 study and the pooled </w:t>
      </w:r>
      <w:proofErr w:type="spellStart"/>
      <w:r>
        <w:t>pembrolizumab+PBC</w:t>
      </w:r>
      <w:proofErr w:type="spellEnd"/>
      <w:r>
        <w:t xml:space="preserve"> arms from KN-189 and KN-407 trials. </w:t>
      </w:r>
      <w:r w:rsidR="00A615F9" w:rsidRPr="00A615F9">
        <w:t xml:space="preserve">The results of ITC for safety outcomes are presented in </w:t>
      </w:r>
      <w:r w:rsidR="00A615F9">
        <w:fldChar w:fldCharType="begin"/>
      </w:r>
      <w:r w:rsidR="00A615F9">
        <w:instrText xml:space="preserve"> REF _Ref186801804 \h </w:instrText>
      </w:r>
      <w:r w:rsidR="00A615F9">
        <w:fldChar w:fldCharType="separate"/>
      </w:r>
      <w:r w:rsidR="00EF4998">
        <w:t xml:space="preserve">Table </w:t>
      </w:r>
      <w:r w:rsidR="00EF4998">
        <w:rPr>
          <w:noProof/>
        </w:rPr>
        <w:t>9</w:t>
      </w:r>
      <w:r w:rsidR="00A615F9">
        <w:fldChar w:fldCharType="end"/>
      </w:r>
      <w:r w:rsidR="00A615F9">
        <w:t>.</w:t>
      </w:r>
    </w:p>
    <w:p w14:paraId="310B2246" w14:textId="5B673B03" w:rsidR="00B60939" w:rsidRPr="00D86231" w:rsidRDefault="00D6076E" w:rsidP="00D6076E">
      <w:pPr>
        <w:pStyle w:val="TableFigureHeading"/>
        <w:rPr>
          <w:rStyle w:val="CommentReference"/>
          <w:b/>
          <w:szCs w:val="24"/>
        </w:rPr>
      </w:pPr>
      <w:bookmarkStart w:id="70" w:name="_Ref186801804"/>
      <w:r>
        <w:t xml:space="preserve">Table </w:t>
      </w:r>
      <w:r w:rsidR="00E77066">
        <w:fldChar w:fldCharType="begin"/>
      </w:r>
      <w:r w:rsidR="00E77066">
        <w:instrText xml:space="preserve"> SEQ Table \* ARABIC </w:instrText>
      </w:r>
      <w:r w:rsidR="00E77066">
        <w:fldChar w:fldCharType="separate"/>
      </w:r>
      <w:r w:rsidR="00EF4998">
        <w:rPr>
          <w:noProof/>
        </w:rPr>
        <w:t>9</w:t>
      </w:r>
      <w:r w:rsidR="00E77066">
        <w:rPr>
          <w:noProof/>
        </w:rPr>
        <w:fldChar w:fldCharType="end"/>
      </w:r>
      <w:bookmarkEnd w:id="70"/>
      <w:r>
        <w:t xml:space="preserve">: </w:t>
      </w:r>
      <w:r w:rsidR="000C0BF1">
        <w:t>Unadjusted and unanchored i</w:t>
      </w:r>
      <w:r w:rsidR="000C0BF1">
        <w:rPr>
          <w:rStyle w:val="CommentReference"/>
          <w:b/>
          <w:szCs w:val="24"/>
        </w:rPr>
        <w:t>ndirect comparison for safety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34"/>
        <w:gridCol w:w="1275"/>
        <w:gridCol w:w="1558"/>
        <w:gridCol w:w="1562"/>
        <w:gridCol w:w="1648"/>
      </w:tblGrid>
      <w:tr w:rsidR="00E62865" w:rsidRPr="00080909" w14:paraId="3ADA51C0" w14:textId="65867EB2" w:rsidTr="00657791">
        <w:trPr>
          <w:cantSplit/>
          <w:tblHeader/>
        </w:trPr>
        <w:tc>
          <w:tcPr>
            <w:tcW w:w="1020" w:type="pct"/>
            <w:vAlign w:val="center"/>
          </w:tcPr>
          <w:p w14:paraId="21B479AB" w14:textId="3C5FDE33" w:rsidR="00891A0C" w:rsidRPr="00080909" w:rsidRDefault="00891A0C" w:rsidP="00891A0C">
            <w:pPr>
              <w:pStyle w:val="In-tableHeading"/>
            </w:pPr>
            <w:r>
              <w:t>n with event (%)</w:t>
            </w:r>
          </w:p>
        </w:tc>
        <w:tc>
          <w:tcPr>
            <w:tcW w:w="628" w:type="pct"/>
            <w:vAlign w:val="center"/>
          </w:tcPr>
          <w:p w14:paraId="23AC57BC" w14:textId="21609D2E" w:rsidR="00891A0C" w:rsidRDefault="00891A0C" w:rsidP="00C94324">
            <w:pPr>
              <w:pStyle w:val="In-tableHeading"/>
              <w:jc w:val="center"/>
            </w:pPr>
            <w:r>
              <w:t>D+T</w:t>
            </w:r>
          </w:p>
          <w:p w14:paraId="25AE8D22" w14:textId="3F6CF59F" w:rsidR="00891A0C" w:rsidRPr="00080909" w:rsidRDefault="00891A0C" w:rsidP="00891A0C">
            <w:pPr>
              <w:pStyle w:val="In-tableHeading"/>
              <w:jc w:val="center"/>
            </w:pPr>
            <w:r>
              <w:t>N=93</w:t>
            </w:r>
          </w:p>
        </w:tc>
        <w:tc>
          <w:tcPr>
            <w:tcW w:w="707" w:type="pct"/>
            <w:vAlign w:val="center"/>
          </w:tcPr>
          <w:p w14:paraId="34690FEB" w14:textId="680BE257" w:rsidR="00891A0C" w:rsidRDefault="00891A0C" w:rsidP="00891A0C">
            <w:pPr>
              <w:pStyle w:val="In-tableHeading"/>
              <w:jc w:val="center"/>
            </w:pPr>
            <w:r>
              <w:t>Pooled PEMBRO +PBC</w:t>
            </w:r>
          </w:p>
          <w:p w14:paraId="3D94778C" w14:textId="3ACB87DC" w:rsidR="00891A0C" w:rsidRPr="00080909" w:rsidRDefault="00891A0C" w:rsidP="00891A0C">
            <w:pPr>
              <w:pStyle w:val="In-tableHeading"/>
              <w:jc w:val="center"/>
            </w:pPr>
            <w:r>
              <w:t>N=683</w:t>
            </w:r>
          </w:p>
        </w:tc>
        <w:tc>
          <w:tcPr>
            <w:tcW w:w="864" w:type="pct"/>
            <w:vAlign w:val="center"/>
          </w:tcPr>
          <w:p w14:paraId="03BB1326" w14:textId="263FA582" w:rsidR="00891A0C" w:rsidRPr="00080909" w:rsidRDefault="00891A0C" w:rsidP="00941F51">
            <w:pPr>
              <w:pStyle w:val="PbacTableHeading"/>
              <w:jc w:val="center"/>
            </w:pPr>
            <w:r>
              <w:t>RD</w:t>
            </w:r>
            <w:r w:rsidRPr="007A0C3F">
              <w:t xml:space="preserve"> </w:t>
            </w:r>
            <w:r>
              <w:t>(9</w:t>
            </w:r>
            <w:r w:rsidRPr="007A0C3F">
              <w:t>5% CI</w:t>
            </w:r>
            <w:r>
              <w:t>)</w:t>
            </w:r>
          </w:p>
        </w:tc>
        <w:tc>
          <w:tcPr>
            <w:tcW w:w="866" w:type="pct"/>
            <w:vAlign w:val="center"/>
          </w:tcPr>
          <w:p w14:paraId="30C7502A" w14:textId="2759D78F" w:rsidR="00891A0C" w:rsidRDefault="00891A0C" w:rsidP="00941F51">
            <w:pPr>
              <w:pStyle w:val="PbacTableHeading"/>
              <w:jc w:val="center"/>
            </w:pPr>
            <w:r w:rsidRPr="007A0C3F">
              <w:t xml:space="preserve">RR </w:t>
            </w:r>
            <w:r>
              <w:t>(9</w:t>
            </w:r>
            <w:r w:rsidRPr="007A0C3F">
              <w:t>5% CI</w:t>
            </w:r>
            <w:r>
              <w:t>)</w:t>
            </w:r>
          </w:p>
        </w:tc>
        <w:tc>
          <w:tcPr>
            <w:tcW w:w="914" w:type="pct"/>
            <w:vAlign w:val="center"/>
          </w:tcPr>
          <w:p w14:paraId="73B76C7F" w14:textId="6533B505" w:rsidR="00891A0C" w:rsidRDefault="00891A0C" w:rsidP="00941F51">
            <w:pPr>
              <w:pStyle w:val="PbacTableHeading"/>
              <w:jc w:val="center"/>
            </w:pPr>
            <w:r w:rsidRPr="007A0C3F">
              <w:t xml:space="preserve">OR </w:t>
            </w:r>
            <w:r>
              <w:t>(9</w:t>
            </w:r>
            <w:r w:rsidRPr="007A0C3F">
              <w:t>5% CI</w:t>
            </w:r>
            <w:r>
              <w:t>)</w:t>
            </w:r>
          </w:p>
        </w:tc>
      </w:tr>
      <w:tr w:rsidR="00E62865" w14:paraId="222746FA" w14:textId="67262892" w:rsidTr="00657791">
        <w:trPr>
          <w:cantSplit/>
        </w:trPr>
        <w:tc>
          <w:tcPr>
            <w:tcW w:w="1020" w:type="pct"/>
            <w:vAlign w:val="center"/>
          </w:tcPr>
          <w:p w14:paraId="3823D7CF" w14:textId="1D4C4B81" w:rsidR="00446CE0" w:rsidRDefault="00446CE0" w:rsidP="00446CE0">
            <w:pPr>
              <w:pStyle w:val="TableText0"/>
            </w:pPr>
            <w:r>
              <w:t>Any AE</w:t>
            </w:r>
          </w:p>
        </w:tc>
        <w:tc>
          <w:tcPr>
            <w:tcW w:w="628" w:type="pct"/>
            <w:vAlign w:val="center"/>
          </w:tcPr>
          <w:p w14:paraId="521AF77D" w14:textId="1575035D" w:rsidR="00446CE0" w:rsidRDefault="00446CE0" w:rsidP="00446CE0">
            <w:pPr>
              <w:pStyle w:val="TableText0"/>
              <w:jc w:val="center"/>
            </w:pPr>
            <w:r>
              <w:t>92 (9</w:t>
            </w:r>
            <w:r w:rsidR="00E60F24">
              <w:t>8.9</w:t>
            </w:r>
            <w:r>
              <w:t>%)</w:t>
            </w:r>
          </w:p>
        </w:tc>
        <w:tc>
          <w:tcPr>
            <w:tcW w:w="707" w:type="pct"/>
            <w:vAlign w:val="center"/>
          </w:tcPr>
          <w:p w14:paraId="6F9567B3" w14:textId="2B412E59" w:rsidR="00446CE0" w:rsidRDefault="00446CE0" w:rsidP="00446CE0">
            <w:pPr>
              <w:pStyle w:val="TableText0"/>
              <w:jc w:val="center"/>
            </w:pPr>
            <w:r>
              <w:rPr>
                <w:rFonts w:eastAsia="Calibri"/>
              </w:rPr>
              <w:t>678 (99.3%)</w:t>
            </w:r>
          </w:p>
        </w:tc>
        <w:tc>
          <w:tcPr>
            <w:tcW w:w="864" w:type="pct"/>
          </w:tcPr>
          <w:p w14:paraId="51B83071" w14:textId="00292727" w:rsidR="00446CE0" w:rsidRPr="00891A0C" w:rsidRDefault="00446CE0" w:rsidP="00657791">
            <w:pPr>
              <w:pStyle w:val="TableText0"/>
              <w:ind w:left="-111" w:right="-105"/>
              <w:jc w:val="center"/>
            </w:pPr>
            <w:r w:rsidRPr="00841711">
              <w:t>-0.00</w:t>
            </w:r>
            <w:r w:rsidR="001B6D03">
              <w:t xml:space="preserve"> </w:t>
            </w:r>
            <w:r>
              <w:t>(</w:t>
            </w:r>
            <w:r w:rsidRPr="00841711">
              <w:t>-0.03</w:t>
            </w:r>
            <w:r w:rsidR="00E62865">
              <w:t>,</w:t>
            </w:r>
            <w:r w:rsidRPr="00841711">
              <w:t xml:space="preserve"> 0.02</w:t>
            </w:r>
            <w:r>
              <w:t>)</w:t>
            </w:r>
          </w:p>
        </w:tc>
        <w:tc>
          <w:tcPr>
            <w:tcW w:w="866" w:type="pct"/>
          </w:tcPr>
          <w:p w14:paraId="2AA11EE1" w14:textId="4BDB3269" w:rsidR="00446CE0" w:rsidRPr="00891A0C" w:rsidRDefault="00446CE0" w:rsidP="001B6D03">
            <w:pPr>
              <w:pStyle w:val="TableText0"/>
              <w:jc w:val="center"/>
            </w:pPr>
            <w:r w:rsidRPr="00050EE3">
              <w:t>1.00</w:t>
            </w:r>
            <w:r w:rsidR="001B6D03">
              <w:t xml:space="preserve"> </w:t>
            </w:r>
            <w:r>
              <w:t>(</w:t>
            </w:r>
            <w:r w:rsidRPr="00050EE3">
              <w:t>0.97</w:t>
            </w:r>
            <w:r w:rsidR="00E62865">
              <w:t>,</w:t>
            </w:r>
            <w:r w:rsidRPr="00050EE3">
              <w:t xml:space="preserve"> 1.02</w:t>
            </w:r>
            <w:r>
              <w:t>)</w:t>
            </w:r>
          </w:p>
        </w:tc>
        <w:tc>
          <w:tcPr>
            <w:tcW w:w="914" w:type="pct"/>
          </w:tcPr>
          <w:p w14:paraId="3DEF4F77" w14:textId="27ADABC2" w:rsidR="00446CE0" w:rsidRPr="00B1011F" w:rsidRDefault="00446CE0" w:rsidP="001B6D03">
            <w:pPr>
              <w:pStyle w:val="TableText0"/>
              <w:jc w:val="center"/>
            </w:pPr>
            <w:r w:rsidRPr="00050EE3">
              <w:t>0.68</w:t>
            </w:r>
            <w:r w:rsidR="001B6D03">
              <w:t xml:space="preserve"> </w:t>
            </w:r>
            <w:r>
              <w:t>(0</w:t>
            </w:r>
            <w:r w:rsidRPr="00050EE3">
              <w:t>.08</w:t>
            </w:r>
            <w:r>
              <w:t>,</w:t>
            </w:r>
            <w:r w:rsidRPr="00050EE3">
              <w:t xml:space="preserve"> 5.87</w:t>
            </w:r>
            <w:r>
              <w:t>)</w:t>
            </w:r>
          </w:p>
        </w:tc>
      </w:tr>
      <w:tr w:rsidR="00E62865" w14:paraId="0384327F" w14:textId="4DA0F40F" w:rsidTr="00657791">
        <w:trPr>
          <w:cantSplit/>
        </w:trPr>
        <w:tc>
          <w:tcPr>
            <w:tcW w:w="1020" w:type="pct"/>
            <w:vAlign w:val="center"/>
          </w:tcPr>
          <w:p w14:paraId="57DABC30" w14:textId="0534AC9A" w:rsidR="00446CE0" w:rsidRDefault="00446CE0" w:rsidP="00446CE0">
            <w:pPr>
              <w:pStyle w:val="TableText0"/>
            </w:pPr>
            <w:r>
              <w:t>Any TRAE</w:t>
            </w:r>
          </w:p>
        </w:tc>
        <w:tc>
          <w:tcPr>
            <w:tcW w:w="628" w:type="pct"/>
            <w:vAlign w:val="center"/>
          </w:tcPr>
          <w:p w14:paraId="7D724F55" w14:textId="632BB591" w:rsidR="00446CE0" w:rsidRDefault="00446CE0" w:rsidP="00446CE0">
            <w:pPr>
              <w:pStyle w:val="TableText0"/>
              <w:jc w:val="center"/>
            </w:pPr>
            <w:r>
              <w:t>83 (89</w:t>
            </w:r>
            <w:r w:rsidR="00E60F24">
              <w:t>.2</w:t>
            </w:r>
            <w:r>
              <w:t>%)</w:t>
            </w:r>
          </w:p>
        </w:tc>
        <w:tc>
          <w:tcPr>
            <w:tcW w:w="707" w:type="pct"/>
            <w:vAlign w:val="center"/>
          </w:tcPr>
          <w:p w14:paraId="255A5E2D" w14:textId="3BC34FB6" w:rsidR="00446CE0" w:rsidRDefault="00446CE0" w:rsidP="00446CE0">
            <w:pPr>
              <w:pStyle w:val="TableText0"/>
              <w:jc w:val="center"/>
            </w:pPr>
            <w:r w:rsidRPr="00644BD3">
              <w:rPr>
                <w:rFonts w:eastAsia="Calibri"/>
              </w:rPr>
              <w:t>643 (94.1%)</w:t>
            </w:r>
          </w:p>
        </w:tc>
        <w:tc>
          <w:tcPr>
            <w:tcW w:w="864" w:type="pct"/>
          </w:tcPr>
          <w:p w14:paraId="16DBA636" w14:textId="61CE4E34" w:rsidR="00446CE0" w:rsidRPr="00891A0C" w:rsidRDefault="00446CE0" w:rsidP="00657791">
            <w:pPr>
              <w:pStyle w:val="TableText0"/>
              <w:ind w:left="-111" w:right="-105"/>
              <w:jc w:val="center"/>
            </w:pPr>
            <w:r w:rsidRPr="00D222EB">
              <w:t>-0.05</w:t>
            </w:r>
            <w:r w:rsidR="001B6D03">
              <w:t xml:space="preserve"> </w:t>
            </w:r>
            <w:r>
              <w:t>(</w:t>
            </w:r>
            <w:r w:rsidRPr="00D222EB">
              <w:t>-0.11</w:t>
            </w:r>
            <w:r w:rsidR="00E62865">
              <w:t>,</w:t>
            </w:r>
            <w:r w:rsidRPr="00D222EB">
              <w:t xml:space="preserve"> 0.02</w:t>
            </w:r>
            <w:r>
              <w:t>)</w:t>
            </w:r>
          </w:p>
        </w:tc>
        <w:tc>
          <w:tcPr>
            <w:tcW w:w="866" w:type="pct"/>
          </w:tcPr>
          <w:p w14:paraId="012EB0EC" w14:textId="5001990D" w:rsidR="00446CE0" w:rsidRPr="00891A0C" w:rsidRDefault="00446CE0" w:rsidP="001B6D03">
            <w:pPr>
              <w:pStyle w:val="TableText0"/>
              <w:jc w:val="center"/>
            </w:pPr>
            <w:r w:rsidRPr="00D222EB">
              <w:t>0.95</w:t>
            </w:r>
            <w:r w:rsidR="001B6D03">
              <w:t xml:space="preserve"> </w:t>
            </w:r>
            <w:r>
              <w:t>(</w:t>
            </w:r>
            <w:r w:rsidRPr="00D222EB">
              <w:t>0.88</w:t>
            </w:r>
            <w:r w:rsidR="00E62865">
              <w:t>,</w:t>
            </w:r>
            <w:r w:rsidRPr="00D222EB">
              <w:t xml:space="preserve"> 1.02</w:t>
            </w:r>
            <w:r>
              <w:t>)</w:t>
            </w:r>
          </w:p>
        </w:tc>
        <w:tc>
          <w:tcPr>
            <w:tcW w:w="914" w:type="pct"/>
          </w:tcPr>
          <w:p w14:paraId="32BFC562" w14:textId="799DF680" w:rsidR="00446CE0" w:rsidRPr="00B1011F" w:rsidRDefault="00446CE0" w:rsidP="001B6D03">
            <w:pPr>
              <w:pStyle w:val="TableText0"/>
              <w:jc w:val="center"/>
            </w:pPr>
            <w:r w:rsidRPr="00D222EB">
              <w:t>0.52</w:t>
            </w:r>
            <w:r w:rsidR="001B6D03">
              <w:t xml:space="preserve"> </w:t>
            </w:r>
            <w:r>
              <w:t>(</w:t>
            </w:r>
            <w:r w:rsidRPr="00D222EB">
              <w:t>0.25</w:t>
            </w:r>
            <w:r>
              <w:t xml:space="preserve">, </w:t>
            </w:r>
            <w:r w:rsidRPr="00D222EB">
              <w:t>1.07</w:t>
            </w:r>
            <w:r>
              <w:t>)</w:t>
            </w:r>
          </w:p>
        </w:tc>
      </w:tr>
      <w:tr w:rsidR="00E62865" w14:paraId="288735B9" w14:textId="7FFD93F1" w:rsidTr="00657791">
        <w:trPr>
          <w:cantSplit/>
        </w:trPr>
        <w:tc>
          <w:tcPr>
            <w:tcW w:w="1020" w:type="pct"/>
            <w:vAlign w:val="center"/>
          </w:tcPr>
          <w:p w14:paraId="0191F38E" w14:textId="147052BC" w:rsidR="00446CE0" w:rsidRDefault="00446CE0" w:rsidP="00446CE0">
            <w:pPr>
              <w:pStyle w:val="TableText0"/>
            </w:pPr>
            <w:r>
              <w:t>Grade ≥ 3 AE</w:t>
            </w:r>
          </w:p>
        </w:tc>
        <w:tc>
          <w:tcPr>
            <w:tcW w:w="628" w:type="pct"/>
            <w:vAlign w:val="center"/>
          </w:tcPr>
          <w:p w14:paraId="573931A7" w14:textId="4B578E14" w:rsidR="00446CE0" w:rsidRDefault="00446CE0" w:rsidP="00446CE0">
            <w:pPr>
              <w:pStyle w:val="TableText0"/>
              <w:jc w:val="center"/>
            </w:pPr>
            <w:r>
              <w:t>69 (74</w:t>
            </w:r>
            <w:r w:rsidR="00EB0378">
              <w:t>.2</w:t>
            </w:r>
            <w:r>
              <w:t>%)</w:t>
            </w:r>
          </w:p>
        </w:tc>
        <w:tc>
          <w:tcPr>
            <w:tcW w:w="707" w:type="pct"/>
            <w:vAlign w:val="center"/>
          </w:tcPr>
          <w:p w14:paraId="4832ADCF" w14:textId="7BDCD4BE" w:rsidR="00446CE0" w:rsidRDefault="00446CE0" w:rsidP="00446CE0">
            <w:pPr>
              <w:pStyle w:val="TableText0"/>
              <w:jc w:val="center"/>
            </w:pPr>
            <w:r>
              <w:rPr>
                <w:rFonts w:eastAsia="Calibri"/>
              </w:rPr>
              <w:t>503 (73.6%)</w:t>
            </w:r>
          </w:p>
        </w:tc>
        <w:tc>
          <w:tcPr>
            <w:tcW w:w="864" w:type="pct"/>
          </w:tcPr>
          <w:p w14:paraId="5B42B0D8" w14:textId="495F5335" w:rsidR="00446CE0" w:rsidRPr="00891A0C" w:rsidRDefault="00446CE0" w:rsidP="00657791">
            <w:pPr>
              <w:pStyle w:val="TableText0"/>
              <w:ind w:left="-111" w:right="-105"/>
              <w:jc w:val="center"/>
            </w:pPr>
            <w:r w:rsidRPr="00050EE3">
              <w:t>0.01</w:t>
            </w:r>
            <w:r w:rsidR="001B6D03">
              <w:t xml:space="preserve"> </w:t>
            </w:r>
            <w:r>
              <w:t>(</w:t>
            </w:r>
            <w:r w:rsidRPr="00050EE3">
              <w:t>-0.09</w:t>
            </w:r>
            <w:r w:rsidR="00E62865">
              <w:t>,</w:t>
            </w:r>
            <w:r w:rsidRPr="00050EE3">
              <w:t xml:space="preserve"> 0.10</w:t>
            </w:r>
            <w:r>
              <w:t>)</w:t>
            </w:r>
          </w:p>
        </w:tc>
        <w:tc>
          <w:tcPr>
            <w:tcW w:w="866" w:type="pct"/>
          </w:tcPr>
          <w:p w14:paraId="1AEAC977" w14:textId="7032DC26" w:rsidR="00446CE0" w:rsidRPr="00891A0C" w:rsidRDefault="00446CE0" w:rsidP="001B6D03">
            <w:pPr>
              <w:pStyle w:val="TableText0"/>
              <w:jc w:val="center"/>
            </w:pPr>
            <w:r w:rsidRPr="00050EE3">
              <w:t>1.01</w:t>
            </w:r>
            <w:r w:rsidR="001B6D03">
              <w:t xml:space="preserve"> </w:t>
            </w:r>
            <w:r>
              <w:t>(</w:t>
            </w:r>
            <w:r w:rsidRPr="00050EE3">
              <w:t>0.89</w:t>
            </w:r>
            <w:r w:rsidR="00E62865">
              <w:t>,</w:t>
            </w:r>
            <w:r w:rsidRPr="00050EE3">
              <w:t xml:space="preserve"> 1.14</w:t>
            </w:r>
            <w:r>
              <w:t>)</w:t>
            </w:r>
          </w:p>
        </w:tc>
        <w:tc>
          <w:tcPr>
            <w:tcW w:w="914" w:type="pct"/>
          </w:tcPr>
          <w:p w14:paraId="3E21910B" w14:textId="0EA54D6D" w:rsidR="00446CE0" w:rsidRPr="00B1011F" w:rsidRDefault="00446CE0" w:rsidP="001B6D03">
            <w:pPr>
              <w:pStyle w:val="TableText0"/>
              <w:jc w:val="center"/>
            </w:pPr>
            <w:r w:rsidRPr="00234ED2">
              <w:t>1.03</w:t>
            </w:r>
            <w:r w:rsidR="001B6D03">
              <w:t xml:space="preserve"> </w:t>
            </w:r>
            <w:r>
              <w:t>(</w:t>
            </w:r>
            <w:r w:rsidRPr="00234ED2">
              <w:t>0.63</w:t>
            </w:r>
            <w:r>
              <w:t xml:space="preserve">, </w:t>
            </w:r>
            <w:r w:rsidRPr="00234ED2">
              <w:t>1.69</w:t>
            </w:r>
            <w:r>
              <w:t>)</w:t>
            </w:r>
          </w:p>
        </w:tc>
      </w:tr>
      <w:tr w:rsidR="00E62865" w14:paraId="7F2E31EB" w14:textId="77777777" w:rsidTr="00657791">
        <w:trPr>
          <w:cantSplit/>
        </w:trPr>
        <w:tc>
          <w:tcPr>
            <w:tcW w:w="1020" w:type="pct"/>
          </w:tcPr>
          <w:p w14:paraId="3DF883D5" w14:textId="272DA658" w:rsidR="00E62865" w:rsidRDefault="00E62865" w:rsidP="00E62865">
            <w:pPr>
              <w:pStyle w:val="TableText0"/>
              <w:ind w:left="168"/>
            </w:pPr>
            <w:r w:rsidRPr="00D220F3">
              <w:t>Neutropenia</w:t>
            </w:r>
          </w:p>
        </w:tc>
        <w:tc>
          <w:tcPr>
            <w:tcW w:w="628" w:type="pct"/>
          </w:tcPr>
          <w:p w14:paraId="01E64A17" w14:textId="47CCDB8D" w:rsidR="00E62865" w:rsidRDefault="00E62865" w:rsidP="00E62865">
            <w:pPr>
              <w:pStyle w:val="TableText0"/>
              <w:jc w:val="center"/>
            </w:pPr>
            <w:r w:rsidRPr="0044188E">
              <w:t>7 (</w:t>
            </w:r>
            <w:r w:rsidR="00EB0378">
              <w:t>7.5</w:t>
            </w:r>
            <w:r w:rsidRPr="0044188E">
              <w:t>%)</w:t>
            </w:r>
          </w:p>
        </w:tc>
        <w:tc>
          <w:tcPr>
            <w:tcW w:w="707" w:type="pct"/>
          </w:tcPr>
          <w:p w14:paraId="7AB5014F" w14:textId="1D23A280" w:rsidR="00E62865" w:rsidRDefault="00E62865" w:rsidP="00E62865">
            <w:pPr>
              <w:pStyle w:val="TableText0"/>
              <w:jc w:val="center"/>
              <w:rPr>
                <w:rFonts w:eastAsia="Calibri"/>
              </w:rPr>
            </w:pPr>
            <w:r w:rsidRPr="0044188E">
              <w:t>132 (19.3%)</w:t>
            </w:r>
          </w:p>
        </w:tc>
        <w:tc>
          <w:tcPr>
            <w:tcW w:w="864" w:type="pct"/>
          </w:tcPr>
          <w:p w14:paraId="0D00334F" w14:textId="7C5CE9F9" w:rsidR="00E62865" w:rsidRPr="00050EE3" w:rsidRDefault="00E62865" w:rsidP="00657791">
            <w:pPr>
              <w:pStyle w:val="TableText0"/>
              <w:ind w:left="-111" w:right="-105"/>
              <w:jc w:val="center"/>
            </w:pPr>
            <w:r w:rsidRPr="0041697E">
              <w:rPr>
                <w:b/>
              </w:rPr>
              <w:t>-0.12 (-0.18</w:t>
            </w:r>
            <w:r>
              <w:rPr>
                <w:b/>
              </w:rPr>
              <w:t>,</w:t>
            </w:r>
            <w:r w:rsidRPr="0041697E">
              <w:rPr>
                <w:b/>
              </w:rPr>
              <w:t xml:space="preserve"> -0.06)</w:t>
            </w:r>
          </w:p>
        </w:tc>
        <w:tc>
          <w:tcPr>
            <w:tcW w:w="866" w:type="pct"/>
          </w:tcPr>
          <w:p w14:paraId="5BBD0EA0" w14:textId="0A1F70BB" w:rsidR="00E62865" w:rsidRPr="00050EE3" w:rsidRDefault="00E62865" w:rsidP="00E62865">
            <w:pPr>
              <w:pStyle w:val="TableText0"/>
              <w:jc w:val="center"/>
            </w:pPr>
            <w:r w:rsidRPr="0041697E">
              <w:rPr>
                <w:b/>
              </w:rPr>
              <w:t>0.39 (0.19</w:t>
            </w:r>
            <w:r>
              <w:rPr>
                <w:b/>
              </w:rPr>
              <w:t>,</w:t>
            </w:r>
            <w:r w:rsidRPr="0041697E">
              <w:rPr>
                <w:b/>
              </w:rPr>
              <w:t xml:space="preserve"> 0.81)</w:t>
            </w:r>
          </w:p>
        </w:tc>
        <w:tc>
          <w:tcPr>
            <w:tcW w:w="914" w:type="pct"/>
          </w:tcPr>
          <w:p w14:paraId="7EE7016A" w14:textId="3E40C15C" w:rsidR="00E62865" w:rsidRPr="00234ED2" w:rsidRDefault="00E62865" w:rsidP="00E62865">
            <w:pPr>
              <w:pStyle w:val="TableText0"/>
              <w:jc w:val="center"/>
            </w:pPr>
            <w:r w:rsidRPr="0041697E">
              <w:rPr>
                <w:b/>
              </w:rPr>
              <w:t>0.34 (0.15</w:t>
            </w:r>
            <w:r>
              <w:rPr>
                <w:b/>
              </w:rPr>
              <w:t>,</w:t>
            </w:r>
            <w:r w:rsidRPr="0041697E">
              <w:rPr>
                <w:b/>
              </w:rPr>
              <w:t xml:space="preserve"> 0.75)</w:t>
            </w:r>
          </w:p>
        </w:tc>
      </w:tr>
      <w:tr w:rsidR="00E62865" w14:paraId="29ECFF7A" w14:textId="77777777" w:rsidTr="00657791">
        <w:trPr>
          <w:cantSplit/>
        </w:trPr>
        <w:tc>
          <w:tcPr>
            <w:tcW w:w="1020" w:type="pct"/>
          </w:tcPr>
          <w:p w14:paraId="77490483" w14:textId="1F7FFED2" w:rsidR="00E62865" w:rsidRDefault="00E62865" w:rsidP="00E62865">
            <w:pPr>
              <w:pStyle w:val="TableText0"/>
              <w:ind w:left="168"/>
            </w:pPr>
            <w:r w:rsidRPr="00D220F3">
              <w:t>Anaemia</w:t>
            </w:r>
          </w:p>
        </w:tc>
        <w:tc>
          <w:tcPr>
            <w:tcW w:w="628" w:type="pct"/>
          </w:tcPr>
          <w:p w14:paraId="473F0455" w14:textId="05C88720" w:rsidR="00E62865" w:rsidRDefault="00E62865" w:rsidP="00E62865">
            <w:pPr>
              <w:pStyle w:val="TableText0"/>
              <w:jc w:val="center"/>
            </w:pPr>
            <w:r w:rsidRPr="0044188E">
              <w:t>5 (5</w:t>
            </w:r>
            <w:r w:rsidR="00EB0378">
              <w:t>.4</w:t>
            </w:r>
            <w:r w:rsidRPr="0044188E">
              <w:t>%)</w:t>
            </w:r>
          </w:p>
        </w:tc>
        <w:tc>
          <w:tcPr>
            <w:tcW w:w="707" w:type="pct"/>
          </w:tcPr>
          <w:p w14:paraId="57961CB3" w14:textId="4959474D" w:rsidR="00E62865" w:rsidRDefault="00E62865" w:rsidP="00E62865">
            <w:pPr>
              <w:pStyle w:val="TableText0"/>
              <w:jc w:val="center"/>
              <w:rPr>
                <w:rFonts w:eastAsia="Calibri"/>
              </w:rPr>
            </w:pPr>
            <w:r w:rsidRPr="0044188E">
              <w:t>121 (17.7%)</w:t>
            </w:r>
          </w:p>
        </w:tc>
        <w:tc>
          <w:tcPr>
            <w:tcW w:w="864" w:type="pct"/>
          </w:tcPr>
          <w:p w14:paraId="34D7E77A" w14:textId="13597DE6" w:rsidR="00E62865" w:rsidRPr="00050EE3" w:rsidRDefault="00E62865" w:rsidP="00657791">
            <w:pPr>
              <w:pStyle w:val="TableText0"/>
              <w:ind w:left="-111" w:right="-105"/>
              <w:jc w:val="center"/>
            </w:pPr>
            <w:r w:rsidRPr="0041697E">
              <w:rPr>
                <w:b/>
              </w:rPr>
              <w:t>-0.12 (-0.18</w:t>
            </w:r>
            <w:r>
              <w:rPr>
                <w:b/>
              </w:rPr>
              <w:t>,</w:t>
            </w:r>
            <w:r w:rsidRPr="0041697E">
              <w:rPr>
                <w:b/>
              </w:rPr>
              <w:t xml:space="preserve"> -0.07)</w:t>
            </w:r>
          </w:p>
        </w:tc>
        <w:tc>
          <w:tcPr>
            <w:tcW w:w="866" w:type="pct"/>
          </w:tcPr>
          <w:p w14:paraId="59D8151A" w14:textId="01E23FCA" w:rsidR="00E62865" w:rsidRPr="008E3AC7" w:rsidRDefault="00E62865" w:rsidP="00E62865">
            <w:pPr>
              <w:pStyle w:val="TableText0"/>
              <w:jc w:val="center"/>
              <w:rPr>
                <w:b/>
                <w:bCs w:val="0"/>
              </w:rPr>
            </w:pPr>
            <w:r w:rsidRPr="008E3AC7">
              <w:rPr>
                <w:b/>
                <w:bCs w:val="0"/>
              </w:rPr>
              <w:t>0.30 (0.13, 0.72)</w:t>
            </w:r>
          </w:p>
        </w:tc>
        <w:tc>
          <w:tcPr>
            <w:tcW w:w="914" w:type="pct"/>
          </w:tcPr>
          <w:p w14:paraId="51AE61DB" w14:textId="717E6C9B" w:rsidR="00E62865" w:rsidRPr="00D5745B" w:rsidRDefault="00E62865" w:rsidP="00E62865">
            <w:pPr>
              <w:pStyle w:val="TableText0"/>
              <w:jc w:val="center"/>
              <w:rPr>
                <w:b/>
                <w:bCs w:val="0"/>
              </w:rPr>
            </w:pPr>
            <w:r w:rsidRPr="00D5745B">
              <w:rPr>
                <w:b/>
                <w:bCs w:val="0"/>
              </w:rPr>
              <w:t>0.26 (0.10, 0.66)</w:t>
            </w:r>
          </w:p>
        </w:tc>
      </w:tr>
      <w:tr w:rsidR="00E62865" w14:paraId="6020B6A5" w14:textId="77777777" w:rsidTr="00657791">
        <w:trPr>
          <w:cantSplit/>
        </w:trPr>
        <w:tc>
          <w:tcPr>
            <w:tcW w:w="1020" w:type="pct"/>
          </w:tcPr>
          <w:p w14:paraId="0753864F" w14:textId="590E8D7A" w:rsidR="00E62865" w:rsidRDefault="00E62865" w:rsidP="00E62865">
            <w:pPr>
              <w:pStyle w:val="TableText0"/>
              <w:ind w:left="168"/>
            </w:pPr>
            <w:r w:rsidRPr="00D220F3">
              <w:t>Diarrhoea</w:t>
            </w:r>
          </w:p>
        </w:tc>
        <w:tc>
          <w:tcPr>
            <w:tcW w:w="628" w:type="pct"/>
          </w:tcPr>
          <w:p w14:paraId="2A543F4B" w14:textId="7A0BE282" w:rsidR="00E62865" w:rsidRDefault="00E62865" w:rsidP="00E62865">
            <w:pPr>
              <w:pStyle w:val="TableText0"/>
              <w:jc w:val="center"/>
            </w:pPr>
            <w:r w:rsidRPr="0044188E">
              <w:t>2 (2</w:t>
            </w:r>
            <w:r w:rsidR="0011123C">
              <w:t>.2</w:t>
            </w:r>
            <w:r w:rsidRPr="0044188E">
              <w:t>%)</w:t>
            </w:r>
          </w:p>
        </w:tc>
        <w:tc>
          <w:tcPr>
            <w:tcW w:w="707" w:type="pct"/>
          </w:tcPr>
          <w:p w14:paraId="7D0CFBBB" w14:textId="72EF8A49" w:rsidR="00E62865" w:rsidRDefault="00E62865" w:rsidP="00E62865">
            <w:pPr>
              <w:pStyle w:val="TableText0"/>
              <w:jc w:val="center"/>
              <w:rPr>
                <w:rFonts w:eastAsia="Calibri"/>
              </w:rPr>
            </w:pPr>
            <w:r w:rsidRPr="0044188E">
              <w:t>33 (4.8%)</w:t>
            </w:r>
          </w:p>
        </w:tc>
        <w:tc>
          <w:tcPr>
            <w:tcW w:w="864" w:type="pct"/>
          </w:tcPr>
          <w:p w14:paraId="76222CD1" w14:textId="06506CE6" w:rsidR="00E62865" w:rsidRPr="00050EE3" w:rsidRDefault="00E62865" w:rsidP="00657791">
            <w:pPr>
              <w:pStyle w:val="TableText0"/>
              <w:ind w:left="-111" w:right="-105"/>
              <w:jc w:val="center"/>
            </w:pPr>
            <w:r w:rsidRPr="00524ECC">
              <w:t xml:space="preserve">-0.03 </w:t>
            </w:r>
            <w:r>
              <w:t>(</w:t>
            </w:r>
            <w:r w:rsidRPr="00524ECC">
              <w:t>-0.06</w:t>
            </w:r>
            <w:r>
              <w:t>,</w:t>
            </w:r>
            <w:r w:rsidRPr="00524ECC">
              <w:t xml:space="preserve"> 0.01</w:t>
            </w:r>
            <w:r>
              <w:t>)</w:t>
            </w:r>
          </w:p>
        </w:tc>
        <w:tc>
          <w:tcPr>
            <w:tcW w:w="866" w:type="pct"/>
          </w:tcPr>
          <w:p w14:paraId="181E3FBF" w14:textId="658A4308" w:rsidR="00E62865" w:rsidRPr="00050EE3" w:rsidRDefault="00E62865" w:rsidP="00E62865">
            <w:pPr>
              <w:pStyle w:val="TableText0"/>
              <w:jc w:val="center"/>
            </w:pPr>
            <w:r w:rsidRPr="00524ECC">
              <w:t xml:space="preserve">0.45 </w:t>
            </w:r>
            <w:r>
              <w:t>(</w:t>
            </w:r>
            <w:r w:rsidRPr="00524ECC">
              <w:t>0.11</w:t>
            </w:r>
            <w:r>
              <w:t>,</w:t>
            </w:r>
            <w:r w:rsidRPr="00524ECC">
              <w:t xml:space="preserve"> 1.82</w:t>
            </w:r>
            <w:r>
              <w:t>)</w:t>
            </w:r>
          </w:p>
        </w:tc>
        <w:tc>
          <w:tcPr>
            <w:tcW w:w="914" w:type="pct"/>
          </w:tcPr>
          <w:p w14:paraId="5B803290" w14:textId="5255E26D" w:rsidR="00E62865" w:rsidRPr="00234ED2" w:rsidRDefault="00E62865" w:rsidP="00E62865">
            <w:pPr>
              <w:pStyle w:val="TableText0"/>
              <w:jc w:val="center"/>
            </w:pPr>
            <w:r w:rsidRPr="00524ECC">
              <w:t xml:space="preserve">0.43 </w:t>
            </w:r>
            <w:r>
              <w:t>(</w:t>
            </w:r>
            <w:r w:rsidRPr="00524ECC">
              <w:t>0.10</w:t>
            </w:r>
            <w:r>
              <w:t>,</w:t>
            </w:r>
            <w:r w:rsidRPr="00524ECC">
              <w:t xml:space="preserve"> 1.83</w:t>
            </w:r>
            <w:r>
              <w:t>)</w:t>
            </w:r>
          </w:p>
        </w:tc>
      </w:tr>
      <w:tr w:rsidR="00E62865" w14:paraId="3C607DFC" w14:textId="77777777" w:rsidTr="00657791">
        <w:trPr>
          <w:cantSplit/>
        </w:trPr>
        <w:tc>
          <w:tcPr>
            <w:tcW w:w="1020" w:type="pct"/>
          </w:tcPr>
          <w:p w14:paraId="1DCA157F" w14:textId="6DA929D9" w:rsidR="00E62865" w:rsidRDefault="00E62865" w:rsidP="00E62865">
            <w:pPr>
              <w:pStyle w:val="TableText0"/>
              <w:ind w:left="168"/>
            </w:pPr>
            <w:r w:rsidRPr="00D220F3">
              <w:t>Fatigue</w:t>
            </w:r>
          </w:p>
        </w:tc>
        <w:tc>
          <w:tcPr>
            <w:tcW w:w="628" w:type="pct"/>
          </w:tcPr>
          <w:p w14:paraId="6CA760E2" w14:textId="7E3DDB6F" w:rsidR="00E62865" w:rsidRDefault="00E62865" w:rsidP="00E62865">
            <w:pPr>
              <w:pStyle w:val="TableText0"/>
              <w:jc w:val="center"/>
            </w:pPr>
            <w:r w:rsidRPr="0044188E">
              <w:t>3 (3</w:t>
            </w:r>
            <w:r w:rsidR="0011123C">
              <w:t>.2</w:t>
            </w:r>
            <w:r w:rsidRPr="0044188E">
              <w:t>%)</w:t>
            </w:r>
          </w:p>
        </w:tc>
        <w:tc>
          <w:tcPr>
            <w:tcW w:w="707" w:type="pct"/>
          </w:tcPr>
          <w:p w14:paraId="6C3C9D55" w14:textId="4EB100EF" w:rsidR="00E62865" w:rsidRDefault="00E62865" w:rsidP="00E62865">
            <w:pPr>
              <w:pStyle w:val="TableText0"/>
              <w:jc w:val="center"/>
              <w:rPr>
                <w:rFonts w:eastAsia="Calibri"/>
              </w:rPr>
            </w:pPr>
            <w:r w:rsidRPr="0044188E">
              <w:t>44 (6.4%)</w:t>
            </w:r>
          </w:p>
        </w:tc>
        <w:tc>
          <w:tcPr>
            <w:tcW w:w="864" w:type="pct"/>
          </w:tcPr>
          <w:p w14:paraId="6C6CC0FC" w14:textId="736A9155" w:rsidR="00E62865" w:rsidRPr="00050EE3" w:rsidRDefault="00E62865" w:rsidP="00657791">
            <w:pPr>
              <w:pStyle w:val="TableText0"/>
              <w:ind w:left="-111" w:right="-105"/>
              <w:jc w:val="center"/>
            </w:pPr>
            <w:r w:rsidRPr="00524ECC">
              <w:t xml:space="preserve">-0.03 </w:t>
            </w:r>
            <w:r>
              <w:t>(</w:t>
            </w:r>
            <w:r w:rsidRPr="00524ECC">
              <w:t>-0.07</w:t>
            </w:r>
            <w:r>
              <w:t>,</w:t>
            </w:r>
            <w:r w:rsidRPr="00524ECC">
              <w:t xml:space="preserve"> 0.01</w:t>
            </w:r>
            <w:r>
              <w:t>)</w:t>
            </w:r>
          </w:p>
        </w:tc>
        <w:tc>
          <w:tcPr>
            <w:tcW w:w="866" w:type="pct"/>
          </w:tcPr>
          <w:p w14:paraId="23346E2C" w14:textId="3FBA9EC1" w:rsidR="00E62865" w:rsidRPr="00050EE3" w:rsidRDefault="00E62865" w:rsidP="00E62865">
            <w:pPr>
              <w:pStyle w:val="TableText0"/>
              <w:jc w:val="center"/>
            </w:pPr>
            <w:r w:rsidRPr="00EE0188">
              <w:t xml:space="preserve">0.50 </w:t>
            </w:r>
            <w:r>
              <w:t>(</w:t>
            </w:r>
            <w:r w:rsidRPr="00EE0188">
              <w:t>0.16</w:t>
            </w:r>
            <w:r>
              <w:t>,</w:t>
            </w:r>
            <w:r w:rsidRPr="00EE0188">
              <w:t xml:space="preserve"> 1.58</w:t>
            </w:r>
            <w:r>
              <w:t>)</w:t>
            </w:r>
          </w:p>
        </w:tc>
        <w:tc>
          <w:tcPr>
            <w:tcW w:w="914" w:type="pct"/>
          </w:tcPr>
          <w:p w14:paraId="2D7353BE" w14:textId="5D60B17A" w:rsidR="00E62865" w:rsidRPr="00234ED2" w:rsidRDefault="00E62865" w:rsidP="00E62865">
            <w:pPr>
              <w:pStyle w:val="TableText0"/>
              <w:jc w:val="center"/>
            </w:pPr>
            <w:r w:rsidRPr="00EE0188">
              <w:t xml:space="preserve">0.48 </w:t>
            </w:r>
            <w:r>
              <w:t>(</w:t>
            </w:r>
            <w:r w:rsidRPr="00EE0188">
              <w:t>0.15</w:t>
            </w:r>
            <w:r>
              <w:t>,</w:t>
            </w:r>
            <w:r w:rsidRPr="00EE0188">
              <w:t xml:space="preserve"> 1.59</w:t>
            </w:r>
            <w:r>
              <w:t>)</w:t>
            </w:r>
          </w:p>
        </w:tc>
      </w:tr>
      <w:tr w:rsidR="00E62865" w14:paraId="755981AE" w14:textId="77777777" w:rsidTr="00657791">
        <w:trPr>
          <w:cantSplit/>
        </w:trPr>
        <w:tc>
          <w:tcPr>
            <w:tcW w:w="1020" w:type="pct"/>
          </w:tcPr>
          <w:p w14:paraId="16E02869" w14:textId="164532FD" w:rsidR="00E62865" w:rsidRDefault="00E62865" w:rsidP="00E62865">
            <w:pPr>
              <w:pStyle w:val="TableText0"/>
              <w:ind w:left="168"/>
            </w:pPr>
            <w:r w:rsidRPr="00D220F3">
              <w:t>Asthenia</w:t>
            </w:r>
          </w:p>
        </w:tc>
        <w:tc>
          <w:tcPr>
            <w:tcW w:w="628" w:type="pct"/>
          </w:tcPr>
          <w:p w14:paraId="307B07E2" w14:textId="070612D4" w:rsidR="00E62865" w:rsidRDefault="00E62865" w:rsidP="00E62865">
            <w:pPr>
              <w:pStyle w:val="TableText0"/>
              <w:jc w:val="center"/>
            </w:pPr>
            <w:r w:rsidRPr="0044188E">
              <w:t>4 (4</w:t>
            </w:r>
            <w:r w:rsidR="0011123C">
              <w:t>.3</w:t>
            </w:r>
            <w:r w:rsidRPr="0044188E">
              <w:t>%)</w:t>
            </w:r>
          </w:p>
        </w:tc>
        <w:tc>
          <w:tcPr>
            <w:tcW w:w="707" w:type="pct"/>
          </w:tcPr>
          <w:p w14:paraId="7AEA245E" w14:textId="6027B157" w:rsidR="00E62865" w:rsidRDefault="00E62865" w:rsidP="00E62865">
            <w:pPr>
              <w:pStyle w:val="TableText0"/>
              <w:jc w:val="center"/>
              <w:rPr>
                <w:rFonts w:eastAsia="Calibri"/>
              </w:rPr>
            </w:pPr>
            <w:r w:rsidRPr="0044188E">
              <w:t>33 (4.8%)</w:t>
            </w:r>
          </w:p>
        </w:tc>
        <w:tc>
          <w:tcPr>
            <w:tcW w:w="864" w:type="pct"/>
          </w:tcPr>
          <w:p w14:paraId="03821DFE" w14:textId="596D6DE4" w:rsidR="00E62865" w:rsidRPr="00050EE3" w:rsidRDefault="00E62865" w:rsidP="00657791">
            <w:pPr>
              <w:pStyle w:val="TableText0"/>
              <w:ind w:left="-111" w:right="-105"/>
              <w:jc w:val="center"/>
            </w:pPr>
            <w:r w:rsidRPr="00EE0188">
              <w:t xml:space="preserve">-0.01 </w:t>
            </w:r>
            <w:r>
              <w:t>(</w:t>
            </w:r>
            <w:r w:rsidRPr="00EE0188">
              <w:t>-0.05</w:t>
            </w:r>
            <w:r>
              <w:t>,</w:t>
            </w:r>
            <w:r w:rsidRPr="00EE0188">
              <w:t xml:space="preserve"> 0.04</w:t>
            </w:r>
            <w:r>
              <w:t>)</w:t>
            </w:r>
          </w:p>
        </w:tc>
        <w:tc>
          <w:tcPr>
            <w:tcW w:w="866" w:type="pct"/>
          </w:tcPr>
          <w:p w14:paraId="31C545DB" w14:textId="49367ACB" w:rsidR="00E62865" w:rsidRPr="00050EE3" w:rsidRDefault="00E62865" w:rsidP="00E62865">
            <w:pPr>
              <w:pStyle w:val="TableText0"/>
              <w:jc w:val="center"/>
            </w:pPr>
            <w:r w:rsidRPr="00EE0188">
              <w:t xml:space="preserve">0.89 </w:t>
            </w:r>
            <w:r>
              <w:t>(</w:t>
            </w:r>
            <w:r w:rsidRPr="00EE0188">
              <w:t>0.32</w:t>
            </w:r>
            <w:r>
              <w:t>,</w:t>
            </w:r>
            <w:r w:rsidRPr="00EE0188">
              <w:t xml:space="preserve"> 2.46</w:t>
            </w:r>
            <w:r>
              <w:t>)</w:t>
            </w:r>
          </w:p>
        </w:tc>
        <w:tc>
          <w:tcPr>
            <w:tcW w:w="914" w:type="pct"/>
          </w:tcPr>
          <w:p w14:paraId="7815BF51" w14:textId="1FDFE7F1" w:rsidR="00E62865" w:rsidRPr="00234ED2" w:rsidRDefault="00E62865" w:rsidP="00E62865">
            <w:pPr>
              <w:pStyle w:val="TableText0"/>
              <w:jc w:val="center"/>
            </w:pPr>
            <w:r w:rsidRPr="00EE0188">
              <w:t xml:space="preserve">0.89 </w:t>
            </w:r>
            <w:r>
              <w:t>(</w:t>
            </w:r>
            <w:r w:rsidRPr="00EE0188">
              <w:t>0.31</w:t>
            </w:r>
            <w:r>
              <w:t>,</w:t>
            </w:r>
            <w:r w:rsidRPr="00EE0188">
              <w:t xml:space="preserve"> 2.56</w:t>
            </w:r>
            <w:r>
              <w:t>)</w:t>
            </w:r>
          </w:p>
        </w:tc>
      </w:tr>
      <w:tr w:rsidR="00E62865" w14:paraId="75A1560C" w14:textId="77777777" w:rsidTr="00657791">
        <w:trPr>
          <w:cantSplit/>
        </w:trPr>
        <w:tc>
          <w:tcPr>
            <w:tcW w:w="1020" w:type="pct"/>
          </w:tcPr>
          <w:p w14:paraId="2D2C6EE0" w14:textId="102EC0A9" w:rsidR="00E62865" w:rsidRDefault="00E62865" w:rsidP="00E62865">
            <w:pPr>
              <w:pStyle w:val="TableText0"/>
              <w:ind w:left="168"/>
            </w:pPr>
            <w:r w:rsidRPr="00D220F3">
              <w:t>Thrombocytopenia</w:t>
            </w:r>
          </w:p>
        </w:tc>
        <w:tc>
          <w:tcPr>
            <w:tcW w:w="628" w:type="pct"/>
          </w:tcPr>
          <w:p w14:paraId="1CA6584D" w14:textId="01A107E3" w:rsidR="00E62865" w:rsidRDefault="00E62865" w:rsidP="00E62865">
            <w:pPr>
              <w:pStyle w:val="TableText0"/>
              <w:jc w:val="center"/>
            </w:pPr>
            <w:r w:rsidRPr="0044188E">
              <w:t>1 (1</w:t>
            </w:r>
            <w:r w:rsidR="0011123C">
              <w:t>.1</w:t>
            </w:r>
            <w:r w:rsidRPr="0044188E">
              <w:t>%)</w:t>
            </w:r>
          </w:p>
        </w:tc>
        <w:tc>
          <w:tcPr>
            <w:tcW w:w="707" w:type="pct"/>
          </w:tcPr>
          <w:p w14:paraId="34963C0B" w14:textId="7B127729" w:rsidR="00E62865" w:rsidRDefault="00E62865" w:rsidP="00E62865">
            <w:pPr>
              <w:pStyle w:val="TableText0"/>
              <w:jc w:val="center"/>
              <w:rPr>
                <w:rFonts w:eastAsia="Calibri"/>
              </w:rPr>
            </w:pPr>
            <w:r w:rsidRPr="0044188E">
              <w:t>58 (8.5%)</w:t>
            </w:r>
          </w:p>
        </w:tc>
        <w:tc>
          <w:tcPr>
            <w:tcW w:w="864" w:type="pct"/>
          </w:tcPr>
          <w:p w14:paraId="028A4313" w14:textId="6BCA8050" w:rsidR="00E62865" w:rsidRPr="006D47D6" w:rsidRDefault="00E62865" w:rsidP="00657791">
            <w:pPr>
              <w:pStyle w:val="TableText0"/>
              <w:ind w:left="-111" w:right="-105"/>
              <w:jc w:val="center"/>
              <w:rPr>
                <w:b/>
              </w:rPr>
            </w:pPr>
            <w:r w:rsidRPr="006D47D6">
              <w:rPr>
                <w:b/>
              </w:rPr>
              <w:t>-0.07 (-0.10, -0.04)</w:t>
            </w:r>
          </w:p>
        </w:tc>
        <w:tc>
          <w:tcPr>
            <w:tcW w:w="866" w:type="pct"/>
          </w:tcPr>
          <w:p w14:paraId="0D3BD18C" w14:textId="468BA140" w:rsidR="00E62865" w:rsidRPr="006D47D6" w:rsidRDefault="00E62865" w:rsidP="00E62865">
            <w:pPr>
              <w:pStyle w:val="TableText0"/>
              <w:jc w:val="center"/>
              <w:rPr>
                <w:b/>
              </w:rPr>
            </w:pPr>
            <w:r w:rsidRPr="006D47D6">
              <w:rPr>
                <w:b/>
              </w:rPr>
              <w:t>0.13 (0.02, 0.90)</w:t>
            </w:r>
          </w:p>
        </w:tc>
        <w:tc>
          <w:tcPr>
            <w:tcW w:w="914" w:type="pct"/>
          </w:tcPr>
          <w:p w14:paraId="4AE2B0B1" w14:textId="5EA9E377" w:rsidR="00E62865" w:rsidRPr="00234ED2" w:rsidRDefault="00E62865" w:rsidP="00E62865">
            <w:pPr>
              <w:pStyle w:val="TableText0"/>
              <w:jc w:val="center"/>
            </w:pPr>
            <w:r w:rsidRPr="002F54DB">
              <w:rPr>
                <w:b/>
                <w:bCs w:val="0"/>
              </w:rPr>
              <w:t>0.12 (0.02, 0.86</w:t>
            </w:r>
            <w:r>
              <w:t>)</w:t>
            </w:r>
          </w:p>
        </w:tc>
      </w:tr>
      <w:tr w:rsidR="00E62865" w14:paraId="6F56D8DE" w14:textId="77777777" w:rsidTr="00657791">
        <w:trPr>
          <w:cantSplit/>
        </w:trPr>
        <w:tc>
          <w:tcPr>
            <w:tcW w:w="1020" w:type="pct"/>
          </w:tcPr>
          <w:p w14:paraId="5F9B4A8B" w14:textId="4DB63E91" w:rsidR="00E62865" w:rsidRDefault="00E62865" w:rsidP="00E62865">
            <w:pPr>
              <w:pStyle w:val="TableText0"/>
              <w:ind w:left="168"/>
            </w:pPr>
            <w:r w:rsidRPr="00D220F3">
              <w:t>Dyspnoea</w:t>
            </w:r>
          </w:p>
        </w:tc>
        <w:tc>
          <w:tcPr>
            <w:tcW w:w="628" w:type="pct"/>
          </w:tcPr>
          <w:p w14:paraId="6387A829" w14:textId="34C644BE" w:rsidR="00E62865" w:rsidRDefault="00E62865" w:rsidP="00E62865">
            <w:pPr>
              <w:pStyle w:val="TableText0"/>
              <w:jc w:val="center"/>
            </w:pPr>
            <w:r w:rsidRPr="0044188E">
              <w:t>7 (</w:t>
            </w:r>
            <w:r w:rsidR="0011123C">
              <w:t>7.5</w:t>
            </w:r>
            <w:r w:rsidRPr="0044188E">
              <w:t>%)</w:t>
            </w:r>
          </w:p>
        </w:tc>
        <w:tc>
          <w:tcPr>
            <w:tcW w:w="707" w:type="pct"/>
          </w:tcPr>
          <w:p w14:paraId="664B1BC9" w14:textId="6E1442A0" w:rsidR="00E62865" w:rsidRDefault="00E62865" w:rsidP="00E62865">
            <w:pPr>
              <w:pStyle w:val="TableText0"/>
              <w:jc w:val="center"/>
              <w:rPr>
                <w:rFonts w:eastAsia="Calibri"/>
              </w:rPr>
            </w:pPr>
            <w:r w:rsidRPr="0044188E">
              <w:t>21 (3.1%)</w:t>
            </w:r>
          </w:p>
        </w:tc>
        <w:tc>
          <w:tcPr>
            <w:tcW w:w="864" w:type="pct"/>
          </w:tcPr>
          <w:p w14:paraId="6A75E7A0" w14:textId="24F1DB1F" w:rsidR="00E62865" w:rsidRPr="00050EE3" w:rsidRDefault="00E62865" w:rsidP="00657791">
            <w:pPr>
              <w:pStyle w:val="TableText0"/>
              <w:ind w:left="-111" w:right="-105"/>
              <w:jc w:val="center"/>
            </w:pPr>
            <w:r w:rsidRPr="009938D8">
              <w:t xml:space="preserve">0.04 </w:t>
            </w:r>
            <w:r>
              <w:t>(</w:t>
            </w:r>
            <w:r w:rsidRPr="009938D8">
              <w:t>-0.01</w:t>
            </w:r>
            <w:r>
              <w:t>,</w:t>
            </w:r>
            <w:r w:rsidRPr="009938D8">
              <w:t xml:space="preserve"> 0.10</w:t>
            </w:r>
            <w:r>
              <w:t>)</w:t>
            </w:r>
          </w:p>
        </w:tc>
        <w:tc>
          <w:tcPr>
            <w:tcW w:w="866" w:type="pct"/>
          </w:tcPr>
          <w:p w14:paraId="4843DDC2" w14:textId="7A678054" w:rsidR="00E62865" w:rsidRPr="00050EE3" w:rsidRDefault="00E62865" w:rsidP="00E62865">
            <w:pPr>
              <w:pStyle w:val="TableText0"/>
              <w:jc w:val="center"/>
            </w:pPr>
            <w:r w:rsidRPr="0041697E">
              <w:rPr>
                <w:b/>
              </w:rPr>
              <w:t>2.45 (1.07</w:t>
            </w:r>
            <w:r>
              <w:rPr>
                <w:b/>
              </w:rPr>
              <w:t>,</w:t>
            </w:r>
            <w:r w:rsidRPr="0041697E">
              <w:rPr>
                <w:b/>
              </w:rPr>
              <w:t xml:space="preserve"> 5.60)</w:t>
            </w:r>
          </w:p>
        </w:tc>
        <w:tc>
          <w:tcPr>
            <w:tcW w:w="914" w:type="pct"/>
          </w:tcPr>
          <w:p w14:paraId="6E9F463F" w14:textId="41C981A1" w:rsidR="00E62865" w:rsidRPr="00234ED2" w:rsidRDefault="00E62865" w:rsidP="00E62865">
            <w:pPr>
              <w:pStyle w:val="TableText0"/>
              <w:jc w:val="center"/>
            </w:pPr>
            <w:r w:rsidRPr="0041697E">
              <w:rPr>
                <w:b/>
              </w:rPr>
              <w:t>2.57 (1.06</w:t>
            </w:r>
            <w:r>
              <w:rPr>
                <w:b/>
              </w:rPr>
              <w:t>,</w:t>
            </w:r>
            <w:r w:rsidRPr="0041697E">
              <w:rPr>
                <w:b/>
              </w:rPr>
              <w:t xml:space="preserve"> 6.21)</w:t>
            </w:r>
          </w:p>
        </w:tc>
      </w:tr>
      <w:tr w:rsidR="00E62865" w14:paraId="4774A266" w14:textId="77777777" w:rsidTr="00657791">
        <w:trPr>
          <w:cantSplit/>
        </w:trPr>
        <w:tc>
          <w:tcPr>
            <w:tcW w:w="1020" w:type="pct"/>
          </w:tcPr>
          <w:p w14:paraId="03DCA816" w14:textId="39821E55" w:rsidR="00E62865" w:rsidRDefault="00E62865" w:rsidP="00E62865">
            <w:pPr>
              <w:pStyle w:val="TableText0"/>
              <w:ind w:left="168"/>
            </w:pPr>
            <w:r w:rsidRPr="00D220F3">
              <w:t>Pyrexia</w:t>
            </w:r>
          </w:p>
        </w:tc>
        <w:tc>
          <w:tcPr>
            <w:tcW w:w="628" w:type="pct"/>
          </w:tcPr>
          <w:p w14:paraId="4328FE7A" w14:textId="75461CD0" w:rsidR="00E62865" w:rsidRDefault="00E62865" w:rsidP="00E62865">
            <w:pPr>
              <w:pStyle w:val="TableText0"/>
              <w:jc w:val="center"/>
            </w:pPr>
            <w:r w:rsidRPr="0044188E">
              <w:t>6 (6</w:t>
            </w:r>
            <w:r w:rsidR="00021B91">
              <w:t>.5</w:t>
            </w:r>
            <w:r w:rsidRPr="0044188E">
              <w:t>%)</w:t>
            </w:r>
          </w:p>
        </w:tc>
        <w:tc>
          <w:tcPr>
            <w:tcW w:w="707" w:type="pct"/>
          </w:tcPr>
          <w:p w14:paraId="16B767CA" w14:textId="5732E598" w:rsidR="00E62865" w:rsidRDefault="00E62865" w:rsidP="00E62865">
            <w:pPr>
              <w:pStyle w:val="TableText0"/>
              <w:jc w:val="center"/>
              <w:rPr>
                <w:rFonts w:eastAsia="Calibri"/>
              </w:rPr>
            </w:pPr>
            <w:r w:rsidRPr="0041697E">
              <w:t>3 (0.4%)</w:t>
            </w:r>
          </w:p>
        </w:tc>
        <w:tc>
          <w:tcPr>
            <w:tcW w:w="864" w:type="pct"/>
          </w:tcPr>
          <w:p w14:paraId="15155F37" w14:textId="1ED2864B" w:rsidR="00E62865" w:rsidRPr="00050EE3" w:rsidRDefault="00E62865" w:rsidP="00657791">
            <w:pPr>
              <w:pStyle w:val="TableText0"/>
              <w:ind w:left="-111" w:right="-105"/>
              <w:jc w:val="center"/>
            </w:pPr>
            <w:r w:rsidRPr="0041697E">
              <w:rPr>
                <w:b/>
              </w:rPr>
              <w:t>0.06 (0.01</w:t>
            </w:r>
            <w:r>
              <w:rPr>
                <w:b/>
              </w:rPr>
              <w:t>,</w:t>
            </w:r>
            <w:r w:rsidRPr="0041697E">
              <w:rPr>
                <w:b/>
              </w:rPr>
              <w:t xml:space="preserve"> 0.11)</w:t>
            </w:r>
          </w:p>
        </w:tc>
        <w:tc>
          <w:tcPr>
            <w:tcW w:w="866" w:type="pct"/>
          </w:tcPr>
          <w:p w14:paraId="6FF2889C" w14:textId="0ED75576" w:rsidR="00E62865" w:rsidRPr="00050EE3" w:rsidRDefault="00E60F24" w:rsidP="00E60F24">
            <w:pPr>
              <w:pStyle w:val="TableText0"/>
              <w:ind w:left="-255" w:right="-108"/>
              <w:jc w:val="center"/>
            </w:pPr>
            <w:r>
              <w:rPr>
                <w:b/>
              </w:rPr>
              <w:t xml:space="preserve"> </w:t>
            </w:r>
            <w:r w:rsidR="00E62865" w:rsidRPr="0041697E">
              <w:rPr>
                <w:b/>
              </w:rPr>
              <w:t>14.69 (3.74</w:t>
            </w:r>
            <w:r w:rsidR="00E62865">
              <w:rPr>
                <w:b/>
              </w:rPr>
              <w:t>,</w:t>
            </w:r>
            <w:r w:rsidR="00E62865" w:rsidRPr="0041697E">
              <w:rPr>
                <w:b/>
              </w:rPr>
              <w:t xml:space="preserve"> 57.74)</w:t>
            </w:r>
          </w:p>
        </w:tc>
        <w:tc>
          <w:tcPr>
            <w:tcW w:w="914" w:type="pct"/>
          </w:tcPr>
          <w:p w14:paraId="466FBB63" w14:textId="006CB805" w:rsidR="00E62865" w:rsidRPr="00234ED2" w:rsidRDefault="00E62865" w:rsidP="00E62865">
            <w:pPr>
              <w:pStyle w:val="TableText0"/>
              <w:jc w:val="center"/>
            </w:pPr>
            <w:r w:rsidRPr="0041697E">
              <w:rPr>
                <w:b/>
              </w:rPr>
              <w:t>15.63 (3.84</w:t>
            </w:r>
            <w:r>
              <w:rPr>
                <w:b/>
              </w:rPr>
              <w:t>,</w:t>
            </w:r>
            <w:r w:rsidRPr="0041697E">
              <w:rPr>
                <w:b/>
              </w:rPr>
              <w:t xml:space="preserve"> 63.63)</w:t>
            </w:r>
          </w:p>
        </w:tc>
      </w:tr>
      <w:tr w:rsidR="00E62865" w14:paraId="097999E8" w14:textId="3EC86684" w:rsidTr="009E6BDB">
        <w:trPr>
          <w:cantSplit/>
        </w:trPr>
        <w:tc>
          <w:tcPr>
            <w:tcW w:w="1020" w:type="pct"/>
            <w:tcBorders>
              <w:bottom w:val="single" w:sz="4" w:space="0" w:color="auto"/>
            </w:tcBorders>
            <w:vAlign w:val="center"/>
          </w:tcPr>
          <w:p w14:paraId="73C7D16F" w14:textId="00A9F4DB" w:rsidR="00446CE0" w:rsidRDefault="00941F51" w:rsidP="00446CE0">
            <w:pPr>
              <w:pStyle w:val="TableText0"/>
            </w:pPr>
            <w:r>
              <w:t>Discontinuation due to AEs</w:t>
            </w:r>
          </w:p>
        </w:tc>
        <w:tc>
          <w:tcPr>
            <w:tcW w:w="628" w:type="pct"/>
            <w:tcBorders>
              <w:bottom w:val="single" w:sz="4" w:space="0" w:color="auto"/>
            </w:tcBorders>
            <w:vAlign w:val="center"/>
          </w:tcPr>
          <w:p w14:paraId="53BA973E" w14:textId="7A3A7BA1" w:rsidR="00446CE0" w:rsidRDefault="00446CE0" w:rsidP="00446CE0">
            <w:pPr>
              <w:pStyle w:val="TableText0"/>
              <w:jc w:val="center"/>
            </w:pPr>
            <w:r>
              <w:t>23</w:t>
            </w:r>
            <w:r w:rsidR="00E62865">
              <w:t xml:space="preserve"> (</w:t>
            </w:r>
            <w:r>
              <w:t>24.7%)</w:t>
            </w:r>
          </w:p>
        </w:tc>
        <w:tc>
          <w:tcPr>
            <w:tcW w:w="707" w:type="pct"/>
            <w:tcBorders>
              <w:bottom w:val="single" w:sz="4" w:space="0" w:color="auto"/>
            </w:tcBorders>
            <w:vAlign w:val="center"/>
          </w:tcPr>
          <w:p w14:paraId="3849128B" w14:textId="5A676F84" w:rsidR="00446CE0" w:rsidRDefault="00446CE0" w:rsidP="00657791">
            <w:pPr>
              <w:pStyle w:val="TableText0"/>
              <w:jc w:val="center"/>
            </w:pPr>
            <w:r w:rsidRPr="00506534">
              <w:rPr>
                <w:rFonts w:eastAsia="Calibri"/>
              </w:rPr>
              <w:t>225 (32.9%)</w:t>
            </w:r>
          </w:p>
        </w:tc>
        <w:tc>
          <w:tcPr>
            <w:tcW w:w="864" w:type="pct"/>
            <w:tcBorders>
              <w:bottom w:val="single" w:sz="4" w:space="0" w:color="auto"/>
            </w:tcBorders>
            <w:vAlign w:val="center"/>
          </w:tcPr>
          <w:p w14:paraId="66594359" w14:textId="4F584CE2" w:rsidR="00446CE0" w:rsidRPr="00891A0C" w:rsidRDefault="00446CE0" w:rsidP="00657791">
            <w:pPr>
              <w:pStyle w:val="TableText0"/>
              <w:ind w:left="-111" w:right="-105"/>
              <w:jc w:val="center"/>
            </w:pPr>
            <w:r w:rsidRPr="00234ED2">
              <w:t>-0.08</w:t>
            </w:r>
            <w:r w:rsidR="001B6D03">
              <w:t xml:space="preserve"> </w:t>
            </w:r>
            <w:r>
              <w:t>(</w:t>
            </w:r>
            <w:r w:rsidRPr="00234ED2">
              <w:t>-0.18</w:t>
            </w:r>
            <w:r w:rsidR="00E62865">
              <w:t>,</w:t>
            </w:r>
            <w:r w:rsidRPr="00234ED2">
              <w:t xml:space="preserve"> 0.01</w:t>
            </w:r>
            <w:r>
              <w:t>)</w:t>
            </w:r>
          </w:p>
        </w:tc>
        <w:tc>
          <w:tcPr>
            <w:tcW w:w="866" w:type="pct"/>
            <w:tcBorders>
              <w:bottom w:val="single" w:sz="4" w:space="0" w:color="auto"/>
            </w:tcBorders>
            <w:vAlign w:val="center"/>
          </w:tcPr>
          <w:p w14:paraId="3972A431" w14:textId="1D3899E7" w:rsidR="00446CE0" w:rsidRPr="00891A0C" w:rsidRDefault="00446CE0" w:rsidP="00E62865">
            <w:pPr>
              <w:pStyle w:val="TableText0"/>
              <w:jc w:val="center"/>
            </w:pPr>
            <w:r w:rsidRPr="00234ED2">
              <w:t>0.75</w:t>
            </w:r>
            <w:r w:rsidR="001B6D03">
              <w:t xml:space="preserve"> </w:t>
            </w:r>
            <w:r>
              <w:t>(</w:t>
            </w:r>
            <w:r w:rsidRPr="00234ED2">
              <w:t>0.52</w:t>
            </w:r>
            <w:r w:rsidR="00E62865">
              <w:t>,</w:t>
            </w:r>
            <w:r w:rsidRPr="00234ED2">
              <w:t xml:space="preserve"> 1.09</w:t>
            </w:r>
            <w:r>
              <w:t>)</w:t>
            </w:r>
          </w:p>
        </w:tc>
        <w:tc>
          <w:tcPr>
            <w:tcW w:w="914" w:type="pct"/>
            <w:tcBorders>
              <w:bottom w:val="single" w:sz="4" w:space="0" w:color="auto"/>
            </w:tcBorders>
            <w:vAlign w:val="center"/>
          </w:tcPr>
          <w:p w14:paraId="29119FFC" w14:textId="31DFB05E" w:rsidR="00446CE0" w:rsidRPr="00B1011F" w:rsidRDefault="00446CE0" w:rsidP="00E62865">
            <w:pPr>
              <w:pStyle w:val="TableText0"/>
              <w:jc w:val="center"/>
            </w:pPr>
            <w:r w:rsidRPr="00234ED2">
              <w:t>0.67</w:t>
            </w:r>
            <w:r w:rsidR="001B6D03">
              <w:t xml:space="preserve"> </w:t>
            </w:r>
            <w:r>
              <w:t>(</w:t>
            </w:r>
            <w:r w:rsidRPr="00234ED2">
              <w:t>0.41</w:t>
            </w:r>
            <w:r>
              <w:t>,</w:t>
            </w:r>
            <w:r w:rsidRPr="00234ED2">
              <w:t xml:space="preserve"> 1.10</w:t>
            </w:r>
            <w:r>
              <w:t>)</w:t>
            </w:r>
          </w:p>
        </w:tc>
      </w:tr>
      <w:tr w:rsidR="00E62865" w14:paraId="21E7BF5A" w14:textId="254727C9" w:rsidTr="009E6BDB">
        <w:trPr>
          <w:cantSplit/>
        </w:trPr>
        <w:tc>
          <w:tcPr>
            <w:tcW w:w="1020" w:type="pct"/>
            <w:tcBorders>
              <w:top w:val="single" w:sz="4" w:space="0" w:color="auto"/>
              <w:left w:val="single" w:sz="4" w:space="0" w:color="auto"/>
              <w:bottom w:val="single" w:sz="4" w:space="0" w:color="auto"/>
              <w:right w:val="single" w:sz="4" w:space="0" w:color="auto"/>
            </w:tcBorders>
            <w:vAlign w:val="center"/>
          </w:tcPr>
          <w:p w14:paraId="19121454" w14:textId="3536243F" w:rsidR="00446CE0" w:rsidRDefault="00446CE0" w:rsidP="00446CE0">
            <w:pPr>
              <w:pStyle w:val="TableText0"/>
            </w:pPr>
            <w:r>
              <w:t>AEs leading to death</w:t>
            </w:r>
          </w:p>
        </w:tc>
        <w:tc>
          <w:tcPr>
            <w:tcW w:w="628" w:type="pct"/>
            <w:tcBorders>
              <w:top w:val="single" w:sz="4" w:space="0" w:color="auto"/>
              <w:left w:val="single" w:sz="4" w:space="0" w:color="auto"/>
              <w:bottom w:val="single" w:sz="4" w:space="0" w:color="auto"/>
              <w:right w:val="single" w:sz="4" w:space="0" w:color="auto"/>
            </w:tcBorders>
            <w:vAlign w:val="center"/>
          </w:tcPr>
          <w:p w14:paraId="65A29316" w14:textId="132B659D" w:rsidR="00446CE0" w:rsidRDefault="00446CE0" w:rsidP="001B6D03">
            <w:pPr>
              <w:pStyle w:val="TableText0"/>
              <w:jc w:val="center"/>
            </w:pPr>
            <w:r w:rsidRPr="004F3089">
              <w:t>8 (</w:t>
            </w:r>
            <w:r w:rsidR="00021B91">
              <w:t>8.6</w:t>
            </w:r>
            <w:r w:rsidRPr="004F3089">
              <w:t>%)</w:t>
            </w:r>
          </w:p>
        </w:tc>
        <w:tc>
          <w:tcPr>
            <w:tcW w:w="707" w:type="pct"/>
            <w:tcBorders>
              <w:top w:val="single" w:sz="4" w:space="0" w:color="auto"/>
              <w:left w:val="single" w:sz="4" w:space="0" w:color="auto"/>
              <w:bottom w:val="single" w:sz="4" w:space="0" w:color="auto"/>
              <w:right w:val="single" w:sz="4" w:space="0" w:color="auto"/>
            </w:tcBorders>
            <w:vAlign w:val="center"/>
          </w:tcPr>
          <w:p w14:paraId="28F19227" w14:textId="5FA46935" w:rsidR="00446CE0" w:rsidRDefault="00446CE0" w:rsidP="001B6D03">
            <w:pPr>
              <w:pStyle w:val="TableText0"/>
              <w:jc w:val="center"/>
            </w:pPr>
            <w:r w:rsidRPr="00BA1B1A">
              <w:rPr>
                <w:rFonts w:eastAsia="Calibri"/>
              </w:rPr>
              <w:t>61 (8.9%)</w:t>
            </w:r>
          </w:p>
        </w:tc>
        <w:tc>
          <w:tcPr>
            <w:tcW w:w="864" w:type="pct"/>
            <w:tcBorders>
              <w:top w:val="single" w:sz="4" w:space="0" w:color="auto"/>
              <w:left w:val="single" w:sz="4" w:space="0" w:color="auto"/>
              <w:bottom w:val="single" w:sz="4" w:space="0" w:color="auto"/>
              <w:right w:val="single" w:sz="4" w:space="0" w:color="auto"/>
            </w:tcBorders>
            <w:vAlign w:val="center"/>
          </w:tcPr>
          <w:p w14:paraId="5680AFDE" w14:textId="6560C3B6" w:rsidR="00446CE0" w:rsidRPr="00891A0C" w:rsidRDefault="00446CE0" w:rsidP="00657791">
            <w:pPr>
              <w:pStyle w:val="TableText0"/>
              <w:ind w:left="-111" w:right="-105"/>
              <w:jc w:val="center"/>
            </w:pPr>
            <w:r w:rsidRPr="00D222EB">
              <w:t>-0.00</w:t>
            </w:r>
            <w:r w:rsidR="001B6D03">
              <w:t xml:space="preserve"> </w:t>
            </w:r>
            <w:r>
              <w:t>(</w:t>
            </w:r>
            <w:r w:rsidRPr="00D222EB">
              <w:t>-0.06</w:t>
            </w:r>
            <w:r w:rsidR="00E62865">
              <w:t>,</w:t>
            </w:r>
            <w:r w:rsidRPr="00D222EB">
              <w:t xml:space="preserve"> 0.06</w:t>
            </w:r>
            <w:r>
              <w:t>)</w:t>
            </w:r>
          </w:p>
        </w:tc>
        <w:tc>
          <w:tcPr>
            <w:tcW w:w="866" w:type="pct"/>
            <w:tcBorders>
              <w:top w:val="single" w:sz="4" w:space="0" w:color="auto"/>
              <w:left w:val="single" w:sz="4" w:space="0" w:color="auto"/>
              <w:bottom w:val="single" w:sz="4" w:space="0" w:color="auto"/>
              <w:right w:val="single" w:sz="4" w:space="0" w:color="auto"/>
            </w:tcBorders>
            <w:vAlign w:val="center"/>
          </w:tcPr>
          <w:p w14:paraId="3C7896E2" w14:textId="7659E3A0" w:rsidR="00446CE0" w:rsidRPr="00891A0C" w:rsidRDefault="00446CE0" w:rsidP="001B6D03">
            <w:pPr>
              <w:pStyle w:val="TableText0"/>
              <w:jc w:val="center"/>
            </w:pPr>
            <w:r w:rsidRPr="00D222EB">
              <w:t>0.96</w:t>
            </w:r>
            <w:r w:rsidR="001B6D03">
              <w:t xml:space="preserve"> </w:t>
            </w:r>
            <w:r>
              <w:t>(</w:t>
            </w:r>
            <w:r w:rsidRPr="00D222EB">
              <w:t>0.48</w:t>
            </w:r>
            <w:r w:rsidR="00E62865">
              <w:t>,</w:t>
            </w:r>
            <w:r w:rsidRPr="00D222EB">
              <w:t xml:space="preserve"> 1.95</w:t>
            </w:r>
            <w:r>
              <w:t>)</w:t>
            </w:r>
          </w:p>
        </w:tc>
        <w:tc>
          <w:tcPr>
            <w:tcW w:w="914" w:type="pct"/>
            <w:tcBorders>
              <w:top w:val="single" w:sz="4" w:space="0" w:color="auto"/>
              <w:left w:val="single" w:sz="4" w:space="0" w:color="auto"/>
              <w:bottom w:val="single" w:sz="4" w:space="0" w:color="auto"/>
              <w:right w:val="single" w:sz="4" w:space="0" w:color="auto"/>
            </w:tcBorders>
            <w:vAlign w:val="center"/>
          </w:tcPr>
          <w:p w14:paraId="35CDFD92" w14:textId="1BFAE0B5" w:rsidR="00446CE0" w:rsidRPr="00891A0C" w:rsidRDefault="00446CE0" w:rsidP="001B6D03">
            <w:pPr>
              <w:pStyle w:val="TableText0"/>
              <w:jc w:val="center"/>
            </w:pPr>
            <w:r w:rsidRPr="004152A5">
              <w:t>0.96</w:t>
            </w:r>
            <w:r w:rsidR="001B6D03">
              <w:t xml:space="preserve"> </w:t>
            </w:r>
            <w:r>
              <w:t>(0</w:t>
            </w:r>
            <w:r w:rsidRPr="004152A5">
              <w:t>.44</w:t>
            </w:r>
            <w:r>
              <w:t xml:space="preserve">, </w:t>
            </w:r>
            <w:r w:rsidRPr="004152A5">
              <w:t>2.07</w:t>
            </w:r>
            <w:r>
              <w:t>)</w:t>
            </w:r>
          </w:p>
        </w:tc>
      </w:tr>
    </w:tbl>
    <w:p w14:paraId="77412402" w14:textId="689F02F1" w:rsidR="005D26B4" w:rsidRPr="00B1011F" w:rsidRDefault="005D26B4" w:rsidP="00D86231">
      <w:pPr>
        <w:pStyle w:val="FooterTableFigure"/>
        <w:rPr>
          <w:sz w:val="20"/>
        </w:rPr>
      </w:pPr>
      <w:r>
        <w:t xml:space="preserve">Source: </w:t>
      </w:r>
      <w:r w:rsidR="005A5DD9">
        <w:t>Table 2.49, p95</w:t>
      </w:r>
      <w:r w:rsidR="00E62865">
        <w:t xml:space="preserve"> and Table 2.50, p96 of the submission.</w:t>
      </w:r>
    </w:p>
    <w:p w14:paraId="0AFC3DE1" w14:textId="2002035C" w:rsidR="000B0F5C" w:rsidRDefault="000B0F5C" w:rsidP="000B0F5C">
      <w:pPr>
        <w:pStyle w:val="FooterTableFigure"/>
        <w:rPr>
          <w:rFonts w:eastAsia="Calibri"/>
        </w:rPr>
      </w:pPr>
      <w:r>
        <w:rPr>
          <w:rFonts w:eastAsia="Calibri"/>
        </w:rPr>
        <w:t xml:space="preserve">AEs = adverse events; </w:t>
      </w:r>
      <w:r w:rsidRPr="00B40358">
        <w:rPr>
          <w:rFonts w:eastAsia="Calibri"/>
        </w:rPr>
        <w:t xml:space="preserve">CI = confidence interval; </w:t>
      </w:r>
      <w:r>
        <w:rPr>
          <w:rFonts w:eastAsia="Calibri"/>
        </w:rPr>
        <w:t>D+T = dabrafenib with trametinib</w:t>
      </w:r>
      <w:r w:rsidR="00941F51">
        <w:rPr>
          <w:rFonts w:eastAsia="Calibri"/>
        </w:rPr>
        <w:t xml:space="preserve">; </w:t>
      </w:r>
      <w:r w:rsidRPr="00B40358">
        <w:rPr>
          <w:rFonts w:eastAsia="Calibri"/>
        </w:rPr>
        <w:t>n = number of participants reporting data; N = total participants in group</w:t>
      </w:r>
      <w:r>
        <w:rPr>
          <w:rFonts w:eastAsia="Calibri"/>
        </w:rPr>
        <w:t>; OR= odds ratio; PEMBRO = pembrolizumab; PBC = platinum-based chemotherapy; RD = risk difference; RR = relative risk; TRAE = treatment-related adverse events.</w:t>
      </w:r>
    </w:p>
    <w:p w14:paraId="2152E779" w14:textId="65753714" w:rsidR="008E3AC7" w:rsidRPr="008E3AC7" w:rsidRDefault="008E3AC7" w:rsidP="000B0F5C">
      <w:pPr>
        <w:pStyle w:val="FooterTableFigure"/>
        <w:rPr>
          <w:rFonts w:eastAsia="Calibri"/>
        </w:rPr>
      </w:pPr>
      <w:r>
        <w:rPr>
          <w:rFonts w:eastAsia="Calibri"/>
          <w:b/>
          <w:bCs/>
        </w:rPr>
        <w:t xml:space="preserve">Bold </w:t>
      </w:r>
      <w:r>
        <w:rPr>
          <w:rFonts w:eastAsia="Calibri"/>
        </w:rPr>
        <w:t xml:space="preserve">indicates statistical significance. </w:t>
      </w:r>
    </w:p>
    <w:p w14:paraId="390E058A" w14:textId="548F5CB8" w:rsidR="001D7BFB" w:rsidRPr="002F6E0E" w:rsidRDefault="001D7BFB" w:rsidP="00676C50">
      <w:pPr>
        <w:pStyle w:val="3-BodyText"/>
        <w:tabs>
          <w:tab w:val="left" w:pos="8222"/>
        </w:tabs>
        <w:rPr>
          <w:rFonts w:eastAsia="Calibri"/>
        </w:rPr>
      </w:pPr>
      <w:r w:rsidRPr="002F6E0E">
        <w:rPr>
          <w:rFonts w:eastAsia="Calibri"/>
        </w:rPr>
        <w:t xml:space="preserve">Overall, it was difficult to </w:t>
      </w:r>
      <w:r w:rsidR="009050A0" w:rsidRPr="002F6E0E">
        <w:rPr>
          <w:rFonts w:eastAsia="Calibri"/>
        </w:rPr>
        <w:t>assess the comparative safety,</w:t>
      </w:r>
      <w:r w:rsidR="002B6918" w:rsidRPr="002F6E0E">
        <w:rPr>
          <w:rFonts w:eastAsia="Calibri"/>
        </w:rPr>
        <w:t xml:space="preserve"> given the unanchored and unadjusted ITC, and considerable differences in the safety profiles between D+T and </w:t>
      </w:r>
      <w:proofErr w:type="spellStart"/>
      <w:r w:rsidR="002B6918" w:rsidRPr="002F6E0E">
        <w:rPr>
          <w:rFonts w:eastAsia="Calibri"/>
        </w:rPr>
        <w:t>pembrolizumab+PBC</w:t>
      </w:r>
      <w:proofErr w:type="spellEnd"/>
      <w:r w:rsidR="002B6918" w:rsidRPr="002F6E0E">
        <w:rPr>
          <w:rFonts w:eastAsia="Calibri"/>
        </w:rPr>
        <w:t xml:space="preserve">. </w:t>
      </w:r>
      <w:r w:rsidR="00EE5629" w:rsidRPr="002F6E0E">
        <w:rPr>
          <w:rFonts w:eastAsia="Calibri"/>
        </w:rPr>
        <w:t xml:space="preserve">Additionally, the safety outcomes for D+T treatment included all patients treated with D+T in E2201 study, irrespective of the line of therapy, </w:t>
      </w:r>
      <w:r w:rsidR="004A7557" w:rsidRPr="002F6E0E">
        <w:rPr>
          <w:rFonts w:eastAsia="Calibri"/>
        </w:rPr>
        <w:t>whereas</w:t>
      </w:r>
      <w:r w:rsidR="00EE5629" w:rsidRPr="002F6E0E">
        <w:rPr>
          <w:rFonts w:eastAsia="Calibri"/>
        </w:rPr>
        <w:t xml:space="preserve"> </w:t>
      </w:r>
      <w:r w:rsidR="004A7557" w:rsidRPr="002F6E0E">
        <w:rPr>
          <w:rFonts w:eastAsia="Calibri"/>
        </w:rPr>
        <w:t>the safety outcomes for the pooled</w:t>
      </w:r>
      <w:r w:rsidR="00AB5645" w:rsidRPr="002F6E0E">
        <w:rPr>
          <w:rFonts w:eastAsia="Calibri"/>
        </w:rPr>
        <w:t xml:space="preserve"> </w:t>
      </w:r>
      <w:proofErr w:type="spellStart"/>
      <w:r w:rsidR="00AB5645" w:rsidRPr="002F6E0E">
        <w:rPr>
          <w:rFonts w:eastAsia="Calibri"/>
        </w:rPr>
        <w:t>pembrolizumab+PBC</w:t>
      </w:r>
      <w:proofErr w:type="spellEnd"/>
      <w:r w:rsidR="004A7557" w:rsidRPr="002F6E0E">
        <w:rPr>
          <w:rFonts w:eastAsia="Calibri"/>
        </w:rPr>
        <w:t xml:space="preserve"> arm </w:t>
      </w:r>
      <w:r w:rsidR="00914D54" w:rsidRPr="002F6E0E">
        <w:rPr>
          <w:rFonts w:eastAsia="Calibri"/>
        </w:rPr>
        <w:t xml:space="preserve">were based on patients treated in </w:t>
      </w:r>
      <w:r w:rsidR="007C5B37">
        <w:rPr>
          <w:rFonts w:eastAsia="Calibri"/>
        </w:rPr>
        <w:t xml:space="preserve">the </w:t>
      </w:r>
      <w:r w:rsidR="00914D54" w:rsidRPr="002F6E0E">
        <w:rPr>
          <w:rFonts w:eastAsia="Calibri"/>
        </w:rPr>
        <w:t>first-line setting</w:t>
      </w:r>
      <w:r w:rsidR="00AB5645" w:rsidRPr="002F6E0E">
        <w:rPr>
          <w:rFonts w:eastAsia="Calibri"/>
        </w:rPr>
        <w:t>.</w:t>
      </w:r>
      <w:r w:rsidR="00EE5629" w:rsidRPr="002F6E0E">
        <w:rPr>
          <w:rFonts w:eastAsia="Calibri"/>
        </w:rPr>
        <w:t xml:space="preserve"> </w:t>
      </w:r>
    </w:p>
    <w:p w14:paraId="04908C7F" w14:textId="415B9B7D" w:rsidR="007F1017" w:rsidRPr="00C9624D" w:rsidRDefault="007F1017" w:rsidP="00D86231">
      <w:pPr>
        <w:pStyle w:val="4-SubsectionHeading"/>
      </w:pPr>
      <w:bookmarkStart w:id="71" w:name="_Toc22897643"/>
      <w:bookmarkStart w:id="72" w:name="_Toc186369241"/>
      <w:bookmarkStart w:id="73" w:name="_Toc188347779"/>
      <w:r w:rsidRPr="00C9624D">
        <w:t>Benefits/harms</w:t>
      </w:r>
      <w:bookmarkEnd w:id="71"/>
      <w:bookmarkEnd w:id="72"/>
      <w:bookmarkEnd w:id="73"/>
    </w:p>
    <w:p w14:paraId="3B653B96" w14:textId="457381D7" w:rsidR="00FC1884" w:rsidRPr="003270E4" w:rsidRDefault="00311D9B" w:rsidP="00764178">
      <w:pPr>
        <w:pStyle w:val="3-BodyText"/>
      </w:pPr>
      <w:r w:rsidRPr="00311D9B">
        <w:rPr>
          <w:snapToGrid/>
          <w:lang w:val="en-US"/>
        </w:rPr>
        <w:t>A benefits and harms table is not presented as the submission made a claim of non-inferiority.</w:t>
      </w:r>
    </w:p>
    <w:p w14:paraId="7A1772B6" w14:textId="23BB3145" w:rsidR="00B60939" w:rsidRPr="00C9624D" w:rsidRDefault="00B60939" w:rsidP="00E9094A">
      <w:pPr>
        <w:pStyle w:val="4-SubsectionHeading"/>
      </w:pPr>
      <w:bookmarkStart w:id="74" w:name="_Toc22897644"/>
      <w:bookmarkStart w:id="75" w:name="_Toc186369242"/>
      <w:bookmarkStart w:id="76" w:name="_Toc188347780"/>
      <w:r w:rsidRPr="00C9624D">
        <w:t>Clinical claim</w:t>
      </w:r>
      <w:bookmarkEnd w:id="74"/>
      <w:bookmarkEnd w:id="75"/>
      <w:bookmarkEnd w:id="76"/>
    </w:p>
    <w:p w14:paraId="4E3B88F9" w14:textId="3EE61BFD" w:rsidR="00376F35" w:rsidRPr="002F6E0E" w:rsidRDefault="005F7588" w:rsidP="00E9094A">
      <w:pPr>
        <w:pStyle w:val="3-BodyText"/>
        <w:rPr>
          <w:rFonts w:eastAsia="Calibri"/>
        </w:rPr>
      </w:pPr>
      <w:bookmarkStart w:id="77" w:name="_Ref194993629"/>
      <w:r w:rsidRPr="002F6E0E">
        <w:rPr>
          <w:rFonts w:eastAsia="Calibri"/>
        </w:rPr>
        <w:t xml:space="preserve">The submission described </w:t>
      </w:r>
      <w:r w:rsidR="00AA45E4" w:rsidRPr="002F6E0E">
        <w:rPr>
          <w:rFonts w:eastAsia="Calibri"/>
        </w:rPr>
        <w:t>D+T</w:t>
      </w:r>
      <w:r w:rsidRPr="002F6E0E">
        <w:rPr>
          <w:rFonts w:eastAsia="Calibri"/>
        </w:rPr>
        <w:t xml:space="preserve"> as non-inferior in terms of effectiveness compared to </w:t>
      </w:r>
      <w:proofErr w:type="spellStart"/>
      <w:r w:rsidR="00376F35" w:rsidRPr="002F6E0E">
        <w:rPr>
          <w:rFonts w:eastAsia="Calibri"/>
        </w:rPr>
        <w:t>pembrolizumab+PBC</w:t>
      </w:r>
      <w:proofErr w:type="spellEnd"/>
      <w:r w:rsidRPr="002F6E0E">
        <w:rPr>
          <w:rFonts w:eastAsia="Calibri"/>
        </w:rPr>
        <w:t>. Th</w:t>
      </w:r>
      <w:r w:rsidR="0013629C">
        <w:rPr>
          <w:rFonts w:eastAsia="Calibri"/>
        </w:rPr>
        <w:t xml:space="preserve">e </w:t>
      </w:r>
      <w:r w:rsidR="0013629C" w:rsidRPr="00437C60">
        <w:rPr>
          <w:rFonts w:eastAsia="Calibri"/>
        </w:rPr>
        <w:t>ESC considered this</w:t>
      </w:r>
      <w:r w:rsidR="0013629C">
        <w:rPr>
          <w:rFonts w:eastAsia="Calibri"/>
        </w:rPr>
        <w:t xml:space="preserve"> </w:t>
      </w:r>
      <w:r w:rsidRPr="002F6E0E">
        <w:rPr>
          <w:rFonts w:eastAsia="Calibri"/>
        </w:rPr>
        <w:t>claim was</w:t>
      </w:r>
      <w:r w:rsidR="00207B64" w:rsidRPr="002F6E0E">
        <w:rPr>
          <w:rFonts w:eastAsia="Calibri"/>
        </w:rPr>
        <w:t xml:space="preserve"> </w:t>
      </w:r>
      <w:r w:rsidR="00CA1ADE" w:rsidRPr="002F6E0E">
        <w:rPr>
          <w:rFonts w:eastAsia="Calibri"/>
        </w:rPr>
        <w:t>uncertain:</w:t>
      </w:r>
      <w:bookmarkEnd w:id="77"/>
      <w:r w:rsidR="00CA1ADE" w:rsidRPr="002F6E0E">
        <w:rPr>
          <w:rFonts w:eastAsia="Calibri"/>
        </w:rPr>
        <w:t xml:space="preserve"> </w:t>
      </w:r>
    </w:p>
    <w:p w14:paraId="6E3416F8" w14:textId="2AC414DC" w:rsidR="00362B42" w:rsidRPr="002F6E0E" w:rsidRDefault="00362B42" w:rsidP="00362B42">
      <w:pPr>
        <w:pStyle w:val="ListParagraph"/>
        <w:rPr>
          <w:rFonts w:eastAsia="Calibri"/>
        </w:rPr>
      </w:pPr>
      <w:r w:rsidRPr="002F6E0E">
        <w:rPr>
          <w:rFonts w:eastAsia="Calibri"/>
        </w:rPr>
        <w:t xml:space="preserve">The </w:t>
      </w:r>
      <w:r w:rsidR="005A76B8" w:rsidRPr="002F6E0E">
        <w:rPr>
          <w:rFonts w:eastAsia="Calibri"/>
        </w:rPr>
        <w:t>evidence was</w:t>
      </w:r>
      <w:r w:rsidRPr="002F6E0E">
        <w:rPr>
          <w:rFonts w:eastAsia="Calibri"/>
        </w:rPr>
        <w:t xml:space="preserve"> based on an unadjusted and unanchored ITC for D+T from the E2201 study, a Phase II, open-label, single arm study with a small sample size </w:t>
      </w:r>
      <w:r w:rsidRPr="002F6E0E">
        <w:rPr>
          <w:rFonts w:eastAsia="Calibri"/>
        </w:rPr>
        <w:lastRenderedPageBreak/>
        <w:t xml:space="preserve">(N=36), and pooled </w:t>
      </w:r>
      <w:proofErr w:type="spellStart"/>
      <w:r w:rsidRPr="002F6E0E">
        <w:rPr>
          <w:rFonts w:eastAsia="Calibri"/>
        </w:rPr>
        <w:t>pembrolizumab+PBC</w:t>
      </w:r>
      <w:proofErr w:type="spellEnd"/>
      <w:r w:rsidRPr="002F6E0E">
        <w:rPr>
          <w:rFonts w:eastAsia="Calibri"/>
        </w:rPr>
        <w:t xml:space="preserve"> data from the KN-189 and KN-407, two Phase III randomised, double-blind, placebo-controlled trials.</w:t>
      </w:r>
    </w:p>
    <w:p w14:paraId="3EDA83D9" w14:textId="45638D09" w:rsidR="009069C3" w:rsidRPr="002F6E0E" w:rsidRDefault="00CA1ADE" w:rsidP="009069C3">
      <w:pPr>
        <w:pStyle w:val="ListParagraph"/>
        <w:rPr>
          <w:rFonts w:eastAsia="Calibri"/>
        </w:rPr>
      </w:pPr>
      <w:r w:rsidRPr="002F6E0E">
        <w:rPr>
          <w:rFonts w:eastAsia="Calibri"/>
        </w:rPr>
        <w:t>Evidence of D+T</w:t>
      </w:r>
      <w:r w:rsidR="00B42794" w:rsidRPr="002F6E0E">
        <w:rPr>
          <w:rFonts w:eastAsia="Calibri"/>
        </w:rPr>
        <w:t xml:space="preserve"> (E2201 study)</w:t>
      </w:r>
      <w:r w:rsidRPr="002F6E0E">
        <w:rPr>
          <w:rFonts w:eastAsia="Calibri"/>
        </w:rPr>
        <w:t xml:space="preserve"> in terms of efficacy and safety was limited to patients with BRAF V600E </w:t>
      </w:r>
      <w:r w:rsidR="000C217D" w:rsidRPr="002F6E0E">
        <w:rPr>
          <w:rFonts w:eastAsia="Calibri"/>
        </w:rPr>
        <w:t>mutation positive Stage IV NSCLC,</w:t>
      </w:r>
      <w:r w:rsidR="009069C3" w:rsidRPr="002F6E0E">
        <w:rPr>
          <w:rFonts w:eastAsia="Calibri"/>
        </w:rPr>
        <w:t xml:space="preserve"> whereas the BRAF V600E mutation status was not assessed in the </w:t>
      </w:r>
      <w:proofErr w:type="spellStart"/>
      <w:r w:rsidR="009069C3" w:rsidRPr="002F6E0E">
        <w:rPr>
          <w:rFonts w:eastAsia="Calibri"/>
        </w:rPr>
        <w:t>pembrolizumab</w:t>
      </w:r>
      <w:r w:rsidR="00B42794" w:rsidRPr="002F6E0E">
        <w:rPr>
          <w:rFonts w:eastAsia="Calibri"/>
        </w:rPr>
        <w:t>+PBC</w:t>
      </w:r>
      <w:proofErr w:type="spellEnd"/>
      <w:r w:rsidR="009069C3" w:rsidRPr="002F6E0E">
        <w:rPr>
          <w:rFonts w:eastAsia="Calibri"/>
        </w:rPr>
        <w:t xml:space="preserve"> trials (KN-189 and KN-407). Additionally, the prognostic value of BRAF V600E mutation </w:t>
      </w:r>
      <w:r w:rsidR="000005B4" w:rsidRPr="002F6E0E">
        <w:rPr>
          <w:rFonts w:eastAsia="Calibri"/>
        </w:rPr>
        <w:t xml:space="preserve">is </w:t>
      </w:r>
      <w:r w:rsidR="009069C3" w:rsidRPr="002F6E0E">
        <w:rPr>
          <w:rFonts w:eastAsia="Calibri"/>
        </w:rPr>
        <w:t xml:space="preserve">uncertain. </w:t>
      </w:r>
    </w:p>
    <w:p w14:paraId="1FBDDA6B" w14:textId="694BC8FC" w:rsidR="000C217D" w:rsidRPr="002F6E0E" w:rsidRDefault="000005B4" w:rsidP="000C217D">
      <w:pPr>
        <w:pStyle w:val="ListParagraph"/>
        <w:rPr>
          <w:rFonts w:eastAsia="Calibri"/>
        </w:rPr>
      </w:pPr>
      <w:r w:rsidRPr="002F6E0E">
        <w:rPr>
          <w:rFonts w:eastAsia="Calibri"/>
        </w:rPr>
        <w:t xml:space="preserve">The results of </w:t>
      </w:r>
      <w:r w:rsidR="00362B42" w:rsidRPr="002F6E0E">
        <w:rPr>
          <w:rFonts w:eastAsia="Calibri"/>
        </w:rPr>
        <w:t xml:space="preserve">the </w:t>
      </w:r>
      <w:r w:rsidRPr="002F6E0E">
        <w:rPr>
          <w:rFonts w:eastAsia="Calibri"/>
        </w:rPr>
        <w:t xml:space="preserve">ITC may not be reliable due to potential transitivity issues </w:t>
      </w:r>
      <w:r w:rsidR="00165243" w:rsidRPr="002F6E0E">
        <w:rPr>
          <w:rFonts w:eastAsia="Calibri"/>
        </w:rPr>
        <w:t xml:space="preserve">between the D+T study  and </w:t>
      </w:r>
      <w:proofErr w:type="spellStart"/>
      <w:r w:rsidR="00165243" w:rsidRPr="002F6E0E">
        <w:rPr>
          <w:rFonts w:eastAsia="Calibri"/>
        </w:rPr>
        <w:t>pembrolizumab</w:t>
      </w:r>
      <w:r w:rsidR="00B42794" w:rsidRPr="002F6E0E">
        <w:rPr>
          <w:rFonts w:eastAsia="Calibri"/>
        </w:rPr>
        <w:t>+PBC</w:t>
      </w:r>
      <w:proofErr w:type="spellEnd"/>
      <w:r w:rsidR="00165243" w:rsidRPr="002F6E0E">
        <w:rPr>
          <w:rFonts w:eastAsia="Calibri"/>
        </w:rPr>
        <w:t xml:space="preserve"> trials, including differences in terms of disease histology, gender, brain metastases, smoking status, subsequent treatment, and the follow-up duration. </w:t>
      </w:r>
    </w:p>
    <w:p w14:paraId="4A770C6F" w14:textId="53C73661" w:rsidR="00376F35" w:rsidRPr="002F6E0E" w:rsidRDefault="00F243FF" w:rsidP="03CF4CC7">
      <w:pPr>
        <w:pStyle w:val="ListParagraph"/>
        <w:rPr>
          <w:rFonts w:eastAsia="Calibri"/>
        </w:rPr>
      </w:pPr>
      <w:r w:rsidRPr="002F6E0E">
        <w:rPr>
          <w:rFonts w:eastAsia="Calibri"/>
        </w:rPr>
        <w:t xml:space="preserve">The relative treatment </w:t>
      </w:r>
      <w:r w:rsidR="00191E39" w:rsidRPr="002F6E0E">
        <w:rPr>
          <w:rFonts w:eastAsia="Calibri"/>
        </w:rPr>
        <w:t xml:space="preserve">effect </w:t>
      </w:r>
      <w:r w:rsidRPr="002F6E0E">
        <w:rPr>
          <w:rFonts w:eastAsia="Calibri"/>
        </w:rPr>
        <w:t xml:space="preserve">for D+T and </w:t>
      </w:r>
      <w:proofErr w:type="spellStart"/>
      <w:r w:rsidRPr="002F6E0E">
        <w:rPr>
          <w:rFonts w:eastAsia="Calibri"/>
        </w:rPr>
        <w:t>pembrolizumab+PBC</w:t>
      </w:r>
      <w:proofErr w:type="spellEnd"/>
      <w:r w:rsidRPr="002F6E0E">
        <w:rPr>
          <w:rFonts w:eastAsia="Calibri"/>
        </w:rPr>
        <w:t xml:space="preserve"> was not constant</w:t>
      </w:r>
      <w:r w:rsidR="00191E39" w:rsidRPr="002F6E0E">
        <w:rPr>
          <w:rFonts w:eastAsia="Calibri"/>
        </w:rPr>
        <w:t xml:space="preserve"> over</w:t>
      </w:r>
      <w:r w:rsidRPr="002F6E0E">
        <w:rPr>
          <w:rFonts w:eastAsia="Calibri"/>
        </w:rPr>
        <w:t xml:space="preserve"> time. D+T, a targeted therapy, and </w:t>
      </w:r>
      <w:proofErr w:type="spellStart"/>
      <w:r w:rsidRPr="002F6E0E">
        <w:rPr>
          <w:rFonts w:eastAsia="Calibri"/>
        </w:rPr>
        <w:t>pembrolizumab+PBC</w:t>
      </w:r>
      <w:proofErr w:type="spellEnd"/>
      <w:r w:rsidRPr="002F6E0E">
        <w:rPr>
          <w:rFonts w:eastAsia="Calibri"/>
        </w:rPr>
        <w:t>, combination of immunotherapy and chemotherapy, have different mechanism</w:t>
      </w:r>
      <w:r w:rsidR="4B907736" w:rsidRPr="002F6E0E">
        <w:rPr>
          <w:rFonts w:eastAsia="Calibri"/>
        </w:rPr>
        <w:t>s</w:t>
      </w:r>
      <w:r w:rsidRPr="002F6E0E">
        <w:rPr>
          <w:rFonts w:eastAsia="Calibri"/>
        </w:rPr>
        <w:t xml:space="preserve"> of action and</w:t>
      </w:r>
      <w:r w:rsidR="000D747A" w:rsidRPr="002F6E0E">
        <w:rPr>
          <w:rFonts w:eastAsia="Calibri"/>
        </w:rPr>
        <w:t xml:space="preserve"> therefore</w:t>
      </w:r>
      <w:r w:rsidRPr="002F6E0E">
        <w:rPr>
          <w:rFonts w:eastAsia="Calibri"/>
        </w:rPr>
        <w:t xml:space="preserve"> </w:t>
      </w:r>
      <w:r w:rsidR="000D747A" w:rsidRPr="002F6E0E">
        <w:rPr>
          <w:rFonts w:eastAsia="Calibri"/>
        </w:rPr>
        <w:t xml:space="preserve">different </w:t>
      </w:r>
      <w:r w:rsidRPr="002F6E0E">
        <w:rPr>
          <w:rFonts w:eastAsia="Calibri"/>
        </w:rPr>
        <w:t>patterns of response.</w:t>
      </w:r>
    </w:p>
    <w:p w14:paraId="31869B6A" w14:textId="0F8FB7FB" w:rsidR="00721BB8" w:rsidRPr="00DE7E37" w:rsidRDefault="005F7588" w:rsidP="00DE7E37">
      <w:pPr>
        <w:pStyle w:val="3-BodyText"/>
        <w:rPr>
          <w:rFonts w:eastAsia="Calibri"/>
        </w:rPr>
      </w:pPr>
      <w:r w:rsidRPr="002F6E0E">
        <w:rPr>
          <w:rFonts w:eastAsia="Calibri"/>
        </w:rPr>
        <w:t xml:space="preserve">The submission described </w:t>
      </w:r>
      <w:r w:rsidR="00AA45E4" w:rsidRPr="002F6E0E">
        <w:rPr>
          <w:rFonts w:eastAsia="Calibri"/>
        </w:rPr>
        <w:t>D+T</w:t>
      </w:r>
      <w:r w:rsidRPr="002F6E0E">
        <w:rPr>
          <w:rFonts w:eastAsia="Calibri"/>
        </w:rPr>
        <w:t xml:space="preserve"> as </w:t>
      </w:r>
      <w:r w:rsidR="00AA45E4" w:rsidRPr="002F6E0E">
        <w:rPr>
          <w:rFonts w:eastAsia="Calibri"/>
        </w:rPr>
        <w:t>non</w:t>
      </w:r>
      <w:r w:rsidRPr="002F6E0E">
        <w:rPr>
          <w:rFonts w:eastAsia="Calibri"/>
        </w:rPr>
        <w:t>-inferior in term</w:t>
      </w:r>
      <w:r w:rsidR="00156F8F" w:rsidRPr="002F6E0E">
        <w:rPr>
          <w:rFonts w:eastAsia="Calibri"/>
        </w:rPr>
        <w:t>s</w:t>
      </w:r>
      <w:r w:rsidRPr="002F6E0E">
        <w:rPr>
          <w:rFonts w:eastAsia="Calibri"/>
        </w:rPr>
        <w:t xml:space="preserve"> of safety compared to </w:t>
      </w:r>
      <w:proofErr w:type="spellStart"/>
      <w:r w:rsidR="00AA45E4" w:rsidRPr="002F6E0E">
        <w:rPr>
          <w:rFonts w:eastAsia="Calibri"/>
        </w:rPr>
        <w:t>pembrolizumab+PBC</w:t>
      </w:r>
      <w:proofErr w:type="spellEnd"/>
      <w:r w:rsidR="00AA45E4" w:rsidRPr="002F6E0E">
        <w:rPr>
          <w:rFonts w:eastAsia="Calibri"/>
        </w:rPr>
        <w:t>.</w:t>
      </w:r>
      <w:r w:rsidRPr="002F6E0E">
        <w:rPr>
          <w:rFonts w:eastAsia="Calibri"/>
        </w:rPr>
        <w:t xml:space="preserve"> </w:t>
      </w:r>
      <w:r w:rsidR="006F0153" w:rsidRPr="00DE7E37">
        <w:rPr>
          <w:rFonts w:eastAsia="Calibri"/>
        </w:rPr>
        <w:t>I</w:t>
      </w:r>
      <w:r w:rsidR="00721BB8" w:rsidRPr="00DE7E37">
        <w:rPr>
          <w:rFonts w:eastAsia="Calibri"/>
        </w:rPr>
        <w:t xml:space="preserve">t was difficult to assess the comparative safety, given the unanchored and unadjusted ITC, and differences in the safety profiles between D+T and </w:t>
      </w:r>
      <w:proofErr w:type="spellStart"/>
      <w:r w:rsidR="00721BB8" w:rsidRPr="00DE7E37">
        <w:rPr>
          <w:rFonts w:eastAsia="Calibri"/>
        </w:rPr>
        <w:t>pembrolizumab+PBC</w:t>
      </w:r>
      <w:proofErr w:type="spellEnd"/>
      <w:r w:rsidR="00721BB8" w:rsidRPr="00DE7E37">
        <w:rPr>
          <w:rFonts w:eastAsia="Calibri"/>
        </w:rPr>
        <w:t xml:space="preserve">. </w:t>
      </w:r>
    </w:p>
    <w:p w14:paraId="0F42D5C1" w14:textId="393CB883" w:rsidR="00DE7E37" w:rsidRDefault="00DE7E37" w:rsidP="00DE7E37">
      <w:pPr>
        <w:pStyle w:val="3-BodyText"/>
        <w:rPr>
          <w:rFonts w:eastAsia="Calibri"/>
        </w:rPr>
      </w:pPr>
      <w:r w:rsidRPr="002F6E0E" w:rsidDel="00DE7E37">
        <w:rPr>
          <w:rFonts w:eastAsia="Calibri"/>
        </w:rPr>
        <w:t>The submission did not present any comparative evidence between D+T and PBC alone for patients with ECOG PS of 2. The</w:t>
      </w:r>
      <w:r>
        <w:rPr>
          <w:rFonts w:eastAsia="Calibri"/>
        </w:rPr>
        <w:t xml:space="preserve"> </w:t>
      </w:r>
      <w:r w:rsidRPr="001406DA">
        <w:rPr>
          <w:rFonts w:eastAsia="Calibri"/>
        </w:rPr>
        <w:t>ESC considered this was reasonable</w:t>
      </w:r>
      <w:r w:rsidRPr="00DE7E37">
        <w:rPr>
          <w:rFonts w:eastAsia="Calibri"/>
          <w:i/>
          <w:iCs/>
        </w:rPr>
        <w:t xml:space="preserve"> </w:t>
      </w:r>
      <w:r>
        <w:rPr>
          <w:rFonts w:eastAsia="Calibri"/>
        </w:rPr>
        <w:t xml:space="preserve">as the </w:t>
      </w:r>
      <w:r w:rsidRPr="002F6E0E" w:rsidDel="00DE7E37">
        <w:rPr>
          <w:rFonts w:eastAsia="Calibri"/>
        </w:rPr>
        <w:t xml:space="preserve">evidence base for D+T in this subpopulation was limited, </w:t>
      </w:r>
      <w:r>
        <w:rPr>
          <w:rFonts w:eastAsia="Calibri"/>
        </w:rPr>
        <w:t xml:space="preserve">with </w:t>
      </w:r>
      <w:r w:rsidRPr="002F6E0E" w:rsidDel="00DE7E37">
        <w:rPr>
          <w:rFonts w:eastAsia="Calibri"/>
        </w:rPr>
        <w:t>only six patients in the E2201 study ha</w:t>
      </w:r>
      <w:r>
        <w:rPr>
          <w:rFonts w:eastAsia="Calibri"/>
        </w:rPr>
        <w:t xml:space="preserve">ving an </w:t>
      </w:r>
      <w:r w:rsidRPr="002F6E0E" w:rsidDel="00DE7E37">
        <w:rPr>
          <w:rFonts w:eastAsia="Calibri"/>
        </w:rPr>
        <w:t>ECOG PS of 2.</w:t>
      </w:r>
    </w:p>
    <w:p w14:paraId="6356976E" w14:textId="48F491F5" w:rsidR="00E97540" w:rsidRPr="00CE42B4" w:rsidRDefault="00E97540" w:rsidP="00E97540">
      <w:pPr>
        <w:widowControl w:val="0"/>
        <w:numPr>
          <w:ilvl w:val="1"/>
          <w:numId w:val="2"/>
        </w:numPr>
        <w:spacing w:after="120"/>
        <w:rPr>
          <w:rFonts w:asciiTheme="minorHAnsi" w:hAnsiTheme="minorHAnsi"/>
          <w:snapToGrid w:val="0"/>
          <w:szCs w:val="20"/>
        </w:rPr>
      </w:pPr>
      <w:bookmarkStart w:id="78"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 was reasonable.</w:t>
      </w:r>
    </w:p>
    <w:p w14:paraId="0BFC4722" w14:textId="5C7C7656" w:rsidR="00E97540" w:rsidRPr="00CE42B4" w:rsidRDefault="00E97540" w:rsidP="00E97540">
      <w:pPr>
        <w:widowControl w:val="0"/>
        <w:numPr>
          <w:ilvl w:val="1"/>
          <w:numId w:val="2"/>
        </w:numPr>
        <w:spacing w:after="120"/>
        <w:rPr>
          <w:rFonts w:asciiTheme="minorHAnsi" w:hAnsiTheme="minorHAnsi"/>
          <w:snapToGrid w:val="0"/>
          <w:szCs w:val="20"/>
        </w:rPr>
      </w:pPr>
      <w:r w:rsidRPr="00CE42B4">
        <w:rPr>
          <w:rFonts w:asciiTheme="minorHAnsi" w:hAnsiTheme="minorHAnsi"/>
          <w:snapToGrid w:val="0"/>
          <w:szCs w:val="20"/>
        </w:rPr>
        <w:t>The PBAC considered that the claim of non-inferior comparative safety was reasonable.</w:t>
      </w:r>
    </w:p>
    <w:p w14:paraId="74A1172E" w14:textId="128C170E" w:rsidR="00B60939" w:rsidRPr="00C9624D" w:rsidRDefault="00B60939" w:rsidP="00E9094A">
      <w:pPr>
        <w:pStyle w:val="4-SubsectionHeading"/>
      </w:pPr>
      <w:bookmarkStart w:id="79" w:name="_Toc22897645"/>
      <w:bookmarkStart w:id="80" w:name="_Toc186369243"/>
      <w:bookmarkStart w:id="81" w:name="_Toc188347781"/>
      <w:bookmarkEnd w:id="78"/>
      <w:r w:rsidRPr="00C9624D">
        <w:t>Economic analysis</w:t>
      </w:r>
      <w:bookmarkEnd w:id="79"/>
      <w:bookmarkEnd w:id="80"/>
      <w:bookmarkEnd w:id="81"/>
      <w:r w:rsidR="00491B3A" w:rsidRPr="00C9624D">
        <w:t xml:space="preserve"> </w:t>
      </w:r>
    </w:p>
    <w:p w14:paraId="4E4ABF34" w14:textId="5782E916" w:rsidR="00101FA9" w:rsidRPr="002F6E0E" w:rsidRDefault="00507DEB" w:rsidP="00101FA9">
      <w:pPr>
        <w:pStyle w:val="3-BodyText"/>
      </w:pPr>
      <w:r w:rsidRPr="002F6E0E">
        <w:t xml:space="preserve">The submission presented a cost-minimisation approach (CMA) comparing D+T with </w:t>
      </w:r>
      <w:proofErr w:type="spellStart"/>
      <w:r w:rsidRPr="002F6E0E">
        <w:t>pembrolizumab+PBC</w:t>
      </w:r>
      <w:proofErr w:type="spellEnd"/>
      <w:r w:rsidRPr="002F6E0E">
        <w:t xml:space="preserve"> based on the claim of non-inferiority in terms of effectiveness and safety. </w:t>
      </w:r>
    </w:p>
    <w:p w14:paraId="3E251D73" w14:textId="11EEF26A" w:rsidR="00350B62" w:rsidRPr="002F6E0E" w:rsidRDefault="00545649" w:rsidP="009F2032">
      <w:pPr>
        <w:pStyle w:val="3-BodyText"/>
      </w:pPr>
      <w:r w:rsidRPr="002F6E0E">
        <w:t xml:space="preserve">The submission presented two separate CMAs for NSQ and SQ NSCLC, given the differences in the components of PBC and treatment duration of </w:t>
      </w:r>
      <w:proofErr w:type="spellStart"/>
      <w:r w:rsidRPr="002F6E0E">
        <w:t>pembrolizumab+PBC</w:t>
      </w:r>
      <w:proofErr w:type="spellEnd"/>
      <w:r w:rsidRPr="002F6E0E">
        <w:t xml:space="preserve"> based on histology. </w:t>
      </w:r>
      <w:r w:rsidR="00350B62" w:rsidRPr="002F6E0E">
        <w:t xml:space="preserve">The comparator therapies considered in the CMA were pembrolizumab </w:t>
      </w:r>
      <w:r w:rsidR="008B1128" w:rsidRPr="002F6E0E">
        <w:t>with</w:t>
      </w:r>
      <w:r w:rsidR="00E801A4" w:rsidRPr="002F6E0E">
        <w:t xml:space="preserve"> </w:t>
      </w:r>
      <w:r w:rsidR="00350B62" w:rsidRPr="002F6E0E">
        <w:t xml:space="preserve">cisplatin/carboplatin </w:t>
      </w:r>
      <w:r w:rsidR="008B1128" w:rsidRPr="002F6E0E">
        <w:t>and</w:t>
      </w:r>
      <w:r w:rsidR="00350B62" w:rsidRPr="002F6E0E">
        <w:t xml:space="preserve"> pemetrexed for NSQ NSCLC and </w:t>
      </w:r>
      <w:r w:rsidRPr="002F6E0E">
        <w:t xml:space="preserve">pembrolizumab </w:t>
      </w:r>
      <w:r w:rsidR="008B1128" w:rsidRPr="002F6E0E">
        <w:t>with</w:t>
      </w:r>
      <w:r w:rsidRPr="002F6E0E">
        <w:t xml:space="preserve"> carboplatin </w:t>
      </w:r>
      <w:r w:rsidR="008B1128" w:rsidRPr="002F6E0E">
        <w:t>and</w:t>
      </w:r>
      <w:r w:rsidRPr="002F6E0E">
        <w:t xml:space="preserve"> paclitaxel for SQ NSCLC</w:t>
      </w:r>
      <w:r w:rsidR="00350B62" w:rsidRPr="002F6E0E">
        <w:t xml:space="preserve">. </w:t>
      </w:r>
    </w:p>
    <w:p w14:paraId="3526F43D" w14:textId="44801AA9" w:rsidR="00970A22" w:rsidRPr="002F6E0E" w:rsidRDefault="00970A22" w:rsidP="00970A22">
      <w:pPr>
        <w:pStyle w:val="3-BodyText"/>
      </w:pPr>
      <w:r w:rsidRPr="002F6E0E">
        <w:t>The equi-effective doses</w:t>
      </w:r>
      <w:r w:rsidR="00AC3299">
        <w:t xml:space="preserve"> </w:t>
      </w:r>
      <w:r w:rsidR="00204620" w:rsidRPr="002F6E0E">
        <w:t xml:space="preserve">were estimated for </w:t>
      </w:r>
      <w:r w:rsidRPr="002F6E0E">
        <w:t xml:space="preserve">D+T from the E2201 study and </w:t>
      </w:r>
      <w:proofErr w:type="spellStart"/>
      <w:r w:rsidRPr="002F6E0E">
        <w:t>pembrolizumab+PBC</w:t>
      </w:r>
      <w:proofErr w:type="spellEnd"/>
      <w:r w:rsidRPr="002F6E0E">
        <w:t xml:space="preserve"> from the KN-189 and KN-407 trials</w:t>
      </w:r>
      <w:r w:rsidR="00204620" w:rsidRPr="002F6E0E">
        <w:t xml:space="preserve"> </w:t>
      </w:r>
      <w:r w:rsidRPr="002F6E0E">
        <w:t>as</w:t>
      </w:r>
      <w:r w:rsidR="00204620" w:rsidRPr="002F6E0E">
        <w:t xml:space="preserve"> follows</w:t>
      </w:r>
      <w:r w:rsidRPr="002F6E0E">
        <w:t>:</w:t>
      </w:r>
    </w:p>
    <w:p w14:paraId="327497F6" w14:textId="5D0C7392" w:rsidR="00970A22" w:rsidRPr="002F6E0E" w:rsidRDefault="00970A22" w:rsidP="00970A22">
      <w:pPr>
        <w:pStyle w:val="ListParagraph"/>
      </w:pPr>
      <w:r w:rsidRPr="002F6E0E">
        <w:lastRenderedPageBreak/>
        <w:t xml:space="preserve">NSQ: Dabrafenib 249 mg/day </w:t>
      </w:r>
      <w:r w:rsidR="0023181F" w:rsidRPr="002F6E0E">
        <w:t xml:space="preserve">for </w:t>
      </w:r>
      <w:r w:rsidR="005863F8" w:rsidRPr="002F6E0E">
        <w:t xml:space="preserve">18.91 months </w:t>
      </w:r>
      <w:r w:rsidRPr="002F6E0E">
        <w:t xml:space="preserve">+ </w:t>
      </w:r>
      <w:r w:rsidR="00FA5B9B" w:rsidRPr="002F6E0E">
        <w:t>t</w:t>
      </w:r>
      <w:r w:rsidRPr="002F6E0E">
        <w:t>rametinib 1.8 mg/day</w:t>
      </w:r>
      <w:r w:rsidR="005863F8" w:rsidRPr="002F6E0E">
        <w:t xml:space="preserve"> for 17.72</w:t>
      </w:r>
      <w:r w:rsidR="008B1D83">
        <w:t> </w:t>
      </w:r>
      <w:r w:rsidR="005863F8" w:rsidRPr="002F6E0E">
        <w:t>months</w:t>
      </w:r>
      <w:r w:rsidRPr="002F6E0E">
        <w:t xml:space="preserve"> </w:t>
      </w:r>
      <w:r w:rsidR="00204620" w:rsidRPr="002F6E0E">
        <w:t xml:space="preserve">= </w:t>
      </w:r>
      <w:r w:rsidRPr="002F6E0E">
        <w:t xml:space="preserve">Pembrolizumab 200 mg Q3W for 14.13 cycles in combination with </w:t>
      </w:r>
      <w:r w:rsidR="00FA5B9B" w:rsidRPr="002F6E0E">
        <w:t>c</w:t>
      </w:r>
      <w:r w:rsidRPr="002F6E0E">
        <w:t xml:space="preserve">isplatin 137 mg Q3W or </w:t>
      </w:r>
      <w:r w:rsidR="00FA5B9B" w:rsidRPr="002F6E0E">
        <w:t>c</w:t>
      </w:r>
      <w:r w:rsidRPr="002F6E0E">
        <w:t xml:space="preserve">arboplatin 530 mg Q3W for 3.60 cycles and </w:t>
      </w:r>
      <w:r w:rsidR="00FA5B9B" w:rsidRPr="002F6E0E">
        <w:t>p</w:t>
      </w:r>
      <w:r w:rsidRPr="002F6E0E">
        <w:t>emetrexed 911 mg Q3W for 13.58 cycles.</w:t>
      </w:r>
    </w:p>
    <w:p w14:paraId="3DF67D01" w14:textId="41BA9270" w:rsidR="00970A22" w:rsidRPr="002F6E0E" w:rsidRDefault="00970A22" w:rsidP="00970A22">
      <w:pPr>
        <w:pStyle w:val="ListParagraph"/>
      </w:pPr>
      <w:r w:rsidRPr="002F6E0E">
        <w:t>SQ: Dabrafenib 249 mg/day</w:t>
      </w:r>
      <w:r w:rsidR="00157438" w:rsidRPr="002F6E0E">
        <w:t xml:space="preserve"> for 18.91 months </w:t>
      </w:r>
      <w:r w:rsidRPr="002F6E0E">
        <w:t xml:space="preserve">+ </w:t>
      </w:r>
      <w:r w:rsidR="00FA5B9B" w:rsidRPr="002F6E0E">
        <w:t>tr</w:t>
      </w:r>
      <w:r w:rsidRPr="002F6E0E">
        <w:t>ametinib 1.8 mg/day</w:t>
      </w:r>
      <w:r w:rsidR="00157438" w:rsidRPr="002F6E0E">
        <w:t xml:space="preserve"> for 17.72</w:t>
      </w:r>
      <w:r w:rsidR="00423F12">
        <w:t> </w:t>
      </w:r>
      <w:r w:rsidR="00157438" w:rsidRPr="002F6E0E">
        <w:t>months</w:t>
      </w:r>
      <w:r w:rsidRPr="002F6E0E">
        <w:t xml:space="preserve"> </w:t>
      </w:r>
      <w:r w:rsidR="00204620" w:rsidRPr="002F6E0E">
        <w:t>=</w:t>
      </w:r>
      <w:r w:rsidRPr="002F6E0E">
        <w:t xml:space="preserve"> Pembrolizumab 200 mg Q3W for 14.02 cycles in combination with </w:t>
      </w:r>
      <w:r w:rsidR="00FA5B9B" w:rsidRPr="002F6E0E">
        <w:t>c</w:t>
      </w:r>
      <w:r w:rsidRPr="002F6E0E">
        <w:t xml:space="preserve">arboplatin 636 mg Q3W for 3.62 cycles and </w:t>
      </w:r>
      <w:r w:rsidR="00A550CA" w:rsidRPr="002F6E0E">
        <w:t>p</w:t>
      </w:r>
      <w:r w:rsidRPr="002F6E0E">
        <w:t>aclitaxel 364 mg Q3W for 3.60 cycles.</w:t>
      </w:r>
    </w:p>
    <w:p w14:paraId="08DCC3DB" w14:textId="2D90A9D5" w:rsidR="000D4DE5" w:rsidRDefault="00D868A9" w:rsidP="000B6113">
      <w:pPr>
        <w:pStyle w:val="3-BodyText"/>
      </w:pPr>
      <w:r>
        <w:t>The submission used the time to treatment discontinuation (TTD) Kaplan-Meier curves from the E2201 study to determine the mean treatment duration of dabrafenib (18.91</w:t>
      </w:r>
      <w:r w:rsidR="00423F12">
        <w:t> </w:t>
      </w:r>
      <w:r>
        <w:t xml:space="preserve">months) and trametinib (17.72 months), with all patients completing treatment with D+T. </w:t>
      </w:r>
      <w:r w:rsidR="00733F35">
        <w:t>T</w:t>
      </w:r>
      <w:r w:rsidR="00FB51DE">
        <w:t>he mean dose</w:t>
      </w:r>
      <w:r>
        <w:t xml:space="preserve"> and treatment duration</w:t>
      </w:r>
      <w:r w:rsidR="00FB51DE">
        <w:t xml:space="preserve"> of D+T was calculated based on all treated patients, regardless of the treatment line</w:t>
      </w:r>
      <w:r w:rsidR="00BB61AD">
        <w:t xml:space="preserve"> and histology (NSQ or SQ). </w:t>
      </w:r>
    </w:p>
    <w:p w14:paraId="4F2019B1" w14:textId="7D8B87DC" w:rsidR="00386F80" w:rsidRDefault="00F96FA3" w:rsidP="00383B59">
      <w:pPr>
        <w:pStyle w:val="3-BodyText"/>
        <w:rPr>
          <w:i/>
          <w:iCs/>
        </w:rPr>
      </w:pPr>
      <w:bookmarkStart w:id="82" w:name="_Hlk187680761"/>
      <w:r>
        <w:t xml:space="preserve">TTD </w:t>
      </w:r>
      <w:r w:rsidR="00F96424">
        <w:t>K</w:t>
      </w:r>
      <w:r w:rsidR="00DF64BA">
        <w:t>aplan-</w:t>
      </w:r>
      <w:r w:rsidR="00F96424">
        <w:t>M</w:t>
      </w:r>
      <w:r w:rsidR="00DF64BA">
        <w:t>eier</w:t>
      </w:r>
      <w:r w:rsidR="00F96424">
        <w:t xml:space="preserve"> curves </w:t>
      </w:r>
      <w:r w:rsidR="00360D17">
        <w:t xml:space="preserve">or mean treatment duration </w:t>
      </w:r>
      <w:r w:rsidR="00F96424">
        <w:t>were</w:t>
      </w:r>
      <w:r>
        <w:t xml:space="preserve"> not available </w:t>
      </w:r>
      <w:r w:rsidR="00F96424">
        <w:t>for</w:t>
      </w:r>
      <w:r>
        <w:t xml:space="preserve"> </w:t>
      </w:r>
      <w:proofErr w:type="spellStart"/>
      <w:r>
        <w:t>pembrolizumab</w:t>
      </w:r>
      <w:r w:rsidR="00F96424">
        <w:t>+PBC</w:t>
      </w:r>
      <w:proofErr w:type="spellEnd"/>
      <w:r w:rsidR="00546DE7">
        <w:t xml:space="preserve"> </w:t>
      </w:r>
      <w:r w:rsidR="00287465">
        <w:t>from the most recent data-cut off of</w:t>
      </w:r>
      <w:r w:rsidR="00546DE7">
        <w:t xml:space="preserve"> </w:t>
      </w:r>
      <w:r w:rsidR="00287465" w:rsidRPr="00287465">
        <w:t>KN-189 (March 2022) and KN-407 (February 2022)</w:t>
      </w:r>
      <w:r>
        <w:t xml:space="preserve">. </w:t>
      </w:r>
      <w:r w:rsidR="00287465">
        <w:t xml:space="preserve">For KN-189, the </w:t>
      </w:r>
      <w:r w:rsidR="00BE1291">
        <w:t xml:space="preserve">submission </w:t>
      </w:r>
      <w:r w:rsidR="00360D17">
        <w:t>relied on</w:t>
      </w:r>
      <w:r w:rsidR="00BE1291">
        <w:t xml:space="preserve"> data from </w:t>
      </w:r>
      <w:proofErr w:type="spellStart"/>
      <w:r w:rsidR="00BE1291">
        <w:t>Gadgeel</w:t>
      </w:r>
      <w:proofErr w:type="spellEnd"/>
      <w:r w:rsidR="00BE1291">
        <w:t xml:space="preserve"> et al.</w:t>
      </w:r>
      <w:r w:rsidR="00AF1645">
        <w:t xml:space="preserve"> </w:t>
      </w:r>
      <w:r w:rsidR="00BE1291">
        <w:t>(202</w:t>
      </w:r>
      <w:r w:rsidR="00F77336">
        <w:t>0</w:t>
      </w:r>
      <w:r w:rsidR="00BE1291">
        <w:t>)</w:t>
      </w:r>
      <w:r w:rsidR="00360D17">
        <w:t>,</w:t>
      </w:r>
      <w:r w:rsidR="00287465">
        <w:t xml:space="preserve"> which reported a</w:t>
      </w:r>
      <w:r w:rsidR="00287465" w:rsidRPr="00287465">
        <w:t xml:space="preserve"> </w:t>
      </w:r>
      <w:r w:rsidR="00F83B28">
        <w:t xml:space="preserve">truncated </w:t>
      </w:r>
      <w:r w:rsidR="00287465" w:rsidRPr="00287465">
        <w:t xml:space="preserve">mean duration of treatment </w:t>
      </w:r>
      <w:r w:rsidR="00287465">
        <w:t xml:space="preserve">of 9.8 months </w:t>
      </w:r>
      <w:r w:rsidR="00E867CC">
        <w:t>for</w:t>
      </w:r>
      <w:r w:rsidR="00E867CC" w:rsidRPr="00287465">
        <w:t xml:space="preserve"> </w:t>
      </w:r>
      <w:proofErr w:type="spellStart"/>
      <w:r w:rsidR="00287465" w:rsidRPr="00287465">
        <w:t>pembrolizumab+</w:t>
      </w:r>
      <w:r w:rsidR="00287465">
        <w:t>PBC</w:t>
      </w:r>
      <w:proofErr w:type="spellEnd"/>
      <w:r w:rsidR="00E867CC">
        <w:t xml:space="preserve"> b</w:t>
      </w:r>
      <w:r w:rsidR="00360D17" w:rsidRPr="00360D17">
        <w:t>ased on th</w:t>
      </w:r>
      <w:r w:rsidR="00360D17">
        <w:t>e</w:t>
      </w:r>
      <w:r w:rsidR="00360D17" w:rsidRPr="00360D17">
        <w:t xml:space="preserve"> September 2018 data cut-off</w:t>
      </w:r>
      <w:r w:rsidR="00360D17">
        <w:t xml:space="preserve"> of the KN-189</w:t>
      </w:r>
      <w:r w:rsidR="00360D17" w:rsidRPr="00360D17">
        <w:t>.</w:t>
      </w:r>
      <w:r w:rsidR="00360D17">
        <w:t xml:space="preserve"> Similarly, for KN-407, the submission used data from Paz-Ares et al. (2018), which reported a </w:t>
      </w:r>
      <w:r w:rsidR="00D47D38">
        <w:t xml:space="preserve">truncated </w:t>
      </w:r>
      <w:r w:rsidR="00360D17">
        <w:t xml:space="preserve">mean duration of treatment of 6.3 months with </w:t>
      </w:r>
      <w:proofErr w:type="spellStart"/>
      <w:r w:rsidR="00360D17">
        <w:t>pembrolizumab+PBC</w:t>
      </w:r>
      <w:proofErr w:type="spellEnd"/>
      <w:r w:rsidR="00E867CC">
        <w:t xml:space="preserve"> b</w:t>
      </w:r>
      <w:r w:rsidR="00360D17" w:rsidRPr="00360D17">
        <w:t>ased on th</w:t>
      </w:r>
      <w:r w:rsidR="00360D17">
        <w:t>e</w:t>
      </w:r>
      <w:r w:rsidR="00360D17" w:rsidRPr="00360D17">
        <w:t xml:space="preserve"> </w:t>
      </w:r>
      <w:r w:rsidR="00360D17">
        <w:t>April 2018</w:t>
      </w:r>
      <w:r w:rsidR="00360D17" w:rsidRPr="00360D17">
        <w:t xml:space="preserve"> data cut-off</w:t>
      </w:r>
      <w:r w:rsidR="00360D17">
        <w:t xml:space="preserve"> of the KN-407 trial</w:t>
      </w:r>
      <w:r w:rsidR="00360D17" w:rsidRPr="00360D17">
        <w:t xml:space="preserve">, </w:t>
      </w:r>
      <w:r w:rsidR="00E867CC">
        <w:t xml:space="preserve">with </w:t>
      </w:r>
      <w:r w:rsidR="00360D17">
        <w:t>43.5</w:t>
      </w:r>
      <w:r w:rsidR="00360D17" w:rsidRPr="00360D17">
        <w:t>% of patients remained on treatment.</w:t>
      </w:r>
      <w:r w:rsidR="00360D17">
        <w:t xml:space="preserve"> </w:t>
      </w:r>
      <w:r w:rsidR="007C4FB9" w:rsidRPr="00386CFA">
        <w:rPr>
          <w:i/>
          <w:iCs/>
        </w:rPr>
        <w:t xml:space="preserve"> </w:t>
      </w:r>
    </w:p>
    <w:p w14:paraId="42DE9F2E" w14:textId="4933DE00" w:rsidR="00A40CF6" w:rsidRDefault="00053899" w:rsidP="00862B90">
      <w:pPr>
        <w:pStyle w:val="3-BodyText"/>
      </w:pPr>
      <w:r>
        <w:t xml:space="preserve">The submission modelled a TTD curve for </w:t>
      </w:r>
      <w:proofErr w:type="spellStart"/>
      <w:r>
        <w:t>pembrolizumab</w:t>
      </w:r>
      <w:r w:rsidR="00A40CF6">
        <w:t>+PBC</w:t>
      </w:r>
      <w:proofErr w:type="spellEnd"/>
      <w:r w:rsidR="00360D17">
        <w:t>, for both SQ and NSQ,</w:t>
      </w:r>
      <w:r>
        <w:t xml:space="preserve"> assuming that </w:t>
      </w:r>
      <w:r w:rsidR="00EB0562">
        <w:t>treatment discontinuation</w:t>
      </w:r>
      <w:r>
        <w:t xml:space="preserve"> follows an exponential distribution, citing </w:t>
      </w:r>
      <w:r w:rsidR="00A40CF6">
        <w:t>a</w:t>
      </w:r>
      <w:r>
        <w:t xml:space="preserve"> previous pembrolizumab submission which used an exponential distribution to extrapolate TTD data from the KN-189 trial (paragraph 6.44, pembrolizumab, </w:t>
      </w:r>
      <w:r w:rsidR="00107657" w:rsidRPr="00107657">
        <w:t xml:space="preserve">Public Summary Document </w:t>
      </w:r>
      <w:r w:rsidR="00107657">
        <w:t>(</w:t>
      </w:r>
      <w:r>
        <w:t>PSD</w:t>
      </w:r>
      <w:r w:rsidR="00107657">
        <w:t>)</w:t>
      </w:r>
      <w:r>
        <w:t>, July 2019 PBAC Meeting</w:t>
      </w:r>
      <w:r w:rsidR="00A40CF6">
        <w:t xml:space="preserve">). </w:t>
      </w:r>
    </w:p>
    <w:bookmarkEnd w:id="82"/>
    <w:p w14:paraId="2B35DFCF" w14:textId="78B7AD0B" w:rsidR="008B6D20" w:rsidRDefault="0037309E" w:rsidP="000B6113">
      <w:pPr>
        <w:pStyle w:val="3-BodyText"/>
      </w:pPr>
      <w:r w:rsidRPr="0037309E">
        <w:t xml:space="preserve">Based on the </w:t>
      </w:r>
      <w:r w:rsidR="00870032">
        <w:t xml:space="preserve">dosing frequency, </w:t>
      </w:r>
      <w:r w:rsidR="00C13E02">
        <w:t>exponential extrapolation</w:t>
      </w:r>
      <w:r w:rsidR="00B70518">
        <w:t xml:space="preserve"> and</w:t>
      </w:r>
      <w:r w:rsidR="00185A0F">
        <w:t xml:space="preserve"> </w:t>
      </w:r>
      <w:r w:rsidR="00870032">
        <w:t xml:space="preserve">maximum number of cycles </w:t>
      </w:r>
      <w:r w:rsidR="00D76250">
        <w:t>for pembrolizumab (35 cycles)</w:t>
      </w:r>
      <w:r w:rsidRPr="0037309E">
        <w:t>, the submission estimated the mean administration</w:t>
      </w:r>
      <w:r w:rsidR="00E867CC">
        <w:t>s</w:t>
      </w:r>
      <w:r w:rsidRPr="0037309E">
        <w:t xml:space="preserve"> for </w:t>
      </w:r>
      <w:proofErr w:type="spellStart"/>
      <w:r w:rsidRPr="0037309E">
        <w:t>pembrolizumab+PBC</w:t>
      </w:r>
      <w:proofErr w:type="spellEnd"/>
      <w:r w:rsidR="0084128B">
        <w:t xml:space="preserve"> </w:t>
      </w:r>
      <w:r w:rsidR="00905790">
        <w:t>as presented in</w:t>
      </w:r>
      <w:r w:rsidR="00383B59">
        <w:t xml:space="preserve"> </w:t>
      </w:r>
      <w:bookmarkStart w:id="83" w:name="_Ref187663604"/>
      <w:r w:rsidR="00124A59">
        <w:fldChar w:fldCharType="begin"/>
      </w:r>
      <w:r w:rsidR="00124A59">
        <w:instrText xml:space="preserve"> REF _Ref186295526 \h </w:instrText>
      </w:r>
      <w:r w:rsidR="00124A59">
        <w:fldChar w:fldCharType="separate"/>
      </w:r>
      <w:r w:rsidR="00EF4998">
        <w:t xml:space="preserve">Table </w:t>
      </w:r>
      <w:r w:rsidR="00EF4998">
        <w:rPr>
          <w:noProof/>
        </w:rPr>
        <w:t>10</w:t>
      </w:r>
      <w:r w:rsidR="00124A59">
        <w:fldChar w:fldCharType="end"/>
      </w:r>
      <w:r w:rsidR="00124A59">
        <w:t xml:space="preserve">. </w:t>
      </w:r>
      <w:r w:rsidR="00513857" w:rsidRPr="00513857">
        <w:t xml:space="preserve">To </w:t>
      </w:r>
      <w:r w:rsidR="00A637C4">
        <w:t>estimate</w:t>
      </w:r>
      <w:r w:rsidR="00513857">
        <w:t xml:space="preserve"> </w:t>
      </w:r>
      <w:r w:rsidR="00513857" w:rsidRPr="00513857">
        <w:t>compliance, the submission compared the estimated mean administration to the reported administration in the respective trials</w:t>
      </w:r>
      <w:r w:rsidR="00513857" w:rsidRPr="002F6E0E">
        <w:t>.</w:t>
      </w:r>
      <w:r w:rsidR="004965EA" w:rsidRPr="002F6E0E">
        <w:t xml:space="preserve"> </w:t>
      </w:r>
      <w:bookmarkEnd w:id="83"/>
    </w:p>
    <w:p w14:paraId="64003356" w14:textId="7EF2C016" w:rsidR="00C00FBE" w:rsidRDefault="00C00FBE" w:rsidP="00C00FBE">
      <w:pPr>
        <w:pStyle w:val="Caption"/>
      </w:pPr>
      <w:bookmarkStart w:id="84" w:name="_Ref186295526"/>
      <w:r>
        <w:lastRenderedPageBreak/>
        <w:t xml:space="preserve">Table </w:t>
      </w:r>
      <w:r w:rsidR="00E77066">
        <w:fldChar w:fldCharType="begin"/>
      </w:r>
      <w:r w:rsidR="00E77066">
        <w:instrText xml:space="preserve"> SEQ Table \* ARABIC </w:instrText>
      </w:r>
      <w:r w:rsidR="00E77066">
        <w:fldChar w:fldCharType="separate"/>
      </w:r>
      <w:r w:rsidR="00EF4998">
        <w:rPr>
          <w:noProof/>
        </w:rPr>
        <w:t>10</w:t>
      </w:r>
      <w:r w:rsidR="00E77066">
        <w:rPr>
          <w:noProof/>
        </w:rPr>
        <w:fldChar w:fldCharType="end"/>
      </w:r>
      <w:bookmarkEnd w:id="84"/>
      <w:r>
        <w:t xml:space="preserve">: </w:t>
      </w:r>
      <w:r w:rsidRPr="00C00FBE">
        <w:t>Mean administrations and compliance</w:t>
      </w:r>
      <w:r>
        <w:t xml:space="preserve"> for </w:t>
      </w:r>
      <w:proofErr w:type="spellStart"/>
      <w:r>
        <w:t>pembrolizumab+PBC</w:t>
      </w:r>
      <w:proofErr w:type="spellEnd"/>
      <w:r>
        <w:t xml:space="preserve"> for NSQ and SQ NSCLC</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5"/>
      </w:tblGrid>
      <w:tr w:rsidR="00C00FBE" w:rsidRPr="000E5A31" w14:paraId="4B4A3B42" w14:textId="77777777" w:rsidTr="03C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bottom w:val="none" w:sz="0" w:space="0" w:color="auto"/>
            </w:tcBorders>
            <w:shd w:val="clear" w:color="auto" w:fill="auto"/>
          </w:tcPr>
          <w:p w14:paraId="44714C3E" w14:textId="7972656B" w:rsidR="00C00FBE" w:rsidRPr="00E52A14" w:rsidRDefault="00E52A14" w:rsidP="000B6113">
            <w:pPr>
              <w:pStyle w:val="TableText0"/>
            </w:pPr>
            <w:r w:rsidRPr="00E52A14">
              <w:t>NSQ NSCLC</w:t>
            </w:r>
          </w:p>
        </w:tc>
        <w:tc>
          <w:tcPr>
            <w:tcW w:w="2254" w:type="dxa"/>
            <w:tcBorders>
              <w:bottom w:val="none" w:sz="0" w:space="0" w:color="auto"/>
            </w:tcBorders>
            <w:shd w:val="clear" w:color="auto" w:fill="auto"/>
          </w:tcPr>
          <w:p w14:paraId="4986B6B2" w14:textId="77777777" w:rsidR="00C00FBE" w:rsidRPr="000E5A31" w:rsidRDefault="00C00FB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0E5A31">
              <w:t>Pembrolizumab</w:t>
            </w:r>
          </w:p>
        </w:tc>
        <w:tc>
          <w:tcPr>
            <w:tcW w:w="2254" w:type="dxa"/>
            <w:tcBorders>
              <w:bottom w:val="none" w:sz="0" w:space="0" w:color="auto"/>
            </w:tcBorders>
            <w:shd w:val="clear" w:color="auto" w:fill="auto"/>
          </w:tcPr>
          <w:p w14:paraId="501BB224" w14:textId="77777777" w:rsidR="00C00FBE" w:rsidRPr="000E5A31" w:rsidRDefault="00C00FB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3478D5">
              <w:t>Cisplatin/Carboplatin</w:t>
            </w:r>
          </w:p>
        </w:tc>
        <w:tc>
          <w:tcPr>
            <w:tcW w:w="2255" w:type="dxa"/>
            <w:tcBorders>
              <w:bottom w:val="none" w:sz="0" w:space="0" w:color="auto"/>
            </w:tcBorders>
            <w:shd w:val="clear" w:color="auto" w:fill="auto"/>
          </w:tcPr>
          <w:p w14:paraId="518DE2FF" w14:textId="77777777" w:rsidR="00C00FBE" w:rsidRPr="000E5A31" w:rsidRDefault="00C00FB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3478D5">
              <w:t>Pemetrexed</w:t>
            </w:r>
          </w:p>
        </w:tc>
      </w:tr>
      <w:tr w:rsidR="00C00FBE" w:rsidRPr="000E5A31" w14:paraId="450EA02C"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4"/>
            <w:tcBorders>
              <w:top w:val="none" w:sz="0" w:space="0" w:color="auto"/>
              <w:bottom w:val="none" w:sz="0" w:space="0" w:color="auto"/>
            </w:tcBorders>
            <w:shd w:val="clear" w:color="auto" w:fill="auto"/>
          </w:tcPr>
          <w:p w14:paraId="79D03F05" w14:textId="252DDB32" w:rsidR="00C00FBE" w:rsidRPr="00085504" w:rsidRDefault="00C00FBE" w:rsidP="000B6113">
            <w:pPr>
              <w:pStyle w:val="TableText0"/>
            </w:pPr>
            <w:r w:rsidRPr="00085504">
              <w:t>Mean administrations (</w:t>
            </w:r>
            <w:r w:rsidR="004801BB">
              <w:t xml:space="preserve">truncated </w:t>
            </w:r>
            <w:r w:rsidRPr="00085504">
              <w:t>mean treatment duration: 9.8 months; patient on treatment: 14.1%)</w:t>
            </w:r>
          </w:p>
        </w:tc>
      </w:tr>
      <w:tr w:rsidR="00C00FBE" w:rsidRPr="000E5A31" w14:paraId="6579758E" w14:textId="77777777" w:rsidTr="03CF4CC7">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5D238D7A" w14:textId="1F4BB991" w:rsidR="00C00FBE" w:rsidRPr="000E5A31" w:rsidRDefault="00C00FBE" w:rsidP="000B6113">
            <w:pPr>
              <w:pStyle w:val="TableText0"/>
              <w:rPr>
                <w:b w:val="0"/>
                <w:bCs/>
              </w:rPr>
            </w:pPr>
            <w:proofErr w:type="spellStart"/>
            <w:r w:rsidRPr="009E5B77">
              <w:rPr>
                <w:b w:val="0"/>
                <w:bCs/>
              </w:rPr>
              <w:t>Gadgeel</w:t>
            </w:r>
            <w:proofErr w:type="spellEnd"/>
            <w:r w:rsidRPr="009E5B77">
              <w:rPr>
                <w:b w:val="0"/>
                <w:bCs/>
              </w:rPr>
              <w:t xml:space="preserve"> et al., 202</w:t>
            </w:r>
            <w:r w:rsidR="00F77336">
              <w:rPr>
                <w:b w:val="0"/>
                <w:bCs/>
              </w:rPr>
              <w:t>0</w:t>
            </w:r>
          </w:p>
        </w:tc>
        <w:tc>
          <w:tcPr>
            <w:tcW w:w="2254" w:type="dxa"/>
            <w:shd w:val="clear" w:color="auto" w:fill="auto"/>
          </w:tcPr>
          <w:p w14:paraId="37F764D3" w14:textId="77777777" w:rsidR="00C00FBE" w:rsidRPr="000E5A31" w:rsidRDefault="00C00FBE" w:rsidP="000B6113">
            <w:pPr>
              <w:pStyle w:val="TableText0"/>
              <w:jc w:val="center"/>
              <w:cnfStyle w:val="000000000000" w:firstRow="0" w:lastRow="0" w:firstColumn="0" w:lastColumn="0" w:oddVBand="0" w:evenVBand="0" w:oddHBand="0" w:evenHBand="0" w:firstRowFirstColumn="0" w:firstRowLastColumn="0" w:lastRowFirstColumn="0" w:lastRowLastColumn="0"/>
            </w:pPr>
            <w:r>
              <w:t>13.76</w:t>
            </w:r>
          </w:p>
        </w:tc>
        <w:tc>
          <w:tcPr>
            <w:tcW w:w="2254" w:type="dxa"/>
            <w:shd w:val="clear" w:color="auto" w:fill="auto"/>
          </w:tcPr>
          <w:p w14:paraId="28E3D4E3" w14:textId="77777777" w:rsidR="00C00FBE" w:rsidRPr="000E5A31" w:rsidRDefault="00C00FB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D149FE">
              <w:t>3.60</w:t>
            </w:r>
          </w:p>
        </w:tc>
        <w:tc>
          <w:tcPr>
            <w:tcW w:w="2255" w:type="dxa"/>
            <w:shd w:val="clear" w:color="auto" w:fill="auto"/>
          </w:tcPr>
          <w:p w14:paraId="476AC0F6" w14:textId="77777777" w:rsidR="00C00FBE" w:rsidRPr="000E5A31" w:rsidRDefault="00C00FB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D149FE">
              <w:t>11.69</w:t>
            </w:r>
          </w:p>
        </w:tc>
      </w:tr>
      <w:tr w:rsidR="00C00FBE" w:rsidRPr="000E5A31" w14:paraId="32DCE705"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none" w:sz="0" w:space="0" w:color="auto"/>
              <w:bottom w:val="none" w:sz="0" w:space="0" w:color="auto"/>
            </w:tcBorders>
            <w:shd w:val="clear" w:color="auto" w:fill="auto"/>
          </w:tcPr>
          <w:p w14:paraId="7F9FC0C4" w14:textId="77777777" w:rsidR="00C00FBE" w:rsidRPr="000E5A31" w:rsidRDefault="00C00FBE" w:rsidP="000B6113">
            <w:pPr>
              <w:pStyle w:val="TableText0"/>
              <w:rPr>
                <w:b w:val="0"/>
                <w:bCs/>
              </w:rPr>
            </w:pPr>
            <w:r w:rsidRPr="000E5A31">
              <w:rPr>
                <w:b w:val="0"/>
                <w:bCs/>
              </w:rPr>
              <w:t>Estimated administrations</w:t>
            </w:r>
          </w:p>
        </w:tc>
        <w:tc>
          <w:tcPr>
            <w:tcW w:w="2254" w:type="dxa"/>
            <w:tcBorders>
              <w:top w:val="none" w:sz="0" w:space="0" w:color="auto"/>
              <w:bottom w:val="none" w:sz="0" w:space="0" w:color="auto"/>
            </w:tcBorders>
            <w:shd w:val="clear" w:color="auto" w:fill="auto"/>
          </w:tcPr>
          <w:p w14:paraId="2EB32CE5" w14:textId="77777777" w:rsidR="00C00FBE" w:rsidRPr="000E5A31" w:rsidRDefault="00C00FBE"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E9206D">
              <w:t>14.43</w:t>
            </w:r>
          </w:p>
        </w:tc>
        <w:tc>
          <w:tcPr>
            <w:tcW w:w="2254" w:type="dxa"/>
            <w:tcBorders>
              <w:top w:val="none" w:sz="0" w:space="0" w:color="auto"/>
              <w:bottom w:val="none" w:sz="0" w:space="0" w:color="auto"/>
            </w:tcBorders>
            <w:shd w:val="clear" w:color="auto" w:fill="auto"/>
          </w:tcPr>
          <w:p w14:paraId="2ACE1340" w14:textId="77777777" w:rsidR="00C00FBE" w:rsidRPr="000E5A31" w:rsidRDefault="00C00FBE"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E9206D">
              <w:t>3.66</w:t>
            </w:r>
          </w:p>
        </w:tc>
        <w:tc>
          <w:tcPr>
            <w:tcW w:w="2255" w:type="dxa"/>
            <w:tcBorders>
              <w:top w:val="none" w:sz="0" w:space="0" w:color="auto"/>
              <w:bottom w:val="none" w:sz="0" w:space="0" w:color="auto"/>
            </w:tcBorders>
            <w:shd w:val="clear" w:color="auto" w:fill="auto"/>
          </w:tcPr>
          <w:p w14:paraId="3EC551B8" w14:textId="77777777" w:rsidR="00C00FBE" w:rsidRPr="000E5A31" w:rsidRDefault="00C00FBE"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E9206D">
              <w:t>14.43</w:t>
            </w:r>
          </w:p>
        </w:tc>
      </w:tr>
      <w:tr w:rsidR="00C00FBE" w:rsidRPr="000E5A31" w14:paraId="767593B4" w14:textId="77777777" w:rsidTr="03CF4CC7">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48DAF81C" w14:textId="5E57621A" w:rsidR="00C00FBE" w:rsidRPr="000E5A31" w:rsidRDefault="00242CB8" w:rsidP="000B6113">
            <w:pPr>
              <w:pStyle w:val="TableText0"/>
              <w:rPr>
                <w:b w:val="0"/>
                <w:bCs/>
              </w:rPr>
            </w:pPr>
            <w:r>
              <w:rPr>
                <w:b w:val="0"/>
                <w:bCs/>
              </w:rPr>
              <w:t>Estimated c</w:t>
            </w:r>
            <w:r w:rsidR="00C00FBE" w:rsidRPr="000E5A31">
              <w:rPr>
                <w:b w:val="0"/>
                <w:bCs/>
              </w:rPr>
              <w:t>ompliance (%)</w:t>
            </w:r>
          </w:p>
        </w:tc>
        <w:tc>
          <w:tcPr>
            <w:tcW w:w="2254" w:type="dxa"/>
            <w:shd w:val="clear" w:color="auto" w:fill="auto"/>
          </w:tcPr>
          <w:p w14:paraId="5EBA855C" w14:textId="3D7ACE87" w:rsidR="00C00FBE" w:rsidRPr="000E5A31" w:rsidRDefault="00C00FBE" w:rsidP="00F63EF6">
            <w:pPr>
              <w:pStyle w:val="TableText0"/>
              <w:jc w:val="center"/>
              <w:cnfStyle w:val="000000000000" w:firstRow="0" w:lastRow="0" w:firstColumn="0" w:lastColumn="0" w:oddVBand="0" w:evenVBand="0" w:oddHBand="0" w:evenHBand="0" w:firstRowFirstColumn="0" w:firstRowLastColumn="0" w:lastRowFirstColumn="0" w:lastRowLastColumn="0"/>
            </w:pPr>
            <w:r>
              <w:t>95% (13.76/14.43)</w:t>
            </w:r>
          </w:p>
        </w:tc>
        <w:tc>
          <w:tcPr>
            <w:tcW w:w="2254" w:type="dxa"/>
            <w:shd w:val="clear" w:color="auto" w:fill="auto"/>
          </w:tcPr>
          <w:p w14:paraId="3CA14613" w14:textId="2434567B" w:rsidR="00C00FBE" w:rsidRPr="000E5A31" w:rsidRDefault="00C00FBE" w:rsidP="00F63EF6">
            <w:pPr>
              <w:pStyle w:val="TableText0"/>
              <w:jc w:val="center"/>
              <w:cnfStyle w:val="000000000000" w:firstRow="0" w:lastRow="0" w:firstColumn="0" w:lastColumn="0" w:oddVBand="0" w:evenVBand="0" w:oddHBand="0" w:evenHBand="0" w:firstRowFirstColumn="0" w:firstRowLastColumn="0" w:lastRowFirstColumn="0" w:lastRowLastColumn="0"/>
            </w:pPr>
            <w:r>
              <w:t>98%</w:t>
            </w:r>
            <w:r w:rsidR="00F63EF6">
              <w:t xml:space="preserve"> </w:t>
            </w:r>
            <w:r>
              <w:t>(3.60/3.66)</w:t>
            </w:r>
          </w:p>
        </w:tc>
        <w:tc>
          <w:tcPr>
            <w:tcW w:w="2255" w:type="dxa"/>
            <w:shd w:val="clear" w:color="auto" w:fill="auto"/>
          </w:tcPr>
          <w:p w14:paraId="28CDB3C0" w14:textId="666DEDAA" w:rsidR="00C00FBE" w:rsidRPr="000E5A31" w:rsidRDefault="00C00FBE" w:rsidP="00F63EF6">
            <w:pPr>
              <w:pStyle w:val="TableText0"/>
              <w:jc w:val="center"/>
              <w:cnfStyle w:val="000000000000" w:firstRow="0" w:lastRow="0" w:firstColumn="0" w:lastColumn="0" w:oddVBand="0" w:evenVBand="0" w:oddHBand="0" w:evenHBand="0" w:firstRowFirstColumn="0" w:firstRowLastColumn="0" w:lastRowFirstColumn="0" w:lastRowLastColumn="0"/>
            </w:pPr>
            <w:r>
              <w:t>81%</w:t>
            </w:r>
            <w:r w:rsidR="00F63EF6">
              <w:t xml:space="preserve"> </w:t>
            </w:r>
            <w:r>
              <w:t>(11.69/14.43)</w:t>
            </w:r>
          </w:p>
        </w:tc>
      </w:tr>
      <w:tr w:rsidR="00C00FBE" w:rsidRPr="000E5A31" w14:paraId="648A9822"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4"/>
            <w:shd w:val="clear" w:color="auto" w:fill="auto"/>
          </w:tcPr>
          <w:p w14:paraId="17B0611F" w14:textId="07A9314A" w:rsidR="00C00FBE" w:rsidRPr="00EE0575" w:rsidRDefault="00C00FBE" w:rsidP="000B6113">
            <w:pPr>
              <w:pStyle w:val="TableText0"/>
              <w:rPr>
                <w:bCs/>
              </w:rPr>
            </w:pPr>
            <w:r w:rsidRPr="00EE0575">
              <w:rPr>
                <w:bCs/>
              </w:rPr>
              <w:t>Total mean administrations (</w:t>
            </w:r>
            <w:r w:rsidR="00D426B9">
              <w:rPr>
                <w:bCs/>
              </w:rPr>
              <w:t>extrapolate</w:t>
            </w:r>
            <w:r w:rsidR="003F67D9">
              <w:rPr>
                <w:bCs/>
              </w:rPr>
              <w:t>d</w:t>
            </w:r>
            <w:r w:rsidRPr="00EE0575">
              <w:rPr>
                <w:bCs/>
              </w:rPr>
              <w:t>)</w:t>
            </w:r>
          </w:p>
        </w:tc>
      </w:tr>
      <w:tr w:rsidR="00C00FBE" w:rsidRPr="000E5A31" w14:paraId="07DDBDFD" w14:textId="77777777" w:rsidTr="03CF4CC7">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33FB4132" w14:textId="77777777" w:rsidR="00C00FBE" w:rsidRPr="000E5A31" w:rsidRDefault="00C00FBE" w:rsidP="000B6113">
            <w:pPr>
              <w:pStyle w:val="TableText0"/>
              <w:rPr>
                <w:b w:val="0"/>
                <w:bCs/>
              </w:rPr>
            </w:pPr>
            <w:r w:rsidRPr="000E5A31">
              <w:rPr>
                <w:b w:val="0"/>
                <w:bCs/>
              </w:rPr>
              <w:t>Estimated administrations</w:t>
            </w:r>
          </w:p>
        </w:tc>
        <w:tc>
          <w:tcPr>
            <w:tcW w:w="2254" w:type="dxa"/>
            <w:shd w:val="clear" w:color="auto" w:fill="auto"/>
          </w:tcPr>
          <w:p w14:paraId="4900E3C5" w14:textId="77777777" w:rsidR="00C00FBE" w:rsidRPr="000E5A31" w:rsidRDefault="00C00FB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3478D5">
              <w:t>14.82</w:t>
            </w:r>
          </w:p>
        </w:tc>
        <w:tc>
          <w:tcPr>
            <w:tcW w:w="2254" w:type="dxa"/>
            <w:shd w:val="clear" w:color="auto" w:fill="auto"/>
          </w:tcPr>
          <w:p w14:paraId="422ED6C8" w14:textId="77777777" w:rsidR="00C00FBE" w:rsidRPr="000E5A31" w:rsidRDefault="00C00FB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3478D5">
              <w:t>3.66</w:t>
            </w:r>
          </w:p>
        </w:tc>
        <w:tc>
          <w:tcPr>
            <w:tcW w:w="2255" w:type="dxa"/>
            <w:shd w:val="clear" w:color="auto" w:fill="auto"/>
          </w:tcPr>
          <w:p w14:paraId="19F284CF" w14:textId="77777777" w:rsidR="00C00FBE" w:rsidRPr="000E5A31" w:rsidRDefault="00C00FB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3478D5">
              <w:t>16.76</w:t>
            </w:r>
          </w:p>
        </w:tc>
      </w:tr>
      <w:tr w:rsidR="00C00FBE" w:rsidRPr="000E5A31" w14:paraId="611EB086"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60CE3CA5" w14:textId="77777777" w:rsidR="00C00FBE" w:rsidRPr="000E5A31" w:rsidRDefault="00C00FBE" w:rsidP="000B6113">
            <w:pPr>
              <w:pStyle w:val="TableText0"/>
              <w:rPr>
                <w:b w:val="0"/>
                <w:bCs/>
              </w:rPr>
            </w:pPr>
            <w:r w:rsidRPr="000E5A31">
              <w:rPr>
                <w:b w:val="0"/>
                <w:bCs/>
              </w:rPr>
              <w:t>Compliance adjusted administrations</w:t>
            </w:r>
          </w:p>
        </w:tc>
        <w:tc>
          <w:tcPr>
            <w:tcW w:w="2254" w:type="dxa"/>
            <w:shd w:val="clear" w:color="auto" w:fill="auto"/>
          </w:tcPr>
          <w:p w14:paraId="14DC21D2" w14:textId="5AEDFFB3" w:rsidR="00C00FBE" w:rsidRPr="000E5A31" w:rsidRDefault="00C00FBE" w:rsidP="00F63EF6">
            <w:pPr>
              <w:pStyle w:val="TableText0"/>
              <w:jc w:val="center"/>
              <w:cnfStyle w:val="000000100000" w:firstRow="0" w:lastRow="0" w:firstColumn="0" w:lastColumn="0" w:oddVBand="0" w:evenVBand="0" w:oddHBand="1" w:evenHBand="0" w:firstRowFirstColumn="0" w:firstRowLastColumn="0" w:lastRowFirstColumn="0" w:lastRowLastColumn="0"/>
            </w:pPr>
            <w:r w:rsidRPr="00377043">
              <w:t>14.13</w:t>
            </w:r>
            <w:r w:rsidR="002364D3">
              <w:t xml:space="preserve"> (</w:t>
            </w:r>
            <w:r w:rsidRPr="003478D5">
              <w:t>14.82 x 95%)</w:t>
            </w:r>
          </w:p>
        </w:tc>
        <w:tc>
          <w:tcPr>
            <w:tcW w:w="2254" w:type="dxa"/>
            <w:shd w:val="clear" w:color="auto" w:fill="auto"/>
          </w:tcPr>
          <w:p w14:paraId="0F403C8E" w14:textId="713A587D" w:rsidR="00C00FBE" w:rsidRPr="000E5A31" w:rsidRDefault="00C00FBE" w:rsidP="00F63EF6">
            <w:pPr>
              <w:pStyle w:val="TableText0"/>
              <w:jc w:val="center"/>
              <w:cnfStyle w:val="000000100000" w:firstRow="0" w:lastRow="0" w:firstColumn="0" w:lastColumn="0" w:oddVBand="0" w:evenVBand="0" w:oddHBand="1" w:evenHBand="0" w:firstRowFirstColumn="0" w:firstRowLastColumn="0" w:lastRowFirstColumn="0" w:lastRowLastColumn="0"/>
            </w:pPr>
            <w:r>
              <w:t>3.60</w:t>
            </w:r>
            <w:r w:rsidR="00F63EF6">
              <w:t xml:space="preserve"> </w:t>
            </w:r>
            <w:r>
              <w:t>(3.66 x 98%)</w:t>
            </w:r>
          </w:p>
        </w:tc>
        <w:tc>
          <w:tcPr>
            <w:tcW w:w="2255" w:type="dxa"/>
            <w:shd w:val="clear" w:color="auto" w:fill="auto"/>
          </w:tcPr>
          <w:p w14:paraId="2E0DC3D6" w14:textId="47CFECAE" w:rsidR="00C00FBE" w:rsidRPr="000E5A31" w:rsidRDefault="00C00FBE" w:rsidP="00F63EF6">
            <w:pPr>
              <w:pStyle w:val="TableText0"/>
              <w:jc w:val="center"/>
              <w:cnfStyle w:val="000000100000" w:firstRow="0" w:lastRow="0" w:firstColumn="0" w:lastColumn="0" w:oddVBand="0" w:evenVBand="0" w:oddHBand="1" w:evenHBand="0" w:firstRowFirstColumn="0" w:firstRowLastColumn="0" w:lastRowFirstColumn="0" w:lastRowLastColumn="0"/>
            </w:pPr>
            <w:r>
              <w:t>13.58</w:t>
            </w:r>
            <w:r w:rsidR="00F63EF6">
              <w:t xml:space="preserve"> </w:t>
            </w:r>
            <w:r>
              <w:t>(16.76 x 81%)</w:t>
            </w:r>
          </w:p>
        </w:tc>
      </w:tr>
      <w:tr w:rsidR="003A0B22" w:rsidRPr="000E5A31" w14:paraId="4BC45DF1" w14:textId="77777777" w:rsidTr="03CF4CC7">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2E3EFE6" w14:textId="01F2CF9D" w:rsidR="003A0B22" w:rsidRPr="00F63EF6" w:rsidRDefault="00C00FBE" w:rsidP="000B6113">
            <w:pPr>
              <w:pStyle w:val="TableText0"/>
            </w:pPr>
            <w:r w:rsidRPr="00F63EF6">
              <w:t>SQ NSCLC</w:t>
            </w:r>
          </w:p>
        </w:tc>
        <w:tc>
          <w:tcPr>
            <w:tcW w:w="2254" w:type="dxa"/>
            <w:shd w:val="clear" w:color="auto" w:fill="auto"/>
          </w:tcPr>
          <w:p w14:paraId="7D770B4A" w14:textId="77777777" w:rsidR="003A0B22" w:rsidRPr="00F63EF6"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rPr>
                <w:b/>
                <w:bCs w:val="0"/>
              </w:rPr>
            </w:pPr>
            <w:r w:rsidRPr="00F63EF6">
              <w:rPr>
                <w:b/>
                <w:bCs w:val="0"/>
              </w:rPr>
              <w:t>Pembrolizumab</w:t>
            </w:r>
          </w:p>
        </w:tc>
        <w:tc>
          <w:tcPr>
            <w:tcW w:w="2254" w:type="dxa"/>
            <w:shd w:val="clear" w:color="auto" w:fill="auto"/>
          </w:tcPr>
          <w:p w14:paraId="5AF913B0" w14:textId="77777777" w:rsidR="003A0B22" w:rsidRPr="00F63EF6"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rPr>
                <w:b/>
                <w:bCs w:val="0"/>
              </w:rPr>
            </w:pPr>
            <w:r w:rsidRPr="00F63EF6">
              <w:rPr>
                <w:b/>
                <w:bCs w:val="0"/>
              </w:rPr>
              <w:t>Carboplatin</w:t>
            </w:r>
          </w:p>
        </w:tc>
        <w:tc>
          <w:tcPr>
            <w:tcW w:w="2255" w:type="dxa"/>
            <w:shd w:val="clear" w:color="auto" w:fill="auto"/>
          </w:tcPr>
          <w:p w14:paraId="207536CF" w14:textId="77777777" w:rsidR="003A0B22" w:rsidRPr="00F63EF6"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rPr>
                <w:b/>
                <w:bCs w:val="0"/>
              </w:rPr>
            </w:pPr>
            <w:r w:rsidRPr="00F63EF6">
              <w:rPr>
                <w:b/>
                <w:bCs w:val="0"/>
              </w:rPr>
              <w:t>Paclitaxel</w:t>
            </w:r>
          </w:p>
        </w:tc>
      </w:tr>
      <w:tr w:rsidR="003A0B22" w:rsidRPr="000E5A31" w14:paraId="1BBB731A"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4"/>
            <w:shd w:val="clear" w:color="auto" w:fill="auto"/>
          </w:tcPr>
          <w:p w14:paraId="4754CFFA" w14:textId="4316BC8F" w:rsidR="003A0B22" w:rsidRPr="002364D3" w:rsidRDefault="003A0B22" w:rsidP="000B6113">
            <w:pPr>
              <w:pStyle w:val="TableText0"/>
            </w:pPr>
            <w:r w:rsidRPr="002364D3">
              <w:t>Mean administrations (</w:t>
            </w:r>
            <w:r w:rsidR="000129C7">
              <w:t xml:space="preserve">truncated </w:t>
            </w:r>
            <w:r w:rsidRPr="002364D3">
              <w:t>mean treatment duration: 6.3 months; patient on treatment: 43.5%)</w:t>
            </w:r>
          </w:p>
        </w:tc>
      </w:tr>
      <w:tr w:rsidR="003A0B22" w:rsidRPr="000E5A31" w14:paraId="25F2FE6E" w14:textId="77777777" w:rsidTr="03CF4CC7">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13B78A7" w14:textId="77777777" w:rsidR="003A0B22" w:rsidRPr="000E5A31" w:rsidRDefault="003A0B22" w:rsidP="000B6113">
            <w:pPr>
              <w:pStyle w:val="TableText0"/>
              <w:rPr>
                <w:b w:val="0"/>
                <w:bCs/>
              </w:rPr>
            </w:pPr>
            <w:r w:rsidRPr="000E5A31">
              <w:rPr>
                <w:b w:val="0"/>
                <w:bCs/>
              </w:rPr>
              <w:t>Paz-Ares et al., 2018</w:t>
            </w:r>
          </w:p>
        </w:tc>
        <w:tc>
          <w:tcPr>
            <w:tcW w:w="2254" w:type="dxa"/>
            <w:shd w:val="clear" w:color="auto" w:fill="auto"/>
          </w:tcPr>
          <w:p w14:paraId="619047BA" w14:textId="77777777" w:rsidR="003A0B22" w:rsidRPr="000E5A31"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pPr>
            <w:r>
              <w:t>9.29</w:t>
            </w:r>
          </w:p>
        </w:tc>
        <w:tc>
          <w:tcPr>
            <w:tcW w:w="2254" w:type="dxa"/>
            <w:shd w:val="clear" w:color="auto" w:fill="auto"/>
          </w:tcPr>
          <w:p w14:paraId="771C9916" w14:textId="77777777" w:rsidR="003A0B22" w:rsidRPr="000E5A31"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0E5A31">
              <w:t>3.62</w:t>
            </w:r>
          </w:p>
        </w:tc>
        <w:tc>
          <w:tcPr>
            <w:tcW w:w="2255" w:type="dxa"/>
            <w:shd w:val="clear" w:color="auto" w:fill="auto"/>
          </w:tcPr>
          <w:p w14:paraId="1F29E997" w14:textId="77777777" w:rsidR="003A0B22" w:rsidRPr="000E5A31"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0E5A31">
              <w:t>3.60</w:t>
            </w:r>
          </w:p>
        </w:tc>
      </w:tr>
      <w:tr w:rsidR="003A0B22" w:rsidRPr="000E5A31" w14:paraId="24A04419"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76177AC1" w14:textId="77777777" w:rsidR="003A0B22" w:rsidRPr="000E5A31" w:rsidRDefault="003A0B22" w:rsidP="000B6113">
            <w:pPr>
              <w:pStyle w:val="TableText0"/>
              <w:rPr>
                <w:b w:val="0"/>
                <w:bCs/>
              </w:rPr>
            </w:pPr>
            <w:r w:rsidRPr="000E5A31">
              <w:rPr>
                <w:b w:val="0"/>
                <w:bCs/>
              </w:rPr>
              <w:t>Estimated administrations</w:t>
            </w:r>
          </w:p>
        </w:tc>
        <w:tc>
          <w:tcPr>
            <w:tcW w:w="2254" w:type="dxa"/>
            <w:shd w:val="clear" w:color="auto" w:fill="auto"/>
          </w:tcPr>
          <w:p w14:paraId="7DCD322C" w14:textId="77777777" w:rsidR="003A0B22" w:rsidRPr="000E5A31" w:rsidRDefault="003A0B22"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0E5A31">
              <w:t>9.55</w:t>
            </w:r>
          </w:p>
        </w:tc>
        <w:tc>
          <w:tcPr>
            <w:tcW w:w="2254" w:type="dxa"/>
            <w:shd w:val="clear" w:color="auto" w:fill="auto"/>
          </w:tcPr>
          <w:p w14:paraId="440AD020" w14:textId="77777777" w:rsidR="003A0B22" w:rsidRPr="000E5A31" w:rsidRDefault="003A0B22"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0E5A31">
              <w:t>3.64</w:t>
            </w:r>
          </w:p>
        </w:tc>
        <w:tc>
          <w:tcPr>
            <w:tcW w:w="2255" w:type="dxa"/>
            <w:shd w:val="clear" w:color="auto" w:fill="auto"/>
          </w:tcPr>
          <w:p w14:paraId="6DDF2521" w14:textId="77777777" w:rsidR="003A0B22" w:rsidRPr="000E5A31" w:rsidRDefault="003A0B22"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0E5A31">
              <w:t>3.64</w:t>
            </w:r>
          </w:p>
        </w:tc>
      </w:tr>
      <w:tr w:rsidR="003A0B22" w:rsidRPr="000E5A31" w14:paraId="006E3364" w14:textId="77777777" w:rsidTr="03CF4CC7">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0F7A6F6A" w14:textId="6C378E2C" w:rsidR="003A0B22" w:rsidRPr="000E5A31" w:rsidRDefault="000129C7" w:rsidP="000B6113">
            <w:pPr>
              <w:pStyle w:val="TableText0"/>
              <w:rPr>
                <w:b w:val="0"/>
                <w:bCs/>
              </w:rPr>
            </w:pPr>
            <w:r>
              <w:rPr>
                <w:b w:val="0"/>
                <w:bCs/>
              </w:rPr>
              <w:t>Estimated c</w:t>
            </w:r>
            <w:r w:rsidR="003A0B22" w:rsidRPr="000E5A31">
              <w:rPr>
                <w:b w:val="0"/>
                <w:bCs/>
              </w:rPr>
              <w:t>ompliance (%)</w:t>
            </w:r>
          </w:p>
        </w:tc>
        <w:tc>
          <w:tcPr>
            <w:tcW w:w="2254" w:type="dxa"/>
            <w:shd w:val="clear" w:color="auto" w:fill="auto"/>
          </w:tcPr>
          <w:p w14:paraId="0D374F33" w14:textId="4AA1B9D5" w:rsidR="003A0B22" w:rsidRPr="000E5A31" w:rsidRDefault="003A0B22" w:rsidP="00F63EF6">
            <w:pPr>
              <w:pStyle w:val="TableText0"/>
              <w:jc w:val="center"/>
              <w:cnfStyle w:val="000000000000" w:firstRow="0" w:lastRow="0" w:firstColumn="0" w:lastColumn="0" w:oddVBand="0" w:evenVBand="0" w:oddHBand="0" w:evenHBand="0" w:firstRowFirstColumn="0" w:firstRowLastColumn="0" w:lastRowFirstColumn="0" w:lastRowLastColumn="0"/>
            </w:pPr>
            <w:r w:rsidRPr="000E5A31">
              <w:t>97%</w:t>
            </w:r>
            <w:r w:rsidR="00F63EF6">
              <w:t xml:space="preserve"> </w:t>
            </w:r>
            <w:r w:rsidRPr="000E5A31">
              <w:t>(9.29/9.55)</w:t>
            </w:r>
          </w:p>
        </w:tc>
        <w:tc>
          <w:tcPr>
            <w:tcW w:w="2254" w:type="dxa"/>
            <w:shd w:val="clear" w:color="auto" w:fill="auto"/>
          </w:tcPr>
          <w:p w14:paraId="1CCB1C57" w14:textId="77FF2455" w:rsidR="003A0B22" w:rsidRPr="000E5A31" w:rsidRDefault="003A0B22" w:rsidP="00F63EF6">
            <w:pPr>
              <w:pStyle w:val="TableText0"/>
              <w:jc w:val="center"/>
              <w:cnfStyle w:val="000000000000" w:firstRow="0" w:lastRow="0" w:firstColumn="0" w:lastColumn="0" w:oddVBand="0" w:evenVBand="0" w:oddHBand="0" w:evenHBand="0" w:firstRowFirstColumn="0" w:firstRowLastColumn="0" w:lastRowFirstColumn="0" w:lastRowLastColumn="0"/>
            </w:pPr>
            <w:r w:rsidRPr="000E5A31">
              <w:t>99%</w:t>
            </w:r>
            <w:r w:rsidR="00F63EF6">
              <w:t xml:space="preserve"> </w:t>
            </w:r>
            <w:r w:rsidRPr="000E5A31">
              <w:t>(3.62/3.64)</w:t>
            </w:r>
          </w:p>
        </w:tc>
        <w:tc>
          <w:tcPr>
            <w:tcW w:w="2255" w:type="dxa"/>
            <w:shd w:val="clear" w:color="auto" w:fill="auto"/>
          </w:tcPr>
          <w:p w14:paraId="3ADE624F" w14:textId="7E9695E2" w:rsidR="003A0B22" w:rsidRPr="000E5A31" w:rsidRDefault="003A0B22" w:rsidP="00F63EF6">
            <w:pPr>
              <w:pStyle w:val="TableText0"/>
              <w:jc w:val="center"/>
              <w:cnfStyle w:val="000000000000" w:firstRow="0" w:lastRow="0" w:firstColumn="0" w:lastColumn="0" w:oddVBand="0" w:evenVBand="0" w:oddHBand="0" w:evenHBand="0" w:firstRowFirstColumn="0" w:firstRowLastColumn="0" w:lastRowFirstColumn="0" w:lastRowLastColumn="0"/>
            </w:pPr>
            <w:r w:rsidRPr="000E5A31">
              <w:t>99%</w:t>
            </w:r>
            <w:r w:rsidR="00F63EF6">
              <w:t xml:space="preserve"> </w:t>
            </w:r>
            <w:r w:rsidRPr="000E5A31">
              <w:t>(3.60/3.60)</w:t>
            </w:r>
          </w:p>
        </w:tc>
      </w:tr>
      <w:tr w:rsidR="003A0B22" w:rsidRPr="000E5A31" w14:paraId="4D6D2503"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4"/>
            <w:shd w:val="clear" w:color="auto" w:fill="auto"/>
          </w:tcPr>
          <w:p w14:paraId="1EB629C5" w14:textId="6A28E77A" w:rsidR="003A0B22" w:rsidRPr="002364D3" w:rsidRDefault="003A0B22" w:rsidP="000B6113">
            <w:pPr>
              <w:pStyle w:val="TableText0"/>
            </w:pPr>
            <w:r w:rsidRPr="002364D3">
              <w:t>Total mean administrations (</w:t>
            </w:r>
            <w:r w:rsidR="000129C7">
              <w:t>extrapolated</w:t>
            </w:r>
            <w:r w:rsidRPr="002364D3">
              <w:t>)</w:t>
            </w:r>
          </w:p>
        </w:tc>
      </w:tr>
      <w:tr w:rsidR="003A0B22" w:rsidRPr="000E5A31" w14:paraId="48B54683" w14:textId="77777777" w:rsidTr="03CF4CC7">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6F31BD24" w14:textId="77777777" w:rsidR="003A0B22" w:rsidRPr="000E5A31" w:rsidRDefault="003A0B22" w:rsidP="000B6113">
            <w:pPr>
              <w:pStyle w:val="TableText0"/>
              <w:rPr>
                <w:b w:val="0"/>
                <w:bCs/>
              </w:rPr>
            </w:pPr>
            <w:r w:rsidRPr="000E5A31">
              <w:rPr>
                <w:b w:val="0"/>
                <w:bCs/>
              </w:rPr>
              <w:t>Estimated administrations</w:t>
            </w:r>
          </w:p>
        </w:tc>
        <w:tc>
          <w:tcPr>
            <w:tcW w:w="2254" w:type="dxa"/>
            <w:shd w:val="clear" w:color="auto" w:fill="auto"/>
          </w:tcPr>
          <w:p w14:paraId="6231F687" w14:textId="77777777" w:rsidR="003A0B22" w:rsidRPr="000E5A31"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0E5A31">
              <w:t>14.41</w:t>
            </w:r>
          </w:p>
        </w:tc>
        <w:tc>
          <w:tcPr>
            <w:tcW w:w="2254" w:type="dxa"/>
            <w:shd w:val="clear" w:color="auto" w:fill="auto"/>
          </w:tcPr>
          <w:p w14:paraId="31CB7AFA" w14:textId="77777777" w:rsidR="003A0B22" w:rsidRPr="000E5A31"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0E5A31">
              <w:t>3.64</w:t>
            </w:r>
          </w:p>
        </w:tc>
        <w:tc>
          <w:tcPr>
            <w:tcW w:w="2255" w:type="dxa"/>
            <w:shd w:val="clear" w:color="auto" w:fill="auto"/>
          </w:tcPr>
          <w:p w14:paraId="66398BCE" w14:textId="77777777" w:rsidR="003A0B22" w:rsidRPr="000E5A31" w:rsidRDefault="003A0B22"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0E5A31">
              <w:t>3.64</w:t>
            </w:r>
          </w:p>
        </w:tc>
      </w:tr>
      <w:tr w:rsidR="003A0B22" w:rsidRPr="000E5A31" w14:paraId="0405766C" w14:textId="77777777" w:rsidTr="03CF4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tcPr>
          <w:p w14:paraId="6D5EDFE9" w14:textId="77777777" w:rsidR="003A0B22" w:rsidRPr="000E5A31" w:rsidRDefault="003A0B22" w:rsidP="000B6113">
            <w:pPr>
              <w:pStyle w:val="TableText0"/>
              <w:rPr>
                <w:b w:val="0"/>
                <w:bCs/>
              </w:rPr>
            </w:pPr>
            <w:r w:rsidRPr="000E5A31">
              <w:rPr>
                <w:b w:val="0"/>
                <w:bCs/>
              </w:rPr>
              <w:t>Compliance adjusted administrations</w:t>
            </w:r>
          </w:p>
        </w:tc>
        <w:tc>
          <w:tcPr>
            <w:tcW w:w="2254" w:type="dxa"/>
            <w:shd w:val="clear" w:color="auto" w:fill="auto"/>
          </w:tcPr>
          <w:p w14:paraId="61D38233" w14:textId="4BA20C47" w:rsidR="003A0B22" w:rsidRPr="000E5A31" w:rsidRDefault="003A0B22" w:rsidP="00F63EF6">
            <w:pPr>
              <w:pStyle w:val="TableText0"/>
              <w:jc w:val="center"/>
              <w:cnfStyle w:val="000000100000" w:firstRow="0" w:lastRow="0" w:firstColumn="0" w:lastColumn="0" w:oddVBand="0" w:evenVBand="0" w:oddHBand="1" w:evenHBand="0" w:firstRowFirstColumn="0" w:firstRowLastColumn="0" w:lastRowFirstColumn="0" w:lastRowLastColumn="0"/>
            </w:pPr>
            <w:r w:rsidRPr="000E5A31">
              <w:t>14.02</w:t>
            </w:r>
            <w:r w:rsidR="00F63EF6">
              <w:t xml:space="preserve"> </w:t>
            </w:r>
            <w:r w:rsidRPr="000E5A31">
              <w:t>(14.41 x 97%)</w:t>
            </w:r>
          </w:p>
        </w:tc>
        <w:tc>
          <w:tcPr>
            <w:tcW w:w="2254" w:type="dxa"/>
            <w:shd w:val="clear" w:color="auto" w:fill="auto"/>
          </w:tcPr>
          <w:p w14:paraId="73FA9566" w14:textId="4CB16E75" w:rsidR="003A0B22" w:rsidRPr="000E5A31" w:rsidRDefault="003A0B22" w:rsidP="00F63EF6">
            <w:pPr>
              <w:pStyle w:val="TableText0"/>
              <w:jc w:val="center"/>
              <w:cnfStyle w:val="000000100000" w:firstRow="0" w:lastRow="0" w:firstColumn="0" w:lastColumn="0" w:oddVBand="0" w:evenVBand="0" w:oddHBand="1" w:evenHBand="0" w:firstRowFirstColumn="0" w:firstRowLastColumn="0" w:lastRowFirstColumn="0" w:lastRowLastColumn="0"/>
            </w:pPr>
            <w:r w:rsidRPr="000E5A31">
              <w:t>3.62</w:t>
            </w:r>
            <w:r w:rsidR="00F63EF6">
              <w:t xml:space="preserve"> </w:t>
            </w:r>
            <w:r w:rsidRPr="000E5A31">
              <w:t>(3.64 x 99%)</w:t>
            </w:r>
          </w:p>
        </w:tc>
        <w:tc>
          <w:tcPr>
            <w:tcW w:w="2255" w:type="dxa"/>
            <w:shd w:val="clear" w:color="auto" w:fill="auto"/>
          </w:tcPr>
          <w:p w14:paraId="60890804" w14:textId="4DE766E1" w:rsidR="003A0B22" w:rsidRPr="000E5A31" w:rsidRDefault="003A0B22" w:rsidP="00F63EF6">
            <w:pPr>
              <w:pStyle w:val="TableText0"/>
              <w:jc w:val="center"/>
              <w:cnfStyle w:val="000000100000" w:firstRow="0" w:lastRow="0" w:firstColumn="0" w:lastColumn="0" w:oddVBand="0" w:evenVBand="0" w:oddHBand="1" w:evenHBand="0" w:firstRowFirstColumn="0" w:firstRowLastColumn="0" w:lastRowFirstColumn="0" w:lastRowLastColumn="0"/>
            </w:pPr>
            <w:r w:rsidRPr="000E5A31">
              <w:t>3.60</w:t>
            </w:r>
            <w:r w:rsidR="00F63EF6">
              <w:t xml:space="preserve"> (</w:t>
            </w:r>
            <w:r w:rsidRPr="000E5A31">
              <w:t>3.64 x 99%)</w:t>
            </w:r>
          </w:p>
        </w:tc>
      </w:tr>
    </w:tbl>
    <w:p w14:paraId="609CAF1A" w14:textId="54E92DBC" w:rsidR="003A0B22" w:rsidRDefault="003A0B22" w:rsidP="003A0B22">
      <w:pPr>
        <w:pStyle w:val="FooterTableFigure"/>
        <w:rPr>
          <w:lang w:val="en-US"/>
        </w:rPr>
      </w:pPr>
      <w:r w:rsidRPr="000E5A31">
        <w:rPr>
          <w:lang w:val="en-US"/>
        </w:rPr>
        <w:t xml:space="preserve">Source: </w:t>
      </w:r>
      <w:r w:rsidR="00C00FBE">
        <w:rPr>
          <w:lang w:val="en-US"/>
        </w:rPr>
        <w:t xml:space="preserve">Table 3.2, p118 and </w:t>
      </w:r>
      <w:r>
        <w:rPr>
          <w:lang w:val="en-US"/>
        </w:rPr>
        <w:t xml:space="preserve">Table 3.3, p120 of the submission. </w:t>
      </w:r>
    </w:p>
    <w:p w14:paraId="25D778D6" w14:textId="0A876B58" w:rsidR="003478BA" w:rsidRPr="009E64AC" w:rsidRDefault="002364D3" w:rsidP="009E64AC">
      <w:pPr>
        <w:pStyle w:val="FooterTableFigure"/>
        <w:rPr>
          <w:lang w:val="en-US"/>
        </w:rPr>
      </w:pPr>
      <w:r>
        <w:rPr>
          <w:lang w:val="en-US"/>
        </w:rPr>
        <w:t xml:space="preserve">PBC = platinum-based chemotherapy; </w:t>
      </w:r>
      <w:r w:rsidR="003A0B22">
        <w:rPr>
          <w:lang w:val="en-US"/>
        </w:rPr>
        <w:t>NSCLC = non-small cell lung cancer</w:t>
      </w:r>
      <w:r>
        <w:rPr>
          <w:lang w:val="en-US"/>
        </w:rPr>
        <w:t>; NSQ = non-squamous; SQ = squamous.</w:t>
      </w:r>
    </w:p>
    <w:p w14:paraId="2AD98E1D" w14:textId="7A3601F3" w:rsidR="008265C7" w:rsidRPr="002F6E0E" w:rsidRDefault="008265C7" w:rsidP="000B6113">
      <w:pPr>
        <w:pStyle w:val="3-BodyText"/>
      </w:pPr>
      <w:r w:rsidRPr="002F6E0E">
        <w:t>The TTD model trace</w:t>
      </w:r>
      <w:r w:rsidR="009E64AC" w:rsidRPr="002F6E0E">
        <w:t>s</w:t>
      </w:r>
      <w:r w:rsidRPr="002F6E0E">
        <w:t xml:space="preserve">, presented in </w:t>
      </w:r>
      <w:r w:rsidR="002166A8" w:rsidRPr="002F6E0E">
        <w:fldChar w:fldCharType="begin"/>
      </w:r>
      <w:r w:rsidR="002166A8" w:rsidRPr="002F6E0E">
        <w:instrText xml:space="preserve"> REF _Ref187610477 \h  \* MERGEFORMAT </w:instrText>
      </w:r>
      <w:r w:rsidR="002166A8" w:rsidRPr="002F6E0E">
        <w:fldChar w:fldCharType="separate"/>
      </w:r>
      <w:r w:rsidR="00EF4998" w:rsidRPr="002F6E0E">
        <w:t xml:space="preserve">Figure </w:t>
      </w:r>
      <w:r w:rsidR="00EF4998">
        <w:rPr>
          <w:noProof/>
        </w:rPr>
        <w:t>11</w:t>
      </w:r>
      <w:r w:rsidR="002166A8" w:rsidRPr="002F6E0E">
        <w:fldChar w:fldCharType="end"/>
      </w:r>
      <w:r w:rsidR="002166A8" w:rsidRPr="002F6E0E">
        <w:t xml:space="preserve">, </w:t>
      </w:r>
      <w:r w:rsidRPr="002F6E0E">
        <w:t>over the time horizon of 80 months</w:t>
      </w:r>
      <w:r w:rsidR="00332AE4" w:rsidRPr="002F6E0E">
        <w:t>,</w:t>
      </w:r>
      <w:r w:rsidRPr="002F6E0E">
        <w:t xml:space="preserve"> was prepared during evaluation using the model provided by the submission. </w:t>
      </w:r>
      <w:r w:rsidR="00332AE4" w:rsidRPr="002F6E0E">
        <w:t xml:space="preserve">The </w:t>
      </w:r>
      <w:r w:rsidR="003575B5" w:rsidRPr="002F6E0E">
        <w:t xml:space="preserve">mean </w:t>
      </w:r>
      <w:r w:rsidR="00332AE4" w:rsidRPr="002F6E0E">
        <w:t xml:space="preserve">duration of treatment was </w:t>
      </w:r>
      <w:r w:rsidR="00DD0949" w:rsidRPr="002F6E0E">
        <w:t>longer</w:t>
      </w:r>
      <w:r w:rsidR="003575B5" w:rsidRPr="002F6E0E">
        <w:t xml:space="preserve"> with </w:t>
      </w:r>
      <w:r w:rsidR="00443DF5" w:rsidRPr="002F6E0E">
        <w:t xml:space="preserve">dabrafenib (18.91 months) and trametinib (17.72 months) </w:t>
      </w:r>
      <w:r w:rsidR="003575B5" w:rsidRPr="002F6E0E">
        <w:t>compared to pembrolizumab</w:t>
      </w:r>
      <w:r w:rsidR="00443DF5" w:rsidRPr="002F6E0E">
        <w:t xml:space="preserve"> (10.</w:t>
      </w:r>
      <w:r w:rsidR="00F913FA" w:rsidRPr="002F6E0E">
        <w:t>26</w:t>
      </w:r>
      <w:r w:rsidR="00443DF5" w:rsidRPr="002F6E0E">
        <w:t xml:space="preserve"> months for </w:t>
      </w:r>
      <w:r w:rsidR="004C78B4" w:rsidRPr="002F6E0E">
        <w:t xml:space="preserve">NSQ and </w:t>
      </w:r>
      <w:r w:rsidR="00F913FA" w:rsidRPr="002F6E0E">
        <w:t>9.98</w:t>
      </w:r>
      <w:r w:rsidR="004C78B4" w:rsidRPr="002F6E0E">
        <w:t xml:space="preserve"> </w:t>
      </w:r>
      <w:r w:rsidR="00A447B6">
        <w:t xml:space="preserve">months </w:t>
      </w:r>
      <w:r w:rsidR="004C78B4" w:rsidRPr="002F6E0E">
        <w:t>for SQ) and P</w:t>
      </w:r>
      <w:r w:rsidR="003575B5" w:rsidRPr="002F6E0E">
        <w:t>BC</w:t>
      </w:r>
      <w:r w:rsidR="004C78B4" w:rsidRPr="002F6E0E">
        <w:t xml:space="preserve"> (2.53</w:t>
      </w:r>
      <w:r w:rsidR="00AA7A7D" w:rsidRPr="002F6E0E">
        <w:t xml:space="preserve"> </w:t>
      </w:r>
      <w:r w:rsidR="00516D6E">
        <w:t xml:space="preserve">months </w:t>
      </w:r>
      <w:r w:rsidR="00AA7A7D" w:rsidRPr="002F6E0E">
        <w:t>for cisplatin/carboplatin</w:t>
      </w:r>
      <w:r w:rsidR="00F913FA" w:rsidRPr="002F6E0E">
        <w:t>/</w:t>
      </w:r>
      <w:r w:rsidR="00AA7A7D" w:rsidRPr="002F6E0E">
        <w:t>pa</w:t>
      </w:r>
      <w:r w:rsidR="004E4C01" w:rsidRPr="002F6E0E">
        <w:t>clitaxel and 11.75 months for pemetrexed)</w:t>
      </w:r>
      <w:r w:rsidR="003575B5" w:rsidRPr="002F6E0E">
        <w:t xml:space="preserve">. </w:t>
      </w:r>
      <w:r w:rsidR="0026199E" w:rsidRPr="0026199E">
        <w:t xml:space="preserve">The PSCR considered the approach was conservative and noted the number of administrations for pembrolizumab estimated in the submission (14.13 for </w:t>
      </w:r>
      <w:r w:rsidR="0026199E">
        <w:t>NSQ</w:t>
      </w:r>
      <w:r w:rsidR="0026199E" w:rsidRPr="0026199E">
        <w:t xml:space="preserve"> and 14.02 for</w:t>
      </w:r>
      <w:r w:rsidR="0026199E">
        <w:t xml:space="preserve"> SQ</w:t>
      </w:r>
      <w:r w:rsidR="0026199E" w:rsidRPr="0026199E">
        <w:t xml:space="preserve">) was lower than that used in the </w:t>
      </w:r>
      <w:proofErr w:type="spellStart"/>
      <w:r w:rsidR="0026199E" w:rsidRPr="0026199E">
        <w:t>tepotinib</w:t>
      </w:r>
      <w:proofErr w:type="spellEnd"/>
      <w:r w:rsidR="0026199E" w:rsidRPr="0026199E">
        <w:t xml:space="preserve"> submission (15.6).  </w:t>
      </w:r>
    </w:p>
    <w:p w14:paraId="08D501D2" w14:textId="0A0F4130" w:rsidR="002166A8" w:rsidRPr="002F6E0E" w:rsidRDefault="002166A8" w:rsidP="002166A8">
      <w:pPr>
        <w:pStyle w:val="Caption"/>
      </w:pPr>
      <w:bookmarkStart w:id="85" w:name="_Ref187610477"/>
      <w:r w:rsidRPr="002F6E0E">
        <w:lastRenderedPageBreak/>
        <w:t xml:space="preserve">Figure </w:t>
      </w:r>
      <w:r w:rsidR="00E77066">
        <w:fldChar w:fldCharType="begin"/>
      </w:r>
      <w:r w:rsidR="00E77066">
        <w:instrText xml:space="preserve"> SEQ Figure \* ARABIC </w:instrText>
      </w:r>
      <w:r w:rsidR="00E77066">
        <w:fldChar w:fldCharType="separate"/>
      </w:r>
      <w:r w:rsidR="00EF4998">
        <w:rPr>
          <w:noProof/>
        </w:rPr>
        <w:t>11</w:t>
      </w:r>
      <w:r w:rsidR="00E77066">
        <w:rPr>
          <w:noProof/>
        </w:rPr>
        <w:fldChar w:fldCharType="end"/>
      </w:r>
      <w:bookmarkEnd w:id="85"/>
      <w:r w:rsidRPr="002F6E0E">
        <w:t>: Model traces for TTD</w:t>
      </w:r>
    </w:p>
    <w:p w14:paraId="1D977719" w14:textId="46D7468D" w:rsidR="00BF383D" w:rsidRPr="003F0301" w:rsidRDefault="00B266AE" w:rsidP="00BF383D">
      <w:pPr>
        <w:pStyle w:val="FooterTableFigure"/>
        <w:rPr>
          <w:i/>
          <w:iCs/>
          <w:lang w:val="en-US"/>
        </w:rPr>
      </w:pPr>
      <w:r>
        <w:rPr>
          <w:i/>
          <w:iCs/>
          <w:noProof/>
          <w:lang w:val="en-US"/>
        </w:rPr>
        <w:drawing>
          <wp:inline distT="0" distB="0" distL="0" distR="0" wp14:anchorId="1D170772" wp14:editId="4F2BA5CE">
            <wp:extent cx="5649228" cy="3154428"/>
            <wp:effectExtent l="0" t="0" r="8890" b="8255"/>
            <wp:docPr id="99953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5452" cy="3163487"/>
                    </a:xfrm>
                    <a:prstGeom prst="rect">
                      <a:avLst/>
                    </a:prstGeom>
                    <a:noFill/>
                  </pic:spPr>
                </pic:pic>
              </a:graphicData>
            </a:graphic>
          </wp:inline>
        </w:drawing>
      </w:r>
    </w:p>
    <w:p w14:paraId="56C0B4AD" w14:textId="57716E18" w:rsidR="00BF383D" w:rsidRPr="002F6E0E" w:rsidRDefault="00BF383D" w:rsidP="00BF383D">
      <w:pPr>
        <w:pStyle w:val="FooterTableFigure"/>
        <w:rPr>
          <w:lang w:val="en-US"/>
        </w:rPr>
      </w:pPr>
      <w:r w:rsidRPr="002F6E0E">
        <w:rPr>
          <w:lang w:val="en-US"/>
        </w:rPr>
        <w:t xml:space="preserve">Source: Prepared during evaluation using the </w:t>
      </w:r>
      <w:r w:rsidR="00726FCA" w:rsidRPr="002F6E0E">
        <w:rPr>
          <w:lang w:val="en-US"/>
        </w:rPr>
        <w:t>‘</w:t>
      </w:r>
      <w:proofErr w:type="spellStart"/>
      <w:r w:rsidRPr="002F6E0E">
        <w:rPr>
          <w:lang w:val="en-US"/>
        </w:rPr>
        <w:t>Mekinist</w:t>
      </w:r>
      <w:proofErr w:type="spellEnd"/>
      <w:r w:rsidRPr="002F6E0E">
        <w:rPr>
          <w:lang w:val="en-US"/>
        </w:rPr>
        <w:t xml:space="preserve"> (trametinib) </w:t>
      </w:r>
      <w:proofErr w:type="spellStart"/>
      <w:r w:rsidRPr="002F6E0E">
        <w:rPr>
          <w:lang w:val="en-US"/>
        </w:rPr>
        <w:t>Tafinlar</w:t>
      </w:r>
      <w:proofErr w:type="spellEnd"/>
      <w:r w:rsidRPr="002F6E0E">
        <w:rPr>
          <w:lang w:val="en-US"/>
        </w:rPr>
        <w:t xml:space="preserve"> (dabrafenib) – CMA’.xlsx workbook.</w:t>
      </w:r>
    </w:p>
    <w:p w14:paraId="39E02C56" w14:textId="38BAF917" w:rsidR="00BF383D" w:rsidRPr="002F6E0E" w:rsidRDefault="00BF383D" w:rsidP="00BF383D">
      <w:pPr>
        <w:pStyle w:val="FooterTableFigure"/>
        <w:rPr>
          <w:lang w:val="en-US"/>
        </w:rPr>
      </w:pPr>
      <w:r w:rsidRPr="002F6E0E">
        <w:rPr>
          <w:lang w:val="en-US"/>
        </w:rPr>
        <w:t xml:space="preserve">NSQ = non-squamous; </w:t>
      </w:r>
      <w:r w:rsidR="00B266AE" w:rsidRPr="002F6E0E">
        <w:rPr>
          <w:lang w:val="en-US"/>
        </w:rPr>
        <w:t xml:space="preserve">PBC = platinum-based chemotherapy; </w:t>
      </w:r>
      <w:r w:rsidRPr="002F6E0E">
        <w:rPr>
          <w:lang w:val="en-US"/>
        </w:rPr>
        <w:t>SQ = squamous; TTD = time to treatment discontinuation.</w:t>
      </w:r>
    </w:p>
    <w:p w14:paraId="6811B0C3" w14:textId="79E333DF" w:rsidR="00BF383D" w:rsidRPr="002F6E0E" w:rsidRDefault="00BF383D" w:rsidP="00BF383D">
      <w:pPr>
        <w:pStyle w:val="FooterTableFigure"/>
        <w:rPr>
          <w:lang w:val="en-US"/>
        </w:rPr>
      </w:pPr>
      <w:r w:rsidRPr="002F6E0E">
        <w:rPr>
          <w:lang w:val="en-US"/>
        </w:rPr>
        <w:t xml:space="preserve">Note: </w:t>
      </w:r>
      <w:r w:rsidR="00075DB7" w:rsidRPr="002F6E0E">
        <w:rPr>
          <w:lang w:val="en-US"/>
        </w:rPr>
        <w:t xml:space="preserve">The red dotted line </w:t>
      </w:r>
      <w:r w:rsidRPr="002F6E0E">
        <w:rPr>
          <w:lang w:val="en-US"/>
        </w:rPr>
        <w:t>correspond</w:t>
      </w:r>
      <w:r w:rsidR="00075DB7" w:rsidRPr="002F6E0E">
        <w:rPr>
          <w:lang w:val="en-US"/>
        </w:rPr>
        <w:t>s</w:t>
      </w:r>
      <w:r w:rsidRPr="002F6E0E">
        <w:rPr>
          <w:lang w:val="en-US"/>
        </w:rPr>
        <w:t xml:space="preserve"> to the maximum duration of pembrolizumab (35 cycles or approximately 2 years)</w:t>
      </w:r>
      <w:r w:rsidR="00291408" w:rsidRPr="002F6E0E">
        <w:rPr>
          <w:lang w:val="en-US"/>
        </w:rPr>
        <w:t>.</w:t>
      </w:r>
      <w:r w:rsidR="00B266AE" w:rsidRPr="002F6E0E">
        <w:rPr>
          <w:lang w:val="en-US"/>
        </w:rPr>
        <w:t xml:space="preserve"> </w:t>
      </w:r>
      <w:r w:rsidR="00291408" w:rsidRPr="002F6E0E">
        <w:rPr>
          <w:lang w:val="en-US"/>
        </w:rPr>
        <w:t xml:space="preserve">Maintenance treatment with pemetrexed continued beyond 2 years. </w:t>
      </w:r>
    </w:p>
    <w:p w14:paraId="62450F70" w14:textId="404662E2" w:rsidR="0035201C" w:rsidRDefault="001F44E8" w:rsidP="000B6113">
      <w:pPr>
        <w:pStyle w:val="3-BodyText"/>
      </w:pPr>
      <w:r w:rsidRPr="001F44E8">
        <w:t xml:space="preserve">Due to differences in administration methods, the submission included a cost offset for the IV administration of </w:t>
      </w:r>
      <w:proofErr w:type="spellStart"/>
      <w:r w:rsidRPr="001F44E8">
        <w:t>pembrolizumab+PBC</w:t>
      </w:r>
      <w:proofErr w:type="spellEnd"/>
      <w:r w:rsidRPr="001F44E8">
        <w:t>, based on MBS item 13950 (</w:t>
      </w:r>
      <w:r>
        <w:t>F</w:t>
      </w:r>
      <w:r w:rsidRPr="001F44E8">
        <w:t>ee: $123.50).</w:t>
      </w:r>
      <w:r w:rsidR="00982106">
        <w:t xml:space="preserve"> </w:t>
      </w:r>
    </w:p>
    <w:p w14:paraId="5E0930D0" w14:textId="6A4EEBF3" w:rsidR="00A706B9" w:rsidRPr="00BD6B04" w:rsidRDefault="00392A39" w:rsidP="00A706B9">
      <w:pPr>
        <w:pStyle w:val="3-BodyText"/>
      </w:pPr>
      <w:r w:rsidRPr="00392A39">
        <w:t>The submission</w:t>
      </w:r>
      <w:r>
        <w:t xml:space="preserve"> also</w:t>
      </w:r>
      <w:r w:rsidRPr="00392A39">
        <w:t xml:space="preserve"> included monitoring cost associated with D+T, pembrolizumab, and </w:t>
      </w:r>
      <w:r w:rsidR="0047385C">
        <w:t xml:space="preserve">PBC </w:t>
      </w:r>
      <w:r w:rsidRPr="00392A39">
        <w:t>components (cisplatin, carboplatin, pemetrexed and paclitaxel) based on requirements specified in their respective TGA PIs.</w:t>
      </w:r>
      <w:r w:rsidR="00812394">
        <w:t xml:space="preserve"> </w:t>
      </w:r>
      <w:r w:rsidR="00982106">
        <w:t xml:space="preserve">The </w:t>
      </w:r>
      <w:r w:rsidR="0047385C">
        <w:t xml:space="preserve">costs were estimated by multiplying </w:t>
      </w:r>
      <w:r w:rsidR="00982106">
        <w:t>MBS item fee with monitoring requirement for each medicine, adjusted for proportion of patients on treatment</w:t>
      </w:r>
      <w:r w:rsidR="0047385C">
        <w:t xml:space="preserve">. </w:t>
      </w:r>
    </w:p>
    <w:p w14:paraId="131B6B7C" w14:textId="049F158F" w:rsidR="00CB147C" w:rsidRPr="00BF137B" w:rsidRDefault="00A706B9" w:rsidP="000B6113">
      <w:pPr>
        <w:pStyle w:val="3-BodyText"/>
      </w:pPr>
      <w:r>
        <w:t xml:space="preserve">The CMA presented did not include additional costs for managing </w:t>
      </w:r>
      <w:r w:rsidR="00DF0BD9">
        <w:t>AEs</w:t>
      </w:r>
      <w:r>
        <w:t xml:space="preserve">, based on the absence of a </w:t>
      </w:r>
      <w:r w:rsidR="00DF0BD9">
        <w:t xml:space="preserve">statistically </w:t>
      </w:r>
      <w:r>
        <w:t xml:space="preserve">significant difference in the </w:t>
      </w:r>
      <w:r w:rsidR="00DF0BD9">
        <w:t>proportion of patients who experienced any AE</w:t>
      </w:r>
      <w:r w:rsidR="005A42A3">
        <w:t xml:space="preserve"> any treatment-related AE, any Grade ≥ 3 or the discontinuation rate due to an </w:t>
      </w:r>
      <w:r w:rsidR="00BD6B04">
        <w:t xml:space="preserve">The submission further stated that while a smaller proportion of patients treated with D+T experienced Grade ≥3 neutropenia, anaemia and thrombocytopenia, a greater proportion experienced </w:t>
      </w:r>
      <w:r w:rsidR="00B260F8">
        <w:t xml:space="preserve">hypertension, </w:t>
      </w:r>
      <w:r w:rsidR="00BD6B04">
        <w:t>dyspnoea and pyrexia</w:t>
      </w:r>
      <w:r w:rsidR="00410FC5">
        <w:t>,</w:t>
      </w:r>
      <w:r w:rsidR="00BD6B04">
        <w:t xml:space="preserve"> compared with </w:t>
      </w:r>
      <w:proofErr w:type="spellStart"/>
      <w:r w:rsidR="00BD6B04">
        <w:t>pembrolizumab+PBC</w:t>
      </w:r>
      <w:proofErr w:type="spellEnd"/>
      <w:r w:rsidR="00BD6B04">
        <w:t>.</w:t>
      </w:r>
      <w:r w:rsidR="00A63882">
        <w:t xml:space="preserve"> </w:t>
      </w:r>
      <w:r w:rsidR="00543081" w:rsidRPr="002F6E0E">
        <w:t xml:space="preserve">While the comparative safety </w:t>
      </w:r>
      <w:r w:rsidR="00CB147C" w:rsidRPr="002F6E0E">
        <w:t xml:space="preserve">between D+T </w:t>
      </w:r>
      <w:r w:rsidR="00543081" w:rsidRPr="002F6E0E">
        <w:t>was uncertain,</w:t>
      </w:r>
      <w:r w:rsidR="00CB147C" w:rsidRPr="002F6E0E">
        <w:t xml:space="preserve"> </w:t>
      </w:r>
      <w:r w:rsidR="00E80930" w:rsidRPr="002F6E0E">
        <w:t xml:space="preserve">excluding the cost of AEs in the CMA was </w:t>
      </w:r>
      <w:r w:rsidR="002D5348" w:rsidRPr="002F6E0E">
        <w:t xml:space="preserve">considered to be </w:t>
      </w:r>
      <w:r w:rsidR="00E80930" w:rsidRPr="002F6E0E">
        <w:t>conservative</w:t>
      </w:r>
      <w:r w:rsidR="00BF137B" w:rsidRPr="002F6E0E">
        <w:t>,</w:t>
      </w:r>
      <w:r w:rsidR="00E80930" w:rsidRPr="002F6E0E">
        <w:t xml:space="preserve"> given </w:t>
      </w:r>
      <w:r w:rsidR="00BF137B" w:rsidRPr="002F6E0E">
        <w:t xml:space="preserve">the </w:t>
      </w:r>
      <w:r w:rsidR="34D454A7" w:rsidRPr="002F6E0E">
        <w:t xml:space="preserve">potentially </w:t>
      </w:r>
      <w:r w:rsidR="00E80930" w:rsidRPr="002F6E0E">
        <w:t>higher cost</w:t>
      </w:r>
      <w:r w:rsidR="3F7B79F0" w:rsidRPr="002F6E0E">
        <w:t>s</w:t>
      </w:r>
      <w:r w:rsidR="00E80930" w:rsidRPr="002F6E0E">
        <w:t xml:space="preserve"> of manag</w:t>
      </w:r>
      <w:r w:rsidR="00BF137B" w:rsidRPr="002F6E0E">
        <w:t xml:space="preserve">ing </w:t>
      </w:r>
      <w:r w:rsidR="00E80930" w:rsidRPr="002F6E0E">
        <w:t xml:space="preserve">treatment-related AEs such as neutropenia and anaemia in the </w:t>
      </w:r>
      <w:proofErr w:type="spellStart"/>
      <w:r w:rsidR="00E80930" w:rsidRPr="002F6E0E">
        <w:t>pembrolizumab</w:t>
      </w:r>
      <w:r w:rsidR="00BF137B" w:rsidRPr="002F6E0E">
        <w:t>+PBC</w:t>
      </w:r>
      <w:proofErr w:type="spellEnd"/>
      <w:r w:rsidR="00E80930" w:rsidRPr="002F6E0E">
        <w:t xml:space="preserve"> arm</w:t>
      </w:r>
      <w:r w:rsidR="00BF137B" w:rsidRPr="002F6E0E">
        <w:t>,</w:t>
      </w:r>
      <w:r w:rsidR="00E80930" w:rsidRPr="002F6E0E">
        <w:t xml:space="preserve"> compared to hypertension</w:t>
      </w:r>
      <w:r w:rsidR="00B260F8" w:rsidRPr="002F6E0E">
        <w:t xml:space="preserve">, dyspnoea, </w:t>
      </w:r>
      <w:r w:rsidR="00BF137B" w:rsidRPr="002F6E0E">
        <w:t xml:space="preserve">and </w:t>
      </w:r>
      <w:r w:rsidR="00E80930" w:rsidRPr="002F6E0E">
        <w:t>pyrexia in the D+T ar</w:t>
      </w:r>
      <w:r w:rsidR="00B260F8" w:rsidRPr="002F6E0E">
        <w:t>m.</w:t>
      </w:r>
      <w:r w:rsidR="00B260F8" w:rsidRPr="03CF4CC7">
        <w:rPr>
          <w:i/>
          <w:iCs/>
        </w:rPr>
        <w:t xml:space="preserve"> </w:t>
      </w:r>
    </w:p>
    <w:p w14:paraId="4134C7F8" w14:textId="7A1B4068" w:rsidR="00F75134" w:rsidRPr="00F75134" w:rsidRDefault="00075F65" w:rsidP="00554058">
      <w:pPr>
        <w:pStyle w:val="3-BodyText"/>
      </w:pPr>
      <w:bookmarkStart w:id="86" w:name="_Ref187319953"/>
      <w:r w:rsidRPr="002F6E0E">
        <w:t>T</w:t>
      </w:r>
      <w:r w:rsidR="00864B29" w:rsidRPr="002F6E0E">
        <w:t>he</w:t>
      </w:r>
      <w:r w:rsidRPr="002F6E0E">
        <w:t xml:space="preserve"> submission did not include the cost of </w:t>
      </w:r>
      <w:r w:rsidR="00864B29" w:rsidRPr="002F6E0E">
        <w:t xml:space="preserve">subsequent </w:t>
      </w:r>
      <w:r w:rsidR="000560C4" w:rsidRPr="002F6E0E">
        <w:t>therapy</w:t>
      </w:r>
      <w:r w:rsidR="00864B29" w:rsidRPr="002F6E0E">
        <w:t xml:space="preserve"> </w:t>
      </w:r>
      <w:r w:rsidR="007A2021" w:rsidRPr="002F6E0E">
        <w:t>in the CMA</w:t>
      </w:r>
      <w:r w:rsidR="00E65D9D" w:rsidRPr="002F6E0E">
        <w:t>.</w:t>
      </w:r>
      <w:r w:rsidR="000878F2" w:rsidRPr="002F6E0E">
        <w:t xml:space="preserve"> </w:t>
      </w:r>
      <w:r w:rsidR="00F44C78" w:rsidRPr="003E1AEB">
        <w:t xml:space="preserve">The evaluation considered </w:t>
      </w:r>
      <w:r w:rsidR="00F44C78">
        <w:t>t</w:t>
      </w:r>
      <w:r w:rsidR="007D43F8" w:rsidRPr="002F6E0E">
        <w:t>his was inappropriate</w:t>
      </w:r>
      <w:r w:rsidR="00711016" w:rsidRPr="002F6E0E">
        <w:t xml:space="preserve">, as </w:t>
      </w:r>
      <w:r w:rsidR="007D43F8" w:rsidRPr="002F6E0E">
        <w:t xml:space="preserve">the </w:t>
      </w:r>
      <w:r w:rsidR="000878F2" w:rsidRPr="002F6E0E">
        <w:t xml:space="preserve">type of subsequent therapy </w:t>
      </w:r>
      <w:r w:rsidR="000878F2" w:rsidRPr="002F6E0E">
        <w:lastRenderedPageBreak/>
        <w:t>differs between the two treatments.</w:t>
      </w:r>
      <w:r w:rsidR="00F44C78">
        <w:t xml:space="preserve"> </w:t>
      </w:r>
      <w:r w:rsidR="009E261C" w:rsidRPr="003E1AEB">
        <w:t>The ESC noted there</w:t>
      </w:r>
      <w:r w:rsidR="009E261C">
        <w:t xml:space="preserve"> </w:t>
      </w:r>
      <w:r w:rsidR="00EA276F" w:rsidRPr="002F6E0E">
        <w:t>were differences in</w:t>
      </w:r>
      <w:r w:rsidR="00BC7AC4" w:rsidRPr="002F6E0E">
        <w:t xml:space="preserve"> </w:t>
      </w:r>
      <w:r w:rsidR="00FF748D" w:rsidRPr="002F6E0E">
        <w:t xml:space="preserve">the </w:t>
      </w:r>
      <w:r w:rsidR="00EA276F" w:rsidRPr="002F6E0E">
        <w:t>proportion of subsequent therapies</w:t>
      </w:r>
      <w:r w:rsidR="00C642FC" w:rsidRPr="002F6E0E">
        <w:t xml:space="preserve"> received </w:t>
      </w:r>
      <w:r w:rsidR="00083E95" w:rsidRPr="002F6E0E">
        <w:t xml:space="preserve">by patients </w:t>
      </w:r>
      <w:r w:rsidR="00EA276F" w:rsidRPr="002F6E0E">
        <w:t xml:space="preserve">following disease progression with D+T </w:t>
      </w:r>
      <w:r w:rsidR="00083E95" w:rsidRPr="002F6E0E">
        <w:t xml:space="preserve">in the E2201 study and </w:t>
      </w:r>
      <w:proofErr w:type="spellStart"/>
      <w:r w:rsidR="00083E95" w:rsidRPr="002F6E0E">
        <w:t>pembrolizumab+PBC</w:t>
      </w:r>
      <w:proofErr w:type="spellEnd"/>
      <w:r w:rsidR="00083E95" w:rsidRPr="002F6E0E">
        <w:t xml:space="preserve"> in the KN-189 and KN-407 trials</w:t>
      </w:r>
      <w:r w:rsidR="009E261C">
        <w:t xml:space="preserve"> (</w:t>
      </w:r>
      <w:r w:rsidR="009E261C" w:rsidRPr="003E1AEB">
        <w:t xml:space="preserve">see paragraph </w:t>
      </w:r>
      <w:r w:rsidR="009E261C" w:rsidRPr="003E1AEB">
        <w:fldChar w:fldCharType="begin"/>
      </w:r>
      <w:r w:rsidR="009E261C" w:rsidRPr="003E1AEB">
        <w:instrText xml:space="preserve"> REF _Ref187232454 \r \h </w:instrText>
      </w:r>
      <w:r w:rsidR="00C53615" w:rsidRPr="003E1AEB">
        <w:instrText xml:space="preserve"> \* MERGEFORMAT </w:instrText>
      </w:r>
      <w:r w:rsidR="009E261C" w:rsidRPr="003E1AEB">
        <w:fldChar w:fldCharType="separate"/>
      </w:r>
      <w:r w:rsidR="00EF4998">
        <w:t>6.11</w:t>
      </w:r>
      <w:r w:rsidR="009E261C" w:rsidRPr="003E1AEB">
        <w:fldChar w:fldCharType="end"/>
      </w:r>
      <w:r w:rsidR="00A02C25" w:rsidRPr="003E1AEB">
        <w:t>). However, t</w:t>
      </w:r>
      <w:r w:rsidR="000C2238" w:rsidRPr="003E1AEB">
        <w:t>he ESC considered th</w:t>
      </w:r>
      <w:r w:rsidR="00D0316E" w:rsidRPr="003E1AEB">
        <w:t>at, in clinical practi</w:t>
      </w:r>
      <w:r w:rsidR="00DF3856" w:rsidRPr="003E1AEB">
        <w:t>c</w:t>
      </w:r>
      <w:r w:rsidR="00D0316E" w:rsidRPr="003E1AEB">
        <w:t>e, it was likely</w:t>
      </w:r>
      <w:r w:rsidR="00DF3856" w:rsidRPr="003E1AEB">
        <w:t xml:space="preserve"> </w:t>
      </w:r>
      <w:bookmarkEnd w:id="86"/>
      <w:r w:rsidR="00DF3856" w:rsidRPr="003E1AEB">
        <w:t>patients would receive D+T followed by pembrolizumab or pembrolizumab followed by D+T</w:t>
      </w:r>
      <w:r w:rsidR="00604ABB" w:rsidRPr="003E1AEB">
        <w:t xml:space="preserve"> and therefore overall it is unlikely that there will be a substantive difference in the cost of the subsequent therapies received.</w:t>
      </w:r>
    </w:p>
    <w:p w14:paraId="51E03333" w14:textId="17CD15E7" w:rsidR="00352A27" w:rsidRPr="00332807" w:rsidRDefault="00DC5F2F" w:rsidP="001E2F24">
      <w:pPr>
        <w:pStyle w:val="3-BodyText"/>
      </w:pPr>
      <w:r w:rsidRPr="00332807">
        <w:t xml:space="preserve">The results of CMA for NSQ and SQ NSCLC are summarised below in </w:t>
      </w:r>
      <w:r w:rsidR="00A4163E" w:rsidRPr="00332807">
        <w:fldChar w:fldCharType="begin"/>
      </w:r>
      <w:r w:rsidR="00A4163E" w:rsidRPr="00332807">
        <w:instrText xml:space="preserve"> REF _Ref186281185 \h </w:instrText>
      </w:r>
      <w:r w:rsidR="00A4163E" w:rsidRPr="00332807">
        <w:fldChar w:fldCharType="separate"/>
      </w:r>
      <w:r w:rsidR="00EF4998">
        <w:t xml:space="preserve">Table </w:t>
      </w:r>
      <w:r w:rsidR="00EF4998">
        <w:rPr>
          <w:noProof/>
        </w:rPr>
        <w:t>11</w:t>
      </w:r>
      <w:r w:rsidR="00A4163E" w:rsidRPr="00332807">
        <w:fldChar w:fldCharType="end"/>
      </w:r>
      <w:r w:rsidR="00A4163E" w:rsidRPr="00332807">
        <w:t xml:space="preserve"> </w:t>
      </w:r>
      <w:r w:rsidRPr="00332807">
        <w:t xml:space="preserve">and </w:t>
      </w:r>
      <w:r w:rsidR="00A4163E" w:rsidRPr="00332807">
        <w:fldChar w:fldCharType="begin"/>
      </w:r>
      <w:r w:rsidR="00A4163E" w:rsidRPr="00332807">
        <w:instrText xml:space="preserve"> REF _Ref186281190 \h </w:instrText>
      </w:r>
      <w:r w:rsidR="00A4163E" w:rsidRPr="00332807">
        <w:fldChar w:fldCharType="separate"/>
      </w:r>
      <w:r w:rsidR="00EF4998">
        <w:t xml:space="preserve">Table </w:t>
      </w:r>
      <w:r w:rsidR="00EF4998">
        <w:rPr>
          <w:noProof/>
        </w:rPr>
        <w:t>12</w:t>
      </w:r>
      <w:r w:rsidR="00A4163E" w:rsidRPr="00332807">
        <w:fldChar w:fldCharType="end"/>
      </w:r>
      <w:r w:rsidRPr="00332807">
        <w:t>, respectively.</w:t>
      </w:r>
    </w:p>
    <w:p w14:paraId="2E069823" w14:textId="5C1DC99F" w:rsidR="00A4163E" w:rsidRDefault="00A4163E" w:rsidP="00A4163E">
      <w:pPr>
        <w:pStyle w:val="Caption"/>
      </w:pPr>
      <w:bookmarkStart w:id="87" w:name="_Ref186281185"/>
      <w:r>
        <w:t xml:space="preserve">Table </w:t>
      </w:r>
      <w:r w:rsidR="00E77066">
        <w:fldChar w:fldCharType="begin"/>
      </w:r>
      <w:r w:rsidR="00E77066">
        <w:instrText xml:space="preserve"> SEQ Table \* ARABIC </w:instrText>
      </w:r>
      <w:r w:rsidR="00E77066">
        <w:fldChar w:fldCharType="separate"/>
      </w:r>
      <w:r w:rsidR="00EF4998">
        <w:rPr>
          <w:noProof/>
        </w:rPr>
        <w:t>11</w:t>
      </w:r>
      <w:r w:rsidR="00E77066">
        <w:rPr>
          <w:noProof/>
        </w:rPr>
        <w:fldChar w:fldCharType="end"/>
      </w:r>
      <w:bookmarkEnd w:id="87"/>
      <w:r>
        <w:t xml:space="preserve">: </w:t>
      </w:r>
      <w:r w:rsidRPr="00C32A00">
        <w:rPr>
          <w:snapToGrid w:val="0"/>
        </w:rPr>
        <w:t>Cost minimisation</w:t>
      </w:r>
      <w:r w:rsidRPr="002E2455">
        <w:rPr>
          <w:snapToGrid w:val="0"/>
        </w:rPr>
        <w:t xml:space="preserve"> analysis - Non-squamous Stage IV BRAF V600E NSCLC</w:t>
      </w:r>
      <w:r w:rsidR="008D7E45">
        <w:rPr>
          <w:snapToGrid w:val="0"/>
        </w:rPr>
        <w:t xml:space="preserve"> </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019"/>
        <w:gridCol w:w="1045"/>
        <w:gridCol w:w="1356"/>
        <w:gridCol w:w="1129"/>
        <w:gridCol w:w="1356"/>
        <w:gridCol w:w="1129"/>
      </w:tblGrid>
      <w:tr w:rsidR="00DD1D9D" w:rsidRPr="002E2455" w14:paraId="03048970" w14:textId="77777777" w:rsidTr="0029140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7" w:type="pct"/>
          </w:tcPr>
          <w:p w14:paraId="509B9A47" w14:textId="77777777" w:rsidR="00A4163E" w:rsidRPr="002E2455" w:rsidRDefault="00A4163E" w:rsidP="000B6113">
            <w:pPr>
              <w:pStyle w:val="TableText0"/>
            </w:pPr>
          </w:p>
        </w:tc>
        <w:tc>
          <w:tcPr>
            <w:tcW w:w="1047" w:type="pct"/>
            <w:gridSpan w:val="2"/>
          </w:tcPr>
          <w:p w14:paraId="7C7A6F8E" w14:textId="77777777" w:rsidR="00A4163E" w:rsidRPr="002E2455" w:rsidRDefault="00A4163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2E2455">
              <w:t>Dabrafenib + Trametinib</w:t>
            </w:r>
          </w:p>
        </w:tc>
        <w:tc>
          <w:tcPr>
            <w:tcW w:w="1398" w:type="pct"/>
            <w:gridSpan w:val="2"/>
          </w:tcPr>
          <w:p w14:paraId="00168BA8" w14:textId="77777777" w:rsidR="00A4163E" w:rsidRPr="002E2455" w:rsidRDefault="00A4163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2E2455">
              <w:t>Pembrolizumab + Cisplatin + Pemetrexed</w:t>
            </w:r>
          </w:p>
        </w:tc>
        <w:tc>
          <w:tcPr>
            <w:tcW w:w="1378" w:type="pct"/>
            <w:gridSpan w:val="2"/>
          </w:tcPr>
          <w:p w14:paraId="7BF86340" w14:textId="77777777" w:rsidR="00A4163E" w:rsidRPr="002E2455" w:rsidRDefault="00A4163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2E2455">
              <w:t>Pembrolizumab + Carboplatin + Pemetrexed</w:t>
            </w:r>
          </w:p>
        </w:tc>
      </w:tr>
      <w:tr w:rsidR="00DD1D9D" w:rsidRPr="002E2455" w14:paraId="57514BFE" w14:textId="77777777" w:rsidTr="00291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60194043" w14:textId="77777777" w:rsidR="00A4163E" w:rsidRPr="002E2455" w:rsidRDefault="00A4163E" w:rsidP="000B6113">
            <w:pPr>
              <w:pStyle w:val="TableText0"/>
              <w:rPr>
                <w:b w:val="0"/>
                <w:bCs/>
              </w:rPr>
            </w:pPr>
            <w:r w:rsidRPr="002E2455">
              <w:rPr>
                <w:b w:val="0"/>
                <w:bCs/>
              </w:rPr>
              <w:t>Population</w:t>
            </w:r>
          </w:p>
        </w:tc>
        <w:tc>
          <w:tcPr>
            <w:tcW w:w="1047" w:type="pct"/>
            <w:gridSpan w:val="2"/>
            <w:vAlign w:val="center"/>
          </w:tcPr>
          <w:p w14:paraId="43C33B7C"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100%</w:t>
            </w:r>
          </w:p>
        </w:tc>
        <w:tc>
          <w:tcPr>
            <w:tcW w:w="1398" w:type="pct"/>
            <w:gridSpan w:val="2"/>
            <w:vAlign w:val="center"/>
          </w:tcPr>
          <w:p w14:paraId="33CDD92B"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27.6%</w:t>
            </w:r>
          </w:p>
        </w:tc>
        <w:tc>
          <w:tcPr>
            <w:tcW w:w="1378" w:type="pct"/>
            <w:gridSpan w:val="2"/>
            <w:vAlign w:val="center"/>
          </w:tcPr>
          <w:p w14:paraId="7B110748"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72.4%</w:t>
            </w:r>
          </w:p>
        </w:tc>
      </w:tr>
      <w:tr w:rsidR="00291408" w:rsidRPr="002E2455" w14:paraId="02328E9D" w14:textId="77777777" w:rsidTr="00291408">
        <w:trPr>
          <w:trHeight w:val="70"/>
        </w:trPr>
        <w:tc>
          <w:tcPr>
            <w:cnfStyle w:val="001000000000" w:firstRow="0" w:lastRow="0" w:firstColumn="1" w:lastColumn="0" w:oddVBand="0" w:evenVBand="0" w:oddHBand="0" w:evenHBand="0" w:firstRowFirstColumn="0" w:firstRowLastColumn="0" w:lastRowFirstColumn="0" w:lastRowLastColumn="0"/>
            <w:tcW w:w="1177" w:type="pct"/>
            <w:vMerge w:val="restart"/>
          </w:tcPr>
          <w:p w14:paraId="64DD2C68" w14:textId="234A2EF6" w:rsidR="00DD1D9D" w:rsidRPr="002E2455" w:rsidRDefault="00DD1D9D" w:rsidP="00DD1D9D">
            <w:pPr>
              <w:pStyle w:val="TableText0"/>
              <w:rPr>
                <w:b w:val="0"/>
                <w:bCs/>
              </w:rPr>
            </w:pPr>
            <w:r w:rsidRPr="002E2455">
              <w:rPr>
                <w:b w:val="0"/>
                <w:bCs/>
              </w:rPr>
              <w:t>Medicines</w:t>
            </w:r>
            <w:r w:rsidR="00291408">
              <w:rPr>
                <w:b w:val="0"/>
                <w:bCs/>
              </w:rPr>
              <w:t xml:space="preserve"> costs</w:t>
            </w:r>
          </w:p>
        </w:tc>
        <w:tc>
          <w:tcPr>
            <w:tcW w:w="391" w:type="pct"/>
            <w:vAlign w:val="center"/>
          </w:tcPr>
          <w:p w14:paraId="60A94784" w14:textId="77777777" w:rsidR="00DD1D9D" w:rsidRPr="002E2455" w:rsidRDefault="00DD1D9D" w:rsidP="00291408">
            <w:pPr>
              <w:pStyle w:val="TableText0"/>
              <w:jc w:val="center"/>
              <w:cnfStyle w:val="000000000000" w:firstRow="0" w:lastRow="0" w:firstColumn="0" w:lastColumn="0" w:oddVBand="0" w:evenVBand="0" w:oddHBand="0" w:evenHBand="0" w:firstRowFirstColumn="0" w:firstRowLastColumn="0" w:lastRowFirstColumn="0" w:lastRowLastColumn="0"/>
            </w:pPr>
            <w:r>
              <w:t>Dabrafenib</w:t>
            </w:r>
          </w:p>
        </w:tc>
        <w:tc>
          <w:tcPr>
            <w:tcW w:w="655" w:type="pct"/>
            <w:vAlign w:val="center"/>
          </w:tcPr>
          <w:p w14:paraId="13FD8985" w14:textId="4A1FB490" w:rsidR="00DD1D9D" w:rsidRPr="002E245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t>$51,247.34</w:t>
            </w:r>
          </w:p>
        </w:tc>
        <w:tc>
          <w:tcPr>
            <w:tcW w:w="752" w:type="pct"/>
            <w:vAlign w:val="center"/>
          </w:tcPr>
          <w:p w14:paraId="39A76ACB" w14:textId="40F24124" w:rsidR="00DD1D9D" w:rsidRPr="002E2455" w:rsidRDefault="00DD1D9D" w:rsidP="00291408">
            <w:pPr>
              <w:pStyle w:val="TableText0"/>
              <w:jc w:val="center"/>
              <w:cnfStyle w:val="000000000000" w:firstRow="0" w:lastRow="0" w:firstColumn="0" w:lastColumn="0" w:oddVBand="0" w:evenVBand="0" w:oddHBand="0" w:evenHBand="0" w:firstRowFirstColumn="0" w:firstRowLastColumn="0" w:lastRowFirstColumn="0" w:lastRowLastColumn="0"/>
            </w:pPr>
            <w:r>
              <w:t>Pembrolizumab</w:t>
            </w:r>
          </w:p>
        </w:tc>
        <w:tc>
          <w:tcPr>
            <w:tcW w:w="647" w:type="pct"/>
            <w:vAlign w:val="center"/>
          </w:tcPr>
          <w:p w14:paraId="009170D6" w14:textId="26A4B99F" w:rsidR="00DD1D9D" w:rsidRPr="002E2455" w:rsidRDefault="00DD1D9D"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DD1D9D">
              <w:t>$108,082.96</w:t>
            </w:r>
          </w:p>
        </w:tc>
        <w:tc>
          <w:tcPr>
            <w:tcW w:w="752" w:type="pct"/>
            <w:vAlign w:val="center"/>
          </w:tcPr>
          <w:p w14:paraId="35D3F40F" w14:textId="797C0DD0" w:rsidR="00DD1D9D" w:rsidRPr="002E2455" w:rsidRDefault="00DD1D9D"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DD1D9D">
              <w:t>Pembrolizumab</w:t>
            </w:r>
          </w:p>
        </w:tc>
        <w:tc>
          <w:tcPr>
            <w:tcW w:w="626" w:type="pct"/>
            <w:vAlign w:val="center"/>
          </w:tcPr>
          <w:p w14:paraId="66A27A16" w14:textId="07CFD77D" w:rsidR="00DD1D9D" w:rsidRPr="002E2455" w:rsidRDefault="00DD1D9D"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DD1D9D">
              <w:t>$108,082.96</w:t>
            </w:r>
          </w:p>
        </w:tc>
      </w:tr>
      <w:tr w:rsidR="00291408" w:rsidRPr="002E2455" w14:paraId="73A47B0F" w14:textId="77777777" w:rsidTr="00291408">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177" w:type="pct"/>
            <w:vMerge/>
          </w:tcPr>
          <w:p w14:paraId="78E1DADA" w14:textId="77777777" w:rsidR="00291408" w:rsidRPr="002E2455" w:rsidRDefault="00291408" w:rsidP="00DD1D9D">
            <w:pPr>
              <w:pStyle w:val="TableText0"/>
            </w:pPr>
          </w:p>
        </w:tc>
        <w:tc>
          <w:tcPr>
            <w:tcW w:w="391" w:type="pct"/>
            <w:vMerge w:val="restart"/>
            <w:vAlign w:val="center"/>
          </w:tcPr>
          <w:p w14:paraId="3D5CBBF0" w14:textId="77777777"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t>Trametinib</w:t>
            </w:r>
          </w:p>
        </w:tc>
        <w:tc>
          <w:tcPr>
            <w:tcW w:w="655" w:type="pct"/>
            <w:vMerge w:val="restart"/>
            <w:vAlign w:val="center"/>
          </w:tcPr>
          <w:p w14:paraId="0B95CC9E" w14:textId="34DBDB4E"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t>$54,820.46</w:t>
            </w:r>
          </w:p>
        </w:tc>
        <w:tc>
          <w:tcPr>
            <w:tcW w:w="752" w:type="pct"/>
            <w:vAlign w:val="center"/>
          </w:tcPr>
          <w:p w14:paraId="688F5239" w14:textId="3243142B"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t>Cisplatin</w:t>
            </w:r>
          </w:p>
        </w:tc>
        <w:tc>
          <w:tcPr>
            <w:tcW w:w="647" w:type="pct"/>
            <w:vAlign w:val="center"/>
          </w:tcPr>
          <w:p w14:paraId="0CD780C6" w14:textId="21B86AE1"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t>$</w:t>
            </w:r>
            <w:r w:rsidRPr="009A27BE">
              <w:t>106.88</w:t>
            </w:r>
          </w:p>
        </w:tc>
        <w:tc>
          <w:tcPr>
            <w:tcW w:w="752" w:type="pct"/>
            <w:vAlign w:val="center"/>
          </w:tcPr>
          <w:p w14:paraId="6A9C74F9" w14:textId="66A17307"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B5137">
              <w:t>Carboplatin</w:t>
            </w:r>
          </w:p>
        </w:tc>
        <w:tc>
          <w:tcPr>
            <w:tcW w:w="626" w:type="pct"/>
            <w:vAlign w:val="center"/>
          </w:tcPr>
          <w:p w14:paraId="4273E852" w14:textId="795FF0D0"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B5137">
              <w:t>$191.38</w:t>
            </w:r>
          </w:p>
        </w:tc>
      </w:tr>
      <w:tr w:rsidR="00291408" w:rsidRPr="002E2455" w14:paraId="17EA7D05" w14:textId="77777777" w:rsidTr="00291408">
        <w:trPr>
          <w:trHeight w:val="106"/>
        </w:trPr>
        <w:tc>
          <w:tcPr>
            <w:cnfStyle w:val="001000000000" w:firstRow="0" w:lastRow="0" w:firstColumn="1" w:lastColumn="0" w:oddVBand="0" w:evenVBand="0" w:oddHBand="0" w:evenHBand="0" w:firstRowFirstColumn="0" w:firstRowLastColumn="0" w:lastRowFirstColumn="0" w:lastRowLastColumn="0"/>
            <w:tcW w:w="1177" w:type="pct"/>
            <w:vMerge/>
          </w:tcPr>
          <w:p w14:paraId="0720E85E" w14:textId="77777777" w:rsidR="00291408" w:rsidRPr="002E2455" w:rsidRDefault="00291408" w:rsidP="00DD1D9D">
            <w:pPr>
              <w:pStyle w:val="TableText0"/>
            </w:pPr>
          </w:p>
        </w:tc>
        <w:tc>
          <w:tcPr>
            <w:tcW w:w="391" w:type="pct"/>
            <w:vMerge/>
            <w:vAlign w:val="center"/>
          </w:tcPr>
          <w:p w14:paraId="3101789B" w14:textId="77777777" w:rsidR="00291408" w:rsidRPr="002E245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p>
        </w:tc>
        <w:tc>
          <w:tcPr>
            <w:tcW w:w="655" w:type="pct"/>
            <w:vMerge/>
            <w:vAlign w:val="center"/>
          </w:tcPr>
          <w:p w14:paraId="147F093C" w14:textId="06F99CCF" w:rsidR="00291408" w:rsidRPr="002E245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p>
        </w:tc>
        <w:tc>
          <w:tcPr>
            <w:tcW w:w="752" w:type="pct"/>
            <w:vAlign w:val="center"/>
          </w:tcPr>
          <w:p w14:paraId="25331055" w14:textId="5A34A49C" w:rsidR="00291408" w:rsidRPr="002E245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t>Pemetrexed</w:t>
            </w:r>
          </w:p>
        </w:tc>
        <w:tc>
          <w:tcPr>
            <w:tcW w:w="647" w:type="pct"/>
            <w:vAlign w:val="center"/>
          </w:tcPr>
          <w:p w14:paraId="68920747" w14:textId="6673E8D1" w:rsidR="00291408" w:rsidRPr="002E245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t>$</w:t>
            </w:r>
            <w:r w:rsidRPr="009A27BE">
              <w:t>721.21</w:t>
            </w:r>
          </w:p>
        </w:tc>
        <w:tc>
          <w:tcPr>
            <w:tcW w:w="752" w:type="pct"/>
            <w:vAlign w:val="center"/>
          </w:tcPr>
          <w:p w14:paraId="236200F2" w14:textId="5106A579" w:rsidR="00291408" w:rsidRPr="002E245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t>Pemetrexed</w:t>
            </w:r>
          </w:p>
        </w:tc>
        <w:tc>
          <w:tcPr>
            <w:tcW w:w="626" w:type="pct"/>
            <w:vAlign w:val="center"/>
          </w:tcPr>
          <w:p w14:paraId="452E2FBF" w14:textId="0706F784" w:rsidR="00291408" w:rsidRPr="002E245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t>$</w:t>
            </w:r>
            <w:r w:rsidRPr="009A27BE">
              <w:t>721.21</w:t>
            </w:r>
          </w:p>
        </w:tc>
      </w:tr>
      <w:tr w:rsidR="00DD1D9D" w:rsidRPr="002E2455" w14:paraId="5F3AF805" w14:textId="77777777" w:rsidTr="00291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4CF2A016" w14:textId="01BB87FA" w:rsidR="00DD1D9D" w:rsidRPr="00291408" w:rsidRDefault="00DD1D9D" w:rsidP="00DD1D9D">
            <w:pPr>
              <w:pStyle w:val="TableText0"/>
              <w:rPr>
                <w:b w:val="0"/>
                <w:bCs/>
              </w:rPr>
            </w:pPr>
            <w:r w:rsidRPr="00291408">
              <w:rPr>
                <w:b w:val="0"/>
                <w:bCs/>
              </w:rPr>
              <w:t>Total medicines costs</w:t>
            </w:r>
          </w:p>
        </w:tc>
        <w:tc>
          <w:tcPr>
            <w:tcW w:w="1047" w:type="pct"/>
            <w:gridSpan w:val="2"/>
            <w:vAlign w:val="center"/>
          </w:tcPr>
          <w:p w14:paraId="12F45798" w14:textId="5B743E47" w:rsidR="00DD1D9D" w:rsidRPr="002E2455" w:rsidRDefault="00DD1D9D"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DD1D9D">
              <w:t>$106,067.80</w:t>
            </w:r>
          </w:p>
        </w:tc>
        <w:tc>
          <w:tcPr>
            <w:tcW w:w="1398" w:type="pct"/>
            <w:gridSpan w:val="2"/>
            <w:vAlign w:val="center"/>
          </w:tcPr>
          <w:p w14:paraId="6948AA32" w14:textId="178D3F59" w:rsidR="00DD1D9D" w:rsidRDefault="00DD1D9D"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DD1D9D">
              <w:t>$108,911.06</w:t>
            </w:r>
          </w:p>
        </w:tc>
        <w:tc>
          <w:tcPr>
            <w:tcW w:w="1378" w:type="pct"/>
            <w:gridSpan w:val="2"/>
            <w:vAlign w:val="center"/>
          </w:tcPr>
          <w:p w14:paraId="21E1670C" w14:textId="3F0619FE" w:rsidR="00DD1D9D" w:rsidRDefault="00DD1D9D"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DD1D9D">
              <w:t>$108,995.55</w:t>
            </w:r>
          </w:p>
        </w:tc>
      </w:tr>
      <w:tr w:rsidR="00DD1D9D" w:rsidRPr="002E2455" w14:paraId="2BDC78A5" w14:textId="77777777" w:rsidTr="00291408">
        <w:tc>
          <w:tcPr>
            <w:cnfStyle w:val="001000000000" w:firstRow="0" w:lastRow="0" w:firstColumn="1" w:lastColumn="0" w:oddVBand="0" w:evenVBand="0" w:oddHBand="0" w:evenHBand="0" w:firstRowFirstColumn="0" w:firstRowLastColumn="0" w:lastRowFirstColumn="0" w:lastRowLastColumn="0"/>
            <w:tcW w:w="1177" w:type="pct"/>
          </w:tcPr>
          <w:p w14:paraId="6895DC33" w14:textId="37D697A9" w:rsidR="00A4163E" w:rsidRPr="002E2455" w:rsidRDefault="00A4163E" w:rsidP="000B6113">
            <w:pPr>
              <w:pStyle w:val="TableText0"/>
              <w:rPr>
                <w:b w:val="0"/>
                <w:bCs/>
              </w:rPr>
            </w:pPr>
            <w:r w:rsidRPr="002E2455">
              <w:rPr>
                <w:b w:val="0"/>
                <w:bCs/>
              </w:rPr>
              <w:t>Administration</w:t>
            </w:r>
            <w:r w:rsidR="00DD1D9D">
              <w:rPr>
                <w:b w:val="0"/>
                <w:bCs/>
              </w:rPr>
              <w:t xml:space="preserve"> costs</w:t>
            </w:r>
          </w:p>
        </w:tc>
        <w:tc>
          <w:tcPr>
            <w:tcW w:w="1047" w:type="pct"/>
            <w:gridSpan w:val="2"/>
            <w:vAlign w:val="center"/>
          </w:tcPr>
          <w:p w14:paraId="582D6F17" w14:textId="77777777" w:rsidR="00A4163E" w:rsidRPr="002E2455" w:rsidRDefault="00A4163E"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E2455">
              <w:t>$0.00</w:t>
            </w:r>
          </w:p>
        </w:tc>
        <w:tc>
          <w:tcPr>
            <w:tcW w:w="1398" w:type="pct"/>
            <w:gridSpan w:val="2"/>
            <w:vAlign w:val="center"/>
          </w:tcPr>
          <w:p w14:paraId="620B98AD" w14:textId="77777777" w:rsidR="00A4163E" w:rsidRPr="002E2455" w:rsidRDefault="00A4163E"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E2455">
              <w:t>$2,062.65</w:t>
            </w:r>
          </w:p>
        </w:tc>
        <w:tc>
          <w:tcPr>
            <w:tcW w:w="1378" w:type="pct"/>
            <w:gridSpan w:val="2"/>
            <w:vAlign w:val="center"/>
          </w:tcPr>
          <w:p w14:paraId="71ECFE16" w14:textId="77777777" w:rsidR="00A4163E" w:rsidRPr="002E2455" w:rsidRDefault="00A4163E"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E2455">
              <w:t>$2,062.65</w:t>
            </w:r>
          </w:p>
        </w:tc>
      </w:tr>
      <w:tr w:rsidR="00DD1D9D" w:rsidRPr="002E2455" w14:paraId="20F294F0" w14:textId="77777777" w:rsidTr="00291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440D2616" w14:textId="2461EE34" w:rsidR="00A4163E" w:rsidRPr="002E2455" w:rsidRDefault="00A4163E" w:rsidP="000B6113">
            <w:pPr>
              <w:pStyle w:val="TableText0"/>
              <w:rPr>
                <w:b w:val="0"/>
                <w:bCs/>
              </w:rPr>
            </w:pPr>
            <w:r w:rsidRPr="002E2455">
              <w:rPr>
                <w:b w:val="0"/>
                <w:bCs/>
              </w:rPr>
              <w:t>Monitoring</w:t>
            </w:r>
            <w:r w:rsidR="00DD1D9D">
              <w:rPr>
                <w:b w:val="0"/>
                <w:bCs/>
              </w:rPr>
              <w:t xml:space="preserve"> costs</w:t>
            </w:r>
          </w:p>
        </w:tc>
        <w:tc>
          <w:tcPr>
            <w:tcW w:w="1047" w:type="pct"/>
            <w:gridSpan w:val="2"/>
            <w:vAlign w:val="center"/>
          </w:tcPr>
          <w:p w14:paraId="477AF328"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$6,416.41</w:t>
            </w:r>
          </w:p>
        </w:tc>
        <w:tc>
          <w:tcPr>
            <w:tcW w:w="1398" w:type="pct"/>
            <w:gridSpan w:val="2"/>
            <w:vAlign w:val="center"/>
          </w:tcPr>
          <w:p w14:paraId="52CF2537"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$1,271.29</w:t>
            </w:r>
          </w:p>
        </w:tc>
        <w:tc>
          <w:tcPr>
            <w:tcW w:w="1378" w:type="pct"/>
            <w:gridSpan w:val="2"/>
            <w:vAlign w:val="center"/>
          </w:tcPr>
          <w:p w14:paraId="6FD38718"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$1,517.02</w:t>
            </w:r>
          </w:p>
        </w:tc>
      </w:tr>
      <w:tr w:rsidR="00DD1D9D" w:rsidRPr="002E2455" w14:paraId="5B839892" w14:textId="77777777" w:rsidTr="00291408">
        <w:tc>
          <w:tcPr>
            <w:cnfStyle w:val="001000000000" w:firstRow="0" w:lastRow="0" w:firstColumn="1" w:lastColumn="0" w:oddVBand="0" w:evenVBand="0" w:oddHBand="0" w:evenHBand="0" w:firstRowFirstColumn="0" w:firstRowLastColumn="0" w:lastRowFirstColumn="0" w:lastRowLastColumn="0"/>
            <w:tcW w:w="1177" w:type="pct"/>
          </w:tcPr>
          <w:p w14:paraId="15488059" w14:textId="77777777" w:rsidR="00A4163E" w:rsidRPr="002E2455" w:rsidRDefault="00A4163E" w:rsidP="000B6113">
            <w:pPr>
              <w:pStyle w:val="TableText0"/>
              <w:rPr>
                <w:b w:val="0"/>
                <w:bCs/>
              </w:rPr>
            </w:pPr>
            <w:r w:rsidRPr="002E2455">
              <w:rPr>
                <w:b w:val="0"/>
                <w:bCs/>
              </w:rPr>
              <w:t>Total cost</w:t>
            </w:r>
          </w:p>
        </w:tc>
        <w:tc>
          <w:tcPr>
            <w:tcW w:w="1047" w:type="pct"/>
            <w:gridSpan w:val="2"/>
            <w:vAlign w:val="center"/>
          </w:tcPr>
          <w:p w14:paraId="1970A2E9" w14:textId="77777777" w:rsidR="00A4163E" w:rsidRPr="002E2455" w:rsidRDefault="00A4163E"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E2455">
              <w:t>$112,484.22</w:t>
            </w:r>
          </w:p>
        </w:tc>
        <w:tc>
          <w:tcPr>
            <w:tcW w:w="1398" w:type="pct"/>
            <w:gridSpan w:val="2"/>
            <w:vAlign w:val="center"/>
          </w:tcPr>
          <w:p w14:paraId="1126908D" w14:textId="77777777" w:rsidR="00A4163E" w:rsidRPr="002E2455" w:rsidRDefault="00A4163E"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E2455">
              <w:t>$112,245.01</w:t>
            </w:r>
          </w:p>
        </w:tc>
        <w:tc>
          <w:tcPr>
            <w:tcW w:w="1378" w:type="pct"/>
            <w:gridSpan w:val="2"/>
            <w:vAlign w:val="center"/>
          </w:tcPr>
          <w:p w14:paraId="0F8424C7" w14:textId="77777777" w:rsidR="00A4163E" w:rsidRPr="002E2455" w:rsidRDefault="00A4163E"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E2455">
              <w:t>$112,575.23</w:t>
            </w:r>
          </w:p>
        </w:tc>
      </w:tr>
      <w:tr w:rsidR="00291408" w:rsidRPr="002E2455" w14:paraId="72B5A5A0" w14:textId="77777777" w:rsidTr="00291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6280EE4E" w14:textId="77777777" w:rsidR="00A4163E" w:rsidRPr="002E2455" w:rsidRDefault="00A4163E" w:rsidP="000B6113">
            <w:pPr>
              <w:pStyle w:val="TableText0"/>
              <w:rPr>
                <w:b w:val="0"/>
                <w:bCs/>
              </w:rPr>
            </w:pPr>
            <w:r w:rsidRPr="002E2455">
              <w:rPr>
                <w:b w:val="0"/>
                <w:bCs/>
              </w:rPr>
              <w:t>Weighted av</w:t>
            </w:r>
            <w:r>
              <w:rPr>
                <w:b w:val="0"/>
                <w:bCs/>
              </w:rPr>
              <w:t>erage</w:t>
            </w:r>
            <w:r w:rsidRPr="002E2455">
              <w:rPr>
                <w:b w:val="0"/>
                <w:bCs/>
              </w:rPr>
              <w:t xml:space="preserve"> total cost</w:t>
            </w:r>
          </w:p>
        </w:tc>
        <w:tc>
          <w:tcPr>
            <w:tcW w:w="1047" w:type="pct"/>
            <w:gridSpan w:val="2"/>
            <w:vAlign w:val="center"/>
          </w:tcPr>
          <w:p w14:paraId="07431B4E"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$112,484.22</w:t>
            </w:r>
          </w:p>
        </w:tc>
        <w:tc>
          <w:tcPr>
            <w:tcW w:w="2776" w:type="pct"/>
            <w:gridSpan w:val="4"/>
            <w:vAlign w:val="center"/>
          </w:tcPr>
          <w:p w14:paraId="347B2134" w14:textId="77777777" w:rsidR="00A4163E" w:rsidRPr="002E2455" w:rsidRDefault="00A4163E"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E2455">
              <w:t>$112,484.22</w:t>
            </w:r>
          </w:p>
        </w:tc>
      </w:tr>
      <w:tr w:rsidR="00291408" w:rsidRPr="002E2455" w14:paraId="36BA868A" w14:textId="77777777" w:rsidTr="00291408">
        <w:tc>
          <w:tcPr>
            <w:cnfStyle w:val="001000000000" w:firstRow="0" w:lastRow="0" w:firstColumn="1" w:lastColumn="0" w:oddVBand="0" w:evenVBand="0" w:oddHBand="0" w:evenHBand="0" w:firstRowFirstColumn="0" w:firstRowLastColumn="0" w:lastRowFirstColumn="0" w:lastRowLastColumn="0"/>
            <w:tcW w:w="1177" w:type="pct"/>
          </w:tcPr>
          <w:p w14:paraId="3D9FCDE2" w14:textId="77777777" w:rsidR="00A4163E" w:rsidRPr="002E2455" w:rsidRDefault="00A4163E" w:rsidP="000B6113">
            <w:pPr>
              <w:pStyle w:val="TableText0"/>
              <w:rPr>
                <w:b w:val="0"/>
                <w:bCs/>
              </w:rPr>
            </w:pPr>
            <w:r w:rsidRPr="002E2455">
              <w:rPr>
                <w:b w:val="0"/>
                <w:bCs/>
              </w:rPr>
              <w:t>Incremental cost</w:t>
            </w:r>
          </w:p>
        </w:tc>
        <w:tc>
          <w:tcPr>
            <w:tcW w:w="3823" w:type="pct"/>
            <w:gridSpan w:val="6"/>
            <w:vAlign w:val="center"/>
          </w:tcPr>
          <w:p w14:paraId="36AA1A2A" w14:textId="77777777" w:rsidR="00A4163E" w:rsidRPr="002E2455" w:rsidRDefault="00A4163E"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E2455">
              <w:t>$0.00</w:t>
            </w:r>
          </w:p>
        </w:tc>
      </w:tr>
    </w:tbl>
    <w:p w14:paraId="2CC82856" w14:textId="77777777" w:rsidR="00A4163E" w:rsidRDefault="00A4163E" w:rsidP="00A4163E">
      <w:pPr>
        <w:pStyle w:val="FooterTableFigure"/>
      </w:pPr>
      <w:r>
        <w:t>Source: Table 3.9, p129 of the submission.</w:t>
      </w:r>
    </w:p>
    <w:p w14:paraId="15C03AAB" w14:textId="77777777" w:rsidR="00A4163E" w:rsidRDefault="00A4163E" w:rsidP="00A4163E">
      <w:pPr>
        <w:pStyle w:val="FooterTableFigure"/>
      </w:pPr>
      <w:r>
        <w:t>NSCLC = non-small cell lung cancer.</w:t>
      </w:r>
    </w:p>
    <w:p w14:paraId="212207AD" w14:textId="415B8F48" w:rsidR="00A4163E" w:rsidRDefault="00A4163E" w:rsidP="00A4163E">
      <w:pPr>
        <w:pStyle w:val="Caption"/>
      </w:pPr>
      <w:bookmarkStart w:id="88" w:name="_Ref186281190"/>
      <w:r>
        <w:t xml:space="preserve">Table </w:t>
      </w:r>
      <w:r w:rsidR="00E77066">
        <w:fldChar w:fldCharType="begin"/>
      </w:r>
      <w:r w:rsidR="00E77066">
        <w:instrText xml:space="preserve"> SEQ Table \* ARABIC </w:instrText>
      </w:r>
      <w:r w:rsidR="00E77066">
        <w:fldChar w:fldCharType="separate"/>
      </w:r>
      <w:r w:rsidR="00EF4998">
        <w:rPr>
          <w:noProof/>
        </w:rPr>
        <w:t>12</w:t>
      </w:r>
      <w:r w:rsidR="00E77066">
        <w:rPr>
          <w:noProof/>
        </w:rPr>
        <w:fldChar w:fldCharType="end"/>
      </w:r>
      <w:bookmarkEnd w:id="88"/>
      <w:r>
        <w:t xml:space="preserve">: </w:t>
      </w:r>
      <w:r w:rsidRPr="00C32A00">
        <w:rPr>
          <w:snapToGrid w:val="0"/>
        </w:rPr>
        <w:t>Cost minimisation</w:t>
      </w:r>
      <w:r w:rsidRPr="002E2455">
        <w:rPr>
          <w:snapToGrid w:val="0"/>
        </w:rPr>
        <w:t xml:space="preserve"> analysis - </w:t>
      </w:r>
      <w:r>
        <w:rPr>
          <w:snapToGrid w:val="0"/>
        </w:rPr>
        <w:t>S</w:t>
      </w:r>
      <w:r w:rsidRPr="002E2455">
        <w:rPr>
          <w:snapToGrid w:val="0"/>
        </w:rPr>
        <w:t>quamous Stage IV BRAF V600E NSCLC</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134"/>
        <w:gridCol w:w="2171"/>
        <w:gridCol w:w="2168"/>
      </w:tblGrid>
      <w:tr w:rsidR="00A4163E" w:rsidRPr="002E2455" w14:paraId="3DA5EBB8" w14:textId="77777777" w:rsidTr="507C9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pct"/>
          </w:tcPr>
          <w:p w14:paraId="1AC670D4" w14:textId="77777777" w:rsidR="00A4163E" w:rsidRPr="002E2455" w:rsidRDefault="00A4163E" w:rsidP="000B6113">
            <w:pPr>
              <w:pStyle w:val="TableText0"/>
            </w:pPr>
          </w:p>
        </w:tc>
        <w:tc>
          <w:tcPr>
            <w:tcW w:w="1258" w:type="pct"/>
            <w:gridSpan w:val="2"/>
          </w:tcPr>
          <w:p w14:paraId="49E337A0" w14:textId="77777777" w:rsidR="00A4163E" w:rsidRPr="002E2455" w:rsidRDefault="00A4163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AF51E5">
              <w:t>Dabrafenib + Trametinib</w:t>
            </w:r>
          </w:p>
        </w:tc>
        <w:tc>
          <w:tcPr>
            <w:tcW w:w="2406" w:type="pct"/>
            <w:gridSpan w:val="2"/>
          </w:tcPr>
          <w:p w14:paraId="2CD9E153" w14:textId="77777777" w:rsidR="00A4163E" w:rsidRPr="002E2455" w:rsidRDefault="00A4163E" w:rsidP="000B6113">
            <w:pPr>
              <w:pStyle w:val="TableText0"/>
              <w:jc w:val="center"/>
              <w:cnfStyle w:val="100000000000" w:firstRow="1" w:lastRow="0" w:firstColumn="0" w:lastColumn="0" w:oddVBand="0" w:evenVBand="0" w:oddHBand="0" w:evenHBand="0" w:firstRowFirstColumn="0" w:firstRowLastColumn="0" w:lastRowFirstColumn="0" w:lastRowLastColumn="0"/>
            </w:pPr>
            <w:r w:rsidRPr="00AF51E5">
              <w:t>Pembrolizumab + Carboplatin + Paclitaxel</w:t>
            </w:r>
          </w:p>
        </w:tc>
      </w:tr>
      <w:tr w:rsidR="00291408" w:rsidRPr="002E2455" w14:paraId="03BDFBC1" w14:textId="77777777" w:rsidTr="507C9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pct"/>
            <w:vMerge w:val="restart"/>
          </w:tcPr>
          <w:p w14:paraId="2150BF06" w14:textId="5135A321" w:rsidR="00291408" w:rsidRPr="002E2455" w:rsidRDefault="00291408" w:rsidP="507C910F">
            <w:pPr>
              <w:pStyle w:val="TableText0"/>
              <w:rPr>
                <w:b w:val="0"/>
              </w:rPr>
            </w:pPr>
            <w:r>
              <w:rPr>
                <w:b w:val="0"/>
              </w:rPr>
              <w:t>Medicines costs</w:t>
            </w:r>
          </w:p>
        </w:tc>
        <w:tc>
          <w:tcPr>
            <w:tcW w:w="629" w:type="pct"/>
            <w:vAlign w:val="center"/>
          </w:tcPr>
          <w:p w14:paraId="4217C254" w14:textId="7B88836F"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t>Dabrafenib</w:t>
            </w:r>
          </w:p>
        </w:tc>
        <w:tc>
          <w:tcPr>
            <w:tcW w:w="629" w:type="pct"/>
            <w:vAlign w:val="center"/>
          </w:tcPr>
          <w:p w14:paraId="31BD001A" w14:textId="3C72DC6E"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t>$</w:t>
            </w:r>
            <w:r w:rsidRPr="00CF4E2C">
              <w:t>50</w:t>
            </w:r>
            <w:r>
              <w:t>,</w:t>
            </w:r>
            <w:r w:rsidRPr="00CF4E2C">
              <w:t>454.3</w:t>
            </w:r>
            <w:r>
              <w:t>8</w:t>
            </w:r>
          </w:p>
        </w:tc>
        <w:tc>
          <w:tcPr>
            <w:tcW w:w="1204" w:type="pct"/>
          </w:tcPr>
          <w:p w14:paraId="0A4766A9" w14:textId="6F843475"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AC0CD8">
              <w:t>Pembrolizumab</w:t>
            </w:r>
          </w:p>
        </w:tc>
        <w:tc>
          <w:tcPr>
            <w:tcW w:w="1202" w:type="pct"/>
          </w:tcPr>
          <w:p w14:paraId="3AB9C4C1" w14:textId="228A083E" w:rsidR="00291408" w:rsidRPr="002E245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91408">
              <w:t>$107,217.81</w:t>
            </w:r>
          </w:p>
        </w:tc>
      </w:tr>
      <w:tr w:rsidR="00291408" w:rsidRPr="002E2455" w14:paraId="2FDDA0F1" w14:textId="77777777" w:rsidTr="507C910F">
        <w:tc>
          <w:tcPr>
            <w:cnfStyle w:val="001000000000" w:firstRow="0" w:lastRow="0" w:firstColumn="1" w:lastColumn="0" w:oddVBand="0" w:evenVBand="0" w:oddHBand="0" w:evenHBand="0" w:firstRowFirstColumn="0" w:firstRowLastColumn="0" w:lastRowFirstColumn="0" w:lastRowLastColumn="0"/>
            <w:tcW w:w="1336" w:type="pct"/>
            <w:vMerge/>
          </w:tcPr>
          <w:p w14:paraId="2F53B702" w14:textId="77777777" w:rsidR="00291408" w:rsidRPr="00AF51E5" w:rsidDel="00291408" w:rsidRDefault="00291408" w:rsidP="00291408">
            <w:pPr>
              <w:pStyle w:val="TableText0"/>
            </w:pPr>
          </w:p>
        </w:tc>
        <w:tc>
          <w:tcPr>
            <w:tcW w:w="629" w:type="pct"/>
            <w:vMerge w:val="restart"/>
            <w:vAlign w:val="center"/>
          </w:tcPr>
          <w:p w14:paraId="78B66853" w14:textId="07FFDE35" w:rsidR="00291408" w:rsidRPr="00AF51E5" w:rsidDel="00291408"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t>Trametinib</w:t>
            </w:r>
          </w:p>
        </w:tc>
        <w:tc>
          <w:tcPr>
            <w:tcW w:w="629" w:type="pct"/>
            <w:vMerge w:val="restart"/>
            <w:vAlign w:val="center"/>
          </w:tcPr>
          <w:p w14:paraId="39A0A16B" w14:textId="3687C196" w:rsidR="00291408" w:rsidRPr="00AF51E5" w:rsidDel="00291408"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t>$</w:t>
            </w:r>
            <w:r w:rsidRPr="00CF4E2C">
              <w:t>53</w:t>
            </w:r>
            <w:r>
              <w:t>,</w:t>
            </w:r>
            <w:r w:rsidRPr="00CF4E2C">
              <w:t>972.21</w:t>
            </w:r>
          </w:p>
        </w:tc>
        <w:tc>
          <w:tcPr>
            <w:tcW w:w="1204" w:type="pct"/>
          </w:tcPr>
          <w:p w14:paraId="744F85DB" w14:textId="3DDD71A7" w:rsidR="00291408" w:rsidRPr="00AF51E5" w:rsidDel="00291408"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AC0CD8">
              <w:t>Carboplatin</w:t>
            </w:r>
          </w:p>
        </w:tc>
        <w:tc>
          <w:tcPr>
            <w:tcW w:w="1202" w:type="pct"/>
          </w:tcPr>
          <w:p w14:paraId="625D499B" w14:textId="1A1500E5" w:rsidR="00291408" w:rsidRPr="00AF51E5" w:rsidDel="00291408"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291408">
              <w:t>$192.52</w:t>
            </w:r>
          </w:p>
        </w:tc>
      </w:tr>
      <w:tr w:rsidR="00291408" w:rsidRPr="002E2455" w14:paraId="18617AE4" w14:textId="77777777" w:rsidTr="507C9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pct"/>
            <w:vMerge/>
          </w:tcPr>
          <w:p w14:paraId="5F008697" w14:textId="77777777" w:rsidR="00291408" w:rsidRPr="00AF51E5" w:rsidRDefault="00291408" w:rsidP="00291408">
            <w:pPr>
              <w:pStyle w:val="TableText0"/>
            </w:pPr>
          </w:p>
        </w:tc>
        <w:tc>
          <w:tcPr>
            <w:tcW w:w="629" w:type="pct"/>
            <w:vMerge/>
          </w:tcPr>
          <w:p w14:paraId="042D084A" w14:textId="77777777" w:rsidR="00291408" w:rsidRPr="00AF51E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p>
        </w:tc>
        <w:tc>
          <w:tcPr>
            <w:tcW w:w="629" w:type="pct"/>
            <w:vMerge/>
          </w:tcPr>
          <w:p w14:paraId="3238337C" w14:textId="35D9EB84" w:rsidR="00291408" w:rsidRPr="00AF51E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p>
        </w:tc>
        <w:tc>
          <w:tcPr>
            <w:tcW w:w="1204" w:type="pct"/>
          </w:tcPr>
          <w:p w14:paraId="18EA40D9" w14:textId="13A2A096" w:rsidR="00291408" w:rsidRPr="00AF51E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t>Paclitaxel</w:t>
            </w:r>
          </w:p>
        </w:tc>
        <w:tc>
          <w:tcPr>
            <w:tcW w:w="1202" w:type="pct"/>
          </w:tcPr>
          <w:p w14:paraId="311BF3B7" w14:textId="2E9D29D0" w:rsidR="00291408" w:rsidRPr="00AF51E5" w:rsidRDefault="00291408" w:rsidP="00291408">
            <w:pPr>
              <w:pStyle w:val="TableText0"/>
              <w:jc w:val="center"/>
              <w:cnfStyle w:val="000000100000" w:firstRow="0" w:lastRow="0" w:firstColumn="0" w:lastColumn="0" w:oddVBand="0" w:evenVBand="0" w:oddHBand="1" w:evenHBand="0" w:firstRowFirstColumn="0" w:firstRowLastColumn="0" w:lastRowFirstColumn="0" w:lastRowLastColumn="0"/>
            </w:pPr>
            <w:r w:rsidRPr="00291408">
              <w:t>$264.82</w:t>
            </w:r>
          </w:p>
        </w:tc>
      </w:tr>
      <w:tr w:rsidR="00291408" w:rsidRPr="002E2455" w14:paraId="10F78689" w14:textId="77777777" w:rsidTr="507C910F">
        <w:tc>
          <w:tcPr>
            <w:cnfStyle w:val="001000000000" w:firstRow="0" w:lastRow="0" w:firstColumn="1" w:lastColumn="0" w:oddVBand="0" w:evenVBand="0" w:oddHBand="0" w:evenHBand="0" w:firstRowFirstColumn="0" w:firstRowLastColumn="0" w:lastRowFirstColumn="0" w:lastRowLastColumn="0"/>
            <w:tcW w:w="1336" w:type="pct"/>
          </w:tcPr>
          <w:p w14:paraId="42A4187F" w14:textId="7295DFF9" w:rsidR="00291408" w:rsidRPr="00291408" w:rsidRDefault="00291408" w:rsidP="00291408">
            <w:pPr>
              <w:pStyle w:val="TableText0"/>
              <w:rPr>
                <w:b w:val="0"/>
                <w:bCs/>
              </w:rPr>
            </w:pPr>
            <w:r w:rsidRPr="00291408">
              <w:rPr>
                <w:b w:val="0"/>
                <w:bCs/>
              </w:rPr>
              <w:t>Total medicines costs</w:t>
            </w:r>
          </w:p>
        </w:tc>
        <w:tc>
          <w:tcPr>
            <w:tcW w:w="1258" w:type="pct"/>
            <w:gridSpan w:val="2"/>
          </w:tcPr>
          <w:p w14:paraId="2C4C8D64" w14:textId="48122B7D" w:rsidR="00291408" w:rsidRPr="00AF51E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B8080D">
              <w:t>$104,426.59</w:t>
            </w:r>
          </w:p>
        </w:tc>
        <w:tc>
          <w:tcPr>
            <w:tcW w:w="2406" w:type="pct"/>
            <w:gridSpan w:val="2"/>
          </w:tcPr>
          <w:p w14:paraId="0FD8F339" w14:textId="7C1B3106" w:rsidR="00291408" w:rsidRPr="00AF51E5" w:rsidRDefault="00291408" w:rsidP="00291408">
            <w:pPr>
              <w:pStyle w:val="TableText0"/>
              <w:jc w:val="center"/>
              <w:cnfStyle w:val="000000000000" w:firstRow="0" w:lastRow="0" w:firstColumn="0" w:lastColumn="0" w:oddVBand="0" w:evenVBand="0" w:oddHBand="0" w:evenHBand="0" w:firstRowFirstColumn="0" w:firstRowLastColumn="0" w:lastRowFirstColumn="0" w:lastRowLastColumn="0"/>
            </w:pPr>
            <w:r w:rsidRPr="00B8080D">
              <w:t>$107,675.15</w:t>
            </w:r>
          </w:p>
        </w:tc>
      </w:tr>
      <w:tr w:rsidR="00A4163E" w:rsidRPr="002E2455" w14:paraId="5592BBC1" w14:textId="77777777" w:rsidTr="507C9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pct"/>
          </w:tcPr>
          <w:p w14:paraId="2A6FD436" w14:textId="36BD29B1" w:rsidR="00A4163E" w:rsidRPr="002E2455" w:rsidRDefault="00A4163E" w:rsidP="000B6113">
            <w:pPr>
              <w:pStyle w:val="TableText0"/>
              <w:rPr>
                <w:b w:val="0"/>
                <w:bCs/>
              </w:rPr>
            </w:pPr>
            <w:r w:rsidRPr="00AF51E5">
              <w:rPr>
                <w:b w:val="0"/>
              </w:rPr>
              <w:t>Administration</w:t>
            </w:r>
            <w:r w:rsidR="00291408">
              <w:rPr>
                <w:b w:val="0"/>
              </w:rPr>
              <w:t xml:space="preserve"> costs</w:t>
            </w:r>
          </w:p>
        </w:tc>
        <w:tc>
          <w:tcPr>
            <w:tcW w:w="1258" w:type="pct"/>
            <w:gridSpan w:val="2"/>
          </w:tcPr>
          <w:p w14:paraId="1F2CDED5" w14:textId="77777777" w:rsidR="00A4163E" w:rsidRPr="002E2455" w:rsidRDefault="00A4163E"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AF51E5">
              <w:t>$0.00</w:t>
            </w:r>
          </w:p>
        </w:tc>
        <w:tc>
          <w:tcPr>
            <w:tcW w:w="2406" w:type="pct"/>
            <w:gridSpan w:val="2"/>
          </w:tcPr>
          <w:p w14:paraId="176D423C" w14:textId="77777777" w:rsidR="00A4163E" w:rsidRPr="002E2455" w:rsidRDefault="00A4163E"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AF51E5">
              <w:t>$1,773.24</w:t>
            </w:r>
          </w:p>
        </w:tc>
      </w:tr>
      <w:tr w:rsidR="00A4163E" w:rsidRPr="002E2455" w14:paraId="4DF741E5" w14:textId="77777777" w:rsidTr="507C910F">
        <w:tc>
          <w:tcPr>
            <w:cnfStyle w:val="001000000000" w:firstRow="0" w:lastRow="0" w:firstColumn="1" w:lastColumn="0" w:oddVBand="0" w:evenVBand="0" w:oddHBand="0" w:evenHBand="0" w:firstRowFirstColumn="0" w:firstRowLastColumn="0" w:lastRowFirstColumn="0" w:lastRowLastColumn="0"/>
            <w:tcW w:w="1336" w:type="pct"/>
          </w:tcPr>
          <w:p w14:paraId="7939D1A6" w14:textId="1F011110" w:rsidR="00A4163E" w:rsidRPr="002E2455" w:rsidRDefault="00A4163E" w:rsidP="000B6113">
            <w:pPr>
              <w:pStyle w:val="TableText0"/>
              <w:rPr>
                <w:b w:val="0"/>
                <w:bCs/>
              </w:rPr>
            </w:pPr>
            <w:r w:rsidRPr="00AF51E5">
              <w:rPr>
                <w:b w:val="0"/>
              </w:rPr>
              <w:t>Monitoring</w:t>
            </w:r>
            <w:r w:rsidR="00291408">
              <w:rPr>
                <w:b w:val="0"/>
              </w:rPr>
              <w:t xml:space="preserve"> costs</w:t>
            </w:r>
          </w:p>
        </w:tc>
        <w:tc>
          <w:tcPr>
            <w:tcW w:w="1258" w:type="pct"/>
            <w:gridSpan w:val="2"/>
          </w:tcPr>
          <w:p w14:paraId="3A2CB4C8" w14:textId="77777777" w:rsidR="00A4163E" w:rsidRPr="002E2455" w:rsidRDefault="00A4163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AF51E5">
              <w:t>$6,416.41</w:t>
            </w:r>
          </w:p>
        </w:tc>
        <w:tc>
          <w:tcPr>
            <w:tcW w:w="2406" w:type="pct"/>
            <w:gridSpan w:val="2"/>
          </w:tcPr>
          <w:p w14:paraId="602030A6" w14:textId="77777777" w:rsidR="00A4163E" w:rsidRPr="002E2455" w:rsidRDefault="00A4163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AF51E5">
              <w:t>$1,394.61</w:t>
            </w:r>
          </w:p>
        </w:tc>
      </w:tr>
      <w:tr w:rsidR="00A4163E" w:rsidRPr="002E2455" w14:paraId="3D5D49E1" w14:textId="77777777" w:rsidTr="507C9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pct"/>
          </w:tcPr>
          <w:p w14:paraId="21A7D61E" w14:textId="77777777" w:rsidR="00A4163E" w:rsidRPr="002E2455" w:rsidRDefault="00A4163E" w:rsidP="000B6113">
            <w:pPr>
              <w:pStyle w:val="TableText0"/>
              <w:rPr>
                <w:b w:val="0"/>
                <w:bCs/>
              </w:rPr>
            </w:pPr>
            <w:r w:rsidRPr="00AF51E5">
              <w:rPr>
                <w:b w:val="0"/>
              </w:rPr>
              <w:t>Total cost</w:t>
            </w:r>
          </w:p>
        </w:tc>
        <w:tc>
          <w:tcPr>
            <w:tcW w:w="1258" w:type="pct"/>
            <w:gridSpan w:val="2"/>
          </w:tcPr>
          <w:p w14:paraId="3ECE1444" w14:textId="77777777" w:rsidR="00A4163E" w:rsidRPr="002E2455" w:rsidRDefault="00A4163E"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AF51E5">
              <w:t>$110,843.00</w:t>
            </w:r>
          </w:p>
        </w:tc>
        <w:tc>
          <w:tcPr>
            <w:tcW w:w="2406" w:type="pct"/>
            <w:gridSpan w:val="2"/>
          </w:tcPr>
          <w:p w14:paraId="02EC469B" w14:textId="77777777" w:rsidR="00A4163E" w:rsidRPr="002E2455" w:rsidRDefault="00A4163E"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AF51E5">
              <w:t>$110,843.00</w:t>
            </w:r>
          </w:p>
        </w:tc>
      </w:tr>
      <w:tr w:rsidR="00A4163E" w:rsidRPr="002E2455" w14:paraId="7A93A65C" w14:textId="77777777" w:rsidTr="507C910F">
        <w:tc>
          <w:tcPr>
            <w:cnfStyle w:val="001000000000" w:firstRow="0" w:lastRow="0" w:firstColumn="1" w:lastColumn="0" w:oddVBand="0" w:evenVBand="0" w:oddHBand="0" w:evenHBand="0" w:firstRowFirstColumn="0" w:firstRowLastColumn="0" w:lastRowFirstColumn="0" w:lastRowLastColumn="0"/>
            <w:tcW w:w="1336" w:type="pct"/>
          </w:tcPr>
          <w:p w14:paraId="3EE7FE9A" w14:textId="77777777" w:rsidR="00A4163E" w:rsidRPr="002E2455" w:rsidRDefault="00A4163E" w:rsidP="000B6113">
            <w:pPr>
              <w:pStyle w:val="TableText0"/>
              <w:rPr>
                <w:b w:val="0"/>
                <w:bCs/>
              </w:rPr>
            </w:pPr>
            <w:r w:rsidRPr="002E2455">
              <w:rPr>
                <w:b w:val="0"/>
                <w:bCs/>
              </w:rPr>
              <w:t>Incremental cost</w:t>
            </w:r>
          </w:p>
        </w:tc>
        <w:tc>
          <w:tcPr>
            <w:tcW w:w="3664" w:type="pct"/>
            <w:gridSpan w:val="4"/>
          </w:tcPr>
          <w:p w14:paraId="651F3DD3" w14:textId="77777777" w:rsidR="00A4163E" w:rsidRPr="002E2455" w:rsidRDefault="00A4163E"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2E2455">
              <w:t>$0.00</w:t>
            </w:r>
          </w:p>
        </w:tc>
      </w:tr>
    </w:tbl>
    <w:p w14:paraId="0D62080B" w14:textId="77777777" w:rsidR="00A4163E" w:rsidRDefault="00A4163E" w:rsidP="00A4163E">
      <w:pPr>
        <w:pStyle w:val="FooterTableFigure"/>
      </w:pPr>
      <w:r>
        <w:t>Source: Table 3.10, p130 of the submission.</w:t>
      </w:r>
    </w:p>
    <w:p w14:paraId="04DB41C7" w14:textId="77777777" w:rsidR="00A4163E" w:rsidRDefault="00A4163E" w:rsidP="00A4163E">
      <w:pPr>
        <w:pStyle w:val="FooterTableFigure"/>
      </w:pPr>
      <w:r>
        <w:t>NSCLC = non-small cell lung cancer.</w:t>
      </w:r>
    </w:p>
    <w:p w14:paraId="1AD5602D" w14:textId="69864AE5" w:rsidR="00354FFF" w:rsidRDefault="00354FFF" w:rsidP="000752C6">
      <w:pPr>
        <w:pStyle w:val="3-BodyText"/>
      </w:pPr>
      <w:r w:rsidRPr="00354FFF">
        <w:t>The weighted average AEMP</w:t>
      </w:r>
      <w:r w:rsidR="007F79A5">
        <w:t xml:space="preserve"> per pack</w:t>
      </w:r>
      <w:r w:rsidRPr="00354FFF">
        <w:t xml:space="preserve"> for dabrafenib and trametinib</w:t>
      </w:r>
      <w:r>
        <w:t xml:space="preserve">, based on the CMAs, </w:t>
      </w:r>
      <w:r w:rsidRPr="00354FFF">
        <w:t xml:space="preserve">is presented in </w:t>
      </w:r>
      <w:r w:rsidR="00E841B6">
        <w:fldChar w:fldCharType="begin"/>
      </w:r>
      <w:r w:rsidR="00E841B6">
        <w:instrText xml:space="preserve"> REF _Ref186281319 \h </w:instrText>
      </w:r>
      <w:r w:rsidR="00E841B6">
        <w:fldChar w:fldCharType="separate"/>
      </w:r>
      <w:r w:rsidR="00EF4998">
        <w:t xml:space="preserve">Table </w:t>
      </w:r>
      <w:r w:rsidR="00EF4998">
        <w:rPr>
          <w:noProof/>
        </w:rPr>
        <w:t>13</w:t>
      </w:r>
      <w:r w:rsidR="00E841B6">
        <w:fldChar w:fldCharType="end"/>
      </w:r>
      <w:r w:rsidRPr="00354FFF">
        <w:t>.</w:t>
      </w:r>
    </w:p>
    <w:p w14:paraId="2D2FE16F" w14:textId="3FCF5E5A" w:rsidR="00E841B6" w:rsidRDefault="00E841B6" w:rsidP="00E841B6">
      <w:pPr>
        <w:pStyle w:val="Caption"/>
      </w:pPr>
      <w:bookmarkStart w:id="89" w:name="_Ref186281319"/>
      <w:r>
        <w:t xml:space="preserve">Table </w:t>
      </w:r>
      <w:r w:rsidRPr="507C910F">
        <w:fldChar w:fldCharType="begin"/>
      </w:r>
      <w:r>
        <w:instrText xml:space="preserve"> SEQ Table \* ARABIC </w:instrText>
      </w:r>
      <w:r w:rsidRPr="507C910F">
        <w:fldChar w:fldCharType="separate"/>
      </w:r>
      <w:r w:rsidR="00EF4998">
        <w:rPr>
          <w:noProof/>
        </w:rPr>
        <w:t>13</w:t>
      </w:r>
      <w:r w:rsidRPr="507C910F">
        <w:rPr>
          <w:noProof/>
        </w:rPr>
        <w:fldChar w:fldCharType="end"/>
      </w:r>
      <w:bookmarkEnd w:id="89"/>
      <w:r>
        <w:t>: Weighted average AEMP for D+T – using published prices for pembrolizumab</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16"/>
        <w:gridCol w:w="1502"/>
        <w:gridCol w:w="1502"/>
        <w:gridCol w:w="1502"/>
        <w:gridCol w:w="1499"/>
      </w:tblGrid>
      <w:tr w:rsidR="00E841B6" w:rsidRPr="006C2037" w14:paraId="544A2781" w14:textId="77777777" w:rsidTr="00235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tcBorders>
              <w:bottom w:val="none" w:sz="0" w:space="0" w:color="auto"/>
            </w:tcBorders>
          </w:tcPr>
          <w:p w14:paraId="10FC5393" w14:textId="77777777" w:rsidR="00E841B6" w:rsidRPr="006C2037" w:rsidRDefault="00E841B6" w:rsidP="000B6113">
            <w:pPr>
              <w:pStyle w:val="TableText0"/>
            </w:pPr>
          </w:p>
        </w:tc>
        <w:tc>
          <w:tcPr>
            <w:tcW w:w="730" w:type="pct"/>
            <w:tcBorders>
              <w:bottom w:val="none" w:sz="0" w:space="0" w:color="auto"/>
            </w:tcBorders>
          </w:tcPr>
          <w:p w14:paraId="3B1EECBE" w14:textId="77777777" w:rsidR="00E841B6" w:rsidRPr="006C2037" w:rsidRDefault="00E841B6" w:rsidP="000B6113">
            <w:pPr>
              <w:pStyle w:val="TableText0"/>
              <w:jc w:val="center"/>
              <w:cnfStyle w:val="100000000000" w:firstRow="1" w:lastRow="0" w:firstColumn="0" w:lastColumn="0" w:oddVBand="0" w:evenVBand="0" w:oddHBand="0" w:evenHBand="0" w:firstRowFirstColumn="0" w:firstRowLastColumn="0" w:lastRowFirstColumn="0" w:lastRowLastColumn="0"/>
              <w:rPr>
                <w:bCs/>
              </w:rPr>
            </w:pPr>
            <w:r w:rsidRPr="006C2037">
              <w:rPr>
                <w:bCs/>
              </w:rPr>
              <w:t>Non-squamous (AEMP/unit)</w:t>
            </w:r>
          </w:p>
        </w:tc>
        <w:tc>
          <w:tcPr>
            <w:tcW w:w="833" w:type="pct"/>
            <w:tcBorders>
              <w:bottom w:val="none" w:sz="0" w:space="0" w:color="auto"/>
            </w:tcBorders>
          </w:tcPr>
          <w:p w14:paraId="2C6D13A9" w14:textId="77777777" w:rsidR="00E841B6" w:rsidRPr="006C2037" w:rsidRDefault="00E841B6" w:rsidP="000B6113">
            <w:pPr>
              <w:pStyle w:val="TableText0"/>
              <w:jc w:val="center"/>
              <w:cnfStyle w:val="100000000000" w:firstRow="1" w:lastRow="0" w:firstColumn="0" w:lastColumn="0" w:oddVBand="0" w:evenVBand="0" w:oddHBand="0" w:evenHBand="0" w:firstRowFirstColumn="0" w:firstRowLastColumn="0" w:lastRowFirstColumn="0" w:lastRowLastColumn="0"/>
              <w:rPr>
                <w:bCs/>
              </w:rPr>
            </w:pPr>
            <w:r w:rsidRPr="006C2037">
              <w:rPr>
                <w:bCs/>
              </w:rPr>
              <w:t>Squamous</w:t>
            </w:r>
          </w:p>
          <w:p w14:paraId="6F97FDAD" w14:textId="77777777" w:rsidR="00E841B6" w:rsidRPr="006C2037" w:rsidRDefault="00E841B6" w:rsidP="000B6113">
            <w:pPr>
              <w:pStyle w:val="TableText0"/>
              <w:jc w:val="center"/>
              <w:cnfStyle w:val="100000000000" w:firstRow="1" w:lastRow="0" w:firstColumn="0" w:lastColumn="0" w:oddVBand="0" w:evenVBand="0" w:oddHBand="0" w:evenHBand="0" w:firstRowFirstColumn="0" w:firstRowLastColumn="0" w:lastRowFirstColumn="0" w:lastRowLastColumn="0"/>
              <w:rPr>
                <w:bCs/>
              </w:rPr>
            </w:pPr>
            <w:r w:rsidRPr="006C2037">
              <w:rPr>
                <w:bCs/>
              </w:rPr>
              <w:t>(AEMP/unit)</w:t>
            </w:r>
          </w:p>
        </w:tc>
        <w:tc>
          <w:tcPr>
            <w:tcW w:w="833" w:type="pct"/>
            <w:tcBorders>
              <w:bottom w:val="none" w:sz="0" w:space="0" w:color="auto"/>
            </w:tcBorders>
          </w:tcPr>
          <w:p w14:paraId="34EBDA66" w14:textId="2D36D9F2" w:rsidR="00E841B6" w:rsidRPr="006C2037" w:rsidRDefault="00E841B6" w:rsidP="000B6113">
            <w:pPr>
              <w:pStyle w:val="TableText0"/>
              <w:jc w:val="center"/>
              <w:cnfStyle w:val="100000000000" w:firstRow="1" w:lastRow="0" w:firstColumn="0" w:lastColumn="0" w:oddVBand="0" w:evenVBand="0" w:oddHBand="0" w:evenHBand="0" w:firstRowFirstColumn="0" w:firstRowLastColumn="0" w:lastRowFirstColumn="0" w:lastRowLastColumn="0"/>
              <w:rPr>
                <w:bCs/>
              </w:rPr>
            </w:pPr>
            <w:r w:rsidRPr="006C2037">
              <w:rPr>
                <w:bCs/>
              </w:rPr>
              <w:t xml:space="preserve">Weighted average </w:t>
            </w:r>
            <w:r w:rsidR="00176CB1">
              <w:rPr>
                <w:bCs/>
              </w:rPr>
              <w:t>(</w:t>
            </w:r>
            <w:r w:rsidRPr="006C2037">
              <w:rPr>
                <w:bCs/>
              </w:rPr>
              <w:t>AEMP</w:t>
            </w:r>
            <w:r w:rsidR="00176CB1">
              <w:rPr>
                <w:bCs/>
              </w:rPr>
              <w:t>/unit)</w:t>
            </w:r>
          </w:p>
        </w:tc>
        <w:tc>
          <w:tcPr>
            <w:tcW w:w="833" w:type="pct"/>
            <w:tcBorders>
              <w:bottom w:val="none" w:sz="0" w:space="0" w:color="auto"/>
            </w:tcBorders>
          </w:tcPr>
          <w:p w14:paraId="57263AF8" w14:textId="77777777" w:rsidR="00E841B6" w:rsidRPr="006C2037" w:rsidRDefault="00E841B6" w:rsidP="000B6113">
            <w:pPr>
              <w:pStyle w:val="TableText0"/>
              <w:jc w:val="center"/>
              <w:cnfStyle w:val="100000000000" w:firstRow="1" w:lastRow="0" w:firstColumn="0" w:lastColumn="0" w:oddVBand="0" w:evenVBand="0" w:oddHBand="0" w:evenHBand="0" w:firstRowFirstColumn="0" w:firstRowLastColumn="0" w:lastRowFirstColumn="0" w:lastRowLastColumn="0"/>
              <w:rPr>
                <w:bCs/>
              </w:rPr>
            </w:pPr>
            <w:r w:rsidRPr="006C2037">
              <w:rPr>
                <w:bCs/>
              </w:rPr>
              <w:t>Units per pack</w:t>
            </w:r>
          </w:p>
        </w:tc>
        <w:tc>
          <w:tcPr>
            <w:tcW w:w="831" w:type="pct"/>
            <w:tcBorders>
              <w:bottom w:val="none" w:sz="0" w:space="0" w:color="auto"/>
            </w:tcBorders>
          </w:tcPr>
          <w:p w14:paraId="70B1139B" w14:textId="23D37EF3" w:rsidR="00E841B6" w:rsidRPr="006C2037" w:rsidRDefault="000C52F5" w:rsidP="000B6113">
            <w:pPr>
              <w:pStyle w:val="TableText0"/>
              <w:jc w:val="center"/>
              <w:cnfStyle w:val="100000000000" w:firstRow="1" w:lastRow="0" w:firstColumn="0" w:lastColumn="0" w:oddVBand="0" w:evenVBand="0" w:oddHBand="0" w:evenHBand="0" w:firstRowFirstColumn="0" w:firstRowLastColumn="0" w:lastRowFirstColumn="0" w:lastRowLastColumn="0"/>
              <w:rPr>
                <w:bCs/>
              </w:rPr>
            </w:pPr>
            <w:r>
              <w:rPr>
                <w:bCs/>
              </w:rPr>
              <w:t xml:space="preserve">Weighted </w:t>
            </w:r>
            <w:r w:rsidR="00E841B6" w:rsidRPr="006C2037">
              <w:rPr>
                <w:bCs/>
              </w:rPr>
              <w:t>AEMP per pack</w:t>
            </w:r>
          </w:p>
        </w:tc>
      </w:tr>
      <w:tr w:rsidR="00E841B6" w:rsidRPr="006C2037" w14:paraId="50D72427" w14:textId="77777777" w:rsidTr="00235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pct"/>
            <w:tcBorders>
              <w:top w:val="none" w:sz="0" w:space="0" w:color="auto"/>
              <w:bottom w:val="none" w:sz="0" w:space="0" w:color="auto"/>
            </w:tcBorders>
          </w:tcPr>
          <w:p w14:paraId="3BDA65FE" w14:textId="46D9623C" w:rsidR="00E841B6" w:rsidRPr="00603C69" w:rsidRDefault="00E841B6" w:rsidP="000B6113">
            <w:pPr>
              <w:pStyle w:val="TableText0"/>
              <w:rPr>
                <w:b w:val="0"/>
                <w:bCs/>
              </w:rPr>
            </w:pPr>
            <w:proofErr w:type="spellStart"/>
            <w:r w:rsidRPr="00603C69">
              <w:rPr>
                <w:b w:val="0"/>
                <w:bCs/>
              </w:rPr>
              <w:t>Population</w:t>
            </w:r>
            <w:r w:rsidR="00262777" w:rsidRPr="00262777">
              <w:rPr>
                <w:b w:val="0"/>
                <w:bCs/>
                <w:vertAlign w:val="superscript"/>
              </w:rPr>
              <w:t>a</w:t>
            </w:r>
            <w:proofErr w:type="spellEnd"/>
          </w:p>
        </w:tc>
        <w:tc>
          <w:tcPr>
            <w:tcW w:w="730" w:type="pct"/>
            <w:tcBorders>
              <w:top w:val="none" w:sz="0" w:space="0" w:color="auto"/>
              <w:bottom w:val="none" w:sz="0" w:space="0" w:color="auto"/>
            </w:tcBorders>
          </w:tcPr>
          <w:p w14:paraId="44878ADA" w14:textId="1C9E95AA" w:rsidR="00E841B6" w:rsidRPr="00CE1FFD" w:rsidRDefault="003A53C4"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CE1FFD">
              <w:t>76.79%</w:t>
            </w:r>
          </w:p>
        </w:tc>
        <w:tc>
          <w:tcPr>
            <w:tcW w:w="833" w:type="pct"/>
            <w:tcBorders>
              <w:top w:val="none" w:sz="0" w:space="0" w:color="auto"/>
              <w:bottom w:val="none" w:sz="0" w:space="0" w:color="auto"/>
            </w:tcBorders>
          </w:tcPr>
          <w:p w14:paraId="1EE6B546" w14:textId="61C1DC61" w:rsidR="00E841B6" w:rsidRPr="00CE1FFD" w:rsidRDefault="003A53C4"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CE1FFD">
              <w:t>23.21%</w:t>
            </w:r>
          </w:p>
        </w:tc>
        <w:tc>
          <w:tcPr>
            <w:tcW w:w="833" w:type="pct"/>
            <w:tcBorders>
              <w:top w:val="none" w:sz="0" w:space="0" w:color="auto"/>
              <w:bottom w:val="none" w:sz="0" w:space="0" w:color="auto"/>
            </w:tcBorders>
          </w:tcPr>
          <w:p w14:paraId="13C4FD5F" w14:textId="77777777" w:rsidR="00E841B6" w:rsidRPr="006C2037" w:rsidRDefault="00E841B6"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6C2037">
              <w:t>100.00%</w:t>
            </w:r>
          </w:p>
        </w:tc>
        <w:tc>
          <w:tcPr>
            <w:tcW w:w="833" w:type="pct"/>
            <w:tcBorders>
              <w:top w:val="none" w:sz="0" w:space="0" w:color="auto"/>
              <w:bottom w:val="none" w:sz="0" w:space="0" w:color="auto"/>
            </w:tcBorders>
          </w:tcPr>
          <w:p w14:paraId="0738EF2C" w14:textId="77777777" w:rsidR="00E841B6" w:rsidRPr="006C2037" w:rsidRDefault="00E841B6"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6C2037">
              <w:t>-</w:t>
            </w:r>
          </w:p>
        </w:tc>
        <w:tc>
          <w:tcPr>
            <w:tcW w:w="831" w:type="pct"/>
            <w:tcBorders>
              <w:top w:val="none" w:sz="0" w:space="0" w:color="auto"/>
              <w:bottom w:val="none" w:sz="0" w:space="0" w:color="auto"/>
            </w:tcBorders>
          </w:tcPr>
          <w:p w14:paraId="2E3C0D4E" w14:textId="77777777" w:rsidR="00E841B6" w:rsidRPr="006C2037" w:rsidRDefault="00E841B6"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6C2037">
              <w:t>-</w:t>
            </w:r>
          </w:p>
        </w:tc>
      </w:tr>
      <w:tr w:rsidR="00E841B6" w:rsidRPr="006C2037" w14:paraId="5179ECEF" w14:textId="77777777" w:rsidTr="00235676">
        <w:tc>
          <w:tcPr>
            <w:cnfStyle w:val="001000000000" w:firstRow="0" w:lastRow="0" w:firstColumn="1" w:lastColumn="0" w:oddVBand="0" w:evenVBand="0" w:oddHBand="0" w:evenHBand="0" w:firstRowFirstColumn="0" w:firstRowLastColumn="0" w:lastRowFirstColumn="0" w:lastRowLastColumn="0"/>
            <w:tcW w:w="940" w:type="pct"/>
          </w:tcPr>
          <w:p w14:paraId="6892DC8F" w14:textId="2DE65126" w:rsidR="00E841B6" w:rsidRPr="00E867B2" w:rsidRDefault="00E841B6" w:rsidP="000B6113">
            <w:pPr>
              <w:pStyle w:val="TableText0"/>
              <w:rPr>
                <w:b w:val="0"/>
                <w:bCs/>
              </w:rPr>
            </w:pPr>
            <w:r w:rsidRPr="00E867B2">
              <w:rPr>
                <w:b w:val="0"/>
                <w:bCs/>
              </w:rPr>
              <w:t>Dabrafenib</w:t>
            </w:r>
            <w:r w:rsidR="00836075" w:rsidRPr="00E867B2">
              <w:rPr>
                <w:b w:val="0"/>
                <w:bCs/>
              </w:rPr>
              <w:t xml:space="preserve"> 75 mg</w:t>
            </w:r>
          </w:p>
        </w:tc>
        <w:tc>
          <w:tcPr>
            <w:tcW w:w="730" w:type="pct"/>
          </w:tcPr>
          <w:p w14:paraId="65244578" w14:textId="77777777" w:rsidR="00E841B6" w:rsidRPr="006C2037" w:rsidRDefault="00E841B6"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6C2037">
              <w:t>$26.82</w:t>
            </w:r>
          </w:p>
        </w:tc>
        <w:tc>
          <w:tcPr>
            <w:tcW w:w="833" w:type="pct"/>
          </w:tcPr>
          <w:p w14:paraId="3B89FF89" w14:textId="77777777" w:rsidR="00E841B6" w:rsidRPr="006C2037" w:rsidRDefault="00E841B6"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6C2037">
              <w:t>$26.40</w:t>
            </w:r>
          </w:p>
        </w:tc>
        <w:tc>
          <w:tcPr>
            <w:tcW w:w="833" w:type="pct"/>
          </w:tcPr>
          <w:p w14:paraId="381CF6AC" w14:textId="3D703509" w:rsidR="00E841B6" w:rsidRPr="00955E1D" w:rsidRDefault="00A75D2A"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955E1D">
              <w:t>$26.</w:t>
            </w:r>
            <w:r w:rsidR="002A179C" w:rsidRPr="00955E1D">
              <w:t>72</w:t>
            </w:r>
          </w:p>
        </w:tc>
        <w:tc>
          <w:tcPr>
            <w:tcW w:w="833" w:type="pct"/>
          </w:tcPr>
          <w:p w14:paraId="4A2FFE66" w14:textId="77777777" w:rsidR="00E841B6" w:rsidRPr="006C2037" w:rsidRDefault="00E841B6"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6C2037">
              <w:t>120</w:t>
            </w:r>
          </w:p>
        </w:tc>
        <w:tc>
          <w:tcPr>
            <w:tcW w:w="831" w:type="pct"/>
          </w:tcPr>
          <w:p w14:paraId="2E3F67B2" w14:textId="207CE5A4" w:rsidR="00E841B6" w:rsidRPr="00CE1FFD" w:rsidRDefault="00135B22" w:rsidP="000B6113">
            <w:pPr>
              <w:pStyle w:val="TableText0"/>
              <w:jc w:val="center"/>
              <w:cnfStyle w:val="000000000000" w:firstRow="0" w:lastRow="0" w:firstColumn="0" w:lastColumn="0" w:oddVBand="0" w:evenVBand="0" w:oddHBand="0" w:evenHBand="0" w:firstRowFirstColumn="0" w:firstRowLastColumn="0" w:lastRowFirstColumn="0" w:lastRowLastColumn="0"/>
            </w:pPr>
            <w:r w:rsidRPr="00CE1FFD">
              <w:t>$3,206.48</w:t>
            </w:r>
          </w:p>
        </w:tc>
      </w:tr>
      <w:tr w:rsidR="00E841B6" w:rsidRPr="006C2037" w14:paraId="34AE100D" w14:textId="77777777" w:rsidTr="00235676">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40" w:type="pct"/>
            <w:tcBorders>
              <w:top w:val="none" w:sz="0" w:space="0" w:color="auto"/>
              <w:bottom w:val="none" w:sz="0" w:space="0" w:color="auto"/>
            </w:tcBorders>
          </w:tcPr>
          <w:p w14:paraId="4D835B6C" w14:textId="65622A1B" w:rsidR="00E841B6" w:rsidRPr="00E867B2" w:rsidRDefault="00E841B6" w:rsidP="000B6113">
            <w:pPr>
              <w:pStyle w:val="TableText0"/>
              <w:rPr>
                <w:b w:val="0"/>
                <w:bCs/>
              </w:rPr>
            </w:pPr>
            <w:r w:rsidRPr="00E867B2">
              <w:rPr>
                <w:b w:val="0"/>
                <w:bCs/>
              </w:rPr>
              <w:t>Trametinib</w:t>
            </w:r>
            <w:r w:rsidR="00836075" w:rsidRPr="00E867B2">
              <w:rPr>
                <w:b w:val="0"/>
                <w:bCs/>
              </w:rPr>
              <w:t xml:space="preserve"> 2 mg</w:t>
            </w:r>
          </w:p>
        </w:tc>
        <w:tc>
          <w:tcPr>
            <w:tcW w:w="730" w:type="pct"/>
            <w:tcBorders>
              <w:top w:val="none" w:sz="0" w:space="0" w:color="auto"/>
              <w:bottom w:val="none" w:sz="0" w:space="0" w:color="auto"/>
            </w:tcBorders>
          </w:tcPr>
          <w:p w14:paraId="43572CD4" w14:textId="77777777" w:rsidR="00E841B6" w:rsidRPr="006C2037" w:rsidRDefault="00E841B6"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6C2037">
              <w:t>$112.91</w:t>
            </w:r>
          </w:p>
        </w:tc>
        <w:tc>
          <w:tcPr>
            <w:tcW w:w="833" w:type="pct"/>
            <w:tcBorders>
              <w:top w:val="none" w:sz="0" w:space="0" w:color="auto"/>
              <w:bottom w:val="none" w:sz="0" w:space="0" w:color="auto"/>
            </w:tcBorders>
          </w:tcPr>
          <w:p w14:paraId="025F9EC1" w14:textId="77777777" w:rsidR="00E841B6" w:rsidRPr="006C2037" w:rsidRDefault="00E841B6"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6C2037">
              <w:t>$111.17</w:t>
            </w:r>
          </w:p>
        </w:tc>
        <w:tc>
          <w:tcPr>
            <w:tcW w:w="833" w:type="pct"/>
            <w:tcBorders>
              <w:top w:val="none" w:sz="0" w:space="0" w:color="auto"/>
              <w:bottom w:val="none" w:sz="0" w:space="0" w:color="auto"/>
            </w:tcBorders>
          </w:tcPr>
          <w:p w14:paraId="295A0E82" w14:textId="71E214B2" w:rsidR="00E841B6" w:rsidRPr="00955E1D" w:rsidRDefault="00A75D2A"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955E1D">
              <w:t>$112.51</w:t>
            </w:r>
          </w:p>
        </w:tc>
        <w:tc>
          <w:tcPr>
            <w:tcW w:w="833" w:type="pct"/>
            <w:tcBorders>
              <w:top w:val="none" w:sz="0" w:space="0" w:color="auto"/>
              <w:bottom w:val="none" w:sz="0" w:space="0" w:color="auto"/>
            </w:tcBorders>
          </w:tcPr>
          <w:p w14:paraId="7EEB5423" w14:textId="77777777" w:rsidR="00E841B6" w:rsidRPr="006C2037" w:rsidRDefault="00E841B6"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6C2037">
              <w:t>30</w:t>
            </w:r>
          </w:p>
        </w:tc>
        <w:tc>
          <w:tcPr>
            <w:tcW w:w="831" w:type="pct"/>
            <w:tcBorders>
              <w:top w:val="none" w:sz="0" w:space="0" w:color="auto"/>
              <w:bottom w:val="none" w:sz="0" w:space="0" w:color="auto"/>
            </w:tcBorders>
          </w:tcPr>
          <w:p w14:paraId="2507BB6D" w14:textId="37677004" w:rsidR="00E841B6" w:rsidRPr="00CE1FFD" w:rsidRDefault="00135B22" w:rsidP="000B6113">
            <w:pPr>
              <w:pStyle w:val="TableText0"/>
              <w:jc w:val="center"/>
              <w:cnfStyle w:val="000000100000" w:firstRow="0" w:lastRow="0" w:firstColumn="0" w:lastColumn="0" w:oddVBand="0" w:evenVBand="0" w:oddHBand="1" w:evenHBand="0" w:firstRowFirstColumn="0" w:firstRowLastColumn="0" w:lastRowFirstColumn="0" w:lastRowLastColumn="0"/>
            </w:pPr>
            <w:r w:rsidRPr="00CE1FFD">
              <w:t>$3,375.24</w:t>
            </w:r>
          </w:p>
        </w:tc>
      </w:tr>
    </w:tbl>
    <w:p w14:paraId="14AA9931" w14:textId="77777777" w:rsidR="00E841B6" w:rsidRDefault="00E841B6" w:rsidP="00E841B6">
      <w:pPr>
        <w:pStyle w:val="FooterTableFigure"/>
      </w:pPr>
      <w:r>
        <w:t xml:space="preserve">Source: Table 3.11, p130 of the submission. </w:t>
      </w:r>
    </w:p>
    <w:p w14:paraId="6FC3B7CD" w14:textId="77777777" w:rsidR="00E841B6" w:rsidRDefault="00E841B6" w:rsidP="00E841B6">
      <w:pPr>
        <w:pStyle w:val="FooterTableFigure"/>
      </w:pPr>
      <w:r>
        <w:t>AEMP = approved ex-manufacturer price; D+T = dabrafenib and trametinib.</w:t>
      </w:r>
    </w:p>
    <w:p w14:paraId="0F9CFB5A" w14:textId="08B37A65" w:rsidR="00135B22" w:rsidRPr="00135B22" w:rsidRDefault="00262777" w:rsidP="00E841B6">
      <w:pPr>
        <w:pStyle w:val="FooterTableFigure"/>
      </w:pPr>
      <w:proofErr w:type="spellStart"/>
      <w:r w:rsidRPr="00262777">
        <w:rPr>
          <w:vertAlign w:val="superscript"/>
        </w:rPr>
        <w:lastRenderedPageBreak/>
        <w:t>a</w:t>
      </w:r>
      <w:proofErr w:type="spellEnd"/>
      <w:r>
        <w:rPr>
          <w:vertAlign w:val="superscript"/>
        </w:rPr>
        <w:t xml:space="preserve"> </w:t>
      </w:r>
      <w:r w:rsidRPr="00262777">
        <w:t>The distribution of NSQ and SQ NSCLC was derived from Mitchell et al. (2013), a retrospective survey of lung cancer cases reported to the Victorian Cancer registry between January 1 and June 30, 2003, with a follow-up period of five years.</w:t>
      </w:r>
      <w:r w:rsidR="00EF0A60">
        <w:rPr>
          <w:i/>
          <w:iCs/>
        </w:rPr>
        <w:t xml:space="preserve"> </w:t>
      </w:r>
      <w:r w:rsidR="00EF0A60">
        <w:t>C</w:t>
      </w:r>
      <w:r w:rsidR="00135B22">
        <w:t xml:space="preserve">orrected during evaluation to account for </w:t>
      </w:r>
      <w:r w:rsidR="00426925">
        <w:t xml:space="preserve">correct </w:t>
      </w:r>
      <w:r w:rsidR="00F6796E">
        <w:t>proportion</w:t>
      </w:r>
      <w:r w:rsidR="00426925">
        <w:t xml:space="preserve"> of patients with non-squamous and squamous NSCLC </w:t>
      </w:r>
      <w:r w:rsidR="00463500">
        <w:t>in cell</w:t>
      </w:r>
      <w:r w:rsidR="00D77815">
        <w:t xml:space="preserve">s ‘G63 and H63’ </w:t>
      </w:r>
      <w:r w:rsidR="008F7E8D">
        <w:t xml:space="preserve">of ‘Results’ worksheet in the </w:t>
      </w:r>
      <w:proofErr w:type="spellStart"/>
      <w:r w:rsidR="00671B99" w:rsidRPr="00671B99">
        <w:t>Mekinist</w:t>
      </w:r>
      <w:proofErr w:type="spellEnd"/>
      <w:r w:rsidR="00671B99" w:rsidRPr="00671B99">
        <w:t xml:space="preserve"> (trametinib) </w:t>
      </w:r>
      <w:proofErr w:type="spellStart"/>
      <w:r w:rsidR="00671B99" w:rsidRPr="00671B99">
        <w:t>Tafinlar</w:t>
      </w:r>
      <w:proofErr w:type="spellEnd"/>
      <w:r w:rsidR="00671B99" w:rsidRPr="00671B99">
        <w:t xml:space="preserve"> (dabrafenib) – CMA’.xlsx workbook</w:t>
      </w:r>
      <w:r w:rsidR="00671B99">
        <w:t xml:space="preserve"> </w:t>
      </w:r>
      <w:r w:rsidR="00F6796E">
        <w:t xml:space="preserve">as </w:t>
      </w:r>
      <w:r w:rsidR="00426925">
        <w:t xml:space="preserve">reported </w:t>
      </w:r>
      <w:r w:rsidR="00F6796E">
        <w:t xml:space="preserve">by </w:t>
      </w:r>
      <w:r w:rsidR="00426925">
        <w:t>Mitchel</w:t>
      </w:r>
      <w:r w:rsidR="00463500">
        <w:t>l</w:t>
      </w:r>
      <w:r w:rsidR="00426925">
        <w:t xml:space="preserve"> et al. (2013)</w:t>
      </w:r>
      <w:r w:rsidR="00463500">
        <w:t>.</w:t>
      </w:r>
      <w:r w:rsidR="00426925">
        <w:t xml:space="preserve"> </w:t>
      </w:r>
    </w:p>
    <w:p w14:paraId="472842D7" w14:textId="5F00A0A2" w:rsidR="00C25D9C" w:rsidRDefault="00C25D9C" w:rsidP="00BB732D">
      <w:pPr>
        <w:pStyle w:val="4-SubsectionHeading"/>
      </w:pPr>
      <w:bookmarkStart w:id="90" w:name="_Toc22897646"/>
      <w:bookmarkStart w:id="91" w:name="_Toc186369244"/>
      <w:bookmarkStart w:id="92" w:name="_Toc188347782"/>
      <w:r w:rsidRPr="002904C3">
        <w:t>Drug cost/patient/</w:t>
      </w:r>
      <w:bookmarkEnd w:id="90"/>
      <w:bookmarkEnd w:id="91"/>
      <w:r w:rsidR="006C1A3B">
        <w:t>course</w:t>
      </w:r>
      <w:bookmarkEnd w:id="92"/>
    </w:p>
    <w:p w14:paraId="16596240" w14:textId="30AAE386" w:rsidR="006C1A3B" w:rsidRDefault="006C1A3B" w:rsidP="006C1A3B">
      <w:pPr>
        <w:pStyle w:val="Caption"/>
      </w:pPr>
      <w:r>
        <w:t xml:space="preserve">Table </w:t>
      </w:r>
      <w:r w:rsidR="00E77066">
        <w:fldChar w:fldCharType="begin"/>
      </w:r>
      <w:r w:rsidR="00E77066">
        <w:instrText xml:space="preserve"> SEQ Table \* ARABIC </w:instrText>
      </w:r>
      <w:r w:rsidR="00E77066">
        <w:fldChar w:fldCharType="separate"/>
      </w:r>
      <w:r w:rsidR="00EF4998">
        <w:rPr>
          <w:noProof/>
        </w:rPr>
        <w:t>14</w:t>
      </w:r>
      <w:r w:rsidR="00E77066">
        <w:rPr>
          <w:noProof/>
        </w:rPr>
        <w:fldChar w:fldCharType="end"/>
      </w:r>
      <w:r>
        <w:t>: Drug cost per patient per course for the proposed drug and comparator drugs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7"/>
        <w:gridCol w:w="1138"/>
        <w:gridCol w:w="1134"/>
        <w:gridCol w:w="1839"/>
        <w:gridCol w:w="709"/>
        <w:gridCol w:w="1560"/>
        <w:gridCol w:w="1650"/>
      </w:tblGrid>
      <w:tr w:rsidR="00604533" w:rsidRPr="00604533" w14:paraId="394C4E6E" w14:textId="77777777" w:rsidTr="000344CA">
        <w:trPr>
          <w:cantSplit/>
          <w:tblHeader/>
        </w:trPr>
        <w:tc>
          <w:tcPr>
            <w:tcW w:w="547" w:type="pct"/>
            <w:vMerge w:val="restart"/>
            <w:tcBorders>
              <w:top w:val="single" w:sz="4" w:space="0" w:color="auto"/>
              <w:left w:val="single" w:sz="4" w:space="0" w:color="auto"/>
              <w:right w:val="single" w:sz="4" w:space="0" w:color="auto"/>
            </w:tcBorders>
          </w:tcPr>
          <w:p w14:paraId="55F8D5C2" w14:textId="77777777" w:rsidR="00604533" w:rsidRPr="00AD54F8" w:rsidRDefault="00604533" w:rsidP="00604533">
            <w:pPr>
              <w:pStyle w:val="TableText0"/>
              <w:keepNext w:val="0"/>
              <w:rPr>
                <w:b/>
                <w:bCs w:val="0"/>
                <w:lang w:val="en-US"/>
              </w:rPr>
            </w:pPr>
          </w:p>
        </w:tc>
        <w:tc>
          <w:tcPr>
            <w:tcW w:w="2280" w:type="pct"/>
            <w:gridSpan w:val="3"/>
            <w:tcBorders>
              <w:top w:val="single" w:sz="4" w:space="0" w:color="auto"/>
              <w:left w:val="single" w:sz="4" w:space="0" w:color="auto"/>
              <w:bottom w:val="single" w:sz="4" w:space="0" w:color="auto"/>
              <w:right w:val="single" w:sz="4" w:space="0" w:color="auto"/>
            </w:tcBorders>
          </w:tcPr>
          <w:p w14:paraId="462D59AE" w14:textId="77777777" w:rsidR="00604533" w:rsidRPr="00AD54F8" w:rsidRDefault="00604533" w:rsidP="00604533">
            <w:pPr>
              <w:pStyle w:val="TableText0"/>
              <w:keepNext w:val="0"/>
              <w:jc w:val="center"/>
              <w:rPr>
                <w:b/>
                <w:bCs w:val="0"/>
                <w:lang w:val="en-US"/>
              </w:rPr>
            </w:pPr>
            <w:r w:rsidRPr="00AD54F8">
              <w:rPr>
                <w:b/>
                <w:bCs w:val="0"/>
                <w:lang w:val="en-US"/>
              </w:rPr>
              <w:t>Dabrafenib and trametinib</w:t>
            </w:r>
          </w:p>
        </w:tc>
        <w:tc>
          <w:tcPr>
            <w:tcW w:w="2173" w:type="pct"/>
            <w:gridSpan w:val="3"/>
            <w:tcBorders>
              <w:top w:val="single" w:sz="4" w:space="0" w:color="auto"/>
              <w:left w:val="single" w:sz="4" w:space="0" w:color="auto"/>
              <w:bottom w:val="single" w:sz="4" w:space="0" w:color="auto"/>
              <w:right w:val="single" w:sz="4" w:space="0" w:color="auto"/>
            </w:tcBorders>
          </w:tcPr>
          <w:p w14:paraId="54D638C2" w14:textId="0A9ADC2A" w:rsidR="00604533" w:rsidRPr="00604533" w:rsidRDefault="006C1A3B" w:rsidP="00604533">
            <w:pPr>
              <w:pStyle w:val="TableText0"/>
              <w:keepNext w:val="0"/>
              <w:jc w:val="center"/>
              <w:rPr>
                <w:b/>
                <w:bCs w:val="0"/>
                <w:lang w:val="en-US"/>
              </w:rPr>
            </w:pPr>
            <w:r>
              <w:rPr>
                <w:b/>
                <w:bCs w:val="0"/>
                <w:lang w:val="en-US"/>
              </w:rPr>
              <w:t>Comparator drugs</w:t>
            </w:r>
          </w:p>
        </w:tc>
      </w:tr>
      <w:tr w:rsidR="00604533" w:rsidRPr="00604533" w14:paraId="5A0DBF1B" w14:textId="77777777" w:rsidTr="000344CA">
        <w:trPr>
          <w:cantSplit/>
          <w:tblHeader/>
        </w:trPr>
        <w:tc>
          <w:tcPr>
            <w:tcW w:w="547" w:type="pct"/>
            <w:vMerge/>
            <w:tcBorders>
              <w:left w:val="single" w:sz="4" w:space="0" w:color="auto"/>
              <w:bottom w:val="single" w:sz="4" w:space="0" w:color="auto"/>
              <w:right w:val="single" w:sz="4" w:space="0" w:color="auto"/>
            </w:tcBorders>
          </w:tcPr>
          <w:p w14:paraId="3F69B7A4" w14:textId="77777777" w:rsidR="00604533" w:rsidRPr="00AD54F8" w:rsidRDefault="00604533" w:rsidP="00604533">
            <w:pPr>
              <w:pStyle w:val="TableText0"/>
              <w:keepNext w:val="0"/>
              <w:rPr>
                <w:b/>
                <w:bCs w:val="0"/>
                <w:lang w:val="en-US"/>
              </w:rPr>
            </w:pPr>
          </w:p>
        </w:tc>
        <w:tc>
          <w:tcPr>
            <w:tcW w:w="631" w:type="pct"/>
            <w:tcBorders>
              <w:top w:val="single" w:sz="4" w:space="0" w:color="auto"/>
              <w:left w:val="single" w:sz="4" w:space="0" w:color="auto"/>
              <w:bottom w:val="single" w:sz="4" w:space="0" w:color="auto"/>
              <w:right w:val="single" w:sz="4" w:space="0" w:color="auto"/>
            </w:tcBorders>
            <w:hideMark/>
          </w:tcPr>
          <w:p w14:paraId="55B6D4B6" w14:textId="77777777" w:rsidR="00604533" w:rsidRPr="00AD54F8" w:rsidRDefault="00604533" w:rsidP="00604533">
            <w:pPr>
              <w:pStyle w:val="TableText0"/>
              <w:keepNext w:val="0"/>
              <w:rPr>
                <w:b/>
                <w:bCs w:val="0"/>
                <w:lang w:val="en-US"/>
              </w:rPr>
            </w:pPr>
            <w:r w:rsidRPr="00AD54F8">
              <w:rPr>
                <w:b/>
                <w:bCs w:val="0"/>
                <w:lang w:val="en-US"/>
              </w:rPr>
              <w:t>Trial</w:t>
            </w:r>
          </w:p>
        </w:tc>
        <w:tc>
          <w:tcPr>
            <w:tcW w:w="629" w:type="pct"/>
            <w:tcBorders>
              <w:top w:val="single" w:sz="4" w:space="0" w:color="auto"/>
              <w:left w:val="single" w:sz="4" w:space="0" w:color="auto"/>
              <w:bottom w:val="single" w:sz="4" w:space="0" w:color="auto"/>
              <w:right w:val="single" w:sz="4" w:space="0" w:color="auto"/>
            </w:tcBorders>
            <w:hideMark/>
          </w:tcPr>
          <w:p w14:paraId="620B248E" w14:textId="77777777" w:rsidR="00604533" w:rsidRPr="00604533" w:rsidRDefault="00604533" w:rsidP="00604533">
            <w:pPr>
              <w:pStyle w:val="TableText0"/>
              <w:keepNext w:val="0"/>
              <w:jc w:val="center"/>
              <w:rPr>
                <w:b/>
                <w:bCs w:val="0"/>
                <w:lang w:val="en-US"/>
              </w:rPr>
            </w:pPr>
            <w:r w:rsidRPr="00604533">
              <w:rPr>
                <w:b/>
                <w:bCs w:val="0"/>
                <w:lang w:val="en-US"/>
              </w:rPr>
              <w:t>Model</w:t>
            </w:r>
          </w:p>
          <w:p w14:paraId="60863EA4" w14:textId="77777777" w:rsidR="00604533" w:rsidRPr="00604533" w:rsidRDefault="00604533" w:rsidP="00604533">
            <w:pPr>
              <w:pStyle w:val="TableText0"/>
              <w:keepNext w:val="0"/>
              <w:jc w:val="center"/>
              <w:rPr>
                <w:b/>
                <w:bCs w:val="0"/>
                <w:vertAlign w:val="superscript"/>
                <w:lang w:val="en-US"/>
              </w:rPr>
            </w:pPr>
            <w:r w:rsidRPr="00604533">
              <w:rPr>
                <w:b/>
                <w:bCs w:val="0"/>
                <w:lang w:val="en-US"/>
              </w:rPr>
              <w:t>(Based on AEMP)</w:t>
            </w:r>
          </w:p>
        </w:tc>
        <w:tc>
          <w:tcPr>
            <w:tcW w:w="1020" w:type="pct"/>
            <w:tcBorders>
              <w:top w:val="single" w:sz="4" w:space="0" w:color="auto"/>
              <w:left w:val="single" w:sz="4" w:space="0" w:color="auto"/>
              <w:bottom w:val="single" w:sz="4" w:space="0" w:color="auto"/>
              <w:right w:val="single" w:sz="4" w:space="0" w:color="auto"/>
            </w:tcBorders>
            <w:hideMark/>
          </w:tcPr>
          <w:p w14:paraId="191DF85D" w14:textId="77777777" w:rsidR="00604533" w:rsidRPr="00604533" w:rsidRDefault="00604533" w:rsidP="00604533">
            <w:pPr>
              <w:pStyle w:val="TableText0"/>
              <w:keepNext w:val="0"/>
              <w:jc w:val="center"/>
              <w:rPr>
                <w:b/>
                <w:bCs w:val="0"/>
                <w:lang w:val="en-US"/>
              </w:rPr>
            </w:pPr>
            <w:r w:rsidRPr="00604533">
              <w:rPr>
                <w:b/>
                <w:bCs w:val="0"/>
                <w:lang w:val="en-US"/>
              </w:rPr>
              <w:t>Financial estimates</w:t>
            </w:r>
          </w:p>
          <w:p w14:paraId="2DCDD902" w14:textId="32B5816C" w:rsidR="00604533" w:rsidRPr="00604533" w:rsidRDefault="00604533" w:rsidP="00604533">
            <w:pPr>
              <w:pStyle w:val="TableText0"/>
              <w:keepNext w:val="0"/>
              <w:jc w:val="center"/>
              <w:rPr>
                <w:b/>
                <w:bCs w:val="0"/>
                <w:lang w:val="en-US"/>
              </w:rPr>
            </w:pPr>
            <w:r w:rsidRPr="00604533">
              <w:rPr>
                <w:b/>
                <w:bCs w:val="0"/>
                <w:lang w:val="en-US"/>
              </w:rPr>
              <w:t xml:space="preserve">(Based on weighted </w:t>
            </w:r>
            <w:r w:rsidR="007B6148">
              <w:rPr>
                <w:b/>
                <w:bCs w:val="0"/>
                <w:lang w:val="en-US"/>
              </w:rPr>
              <w:t>cost-</w:t>
            </w:r>
            <w:proofErr w:type="spellStart"/>
            <w:r w:rsidR="007B6148">
              <w:rPr>
                <w:b/>
                <w:bCs w:val="0"/>
                <w:lang w:val="en-US"/>
              </w:rPr>
              <w:t>minimised</w:t>
            </w:r>
            <w:proofErr w:type="spellEnd"/>
            <w:r w:rsidR="007B6148">
              <w:rPr>
                <w:b/>
                <w:bCs w:val="0"/>
                <w:lang w:val="en-US"/>
              </w:rPr>
              <w:t xml:space="preserve"> </w:t>
            </w:r>
            <w:r w:rsidRPr="00604533">
              <w:rPr>
                <w:b/>
                <w:bCs w:val="0"/>
                <w:lang w:val="en-US"/>
              </w:rPr>
              <w:t>DPMQ)</w:t>
            </w:r>
          </w:p>
        </w:tc>
        <w:tc>
          <w:tcPr>
            <w:tcW w:w="393" w:type="pct"/>
            <w:tcBorders>
              <w:top w:val="single" w:sz="4" w:space="0" w:color="auto"/>
              <w:left w:val="single" w:sz="4" w:space="0" w:color="auto"/>
              <w:bottom w:val="single" w:sz="4" w:space="0" w:color="auto"/>
              <w:right w:val="single" w:sz="4" w:space="0" w:color="auto"/>
            </w:tcBorders>
            <w:hideMark/>
          </w:tcPr>
          <w:p w14:paraId="4D0AF7AB" w14:textId="16BBAFB0" w:rsidR="00604533" w:rsidRPr="00604533" w:rsidRDefault="00604533" w:rsidP="00604533">
            <w:pPr>
              <w:pStyle w:val="TableText0"/>
              <w:keepNext w:val="0"/>
              <w:jc w:val="center"/>
              <w:rPr>
                <w:b/>
                <w:bCs w:val="0"/>
                <w:lang w:val="en-US"/>
              </w:rPr>
            </w:pPr>
            <w:r w:rsidRPr="00604533">
              <w:rPr>
                <w:b/>
                <w:bCs w:val="0"/>
                <w:lang w:val="en-US"/>
              </w:rPr>
              <w:t>Trial</w:t>
            </w:r>
          </w:p>
        </w:tc>
        <w:tc>
          <w:tcPr>
            <w:tcW w:w="865" w:type="pct"/>
            <w:tcBorders>
              <w:top w:val="single" w:sz="4" w:space="0" w:color="auto"/>
              <w:left w:val="single" w:sz="4" w:space="0" w:color="auto"/>
              <w:bottom w:val="single" w:sz="4" w:space="0" w:color="auto"/>
              <w:right w:val="single" w:sz="4" w:space="0" w:color="auto"/>
            </w:tcBorders>
            <w:hideMark/>
          </w:tcPr>
          <w:p w14:paraId="38CC4213" w14:textId="77777777" w:rsidR="00604533" w:rsidRPr="00604533" w:rsidRDefault="00604533" w:rsidP="00604533">
            <w:pPr>
              <w:pStyle w:val="TableText0"/>
              <w:keepNext w:val="0"/>
              <w:jc w:val="center"/>
              <w:rPr>
                <w:b/>
                <w:bCs w:val="0"/>
                <w:lang w:val="en-US"/>
              </w:rPr>
            </w:pPr>
            <w:r w:rsidRPr="00604533">
              <w:rPr>
                <w:b/>
                <w:bCs w:val="0"/>
                <w:lang w:val="en-US"/>
              </w:rPr>
              <w:t>Model</w:t>
            </w:r>
          </w:p>
          <w:p w14:paraId="0F0F9C69" w14:textId="44569CFA" w:rsidR="00604533" w:rsidRPr="00604533" w:rsidRDefault="00604533" w:rsidP="00604533">
            <w:pPr>
              <w:pStyle w:val="TableText0"/>
              <w:keepNext w:val="0"/>
              <w:jc w:val="center"/>
              <w:rPr>
                <w:b/>
                <w:bCs w:val="0"/>
                <w:lang w:val="en-US"/>
              </w:rPr>
            </w:pPr>
            <w:r w:rsidRPr="00604533">
              <w:rPr>
                <w:b/>
                <w:bCs w:val="0"/>
                <w:lang w:val="en-US"/>
              </w:rPr>
              <w:t>(</w:t>
            </w:r>
            <w:r w:rsidR="00AD54F8">
              <w:rPr>
                <w:b/>
                <w:bCs w:val="0"/>
                <w:lang w:val="en-US"/>
              </w:rPr>
              <w:t xml:space="preserve">Based on </w:t>
            </w:r>
            <w:r w:rsidRPr="00604533">
              <w:rPr>
                <w:b/>
                <w:bCs w:val="0"/>
                <w:lang w:val="en-US"/>
              </w:rPr>
              <w:t>AEMP)</w:t>
            </w:r>
          </w:p>
        </w:tc>
        <w:tc>
          <w:tcPr>
            <w:tcW w:w="915" w:type="pct"/>
            <w:tcBorders>
              <w:top w:val="single" w:sz="4" w:space="0" w:color="auto"/>
              <w:left w:val="single" w:sz="4" w:space="0" w:color="auto"/>
              <w:bottom w:val="single" w:sz="4" w:space="0" w:color="auto"/>
              <w:right w:val="single" w:sz="4" w:space="0" w:color="auto"/>
            </w:tcBorders>
            <w:hideMark/>
          </w:tcPr>
          <w:p w14:paraId="64F022E3" w14:textId="77777777" w:rsidR="00604533" w:rsidRPr="00604533" w:rsidRDefault="00604533" w:rsidP="00604533">
            <w:pPr>
              <w:pStyle w:val="TableText0"/>
              <w:keepNext w:val="0"/>
              <w:jc w:val="center"/>
              <w:rPr>
                <w:b/>
                <w:bCs w:val="0"/>
                <w:lang w:val="en-US"/>
              </w:rPr>
            </w:pPr>
            <w:r w:rsidRPr="00604533">
              <w:rPr>
                <w:b/>
                <w:bCs w:val="0"/>
                <w:lang w:val="en-US"/>
              </w:rPr>
              <w:t>Financial estimates</w:t>
            </w:r>
          </w:p>
          <w:p w14:paraId="6B7747E3" w14:textId="07753869" w:rsidR="00604533" w:rsidRPr="00604533" w:rsidRDefault="00604533" w:rsidP="00604533">
            <w:pPr>
              <w:pStyle w:val="TableText0"/>
              <w:keepNext w:val="0"/>
              <w:jc w:val="center"/>
              <w:rPr>
                <w:b/>
                <w:bCs w:val="0"/>
                <w:lang w:val="en-US"/>
              </w:rPr>
            </w:pPr>
            <w:r w:rsidRPr="00604533">
              <w:rPr>
                <w:b/>
                <w:bCs w:val="0"/>
                <w:lang w:val="en-US"/>
              </w:rPr>
              <w:t xml:space="preserve">(Based on weighted </w:t>
            </w:r>
            <w:r w:rsidR="007B6148">
              <w:rPr>
                <w:b/>
                <w:bCs w:val="0"/>
                <w:lang w:val="en-US"/>
              </w:rPr>
              <w:t xml:space="preserve">public/private </w:t>
            </w:r>
            <w:r w:rsidRPr="00604533">
              <w:rPr>
                <w:b/>
                <w:bCs w:val="0"/>
                <w:lang w:val="en-US"/>
              </w:rPr>
              <w:t>DPMA)</w:t>
            </w:r>
          </w:p>
        </w:tc>
      </w:tr>
      <w:tr w:rsidR="00604533" w:rsidRPr="00604533" w14:paraId="51CF2F0A" w14:textId="77777777" w:rsidTr="000B6113">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5C696186" w14:textId="77777777" w:rsidR="00604533" w:rsidRPr="00604533" w:rsidRDefault="00604533" w:rsidP="00604533">
            <w:pPr>
              <w:pStyle w:val="TableText0"/>
              <w:keepNext w:val="0"/>
              <w:rPr>
                <w:b/>
                <w:bCs w:val="0"/>
                <w:lang w:val="en-US"/>
              </w:rPr>
            </w:pPr>
            <w:r w:rsidRPr="00604533">
              <w:rPr>
                <w:b/>
                <w:bCs w:val="0"/>
                <w:lang w:val="en-US"/>
              </w:rPr>
              <w:t>NSQ NSCLC</w:t>
            </w:r>
          </w:p>
        </w:tc>
      </w:tr>
      <w:tr w:rsidR="00604533" w:rsidRPr="00604533" w14:paraId="0D27FB2A" w14:textId="77777777" w:rsidTr="000344CA">
        <w:trPr>
          <w:cantSplit/>
          <w:trHeight w:val="179"/>
        </w:trPr>
        <w:tc>
          <w:tcPr>
            <w:tcW w:w="547" w:type="pct"/>
            <w:vMerge w:val="restart"/>
            <w:tcBorders>
              <w:top w:val="single" w:sz="4" w:space="0" w:color="auto"/>
              <w:left w:val="single" w:sz="4" w:space="0" w:color="auto"/>
              <w:right w:val="single" w:sz="4" w:space="0" w:color="auto"/>
            </w:tcBorders>
            <w:hideMark/>
          </w:tcPr>
          <w:p w14:paraId="144C78EA" w14:textId="77777777" w:rsidR="00604533" w:rsidRPr="00604533" w:rsidRDefault="00604533" w:rsidP="00604533">
            <w:pPr>
              <w:pStyle w:val="TableText0"/>
              <w:keepNext w:val="0"/>
              <w:rPr>
                <w:lang w:val="en-US"/>
              </w:rPr>
            </w:pPr>
            <w:r w:rsidRPr="00604533">
              <w:rPr>
                <w:lang w:val="en-US"/>
              </w:rPr>
              <w:t>Mean number of doses (adjusted for RDI)</w:t>
            </w:r>
          </w:p>
        </w:tc>
        <w:tc>
          <w:tcPr>
            <w:tcW w:w="631" w:type="pct"/>
            <w:vMerge w:val="restart"/>
            <w:tcBorders>
              <w:top w:val="single" w:sz="4" w:space="0" w:color="auto"/>
              <w:left w:val="single" w:sz="4" w:space="0" w:color="auto"/>
              <w:right w:val="single" w:sz="4" w:space="0" w:color="auto"/>
            </w:tcBorders>
            <w:hideMark/>
          </w:tcPr>
          <w:p w14:paraId="54C75A29" w14:textId="77777777" w:rsidR="00604533" w:rsidRPr="00604533" w:rsidRDefault="00604533" w:rsidP="00604533">
            <w:pPr>
              <w:pStyle w:val="TableText0"/>
              <w:keepNext w:val="0"/>
              <w:rPr>
                <w:lang w:val="en-US"/>
              </w:rPr>
            </w:pPr>
            <w:r w:rsidRPr="00604533">
              <w:rPr>
                <w:lang w:val="en-US"/>
              </w:rPr>
              <w:t>Dabrafenib=</w:t>
            </w:r>
          </w:p>
          <w:p w14:paraId="7EDAB6B9" w14:textId="77777777" w:rsidR="00604533" w:rsidRPr="00604533" w:rsidRDefault="00604533" w:rsidP="00604533">
            <w:pPr>
              <w:pStyle w:val="TableText0"/>
              <w:keepNext w:val="0"/>
              <w:rPr>
                <w:lang w:val="en-US"/>
              </w:rPr>
            </w:pPr>
            <w:r w:rsidRPr="00604533">
              <w:rPr>
                <w:lang w:val="en-US"/>
              </w:rPr>
              <w:t>249 mg/day</w:t>
            </w:r>
          </w:p>
          <w:p w14:paraId="27A0E3A0" w14:textId="77777777" w:rsidR="00604533" w:rsidRPr="00604533" w:rsidRDefault="00604533" w:rsidP="00604533">
            <w:pPr>
              <w:pStyle w:val="TableText0"/>
              <w:keepNext w:val="0"/>
              <w:rPr>
                <w:lang w:val="en-US"/>
              </w:rPr>
            </w:pPr>
            <w:r w:rsidRPr="00604533">
              <w:rPr>
                <w:lang w:val="en-US"/>
              </w:rPr>
              <w:t>Trametinib=</w:t>
            </w:r>
          </w:p>
          <w:p w14:paraId="624933E2" w14:textId="77777777" w:rsidR="00604533" w:rsidRPr="00604533" w:rsidRDefault="00604533" w:rsidP="00604533">
            <w:pPr>
              <w:pStyle w:val="TableText0"/>
              <w:keepNext w:val="0"/>
              <w:rPr>
                <w:lang w:val="en-US"/>
              </w:rPr>
            </w:pPr>
            <w:r w:rsidRPr="00604533">
              <w:rPr>
                <w:lang w:val="en-US"/>
              </w:rPr>
              <w:t>1.8 mg/day</w:t>
            </w:r>
          </w:p>
        </w:tc>
        <w:tc>
          <w:tcPr>
            <w:tcW w:w="629" w:type="pct"/>
            <w:vMerge w:val="restart"/>
            <w:tcBorders>
              <w:top w:val="single" w:sz="4" w:space="0" w:color="auto"/>
              <w:left w:val="single" w:sz="4" w:space="0" w:color="auto"/>
              <w:right w:val="single" w:sz="4" w:space="0" w:color="auto"/>
            </w:tcBorders>
          </w:tcPr>
          <w:p w14:paraId="2D585F3C" w14:textId="77777777" w:rsidR="00604533" w:rsidRPr="00604533" w:rsidRDefault="00604533" w:rsidP="00604533">
            <w:pPr>
              <w:pStyle w:val="TableText0"/>
              <w:keepNext w:val="0"/>
              <w:rPr>
                <w:lang w:val="en-US"/>
              </w:rPr>
            </w:pPr>
            <w:r w:rsidRPr="00604533">
              <w:rPr>
                <w:lang w:val="en-US"/>
              </w:rPr>
              <w:t>Dabrafenib=</w:t>
            </w:r>
          </w:p>
          <w:p w14:paraId="324A5D7C" w14:textId="77777777" w:rsidR="00604533" w:rsidRPr="00604533" w:rsidRDefault="00604533" w:rsidP="00604533">
            <w:pPr>
              <w:pStyle w:val="TableText0"/>
              <w:keepNext w:val="0"/>
              <w:rPr>
                <w:lang w:val="en-US"/>
              </w:rPr>
            </w:pPr>
            <w:r w:rsidRPr="00604533">
              <w:rPr>
                <w:lang w:val="en-US"/>
              </w:rPr>
              <w:t>249 mg/day</w:t>
            </w:r>
          </w:p>
          <w:p w14:paraId="69F12BF8" w14:textId="77777777" w:rsidR="00604533" w:rsidRPr="00604533" w:rsidRDefault="00604533" w:rsidP="00604533">
            <w:pPr>
              <w:pStyle w:val="TableText0"/>
              <w:keepNext w:val="0"/>
              <w:rPr>
                <w:lang w:val="en-US"/>
              </w:rPr>
            </w:pPr>
            <w:r w:rsidRPr="00604533">
              <w:rPr>
                <w:lang w:val="en-US"/>
              </w:rPr>
              <w:t>Trametinib=</w:t>
            </w:r>
          </w:p>
          <w:p w14:paraId="6430C5B3" w14:textId="77777777" w:rsidR="00604533" w:rsidRPr="00604533" w:rsidRDefault="00604533" w:rsidP="00604533">
            <w:pPr>
              <w:pStyle w:val="TableText0"/>
              <w:keepNext w:val="0"/>
              <w:rPr>
                <w:lang w:val="en-US"/>
              </w:rPr>
            </w:pPr>
            <w:r w:rsidRPr="00604533">
              <w:rPr>
                <w:lang w:val="en-US"/>
              </w:rPr>
              <w:t>1.8 mg/day</w:t>
            </w:r>
          </w:p>
        </w:tc>
        <w:tc>
          <w:tcPr>
            <w:tcW w:w="1020" w:type="pct"/>
            <w:vMerge w:val="restart"/>
            <w:tcBorders>
              <w:top w:val="single" w:sz="4" w:space="0" w:color="auto"/>
              <w:left w:val="single" w:sz="4" w:space="0" w:color="auto"/>
              <w:right w:val="single" w:sz="4" w:space="0" w:color="auto"/>
            </w:tcBorders>
          </w:tcPr>
          <w:p w14:paraId="033FDACC" w14:textId="2418B4A9" w:rsidR="00604533" w:rsidRPr="00604533" w:rsidRDefault="00604533" w:rsidP="00604533">
            <w:pPr>
              <w:pStyle w:val="TableText0"/>
              <w:keepNext w:val="0"/>
              <w:rPr>
                <w:lang w:val="en-US"/>
              </w:rPr>
            </w:pPr>
            <w:r w:rsidRPr="00604533">
              <w:rPr>
                <w:lang w:val="en-US"/>
              </w:rPr>
              <w:t>Dabrafenib=249 mg/day</w:t>
            </w:r>
          </w:p>
          <w:p w14:paraId="3E7DD809" w14:textId="62D789E4" w:rsidR="00604533" w:rsidRPr="00604533" w:rsidRDefault="00604533" w:rsidP="000344CA">
            <w:pPr>
              <w:pStyle w:val="TableText0"/>
              <w:keepNext w:val="0"/>
              <w:rPr>
                <w:lang w:val="en-US"/>
              </w:rPr>
            </w:pPr>
            <w:r w:rsidRPr="00604533">
              <w:rPr>
                <w:lang w:val="en-US"/>
              </w:rPr>
              <w:t>Trametinib=1.8 mg/day</w:t>
            </w:r>
          </w:p>
        </w:tc>
        <w:tc>
          <w:tcPr>
            <w:tcW w:w="393" w:type="pct"/>
            <w:vMerge w:val="restart"/>
            <w:tcBorders>
              <w:top w:val="single" w:sz="4" w:space="0" w:color="auto"/>
              <w:left w:val="single" w:sz="4" w:space="0" w:color="auto"/>
              <w:right w:val="single" w:sz="4" w:space="0" w:color="auto"/>
            </w:tcBorders>
          </w:tcPr>
          <w:p w14:paraId="7CD5ABDB" w14:textId="77777777" w:rsidR="00604533" w:rsidRPr="00604533" w:rsidRDefault="00604533" w:rsidP="00604533">
            <w:pPr>
              <w:pStyle w:val="TableText0"/>
              <w:keepNext w:val="0"/>
              <w:rPr>
                <w:lang w:val="en-US"/>
              </w:rPr>
            </w:pPr>
            <w:r w:rsidRPr="00604533">
              <w:rPr>
                <w:lang w:val="en-US"/>
              </w:rPr>
              <w:t xml:space="preserve">NR </w:t>
            </w:r>
          </w:p>
        </w:tc>
        <w:tc>
          <w:tcPr>
            <w:tcW w:w="865" w:type="pct"/>
            <w:vMerge w:val="restart"/>
            <w:tcBorders>
              <w:top w:val="single" w:sz="4" w:space="0" w:color="auto"/>
              <w:left w:val="single" w:sz="4" w:space="0" w:color="auto"/>
              <w:right w:val="single" w:sz="4" w:space="0" w:color="auto"/>
            </w:tcBorders>
          </w:tcPr>
          <w:p w14:paraId="2C2EE18D"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=14.13</w:t>
            </w:r>
          </w:p>
          <w:p w14:paraId="1D8FB4C4" w14:textId="77777777" w:rsidR="00604533" w:rsidRPr="00604533" w:rsidRDefault="00604533" w:rsidP="00604533">
            <w:pPr>
              <w:pStyle w:val="TableText0"/>
              <w:keepNext w:val="0"/>
              <w:rPr>
                <w:lang w:val="en-US"/>
              </w:rPr>
            </w:pPr>
            <w:r w:rsidRPr="00604533">
              <w:rPr>
                <w:lang w:val="en-US"/>
              </w:rPr>
              <w:t>Platinum=3.60</w:t>
            </w:r>
          </w:p>
          <w:p w14:paraId="2D16952D" w14:textId="77777777" w:rsidR="00604533" w:rsidRPr="00604533" w:rsidRDefault="00604533" w:rsidP="00604533">
            <w:pPr>
              <w:pStyle w:val="TableText0"/>
              <w:keepNext w:val="0"/>
              <w:rPr>
                <w:lang w:val="en-US"/>
              </w:rPr>
            </w:pPr>
            <w:r w:rsidRPr="00604533">
              <w:rPr>
                <w:lang w:val="en-US"/>
              </w:rPr>
              <w:t>Pem=13.58</w:t>
            </w:r>
          </w:p>
        </w:tc>
        <w:tc>
          <w:tcPr>
            <w:tcW w:w="915" w:type="pct"/>
            <w:tcBorders>
              <w:top w:val="single" w:sz="4" w:space="0" w:color="auto"/>
              <w:left w:val="single" w:sz="4" w:space="0" w:color="auto"/>
              <w:bottom w:val="single" w:sz="4" w:space="0" w:color="auto"/>
              <w:right w:val="single" w:sz="4" w:space="0" w:color="auto"/>
            </w:tcBorders>
          </w:tcPr>
          <w:p w14:paraId="5665AE3F" w14:textId="77777777" w:rsidR="00604533" w:rsidRPr="00604533" w:rsidRDefault="00604533" w:rsidP="00604533">
            <w:pPr>
              <w:pStyle w:val="TableText0"/>
              <w:keepNext w:val="0"/>
              <w:rPr>
                <w:u w:val="single"/>
                <w:lang w:val="en-US"/>
              </w:rPr>
            </w:pPr>
            <w:r w:rsidRPr="00604533">
              <w:rPr>
                <w:u w:val="single"/>
                <w:lang w:val="en-US"/>
              </w:rPr>
              <w:t>Combination therapy</w:t>
            </w:r>
          </w:p>
          <w:p w14:paraId="15DA8AFE"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=14.13</w:t>
            </w:r>
          </w:p>
          <w:p w14:paraId="7C12FF85" w14:textId="77777777" w:rsidR="00604533" w:rsidRPr="00604533" w:rsidRDefault="00604533" w:rsidP="00604533">
            <w:pPr>
              <w:pStyle w:val="TableText0"/>
              <w:keepNext w:val="0"/>
              <w:rPr>
                <w:lang w:val="en-US"/>
              </w:rPr>
            </w:pPr>
            <w:r w:rsidRPr="00604533">
              <w:rPr>
                <w:lang w:val="en-US"/>
              </w:rPr>
              <w:t>Platinum=3.60</w:t>
            </w:r>
          </w:p>
          <w:p w14:paraId="7FE19BEE" w14:textId="77777777" w:rsidR="00604533" w:rsidRPr="00604533" w:rsidRDefault="00604533" w:rsidP="00604533">
            <w:pPr>
              <w:pStyle w:val="TableText0"/>
              <w:keepNext w:val="0"/>
              <w:rPr>
                <w:lang w:val="en-US"/>
              </w:rPr>
            </w:pPr>
            <w:r w:rsidRPr="00604533">
              <w:rPr>
                <w:lang w:val="en-US"/>
              </w:rPr>
              <w:t>Pem=13.58</w:t>
            </w:r>
          </w:p>
        </w:tc>
      </w:tr>
      <w:tr w:rsidR="00604533" w:rsidRPr="00604533" w14:paraId="01C9DD17" w14:textId="77777777" w:rsidTr="000344CA">
        <w:trPr>
          <w:cantSplit/>
          <w:trHeight w:val="177"/>
        </w:trPr>
        <w:tc>
          <w:tcPr>
            <w:tcW w:w="547" w:type="pct"/>
            <w:vMerge/>
            <w:tcBorders>
              <w:left w:val="single" w:sz="4" w:space="0" w:color="auto"/>
              <w:right w:val="single" w:sz="4" w:space="0" w:color="auto"/>
            </w:tcBorders>
          </w:tcPr>
          <w:p w14:paraId="51DB3DEB" w14:textId="77777777" w:rsidR="00604533" w:rsidRPr="00604533" w:rsidRDefault="00604533" w:rsidP="00604533">
            <w:pPr>
              <w:pStyle w:val="TableText0"/>
              <w:keepNext w:val="0"/>
              <w:rPr>
                <w:lang w:val="en-US"/>
              </w:rPr>
            </w:pPr>
          </w:p>
        </w:tc>
        <w:tc>
          <w:tcPr>
            <w:tcW w:w="631" w:type="pct"/>
            <w:vMerge/>
            <w:tcBorders>
              <w:left w:val="single" w:sz="4" w:space="0" w:color="auto"/>
              <w:right w:val="single" w:sz="4" w:space="0" w:color="auto"/>
            </w:tcBorders>
          </w:tcPr>
          <w:p w14:paraId="62E33B08" w14:textId="77777777" w:rsidR="00604533" w:rsidRPr="00604533" w:rsidRDefault="00604533" w:rsidP="00604533">
            <w:pPr>
              <w:pStyle w:val="TableText0"/>
              <w:keepNext w:val="0"/>
              <w:rPr>
                <w:lang w:val="en-US"/>
              </w:rPr>
            </w:pPr>
          </w:p>
        </w:tc>
        <w:tc>
          <w:tcPr>
            <w:tcW w:w="629" w:type="pct"/>
            <w:vMerge/>
            <w:tcBorders>
              <w:left w:val="single" w:sz="4" w:space="0" w:color="auto"/>
              <w:right w:val="single" w:sz="4" w:space="0" w:color="auto"/>
            </w:tcBorders>
          </w:tcPr>
          <w:p w14:paraId="425C99DE" w14:textId="77777777" w:rsidR="00604533" w:rsidRPr="00604533" w:rsidRDefault="00604533" w:rsidP="00604533">
            <w:pPr>
              <w:pStyle w:val="TableText0"/>
              <w:keepNext w:val="0"/>
              <w:rPr>
                <w:lang w:val="en-US"/>
              </w:rPr>
            </w:pPr>
          </w:p>
        </w:tc>
        <w:tc>
          <w:tcPr>
            <w:tcW w:w="1020" w:type="pct"/>
            <w:vMerge/>
            <w:tcBorders>
              <w:left w:val="single" w:sz="4" w:space="0" w:color="auto"/>
              <w:right w:val="single" w:sz="4" w:space="0" w:color="auto"/>
            </w:tcBorders>
          </w:tcPr>
          <w:p w14:paraId="7587AC11" w14:textId="77777777" w:rsidR="00604533" w:rsidRPr="00604533" w:rsidRDefault="00604533" w:rsidP="00604533">
            <w:pPr>
              <w:pStyle w:val="TableText0"/>
              <w:keepNext w:val="0"/>
              <w:rPr>
                <w:lang w:val="en-US"/>
              </w:rPr>
            </w:pPr>
          </w:p>
        </w:tc>
        <w:tc>
          <w:tcPr>
            <w:tcW w:w="393" w:type="pct"/>
            <w:vMerge/>
            <w:tcBorders>
              <w:left w:val="single" w:sz="4" w:space="0" w:color="auto"/>
              <w:right w:val="single" w:sz="4" w:space="0" w:color="auto"/>
            </w:tcBorders>
          </w:tcPr>
          <w:p w14:paraId="70E100E2" w14:textId="77777777" w:rsidR="00604533" w:rsidRPr="00604533" w:rsidRDefault="00604533" w:rsidP="00604533">
            <w:pPr>
              <w:pStyle w:val="TableText0"/>
              <w:keepNext w:val="0"/>
              <w:rPr>
                <w:lang w:val="en-US"/>
              </w:rPr>
            </w:pPr>
          </w:p>
        </w:tc>
        <w:tc>
          <w:tcPr>
            <w:tcW w:w="865" w:type="pct"/>
            <w:vMerge/>
            <w:tcBorders>
              <w:left w:val="single" w:sz="4" w:space="0" w:color="auto"/>
              <w:right w:val="single" w:sz="4" w:space="0" w:color="auto"/>
            </w:tcBorders>
          </w:tcPr>
          <w:p w14:paraId="02EBCFEC"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2B9440EA" w14:textId="77777777" w:rsidR="00604533" w:rsidRPr="00604533" w:rsidRDefault="00604533" w:rsidP="00604533">
            <w:pPr>
              <w:pStyle w:val="TableText0"/>
              <w:keepNext w:val="0"/>
              <w:rPr>
                <w:lang w:val="en-US"/>
              </w:rPr>
            </w:pPr>
            <w:r w:rsidRPr="00604533">
              <w:rPr>
                <w:u w:val="single"/>
                <w:lang w:val="en-US"/>
              </w:rPr>
              <w:t>Monotherapy</w:t>
            </w:r>
          </w:p>
          <w:p w14:paraId="718B22FB"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 xml:space="preserve"> =14.13</w:t>
            </w:r>
          </w:p>
        </w:tc>
      </w:tr>
      <w:tr w:rsidR="00604533" w:rsidRPr="00604533" w14:paraId="3A7A11AE" w14:textId="77777777" w:rsidTr="000344CA">
        <w:trPr>
          <w:cantSplit/>
          <w:trHeight w:val="177"/>
        </w:trPr>
        <w:tc>
          <w:tcPr>
            <w:tcW w:w="547" w:type="pct"/>
            <w:vMerge/>
            <w:tcBorders>
              <w:left w:val="single" w:sz="4" w:space="0" w:color="auto"/>
              <w:bottom w:val="single" w:sz="4" w:space="0" w:color="auto"/>
              <w:right w:val="single" w:sz="4" w:space="0" w:color="auto"/>
            </w:tcBorders>
          </w:tcPr>
          <w:p w14:paraId="38337008" w14:textId="77777777" w:rsidR="00604533" w:rsidRPr="00604533" w:rsidRDefault="00604533" w:rsidP="00604533">
            <w:pPr>
              <w:pStyle w:val="TableText0"/>
              <w:keepNext w:val="0"/>
              <w:rPr>
                <w:lang w:val="en-US"/>
              </w:rPr>
            </w:pPr>
          </w:p>
        </w:tc>
        <w:tc>
          <w:tcPr>
            <w:tcW w:w="631" w:type="pct"/>
            <w:vMerge/>
            <w:tcBorders>
              <w:left w:val="single" w:sz="4" w:space="0" w:color="auto"/>
              <w:bottom w:val="single" w:sz="4" w:space="0" w:color="auto"/>
              <w:right w:val="single" w:sz="4" w:space="0" w:color="auto"/>
            </w:tcBorders>
          </w:tcPr>
          <w:p w14:paraId="285DB0FC" w14:textId="77777777" w:rsidR="00604533" w:rsidRPr="00604533" w:rsidRDefault="00604533" w:rsidP="00604533">
            <w:pPr>
              <w:pStyle w:val="TableText0"/>
              <w:keepNext w:val="0"/>
              <w:rPr>
                <w:lang w:val="en-US"/>
              </w:rPr>
            </w:pPr>
          </w:p>
        </w:tc>
        <w:tc>
          <w:tcPr>
            <w:tcW w:w="629" w:type="pct"/>
            <w:vMerge/>
            <w:tcBorders>
              <w:left w:val="single" w:sz="4" w:space="0" w:color="auto"/>
              <w:bottom w:val="single" w:sz="4" w:space="0" w:color="auto"/>
              <w:right w:val="single" w:sz="4" w:space="0" w:color="auto"/>
            </w:tcBorders>
          </w:tcPr>
          <w:p w14:paraId="2D5B885E" w14:textId="77777777" w:rsidR="00604533" w:rsidRPr="00604533" w:rsidRDefault="00604533" w:rsidP="00604533">
            <w:pPr>
              <w:pStyle w:val="TableText0"/>
              <w:keepNext w:val="0"/>
              <w:rPr>
                <w:lang w:val="en-US"/>
              </w:rPr>
            </w:pPr>
          </w:p>
        </w:tc>
        <w:tc>
          <w:tcPr>
            <w:tcW w:w="1020" w:type="pct"/>
            <w:vMerge/>
            <w:tcBorders>
              <w:left w:val="single" w:sz="4" w:space="0" w:color="auto"/>
              <w:bottom w:val="single" w:sz="4" w:space="0" w:color="auto"/>
              <w:right w:val="single" w:sz="4" w:space="0" w:color="auto"/>
            </w:tcBorders>
          </w:tcPr>
          <w:p w14:paraId="2B8B494E" w14:textId="77777777" w:rsidR="00604533" w:rsidRPr="00604533" w:rsidRDefault="00604533" w:rsidP="00604533">
            <w:pPr>
              <w:pStyle w:val="TableText0"/>
              <w:keepNext w:val="0"/>
              <w:rPr>
                <w:lang w:val="en-US"/>
              </w:rPr>
            </w:pPr>
          </w:p>
        </w:tc>
        <w:tc>
          <w:tcPr>
            <w:tcW w:w="393" w:type="pct"/>
            <w:vMerge/>
            <w:tcBorders>
              <w:left w:val="single" w:sz="4" w:space="0" w:color="auto"/>
              <w:bottom w:val="single" w:sz="4" w:space="0" w:color="auto"/>
              <w:right w:val="single" w:sz="4" w:space="0" w:color="auto"/>
            </w:tcBorders>
          </w:tcPr>
          <w:p w14:paraId="1987EFEF" w14:textId="77777777" w:rsidR="00604533" w:rsidRPr="00604533" w:rsidRDefault="00604533" w:rsidP="00604533">
            <w:pPr>
              <w:pStyle w:val="TableText0"/>
              <w:keepNext w:val="0"/>
              <w:rPr>
                <w:lang w:val="en-US"/>
              </w:rPr>
            </w:pPr>
          </w:p>
        </w:tc>
        <w:tc>
          <w:tcPr>
            <w:tcW w:w="865" w:type="pct"/>
            <w:vMerge/>
            <w:tcBorders>
              <w:left w:val="single" w:sz="4" w:space="0" w:color="auto"/>
              <w:bottom w:val="single" w:sz="4" w:space="0" w:color="auto"/>
              <w:right w:val="single" w:sz="4" w:space="0" w:color="auto"/>
            </w:tcBorders>
          </w:tcPr>
          <w:p w14:paraId="0F0C58F4"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67BD33CC" w14:textId="77777777" w:rsidR="00604533" w:rsidRPr="00604533" w:rsidRDefault="00604533" w:rsidP="00604533">
            <w:pPr>
              <w:pStyle w:val="TableText0"/>
              <w:keepNext w:val="0"/>
              <w:rPr>
                <w:u w:val="single"/>
                <w:lang w:val="en-US"/>
              </w:rPr>
            </w:pPr>
            <w:r w:rsidRPr="00604533">
              <w:rPr>
                <w:u w:val="single"/>
                <w:lang w:val="en-US"/>
              </w:rPr>
              <w:t>PBC</w:t>
            </w:r>
          </w:p>
          <w:p w14:paraId="60790AEC" w14:textId="77777777" w:rsidR="00604533" w:rsidRPr="00604533" w:rsidRDefault="00604533" w:rsidP="00604533">
            <w:pPr>
              <w:pStyle w:val="TableText0"/>
              <w:keepNext w:val="0"/>
              <w:rPr>
                <w:lang w:val="en-US"/>
              </w:rPr>
            </w:pPr>
            <w:r w:rsidRPr="00604533">
              <w:rPr>
                <w:lang w:val="en-US"/>
              </w:rPr>
              <w:t>Platinum=3.42</w:t>
            </w:r>
          </w:p>
          <w:p w14:paraId="1EA4FC91" w14:textId="77777777" w:rsidR="00604533" w:rsidRPr="00604533" w:rsidRDefault="00604533" w:rsidP="00604533">
            <w:pPr>
              <w:pStyle w:val="TableText0"/>
              <w:keepNext w:val="0"/>
              <w:rPr>
                <w:lang w:val="en-US"/>
              </w:rPr>
            </w:pPr>
            <w:r w:rsidRPr="00604533">
              <w:rPr>
                <w:lang w:val="en-US"/>
              </w:rPr>
              <w:t>Pem=9.61</w:t>
            </w:r>
          </w:p>
        </w:tc>
      </w:tr>
      <w:tr w:rsidR="00604533" w:rsidRPr="00604533" w14:paraId="0EF7360D" w14:textId="77777777" w:rsidTr="000344CA">
        <w:trPr>
          <w:cantSplit/>
          <w:trHeight w:val="179"/>
        </w:trPr>
        <w:tc>
          <w:tcPr>
            <w:tcW w:w="547" w:type="pct"/>
            <w:vMerge w:val="restart"/>
            <w:tcBorders>
              <w:top w:val="single" w:sz="4" w:space="0" w:color="auto"/>
              <w:left w:val="single" w:sz="4" w:space="0" w:color="auto"/>
              <w:right w:val="single" w:sz="4" w:space="0" w:color="auto"/>
            </w:tcBorders>
            <w:hideMark/>
          </w:tcPr>
          <w:p w14:paraId="7805133A" w14:textId="77777777" w:rsidR="00604533" w:rsidRPr="00604533" w:rsidRDefault="00604533" w:rsidP="00604533">
            <w:pPr>
              <w:pStyle w:val="TableText0"/>
              <w:keepNext w:val="0"/>
              <w:rPr>
                <w:vertAlign w:val="superscript"/>
                <w:lang w:val="en-US"/>
              </w:rPr>
            </w:pPr>
            <w:r w:rsidRPr="00604533">
              <w:rPr>
                <w:lang w:val="en-US"/>
              </w:rPr>
              <w:t>Mean duration of treatment (months)</w:t>
            </w:r>
          </w:p>
        </w:tc>
        <w:tc>
          <w:tcPr>
            <w:tcW w:w="631" w:type="pct"/>
            <w:vMerge w:val="restart"/>
            <w:tcBorders>
              <w:top w:val="single" w:sz="4" w:space="0" w:color="auto"/>
              <w:left w:val="single" w:sz="4" w:space="0" w:color="auto"/>
              <w:right w:val="single" w:sz="4" w:space="0" w:color="auto"/>
            </w:tcBorders>
            <w:hideMark/>
          </w:tcPr>
          <w:p w14:paraId="2DB2440A" w14:textId="77777777" w:rsidR="00604533" w:rsidRDefault="00604533" w:rsidP="00604533">
            <w:pPr>
              <w:pStyle w:val="TableText0"/>
              <w:keepNext w:val="0"/>
              <w:rPr>
                <w:lang w:val="en-US"/>
              </w:rPr>
            </w:pPr>
            <w:r w:rsidRPr="00604533">
              <w:rPr>
                <w:lang w:val="en-US"/>
              </w:rPr>
              <w:t>Dabrafenib=</w:t>
            </w:r>
          </w:p>
          <w:p w14:paraId="75BFA229" w14:textId="6D213319" w:rsidR="00604533" w:rsidRPr="00604533" w:rsidRDefault="00604533" w:rsidP="00604533">
            <w:pPr>
              <w:pStyle w:val="TableText0"/>
              <w:keepNext w:val="0"/>
              <w:rPr>
                <w:lang w:val="en-US"/>
              </w:rPr>
            </w:pPr>
            <w:r w:rsidRPr="00604533">
              <w:rPr>
                <w:lang w:val="en-US"/>
              </w:rPr>
              <w:t xml:space="preserve">18.57 </w:t>
            </w:r>
          </w:p>
          <w:p w14:paraId="53BCF61B" w14:textId="77777777" w:rsidR="00604533" w:rsidRPr="00604533" w:rsidRDefault="00604533" w:rsidP="00604533">
            <w:pPr>
              <w:pStyle w:val="TableText0"/>
              <w:keepNext w:val="0"/>
              <w:rPr>
                <w:lang w:val="en-US"/>
              </w:rPr>
            </w:pPr>
            <w:r w:rsidRPr="00604533">
              <w:rPr>
                <w:lang w:val="en-US"/>
              </w:rPr>
              <w:t>Trametinib=</w:t>
            </w:r>
          </w:p>
          <w:p w14:paraId="133A435A" w14:textId="77777777" w:rsidR="00604533" w:rsidRPr="00604533" w:rsidRDefault="00604533" w:rsidP="00604533">
            <w:pPr>
              <w:pStyle w:val="TableText0"/>
              <w:keepNext w:val="0"/>
              <w:rPr>
                <w:lang w:val="en-US"/>
              </w:rPr>
            </w:pPr>
            <w:r w:rsidRPr="00604533">
              <w:rPr>
                <w:lang w:val="en-US"/>
              </w:rPr>
              <w:t xml:space="preserve">17.60 </w:t>
            </w:r>
          </w:p>
        </w:tc>
        <w:tc>
          <w:tcPr>
            <w:tcW w:w="629" w:type="pct"/>
            <w:vMerge w:val="restart"/>
            <w:tcBorders>
              <w:top w:val="single" w:sz="4" w:space="0" w:color="auto"/>
              <w:left w:val="single" w:sz="4" w:space="0" w:color="auto"/>
              <w:right w:val="single" w:sz="4" w:space="0" w:color="auto"/>
            </w:tcBorders>
            <w:hideMark/>
          </w:tcPr>
          <w:p w14:paraId="3D36897F" w14:textId="77777777" w:rsidR="00604533" w:rsidRPr="00604533" w:rsidRDefault="00604533" w:rsidP="00604533">
            <w:pPr>
              <w:pStyle w:val="TableText0"/>
              <w:keepNext w:val="0"/>
              <w:rPr>
                <w:lang w:val="en-US"/>
              </w:rPr>
            </w:pPr>
            <w:r w:rsidRPr="00604533">
              <w:rPr>
                <w:lang w:val="en-US"/>
              </w:rPr>
              <w:t>Dabrafenib=</w:t>
            </w:r>
          </w:p>
          <w:p w14:paraId="704590A5" w14:textId="77777777" w:rsidR="00604533" w:rsidRPr="00604533" w:rsidRDefault="00604533" w:rsidP="00604533">
            <w:pPr>
              <w:pStyle w:val="TableText0"/>
              <w:keepNext w:val="0"/>
              <w:rPr>
                <w:lang w:val="en-US"/>
              </w:rPr>
            </w:pPr>
            <w:r w:rsidRPr="00604533">
              <w:rPr>
                <w:lang w:val="en-US"/>
              </w:rPr>
              <w:t>18.91</w:t>
            </w:r>
          </w:p>
          <w:p w14:paraId="37CAFD08" w14:textId="77777777" w:rsidR="00604533" w:rsidRPr="00604533" w:rsidRDefault="00604533" w:rsidP="00604533">
            <w:pPr>
              <w:pStyle w:val="TableText0"/>
              <w:keepNext w:val="0"/>
              <w:rPr>
                <w:lang w:val="en-US"/>
              </w:rPr>
            </w:pPr>
            <w:r w:rsidRPr="00604533">
              <w:rPr>
                <w:lang w:val="en-US"/>
              </w:rPr>
              <w:t>Trametinib=</w:t>
            </w:r>
          </w:p>
          <w:p w14:paraId="0159F5C0" w14:textId="77777777" w:rsidR="00604533" w:rsidRPr="00604533" w:rsidRDefault="00604533" w:rsidP="00604533">
            <w:pPr>
              <w:pStyle w:val="TableText0"/>
              <w:keepNext w:val="0"/>
              <w:rPr>
                <w:lang w:val="en-US"/>
              </w:rPr>
            </w:pPr>
            <w:r w:rsidRPr="00604533">
              <w:rPr>
                <w:lang w:val="en-US"/>
              </w:rPr>
              <w:t>17.72</w:t>
            </w:r>
          </w:p>
        </w:tc>
        <w:tc>
          <w:tcPr>
            <w:tcW w:w="1020" w:type="pct"/>
            <w:vMerge w:val="restart"/>
            <w:tcBorders>
              <w:top w:val="single" w:sz="4" w:space="0" w:color="auto"/>
              <w:left w:val="single" w:sz="4" w:space="0" w:color="auto"/>
              <w:right w:val="single" w:sz="4" w:space="0" w:color="auto"/>
            </w:tcBorders>
            <w:hideMark/>
          </w:tcPr>
          <w:p w14:paraId="646582D7" w14:textId="01D1C926" w:rsidR="00604533" w:rsidRPr="00604533" w:rsidRDefault="00604533" w:rsidP="00604533">
            <w:pPr>
              <w:pStyle w:val="TableText0"/>
              <w:keepNext w:val="0"/>
              <w:rPr>
                <w:lang w:val="en-US"/>
              </w:rPr>
            </w:pPr>
            <w:r w:rsidRPr="00604533">
              <w:rPr>
                <w:lang w:val="en-US"/>
              </w:rPr>
              <w:t>Dabrafenib=18.91</w:t>
            </w:r>
          </w:p>
          <w:p w14:paraId="6DC35495" w14:textId="681E57B2" w:rsidR="00604533" w:rsidRPr="00604533" w:rsidRDefault="00604533" w:rsidP="000344CA">
            <w:pPr>
              <w:pStyle w:val="TableText0"/>
              <w:keepNext w:val="0"/>
              <w:rPr>
                <w:lang w:val="en-US"/>
              </w:rPr>
            </w:pPr>
            <w:r w:rsidRPr="00604533">
              <w:rPr>
                <w:lang w:val="en-US"/>
              </w:rPr>
              <w:t xml:space="preserve">Trametinib=17.72 </w:t>
            </w:r>
          </w:p>
        </w:tc>
        <w:tc>
          <w:tcPr>
            <w:tcW w:w="393" w:type="pct"/>
            <w:vMerge w:val="restart"/>
            <w:tcBorders>
              <w:top w:val="single" w:sz="4" w:space="0" w:color="auto"/>
              <w:left w:val="single" w:sz="4" w:space="0" w:color="auto"/>
              <w:right w:val="single" w:sz="4" w:space="0" w:color="auto"/>
            </w:tcBorders>
          </w:tcPr>
          <w:p w14:paraId="7990D7E1" w14:textId="77777777" w:rsidR="00604533" w:rsidRPr="00604533" w:rsidRDefault="00604533" w:rsidP="00604533">
            <w:pPr>
              <w:pStyle w:val="TableText0"/>
              <w:keepNext w:val="0"/>
              <w:rPr>
                <w:lang w:val="en-US"/>
              </w:rPr>
            </w:pPr>
            <w:r w:rsidRPr="00604533">
              <w:rPr>
                <w:lang w:val="en-US"/>
              </w:rPr>
              <w:t>NR</w:t>
            </w:r>
          </w:p>
        </w:tc>
        <w:tc>
          <w:tcPr>
            <w:tcW w:w="865" w:type="pct"/>
            <w:vMerge w:val="restart"/>
            <w:tcBorders>
              <w:top w:val="single" w:sz="4" w:space="0" w:color="auto"/>
              <w:left w:val="single" w:sz="4" w:space="0" w:color="auto"/>
              <w:right w:val="single" w:sz="4" w:space="0" w:color="auto"/>
            </w:tcBorders>
            <w:hideMark/>
          </w:tcPr>
          <w:p w14:paraId="44B6C767"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=10.26</w:t>
            </w:r>
          </w:p>
          <w:p w14:paraId="330C8D37" w14:textId="77777777" w:rsidR="00604533" w:rsidRPr="00604533" w:rsidRDefault="00604533" w:rsidP="00604533">
            <w:pPr>
              <w:pStyle w:val="TableText0"/>
              <w:keepNext w:val="0"/>
              <w:rPr>
                <w:lang w:val="en-US"/>
              </w:rPr>
            </w:pPr>
            <w:r w:rsidRPr="00604533">
              <w:rPr>
                <w:lang w:val="en-US"/>
              </w:rPr>
              <w:t xml:space="preserve">Platinum=2.53 </w:t>
            </w:r>
          </w:p>
          <w:p w14:paraId="039245CF" w14:textId="77777777" w:rsidR="00604533" w:rsidRPr="00604533" w:rsidRDefault="00604533" w:rsidP="00604533">
            <w:pPr>
              <w:pStyle w:val="TableText0"/>
              <w:keepNext w:val="0"/>
              <w:rPr>
                <w:lang w:val="en-US"/>
              </w:rPr>
            </w:pPr>
            <w:r w:rsidRPr="00604533">
              <w:rPr>
                <w:lang w:val="en-US"/>
              </w:rPr>
              <w:t xml:space="preserve">Pem=11.60 </w:t>
            </w:r>
          </w:p>
        </w:tc>
        <w:tc>
          <w:tcPr>
            <w:tcW w:w="915" w:type="pct"/>
            <w:tcBorders>
              <w:top w:val="single" w:sz="4" w:space="0" w:color="auto"/>
              <w:left w:val="single" w:sz="4" w:space="0" w:color="auto"/>
              <w:bottom w:val="single" w:sz="4" w:space="0" w:color="auto"/>
              <w:right w:val="single" w:sz="4" w:space="0" w:color="auto"/>
            </w:tcBorders>
            <w:hideMark/>
          </w:tcPr>
          <w:p w14:paraId="1D8CCCF9" w14:textId="77777777" w:rsidR="00604533" w:rsidRPr="00604533" w:rsidRDefault="00604533" w:rsidP="00604533">
            <w:pPr>
              <w:pStyle w:val="TableText0"/>
              <w:keepNext w:val="0"/>
              <w:rPr>
                <w:u w:val="single"/>
                <w:lang w:val="en-US"/>
              </w:rPr>
            </w:pPr>
            <w:r w:rsidRPr="00604533">
              <w:rPr>
                <w:u w:val="single"/>
                <w:lang w:val="en-US"/>
              </w:rPr>
              <w:t>Combination therapy</w:t>
            </w:r>
          </w:p>
          <w:p w14:paraId="3DA03DD4"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=10.26</w:t>
            </w:r>
          </w:p>
          <w:p w14:paraId="4770D1E5" w14:textId="77777777" w:rsidR="00604533" w:rsidRPr="00604533" w:rsidRDefault="00604533" w:rsidP="00604533">
            <w:pPr>
              <w:pStyle w:val="TableText0"/>
              <w:keepNext w:val="0"/>
              <w:rPr>
                <w:lang w:val="en-US"/>
              </w:rPr>
            </w:pPr>
            <w:r w:rsidRPr="00604533">
              <w:rPr>
                <w:lang w:val="en-US"/>
              </w:rPr>
              <w:t xml:space="preserve">Platinum=2.53 </w:t>
            </w:r>
          </w:p>
          <w:p w14:paraId="4E311CE6" w14:textId="77777777" w:rsidR="00604533" w:rsidRPr="00604533" w:rsidRDefault="00604533" w:rsidP="00604533">
            <w:pPr>
              <w:pStyle w:val="TableText0"/>
              <w:keepNext w:val="0"/>
              <w:rPr>
                <w:lang w:val="en-US"/>
              </w:rPr>
            </w:pPr>
            <w:r w:rsidRPr="00604533">
              <w:rPr>
                <w:lang w:val="en-US"/>
              </w:rPr>
              <w:t xml:space="preserve">Pem=11.60 </w:t>
            </w:r>
          </w:p>
          <w:p w14:paraId="4D2E942C" w14:textId="77777777" w:rsidR="00604533" w:rsidRPr="00604533" w:rsidRDefault="00604533" w:rsidP="00604533">
            <w:pPr>
              <w:pStyle w:val="TableText0"/>
              <w:keepNext w:val="0"/>
              <w:rPr>
                <w:lang w:val="en-US"/>
              </w:rPr>
            </w:pPr>
          </w:p>
        </w:tc>
      </w:tr>
      <w:tr w:rsidR="00604533" w:rsidRPr="00604533" w14:paraId="59AD4A47" w14:textId="77777777" w:rsidTr="000344CA">
        <w:trPr>
          <w:cantSplit/>
          <w:trHeight w:val="177"/>
        </w:trPr>
        <w:tc>
          <w:tcPr>
            <w:tcW w:w="547" w:type="pct"/>
            <w:vMerge/>
            <w:tcBorders>
              <w:left w:val="single" w:sz="4" w:space="0" w:color="auto"/>
              <w:right w:val="single" w:sz="4" w:space="0" w:color="auto"/>
            </w:tcBorders>
          </w:tcPr>
          <w:p w14:paraId="3CE150F0" w14:textId="77777777" w:rsidR="00604533" w:rsidRPr="00604533" w:rsidRDefault="00604533" w:rsidP="00604533">
            <w:pPr>
              <w:pStyle w:val="TableText0"/>
              <w:keepNext w:val="0"/>
              <w:rPr>
                <w:lang w:val="en-US"/>
              </w:rPr>
            </w:pPr>
          </w:p>
        </w:tc>
        <w:tc>
          <w:tcPr>
            <w:tcW w:w="631" w:type="pct"/>
            <w:vMerge/>
            <w:tcBorders>
              <w:left w:val="single" w:sz="4" w:space="0" w:color="auto"/>
              <w:right w:val="single" w:sz="4" w:space="0" w:color="auto"/>
            </w:tcBorders>
          </w:tcPr>
          <w:p w14:paraId="2AEAD437" w14:textId="77777777" w:rsidR="00604533" w:rsidRPr="00604533" w:rsidRDefault="00604533" w:rsidP="00604533">
            <w:pPr>
              <w:pStyle w:val="TableText0"/>
              <w:keepNext w:val="0"/>
              <w:rPr>
                <w:lang w:val="en-US"/>
              </w:rPr>
            </w:pPr>
          </w:p>
        </w:tc>
        <w:tc>
          <w:tcPr>
            <w:tcW w:w="629" w:type="pct"/>
            <w:vMerge/>
            <w:tcBorders>
              <w:left w:val="single" w:sz="4" w:space="0" w:color="auto"/>
              <w:right w:val="single" w:sz="4" w:space="0" w:color="auto"/>
            </w:tcBorders>
          </w:tcPr>
          <w:p w14:paraId="0DDC1155" w14:textId="77777777" w:rsidR="00604533" w:rsidRPr="00604533" w:rsidRDefault="00604533" w:rsidP="00604533">
            <w:pPr>
              <w:pStyle w:val="TableText0"/>
              <w:keepNext w:val="0"/>
              <w:rPr>
                <w:lang w:val="en-US"/>
              </w:rPr>
            </w:pPr>
          </w:p>
        </w:tc>
        <w:tc>
          <w:tcPr>
            <w:tcW w:w="1020" w:type="pct"/>
            <w:vMerge/>
            <w:tcBorders>
              <w:left w:val="single" w:sz="4" w:space="0" w:color="auto"/>
              <w:right w:val="single" w:sz="4" w:space="0" w:color="auto"/>
            </w:tcBorders>
          </w:tcPr>
          <w:p w14:paraId="4E91AB11" w14:textId="77777777" w:rsidR="00604533" w:rsidRPr="00604533" w:rsidRDefault="00604533" w:rsidP="00604533">
            <w:pPr>
              <w:pStyle w:val="TableText0"/>
              <w:keepNext w:val="0"/>
              <w:rPr>
                <w:lang w:val="en-US"/>
              </w:rPr>
            </w:pPr>
          </w:p>
        </w:tc>
        <w:tc>
          <w:tcPr>
            <w:tcW w:w="393" w:type="pct"/>
            <w:vMerge/>
            <w:tcBorders>
              <w:left w:val="single" w:sz="4" w:space="0" w:color="auto"/>
              <w:right w:val="single" w:sz="4" w:space="0" w:color="auto"/>
            </w:tcBorders>
          </w:tcPr>
          <w:p w14:paraId="455C8610" w14:textId="77777777" w:rsidR="00604533" w:rsidRPr="00604533" w:rsidRDefault="00604533" w:rsidP="00604533">
            <w:pPr>
              <w:pStyle w:val="TableText0"/>
              <w:keepNext w:val="0"/>
              <w:rPr>
                <w:lang w:val="en-US"/>
              </w:rPr>
            </w:pPr>
          </w:p>
        </w:tc>
        <w:tc>
          <w:tcPr>
            <w:tcW w:w="865" w:type="pct"/>
            <w:vMerge/>
            <w:tcBorders>
              <w:left w:val="single" w:sz="4" w:space="0" w:color="auto"/>
              <w:right w:val="single" w:sz="4" w:space="0" w:color="auto"/>
            </w:tcBorders>
          </w:tcPr>
          <w:p w14:paraId="098FFA51"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7382BB7B" w14:textId="77777777" w:rsidR="00604533" w:rsidRPr="00604533" w:rsidRDefault="00604533" w:rsidP="00604533">
            <w:pPr>
              <w:pStyle w:val="TableText0"/>
              <w:keepNext w:val="0"/>
              <w:rPr>
                <w:lang w:val="en-US"/>
              </w:rPr>
            </w:pPr>
            <w:r w:rsidRPr="00604533">
              <w:rPr>
                <w:u w:val="single"/>
                <w:lang w:val="en-US"/>
              </w:rPr>
              <w:t>Monotherapy</w:t>
            </w:r>
          </w:p>
          <w:p w14:paraId="795F5784"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 xml:space="preserve"> =10.26 </w:t>
            </w:r>
          </w:p>
        </w:tc>
      </w:tr>
      <w:tr w:rsidR="00604533" w:rsidRPr="00604533" w14:paraId="4402495D" w14:textId="77777777" w:rsidTr="000344CA">
        <w:trPr>
          <w:cantSplit/>
          <w:trHeight w:val="177"/>
        </w:trPr>
        <w:tc>
          <w:tcPr>
            <w:tcW w:w="547" w:type="pct"/>
            <w:vMerge/>
            <w:tcBorders>
              <w:left w:val="single" w:sz="4" w:space="0" w:color="auto"/>
              <w:bottom w:val="single" w:sz="4" w:space="0" w:color="auto"/>
              <w:right w:val="single" w:sz="4" w:space="0" w:color="auto"/>
            </w:tcBorders>
          </w:tcPr>
          <w:p w14:paraId="68077236" w14:textId="77777777" w:rsidR="00604533" w:rsidRPr="00604533" w:rsidRDefault="00604533" w:rsidP="00604533">
            <w:pPr>
              <w:pStyle w:val="TableText0"/>
              <w:keepNext w:val="0"/>
              <w:rPr>
                <w:lang w:val="en-US"/>
              </w:rPr>
            </w:pPr>
          </w:p>
        </w:tc>
        <w:tc>
          <w:tcPr>
            <w:tcW w:w="631" w:type="pct"/>
            <w:vMerge/>
            <w:tcBorders>
              <w:left w:val="single" w:sz="4" w:space="0" w:color="auto"/>
              <w:bottom w:val="single" w:sz="4" w:space="0" w:color="auto"/>
              <w:right w:val="single" w:sz="4" w:space="0" w:color="auto"/>
            </w:tcBorders>
          </w:tcPr>
          <w:p w14:paraId="00B57B74" w14:textId="77777777" w:rsidR="00604533" w:rsidRPr="00604533" w:rsidRDefault="00604533" w:rsidP="00604533">
            <w:pPr>
              <w:pStyle w:val="TableText0"/>
              <w:keepNext w:val="0"/>
              <w:rPr>
                <w:lang w:val="en-US"/>
              </w:rPr>
            </w:pPr>
          </w:p>
        </w:tc>
        <w:tc>
          <w:tcPr>
            <w:tcW w:w="629" w:type="pct"/>
            <w:vMerge/>
            <w:tcBorders>
              <w:left w:val="single" w:sz="4" w:space="0" w:color="auto"/>
              <w:bottom w:val="single" w:sz="4" w:space="0" w:color="auto"/>
              <w:right w:val="single" w:sz="4" w:space="0" w:color="auto"/>
            </w:tcBorders>
          </w:tcPr>
          <w:p w14:paraId="4D4DD1F4" w14:textId="77777777" w:rsidR="00604533" w:rsidRPr="00604533" w:rsidRDefault="00604533" w:rsidP="00604533">
            <w:pPr>
              <w:pStyle w:val="TableText0"/>
              <w:keepNext w:val="0"/>
              <w:rPr>
                <w:lang w:val="en-US"/>
              </w:rPr>
            </w:pPr>
          </w:p>
        </w:tc>
        <w:tc>
          <w:tcPr>
            <w:tcW w:w="1020" w:type="pct"/>
            <w:vMerge/>
            <w:tcBorders>
              <w:left w:val="single" w:sz="4" w:space="0" w:color="auto"/>
              <w:bottom w:val="single" w:sz="4" w:space="0" w:color="auto"/>
              <w:right w:val="single" w:sz="4" w:space="0" w:color="auto"/>
            </w:tcBorders>
          </w:tcPr>
          <w:p w14:paraId="3D7C5C0D" w14:textId="77777777" w:rsidR="00604533" w:rsidRPr="00604533" w:rsidRDefault="00604533" w:rsidP="00604533">
            <w:pPr>
              <w:pStyle w:val="TableText0"/>
              <w:keepNext w:val="0"/>
              <w:rPr>
                <w:lang w:val="en-US"/>
              </w:rPr>
            </w:pPr>
          </w:p>
        </w:tc>
        <w:tc>
          <w:tcPr>
            <w:tcW w:w="393" w:type="pct"/>
            <w:vMerge/>
            <w:tcBorders>
              <w:left w:val="single" w:sz="4" w:space="0" w:color="auto"/>
              <w:bottom w:val="single" w:sz="4" w:space="0" w:color="auto"/>
              <w:right w:val="single" w:sz="4" w:space="0" w:color="auto"/>
            </w:tcBorders>
          </w:tcPr>
          <w:p w14:paraId="66E43EEE" w14:textId="77777777" w:rsidR="00604533" w:rsidRPr="00604533" w:rsidRDefault="00604533" w:rsidP="00604533">
            <w:pPr>
              <w:pStyle w:val="TableText0"/>
              <w:keepNext w:val="0"/>
              <w:rPr>
                <w:lang w:val="en-US"/>
              </w:rPr>
            </w:pPr>
          </w:p>
        </w:tc>
        <w:tc>
          <w:tcPr>
            <w:tcW w:w="865" w:type="pct"/>
            <w:vMerge/>
            <w:tcBorders>
              <w:left w:val="single" w:sz="4" w:space="0" w:color="auto"/>
              <w:bottom w:val="single" w:sz="4" w:space="0" w:color="auto"/>
              <w:right w:val="single" w:sz="4" w:space="0" w:color="auto"/>
            </w:tcBorders>
          </w:tcPr>
          <w:p w14:paraId="5D4F12FD"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3D986EA5" w14:textId="77777777" w:rsidR="00604533" w:rsidRPr="00604533" w:rsidRDefault="00604533" w:rsidP="00604533">
            <w:pPr>
              <w:pStyle w:val="TableText0"/>
              <w:keepNext w:val="0"/>
              <w:rPr>
                <w:u w:val="single"/>
                <w:lang w:val="en-US"/>
              </w:rPr>
            </w:pPr>
            <w:r w:rsidRPr="00604533">
              <w:rPr>
                <w:u w:val="single"/>
                <w:lang w:val="en-US"/>
              </w:rPr>
              <w:t>PBC</w:t>
            </w:r>
          </w:p>
          <w:p w14:paraId="1BD977A6" w14:textId="77777777" w:rsidR="00604533" w:rsidRPr="00604533" w:rsidRDefault="00604533" w:rsidP="00604533">
            <w:pPr>
              <w:pStyle w:val="TableText0"/>
              <w:keepNext w:val="0"/>
              <w:rPr>
                <w:lang w:val="en-US"/>
              </w:rPr>
            </w:pPr>
            <w:r w:rsidRPr="00604533">
              <w:rPr>
                <w:lang w:val="en-US"/>
              </w:rPr>
              <w:t>Platinum=2.37</w:t>
            </w:r>
          </w:p>
          <w:p w14:paraId="00CFEEA1" w14:textId="77777777" w:rsidR="00604533" w:rsidRPr="00604533" w:rsidRDefault="00604533" w:rsidP="00604533">
            <w:pPr>
              <w:pStyle w:val="TableText0"/>
              <w:keepNext w:val="0"/>
              <w:rPr>
                <w:lang w:val="en-US"/>
              </w:rPr>
            </w:pPr>
            <w:r w:rsidRPr="00604533">
              <w:rPr>
                <w:lang w:val="en-US"/>
              </w:rPr>
              <w:t xml:space="preserve">Pem=6.65 </w:t>
            </w:r>
          </w:p>
        </w:tc>
      </w:tr>
      <w:tr w:rsidR="00604533" w:rsidRPr="00604533" w14:paraId="00E4EA11" w14:textId="77777777" w:rsidTr="000344CA">
        <w:trPr>
          <w:cantSplit/>
        </w:trPr>
        <w:tc>
          <w:tcPr>
            <w:tcW w:w="547" w:type="pct"/>
            <w:tcBorders>
              <w:top w:val="single" w:sz="4" w:space="0" w:color="auto"/>
              <w:left w:val="single" w:sz="4" w:space="0" w:color="auto"/>
              <w:bottom w:val="single" w:sz="4" w:space="0" w:color="auto"/>
              <w:right w:val="single" w:sz="4" w:space="0" w:color="auto"/>
            </w:tcBorders>
            <w:hideMark/>
          </w:tcPr>
          <w:p w14:paraId="26C55B71" w14:textId="77777777" w:rsidR="00604533" w:rsidRPr="00604533" w:rsidRDefault="00604533" w:rsidP="00604533">
            <w:pPr>
              <w:pStyle w:val="TableText0"/>
              <w:keepNext w:val="0"/>
              <w:rPr>
                <w:lang w:val="en-US"/>
              </w:rPr>
            </w:pPr>
            <w:r w:rsidRPr="00604533">
              <w:rPr>
                <w:lang w:val="en-US"/>
              </w:rPr>
              <w:t>Cost/dose</w:t>
            </w:r>
          </w:p>
        </w:tc>
        <w:tc>
          <w:tcPr>
            <w:tcW w:w="631" w:type="pct"/>
            <w:tcBorders>
              <w:top w:val="single" w:sz="4" w:space="0" w:color="auto"/>
              <w:left w:val="single" w:sz="4" w:space="0" w:color="auto"/>
              <w:bottom w:val="single" w:sz="4" w:space="0" w:color="auto"/>
              <w:right w:val="single" w:sz="4" w:space="0" w:color="auto"/>
            </w:tcBorders>
            <w:hideMark/>
          </w:tcPr>
          <w:p w14:paraId="7C51B725" w14:textId="77777777" w:rsidR="00604533" w:rsidRPr="00604533" w:rsidRDefault="00604533" w:rsidP="00604533">
            <w:pPr>
              <w:pStyle w:val="TableText0"/>
              <w:keepNext w:val="0"/>
              <w:rPr>
                <w:lang w:val="en-US"/>
              </w:rPr>
            </w:pPr>
            <w:r w:rsidRPr="00604533">
              <w:rPr>
                <w:lang w:val="en-US"/>
              </w:rPr>
              <w:t>-</w:t>
            </w:r>
          </w:p>
        </w:tc>
        <w:tc>
          <w:tcPr>
            <w:tcW w:w="629" w:type="pct"/>
            <w:tcBorders>
              <w:top w:val="single" w:sz="4" w:space="0" w:color="auto"/>
              <w:left w:val="single" w:sz="4" w:space="0" w:color="auto"/>
              <w:bottom w:val="single" w:sz="4" w:space="0" w:color="auto"/>
              <w:right w:val="single" w:sz="4" w:space="0" w:color="auto"/>
            </w:tcBorders>
            <w:hideMark/>
          </w:tcPr>
          <w:p w14:paraId="65EBF003" w14:textId="77777777" w:rsidR="00604533" w:rsidRPr="00604533" w:rsidRDefault="00604533" w:rsidP="00604533">
            <w:pPr>
              <w:pStyle w:val="TableText0"/>
              <w:keepNext w:val="0"/>
              <w:rPr>
                <w:lang w:val="en-US"/>
              </w:rPr>
            </w:pPr>
            <w:r w:rsidRPr="00604533">
              <w:rPr>
                <w:lang w:val="en-US"/>
              </w:rPr>
              <w:t>Dabrafenib=</w:t>
            </w:r>
          </w:p>
          <w:p w14:paraId="2763A0BF" w14:textId="77777777" w:rsidR="00604533" w:rsidRPr="00604533" w:rsidRDefault="00604533" w:rsidP="00604533">
            <w:pPr>
              <w:pStyle w:val="TableText0"/>
              <w:keepNext w:val="0"/>
              <w:rPr>
                <w:lang w:val="en-US"/>
              </w:rPr>
            </w:pPr>
            <w:r w:rsidRPr="00604533">
              <w:rPr>
                <w:lang w:val="en-US"/>
              </w:rPr>
              <w:t>$107.27</w:t>
            </w:r>
          </w:p>
          <w:p w14:paraId="341A8A51" w14:textId="77777777" w:rsidR="00604533" w:rsidRPr="00604533" w:rsidRDefault="00604533" w:rsidP="00604533">
            <w:pPr>
              <w:pStyle w:val="TableText0"/>
              <w:keepNext w:val="0"/>
              <w:rPr>
                <w:lang w:val="en-US"/>
              </w:rPr>
            </w:pPr>
            <w:r w:rsidRPr="00604533">
              <w:rPr>
                <w:lang w:val="en-US"/>
              </w:rPr>
              <w:t>Trametinib=</w:t>
            </w:r>
          </w:p>
          <w:p w14:paraId="7939117A" w14:textId="77777777" w:rsidR="00604533" w:rsidRPr="00604533" w:rsidRDefault="00604533" w:rsidP="00604533">
            <w:pPr>
              <w:pStyle w:val="TableText0"/>
              <w:keepNext w:val="0"/>
              <w:rPr>
                <w:lang w:val="en-US"/>
              </w:rPr>
            </w:pPr>
            <w:r w:rsidRPr="00604533">
              <w:rPr>
                <w:lang w:val="en-US"/>
              </w:rPr>
              <w:t>$112.91</w:t>
            </w:r>
          </w:p>
        </w:tc>
        <w:tc>
          <w:tcPr>
            <w:tcW w:w="1020" w:type="pct"/>
            <w:tcBorders>
              <w:top w:val="single" w:sz="4" w:space="0" w:color="auto"/>
              <w:left w:val="single" w:sz="4" w:space="0" w:color="auto"/>
              <w:bottom w:val="single" w:sz="4" w:space="0" w:color="auto"/>
              <w:right w:val="single" w:sz="4" w:space="0" w:color="auto"/>
            </w:tcBorders>
            <w:hideMark/>
          </w:tcPr>
          <w:p w14:paraId="14E33189" w14:textId="6F173DE7" w:rsidR="00604533" w:rsidRPr="00604533" w:rsidRDefault="00604533" w:rsidP="00604533">
            <w:pPr>
              <w:pStyle w:val="TableText0"/>
              <w:keepNext w:val="0"/>
              <w:rPr>
                <w:lang w:val="en-US"/>
              </w:rPr>
            </w:pPr>
            <w:r w:rsidRPr="00604533">
              <w:rPr>
                <w:lang w:val="en-US"/>
              </w:rPr>
              <w:t>Dabrafenib=$112.30</w:t>
            </w:r>
          </w:p>
          <w:p w14:paraId="16FD391A" w14:textId="69AEA985" w:rsidR="00604533" w:rsidRPr="00604533" w:rsidRDefault="00604533" w:rsidP="000344CA">
            <w:pPr>
              <w:pStyle w:val="TableText0"/>
              <w:keepNext w:val="0"/>
              <w:rPr>
                <w:lang w:val="en-US"/>
              </w:rPr>
            </w:pPr>
            <w:r w:rsidRPr="00604533">
              <w:rPr>
                <w:lang w:val="en-US"/>
              </w:rPr>
              <w:t>Trametinib=$117.93</w:t>
            </w:r>
          </w:p>
        </w:tc>
        <w:tc>
          <w:tcPr>
            <w:tcW w:w="393" w:type="pct"/>
            <w:tcBorders>
              <w:top w:val="single" w:sz="4" w:space="0" w:color="auto"/>
              <w:left w:val="single" w:sz="4" w:space="0" w:color="auto"/>
              <w:bottom w:val="single" w:sz="4" w:space="0" w:color="auto"/>
              <w:right w:val="single" w:sz="4" w:space="0" w:color="auto"/>
            </w:tcBorders>
            <w:hideMark/>
          </w:tcPr>
          <w:p w14:paraId="0B8460A8" w14:textId="77777777" w:rsidR="00604533" w:rsidRPr="00604533" w:rsidRDefault="00604533" w:rsidP="00604533">
            <w:pPr>
              <w:pStyle w:val="TableText0"/>
              <w:keepNext w:val="0"/>
              <w:rPr>
                <w:lang w:val="en-US"/>
              </w:rPr>
            </w:pPr>
            <w:r w:rsidRPr="00604533">
              <w:rPr>
                <w:lang w:val="en-US"/>
              </w:rPr>
              <w:t>-</w:t>
            </w:r>
          </w:p>
        </w:tc>
        <w:tc>
          <w:tcPr>
            <w:tcW w:w="865" w:type="pct"/>
            <w:tcBorders>
              <w:top w:val="single" w:sz="4" w:space="0" w:color="auto"/>
              <w:left w:val="single" w:sz="4" w:space="0" w:color="auto"/>
              <w:bottom w:val="single" w:sz="4" w:space="0" w:color="auto"/>
              <w:right w:val="single" w:sz="4" w:space="0" w:color="auto"/>
            </w:tcBorders>
            <w:hideMark/>
          </w:tcPr>
          <w:p w14:paraId="707CC812"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=$7,647.50</w:t>
            </w:r>
          </w:p>
          <w:p w14:paraId="7E145FD5" w14:textId="77777777" w:rsidR="00604533" w:rsidRPr="00604533" w:rsidRDefault="00604533" w:rsidP="00604533">
            <w:pPr>
              <w:pStyle w:val="TableText0"/>
              <w:keepNext w:val="0"/>
              <w:rPr>
                <w:lang w:val="en-US"/>
              </w:rPr>
            </w:pPr>
            <w:r w:rsidRPr="00604533">
              <w:rPr>
                <w:lang w:val="en-US"/>
              </w:rPr>
              <w:t>Cis=$29.69</w:t>
            </w:r>
          </w:p>
          <w:p w14:paraId="6EAD73F9" w14:textId="77777777" w:rsidR="00604533" w:rsidRPr="00604533" w:rsidRDefault="00604533" w:rsidP="00604533">
            <w:pPr>
              <w:pStyle w:val="TableText0"/>
              <w:keepNext w:val="0"/>
              <w:rPr>
                <w:lang w:val="en-US"/>
              </w:rPr>
            </w:pPr>
            <w:r w:rsidRPr="00604533">
              <w:rPr>
                <w:lang w:val="en-US"/>
              </w:rPr>
              <w:t>Carb=$53.16</w:t>
            </w:r>
          </w:p>
          <w:p w14:paraId="0F471291" w14:textId="77777777" w:rsidR="00604533" w:rsidRPr="00604533" w:rsidRDefault="00604533" w:rsidP="00604533">
            <w:pPr>
              <w:pStyle w:val="TableText0"/>
              <w:keepNext w:val="0"/>
              <w:rPr>
                <w:lang w:val="en-US"/>
              </w:rPr>
            </w:pPr>
            <w:r w:rsidRPr="00604533">
              <w:rPr>
                <w:lang w:val="en-US"/>
              </w:rPr>
              <w:t>Pem=$53.09</w:t>
            </w:r>
          </w:p>
        </w:tc>
        <w:tc>
          <w:tcPr>
            <w:tcW w:w="915" w:type="pct"/>
            <w:tcBorders>
              <w:top w:val="single" w:sz="4" w:space="0" w:color="auto"/>
              <w:left w:val="single" w:sz="4" w:space="0" w:color="auto"/>
              <w:bottom w:val="single" w:sz="4" w:space="0" w:color="auto"/>
              <w:right w:val="single" w:sz="4" w:space="0" w:color="auto"/>
            </w:tcBorders>
            <w:hideMark/>
          </w:tcPr>
          <w:p w14:paraId="34A008F0"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=$7,833.64</w:t>
            </w:r>
          </w:p>
          <w:p w14:paraId="7A83A4DE" w14:textId="77777777" w:rsidR="00604533" w:rsidRPr="00604533" w:rsidRDefault="00604533" w:rsidP="00604533">
            <w:pPr>
              <w:pStyle w:val="TableText0"/>
              <w:keepNext w:val="0"/>
              <w:rPr>
                <w:lang w:val="en-US"/>
              </w:rPr>
            </w:pPr>
            <w:r w:rsidRPr="00604533">
              <w:rPr>
                <w:lang w:val="en-US"/>
              </w:rPr>
              <w:t>Cis=$146.90</w:t>
            </w:r>
          </w:p>
          <w:p w14:paraId="2758D601" w14:textId="77777777" w:rsidR="00604533" w:rsidRPr="00604533" w:rsidRDefault="00604533" w:rsidP="00604533">
            <w:pPr>
              <w:pStyle w:val="TableText0"/>
              <w:keepNext w:val="0"/>
              <w:rPr>
                <w:lang w:val="en-US"/>
              </w:rPr>
            </w:pPr>
            <w:r w:rsidRPr="00604533">
              <w:rPr>
                <w:lang w:val="en-US"/>
              </w:rPr>
              <w:t>Carb=$173.15</w:t>
            </w:r>
          </w:p>
          <w:p w14:paraId="1616B9DC" w14:textId="77777777" w:rsidR="00604533" w:rsidRPr="00604533" w:rsidRDefault="00604533" w:rsidP="00604533">
            <w:pPr>
              <w:pStyle w:val="TableText0"/>
              <w:keepNext w:val="0"/>
              <w:rPr>
                <w:lang w:val="en-US"/>
              </w:rPr>
            </w:pPr>
            <w:r w:rsidRPr="00604533">
              <w:rPr>
                <w:lang w:val="en-US"/>
              </w:rPr>
              <w:t xml:space="preserve">Pem=$171.37 </w:t>
            </w:r>
          </w:p>
        </w:tc>
      </w:tr>
      <w:tr w:rsidR="00604533" w:rsidRPr="00604533" w14:paraId="7EC966DA" w14:textId="77777777" w:rsidTr="000B6113">
        <w:trPr>
          <w:cantSplit/>
        </w:trPr>
        <w:tc>
          <w:tcPr>
            <w:tcW w:w="5000" w:type="pct"/>
            <w:gridSpan w:val="7"/>
            <w:tcBorders>
              <w:top w:val="single" w:sz="4" w:space="0" w:color="auto"/>
              <w:left w:val="single" w:sz="4" w:space="0" w:color="auto"/>
              <w:bottom w:val="single" w:sz="4" w:space="0" w:color="auto"/>
              <w:right w:val="single" w:sz="4" w:space="0" w:color="auto"/>
            </w:tcBorders>
            <w:hideMark/>
          </w:tcPr>
          <w:p w14:paraId="68F44A0B" w14:textId="77777777" w:rsidR="00604533" w:rsidRPr="00604533" w:rsidRDefault="00604533" w:rsidP="00604533">
            <w:pPr>
              <w:pStyle w:val="TableText0"/>
              <w:keepNext w:val="0"/>
              <w:rPr>
                <w:b/>
                <w:bCs w:val="0"/>
                <w:lang w:val="en-US"/>
              </w:rPr>
            </w:pPr>
            <w:r w:rsidRPr="00604533">
              <w:rPr>
                <w:b/>
                <w:bCs w:val="0"/>
                <w:lang w:val="en-US"/>
              </w:rPr>
              <w:t>SQ NSCLC</w:t>
            </w:r>
          </w:p>
        </w:tc>
      </w:tr>
      <w:tr w:rsidR="00604533" w:rsidRPr="00604533" w14:paraId="272F74DD" w14:textId="77777777" w:rsidTr="000344CA">
        <w:trPr>
          <w:cantSplit/>
          <w:trHeight w:val="297"/>
        </w:trPr>
        <w:tc>
          <w:tcPr>
            <w:tcW w:w="547" w:type="pct"/>
            <w:vMerge w:val="restart"/>
            <w:tcBorders>
              <w:top w:val="single" w:sz="4" w:space="0" w:color="auto"/>
              <w:left w:val="single" w:sz="4" w:space="0" w:color="auto"/>
              <w:right w:val="single" w:sz="4" w:space="0" w:color="auto"/>
            </w:tcBorders>
            <w:hideMark/>
          </w:tcPr>
          <w:p w14:paraId="0F7BC337" w14:textId="77777777" w:rsidR="00604533" w:rsidRPr="00604533" w:rsidRDefault="00604533" w:rsidP="00604533">
            <w:pPr>
              <w:pStyle w:val="TableText0"/>
              <w:keepNext w:val="0"/>
              <w:rPr>
                <w:lang w:val="en-US"/>
              </w:rPr>
            </w:pPr>
            <w:r w:rsidRPr="00604533">
              <w:rPr>
                <w:lang w:val="en-US"/>
              </w:rPr>
              <w:t>Mean number of doses (adjusted for RDI)</w:t>
            </w:r>
          </w:p>
        </w:tc>
        <w:tc>
          <w:tcPr>
            <w:tcW w:w="631" w:type="pct"/>
            <w:vMerge w:val="restart"/>
            <w:tcBorders>
              <w:top w:val="single" w:sz="4" w:space="0" w:color="auto"/>
              <w:left w:val="single" w:sz="4" w:space="0" w:color="auto"/>
              <w:right w:val="single" w:sz="4" w:space="0" w:color="auto"/>
            </w:tcBorders>
            <w:hideMark/>
          </w:tcPr>
          <w:p w14:paraId="19FCDEF0" w14:textId="77777777" w:rsidR="00604533" w:rsidRPr="00604533" w:rsidRDefault="00604533" w:rsidP="00604533">
            <w:pPr>
              <w:pStyle w:val="TableText0"/>
              <w:keepNext w:val="0"/>
              <w:rPr>
                <w:lang w:val="en-US"/>
              </w:rPr>
            </w:pPr>
            <w:r w:rsidRPr="00604533">
              <w:rPr>
                <w:lang w:val="en-US"/>
              </w:rPr>
              <w:t>Dabrafenib=</w:t>
            </w:r>
          </w:p>
          <w:p w14:paraId="15015B62" w14:textId="77777777" w:rsidR="00604533" w:rsidRPr="00604533" w:rsidRDefault="00604533" w:rsidP="00604533">
            <w:pPr>
              <w:pStyle w:val="TableText0"/>
              <w:keepNext w:val="0"/>
              <w:rPr>
                <w:lang w:val="en-US"/>
              </w:rPr>
            </w:pPr>
            <w:r w:rsidRPr="00604533">
              <w:rPr>
                <w:lang w:val="en-US"/>
              </w:rPr>
              <w:t>249 mg/day</w:t>
            </w:r>
          </w:p>
          <w:p w14:paraId="701B68EF" w14:textId="77777777" w:rsidR="00604533" w:rsidRPr="00604533" w:rsidRDefault="00604533" w:rsidP="00604533">
            <w:pPr>
              <w:pStyle w:val="TableText0"/>
              <w:keepNext w:val="0"/>
              <w:rPr>
                <w:lang w:val="en-US"/>
              </w:rPr>
            </w:pPr>
            <w:r w:rsidRPr="00604533">
              <w:rPr>
                <w:lang w:val="en-US"/>
              </w:rPr>
              <w:t>Trametinib=</w:t>
            </w:r>
          </w:p>
          <w:p w14:paraId="66958AB7" w14:textId="77777777" w:rsidR="00604533" w:rsidRPr="00604533" w:rsidRDefault="00604533" w:rsidP="00604533">
            <w:pPr>
              <w:pStyle w:val="TableText0"/>
              <w:keepNext w:val="0"/>
              <w:rPr>
                <w:lang w:val="en-US"/>
              </w:rPr>
            </w:pPr>
            <w:r w:rsidRPr="00604533">
              <w:rPr>
                <w:lang w:val="en-US"/>
              </w:rPr>
              <w:t>1.8 mg/day</w:t>
            </w:r>
          </w:p>
        </w:tc>
        <w:tc>
          <w:tcPr>
            <w:tcW w:w="629" w:type="pct"/>
            <w:vMerge w:val="restart"/>
            <w:tcBorders>
              <w:top w:val="single" w:sz="4" w:space="0" w:color="auto"/>
              <w:left w:val="single" w:sz="4" w:space="0" w:color="auto"/>
              <w:right w:val="single" w:sz="4" w:space="0" w:color="auto"/>
            </w:tcBorders>
            <w:hideMark/>
          </w:tcPr>
          <w:p w14:paraId="11F76BEB" w14:textId="77777777" w:rsidR="00604533" w:rsidRPr="00604533" w:rsidRDefault="00604533" w:rsidP="00604533">
            <w:pPr>
              <w:pStyle w:val="TableText0"/>
              <w:keepNext w:val="0"/>
              <w:rPr>
                <w:lang w:val="en-US"/>
              </w:rPr>
            </w:pPr>
            <w:r w:rsidRPr="00604533">
              <w:rPr>
                <w:lang w:val="en-US"/>
              </w:rPr>
              <w:t>Dabrafenib=</w:t>
            </w:r>
          </w:p>
          <w:p w14:paraId="5BF3DD40" w14:textId="77777777" w:rsidR="00604533" w:rsidRPr="00604533" w:rsidRDefault="00604533" w:rsidP="00604533">
            <w:pPr>
              <w:pStyle w:val="TableText0"/>
              <w:keepNext w:val="0"/>
              <w:rPr>
                <w:lang w:val="en-US"/>
              </w:rPr>
            </w:pPr>
            <w:r w:rsidRPr="00604533">
              <w:rPr>
                <w:lang w:val="en-US"/>
              </w:rPr>
              <w:t>249 mg/day</w:t>
            </w:r>
          </w:p>
          <w:p w14:paraId="357BDA02" w14:textId="77777777" w:rsidR="00604533" w:rsidRPr="00604533" w:rsidRDefault="00604533" w:rsidP="00604533">
            <w:pPr>
              <w:pStyle w:val="TableText0"/>
              <w:keepNext w:val="0"/>
              <w:rPr>
                <w:lang w:val="en-US"/>
              </w:rPr>
            </w:pPr>
            <w:r w:rsidRPr="00604533">
              <w:rPr>
                <w:lang w:val="en-US"/>
              </w:rPr>
              <w:t>Trametinib=</w:t>
            </w:r>
          </w:p>
          <w:p w14:paraId="6B675EEF" w14:textId="77777777" w:rsidR="00604533" w:rsidRPr="00604533" w:rsidRDefault="00604533" w:rsidP="00604533">
            <w:pPr>
              <w:pStyle w:val="TableText0"/>
              <w:keepNext w:val="0"/>
              <w:rPr>
                <w:lang w:val="en-US"/>
              </w:rPr>
            </w:pPr>
            <w:r w:rsidRPr="00604533">
              <w:rPr>
                <w:lang w:val="en-US"/>
              </w:rPr>
              <w:t>1.8 mg/day</w:t>
            </w:r>
          </w:p>
        </w:tc>
        <w:tc>
          <w:tcPr>
            <w:tcW w:w="1020" w:type="pct"/>
            <w:vMerge w:val="restart"/>
            <w:tcBorders>
              <w:top w:val="single" w:sz="4" w:space="0" w:color="auto"/>
              <w:left w:val="single" w:sz="4" w:space="0" w:color="auto"/>
              <w:right w:val="single" w:sz="4" w:space="0" w:color="auto"/>
            </w:tcBorders>
            <w:hideMark/>
          </w:tcPr>
          <w:p w14:paraId="7CEC4C80" w14:textId="6CAA5504" w:rsidR="00604533" w:rsidRPr="00604533" w:rsidRDefault="00604533" w:rsidP="00604533">
            <w:pPr>
              <w:pStyle w:val="TableText0"/>
              <w:keepNext w:val="0"/>
              <w:rPr>
                <w:lang w:val="en-US"/>
              </w:rPr>
            </w:pPr>
            <w:r w:rsidRPr="00604533">
              <w:rPr>
                <w:lang w:val="en-US"/>
              </w:rPr>
              <w:t>Dabrafenib=249 mg/day</w:t>
            </w:r>
          </w:p>
          <w:p w14:paraId="78A6C046" w14:textId="5D8C6466" w:rsidR="00604533" w:rsidRPr="00604533" w:rsidRDefault="00604533" w:rsidP="000344CA">
            <w:pPr>
              <w:pStyle w:val="TableText0"/>
              <w:keepNext w:val="0"/>
              <w:rPr>
                <w:lang w:val="en-US"/>
              </w:rPr>
            </w:pPr>
            <w:r w:rsidRPr="00604533">
              <w:rPr>
                <w:lang w:val="en-US"/>
              </w:rPr>
              <w:t>Trametinib=1.8 mg/day</w:t>
            </w:r>
          </w:p>
        </w:tc>
        <w:tc>
          <w:tcPr>
            <w:tcW w:w="393" w:type="pct"/>
            <w:vMerge w:val="restart"/>
            <w:tcBorders>
              <w:top w:val="single" w:sz="4" w:space="0" w:color="auto"/>
              <w:left w:val="single" w:sz="4" w:space="0" w:color="auto"/>
              <w:right w:val="single" w:sz="4" w:space="0" w:color="auto"/>
            </w:tcBorders>
            <w:hideMark/>
          </w:tcPr>
          <w:p w14:paraId="302B4041" w14:textId="77777777" w:rsidR="00604533" w:rsidRPr="00604533" w:rsidRDefault="00604533" w:rsidP="00604533">
            <w:pPr>
              <w:pStyle w:val="TableText0"/>
              <w:keepNext w:val="0"/>
              <w:rPr>
                <w:lang w:val="en-US"/>
              </w:rPr>
            </w:pPr>
            <w:r w:rsidRPr="00604533">
              <w:rPr>
                <w:lang w:val="en-US"/>
              </w:rPr>
              <w:t>NR</w:t>
            </w:r>
          </w:p>
          <w:p w14:paraId="064CDD27" w14:textId="77777777" w:rsidR="00604533" w:rsidRPr="00604533" w:rsidRDefault="00604533" w:rsidP="00604533">
            <w:pPr>
              <w:pStyle w:val="TableText0"/>
              <w:keepNext w:val="0"/>
              <w:rPr>
                <w:lang w:val="en-US"/>
              </w:rPr>
            </w:pPr>
          </w:p>
        </w:tc>
        <w:tc>
          <w:tcPr>
            <w:tcW w:w="865" w:type="pct"/>
            <w:vMerge w:val="restart"/>
            <w:tcBorders>
              <w:top w:val="single" w:sz="4" w:space="0" w:color="auto"/>
              <w:left w:val="single" w:sz="4" w:space="0" w:color="auto"/>
              <w:right w:val="single" w:sz="4" w:space="0" w:color="auto"/>
            </w:tcBorders>
            <w:hideMark/>
          </w:tcPr>
          <w:p w14:paraId="4DCCC4FC"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=14.02</w:t>
            </w:r>
          </w:p>
          <w:p w14:paraId="43ADCAA4" w14:textId="77777777" w:rsidR="00604533" w:rsidRPr="00604533" w:rsidRDefault="00604533" w:rsidP="00604533">
            <w:pPr>
              <w:pStyle w:val="TableText0"/>
              <w:keepNext w:val="0"/>
              <w:rPr>
                <w:lang w:val="en-US"/>
              </w:rPr>
            </w:pPr>
            <w:r w:rsidRPr="00604533">
              <w:rPr>
                <w:lang w:val="en-US"/>
              </w:rPr>
              <w:t>Platinum=3.62</w:t>
            </w:r>
          </w:p>
          <w:p w14:paraId="7D43E046" w14:textId="77777777" w:rsidR="00604533" w:rsidRPr="00604533" w:rsidRDefault="00604533" w:rsidP="00604533">
            <w:pPr>
              <w:pStyle w:val="TableText0"/>
              <w:keepNext w:val="0"/>
              <w:rPr>
                <w:lang w:val="en-US"/>
              </w:rPr>
            </w:pPr>
            <w:r w:rsidRPr="00604533">
              <w:rPr>
                <w:lang w:val="en-US"/>
              </w:rPr>
              <w:t>Paclitaxel=3.60</w:t>
            </w:r>
          </w:p>
          <w:p w14:paraId="2FFFD072"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hideMark/>
          </w:tcPr>
          <w:p w14:paraId="03EC785D" w14:textId="77777777" w:rsidR="00604533" w:rsidRPr="00604533" w:rsidRDefault="00604533" w:rsidP="00604533">
            <w:pPr>
              <w:pStyle w:val="TableText0"/>
              <w:keepNext w:val="0"/>
              <w:rPr>
                <w:u w:val="single"/>
                <w:lang w:val="en-US"/>
              </w:rPr>
            </w:pPr>
            <w:proofErr w:type="spellStart"/>
            <w:r w:rsidRPr="00604533">
              <w:rPr>
                <w:u w:val="single"/>
                <w:lang w:val="en-US"/>
              </w:rPr>
              <w:t>Pembro+PBC</w:t>
            </w:r>
            <w:proofErr w:type="spellEnd"/>
          </w:p>
          <w:p w14:paraId="21D23E2F"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=14.02</w:t>
            </w:r>
          </w:p>
          <w:p w14:paraId="19A865F8" w14:textId="77777777" w:rsidR="00604533" w:rsidRPr="00604533" w:rsidRDefault="00604533" w:rsidP="00604533">
            <w:pPr>
              <w:pStyle w:val="TableText0"/>
              <w:keepNext w:val="0"/>
              <w:rPr>
                <w:lang w:val="en-US"/>
              </w:rPr>
            </w:pPr>
            <w:r w:rsidRPr="00604533">
              <w:rPr>
                <w:lang w:val="en-US"/>
              </w:rPr>
              <w:t>Platinum=3.64</w:t>
            </w:r>
          </w:p>
          <w:p w14:paraId="6C5CAD36" w14:textId="77777777" w:rsidR="00604533" w:rsidRPr="00604533" w:rsidRDefault="00604533" w:rsidP="00604533">
            <w:pPr>
              <w:pStyle w:val="TableText0"/>
              <w:keepNext w:val="0"/>
              <w:rPr>
                <w:lang w:val="en-US"/>
              </w:rPr>
            </w:pPr>
            <w:r w:rsidRPr="00604533">
              <w:rPr>
                <w:lang w:val="en-US"/>
              </w:rPr>
              <w:t>Paclitaxel=3.64</w:t>
            </w:r>
          </w:p>
          <w:p w14:paraId="3A6DF3D1" w14:textId="77777777" w:rsidR="00604533" w:rsidRPr="00604533" w:rsidRDefault="00604533" w:rsidP="00604533">
            <w:pPr>
              <w:pStyle w:val="TableText0"/>
              <w:keepNext w:val="0"/>
              <w:rPr>
                <w:lang w:val="en-US"/>
              </w:rPr>
            </w:pPr>
          </w:p>
        </w:tc>
      </w:tr>
      <w:tr w:rsidR="00604533" w:rsidRPr="00604533" w14:paraId="0DE41BB2" w14:textId="77777777" w:rsidTr="000344CA">
        <w:trPr>
          <w:cantSplit/>
          <w:trHeight w:val="296"/>
        </w:trPr>
        <w:tc>
          <w:tcPr>
            <w:tcW w:w="547" w:type="pct"/>
            <w:vMerge/>
            <w:tcBorders>
              <w:left w:val="single" w:sz="4" w:space="0" w:color="auto"/>
              <w:right w:val="single" w:sz="4" w:space="0" w:color="auto"/>
            </w:tcBorders>
          </w:tcPr>
          <w:p w14:paraId="62A31741" w14:textId="77777777" w:rsidR="00604533" w:rsidRPr="00604533" w:rsidRDefault="00604533" w:rsidP="00604533">
            <w:pPr>
              <w:pStyle w:val="TableText0"/>
              <w:keepNext w:val="0"/>
              <w:rPr>
                <w:lang w:val="en-US"/>
              </w:rPr>
            </w:pPr>
          </w:p>
        </w:tc>
        <w:tc>
          <w:tcPr>
            <w:tcW w:w="631" w:type="pct"/>
            <w:vMerge/>
            <w:tcBorders>
              <w:left w:val="single" w:sz="4" w:space="0" w:color="auto"/>
              <w:right w:val="single" w:sz="4" w:space="0" w:color="auto"/>
            </w:tcBorders>
          </w:tcPr>
          <w:p w14:paraId="25BFF1B4" w14:textId="77777777" w:rsidR="00604533" w:rsidRPr="00604533" w:rsidRDefault="00604533" w:rsidP="00604533">
            <w:pPr>
              <w:pStyle w:val="TableText0"/>
              <w:keepNext w:val="0"/>
              <w:rPr>
                <w:lang w:val="en-US"/>
              </w:rPr>
            </w:pPr>
          </w:p>
        </w:tc>
        <w:tc>
          <w:tcPr>
            <w:tcW w:w="629" w:type="pct"/>
            <w:vMerge/>
            <w:tcBorders>
              <w:left w:val="single" w:sz="4" w:space="0" w:color="auto"/>
              <w:right w:val="single" w:sz="4" w:space="0" w:color="auto"/>
            </w:tcBorders>
          </w:tcPr>
          <w:p w14:paraId="4FA85F1B" w14:textId="77777777" w:rsidR="00604533" w:rsidRPr="00604533" w:rsidRDefault="00604533" w:rsidP="00604533">
            <w:pPr>
              <w:pStyle w:val="TableText0"/>
              <w:keepNext w:val="0"/>
              <w:rPr>
                <w:lang w:val="en-US"/>
              </w:rPr>
            </w:pPr>
          </w:p>
        </w:tc>
        <w:tc>
          <w:tcPr>
            <w:tcW w:w="1020" w:type="pct"/>
            <w:vMerge/>
            <w:tcBorders>
              <w:left w:val="single" w:sz="4" w:space="0" w:color="auto"/>
              <w:right w:val="single" w:sz="4" w:space="0" w:color="auto"/>
            </w:tcBorders>
          </w:tcPr>
          <w:p w14:paraId="09556B0D" w14:textId="77777777" w:rsidR="00604533" w:rsidRPr="00604533" w:rsidRDefault="00604533" w:rsidP="00604533">
            <w:pPr>
              <w:pStyle w:val="TableText0"/>
              <w:keepNext w:val="0"/>
              <w:rPr>
                <w:lang w:val="en-US"/>
              </w:rPr>
            </w:pPr>
          </w:p>
        </w:tc>
        <w:tc>
          <w:tcPr>
            <w:tcW w:w="393" w:type="pct"/>
            <w:vMerge/>
            <w:tcBorders>
              <w:left w:val="single" w:sz="4" w:space="0" w:color="auto"/>
              <w:right w:val="single" w:sz="4" w:space="0" w:color="auto"/>
            </w:tcBorders>
          </w:tcPr>
          <w:p w14:paraId="2CF875D7" w14:textId="77777777" w:rsidR="00604533" w:rsidRPr="00604533" w:rsidRDefault="00604533" w:rsidP="00604533">
            <w:pPr>
              <w:pStyle w:val="TableText0"/>
              <w:keepNext w:val="0"/>
              <w:rPr>
                <w:lang w:val="en-US"/>
              </w:rPr>
            </w:pPr>
          </w:p>
        </w:tc>
        <w:tc>
          <w:tcPr>
            <w:tcW w:w="865" w:type="pct"/>
            <w:vMerge/>
            <w:tcBorders>
              <w:left w:val="single" w:sz="4" w:space="0" w:color="auto"/>
              <w:right w:val="single" w:sz="4" w:space="0" w:color="auto"/>
            </w:tcBorders>
          </w:tcPr>
          <w:p w14:paraId="52CD81B6"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30F5FD55" w14:textId="77777777" w:rsidR="00604533" w:rsidRPr="00604533" w:rsidRDefault="00604533" w:rsidP="00604533">
            <w:pPr>
              <w:pStyle w:val="TableText0"/>
              <w:keepNext w:val="0"/>
              <w:rPr>
                <w:lang w:val="en-US"/>
              </w:rPr>
            </w:pPr>
            <w:r w:rsidRPr="00604533">
              <w:rPr>
                <w:u w:val="single"/>
                <w:lang w:val="en-US"/>
              </w:rPr>
              <w:t>Monotherapy</w:t>
            </w:r>
          </w:p>
          <w:p w14:paraId="68047407"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 xml:space="preserve"> =14.02</w:t>
            </w:r>
          </w:p>
        </w:tc>
      </w:tr>
      <w:tr w:rsidR="00604533" w:rsidRPr="00604533" w14:paraId="39C062E3" w14:textId="77777777" w:rsidTr="000344CA">
        <w:trPr>
          <w:cantSplit/>
          <w:trHeight w:val="296"/>
        </w:trPr>
        <w:tc>
          <w:tcPr>
            <w:tcW w:w="547" w:type="pct"/>
            <w:vMerge/>
            <w:tcBorders>
              <w:left w:val="single" w:sz="4" w:space="0" w:color="auto"/>
              <w:bottom w:val="single" w:sz="4" w:space="0" w:color="auto"/>
              <w:right w:val="single" w:sz="4" w:space="0" w:color="auto"/>
            </w:tcBorders>
          </w:tcPr>
          <w:p w14:paraId="03072567" w14:textId="77777777" w:rsidR="00604533" w:rsidRPr="00604533" w:rsidRDefault="00604533" w:rsidP="00604533">
            <w:pPr>
              <w:pStyle w:val="TableText0"/>
              <w:keepNext w:val="0"/>
              <w:rPr>
                <w:lang w:val="en-US"/>
              </w:rPr>
            </w:pPr>
          </w:p>
        </w:tc>
        <w:tc>
          <w:tcPr>
            <w:tcW w:w="631" w:type="pct"/>
            <w:vMerge/>
            <w:tcBorders>
              <w:left w:val="single" w:sz="4" w:space="0" w:color="auto"/>
              <w:bottom w:val="single" w:sz="4" w:space="0" w:color="auto"/>
              <w:right w:val="single" w:sz="4" w:space="0" w:color="auto"/>
            </w:tcBorders>
          </w:tcPr>
          <w:p w14:paraId="44329A90" w14:textId="77777777" w:rsidR="00604533" w:rsidRPr="00604533" w:rsidRDefault="00604533" w:rsidP="00604533">
            <w:pPr>
              <w:pStyle w:val="TableText0"/>
              <w:keepNext w:val="0"/>
              <w:rPr>
                <w:lang w:val="en-US"/>
              </w:rPr>
            </w:pPr>
          </w:p>
        </w:tc>
        <w:tc>
          <w:tcPr>
            <w:tcW w:w="629" w:type="pct"/>
            <w:vMerge/>
            <w:tcBorders>
              <w:left w:val="single" w:sz="4" w:space="0" w:color="auto"/>
              <w:bottom w:val="single" w:sz="4" w:space="0" w:color="auto"/>
              <w:right w:val="single" w:sz="4" w:space="0" w:color="auto"/>
            </w:tcBorders>
          </w:tcPr>
          <w:p w14:paraId="64605E5B" w14:textId="77777777" w:rsidR="00604533" w:rsidRPr="00604533" w:rsidRDefault="00604533" w:rsidP="00604533">
            <w:pPr>
              <w:pStyle w:val="TableText0"/>
              <w:keepNext w:val="0"/>
              <w:rPr>
                <w:lang w:val="en-US"/>
              </w:rPr>
            </w:pPr>
          </w:p>
        </w:tc>
        <w:tc>
          <w:tcPr>
            <w:tcW w:w="1020" w:type="pct"/>
            <w:vMerge/>
            <w:tcBorders>
              <w:left w:val="single" w:sz="4" w:space="0" w:color="auto"/>
              <w:bottom w:val="single" w:sz="4" w:space="0" w:color="auto"/>
              <w:right w:val="single" w:sz="4" w:space="0" w:color="auto"/>
            </w:tcBorders>
          </w:tcPr>
          <w:p w14:paraId="6010A3F2" w14:textId="77777777" w:rsidR="00604533" w:rsidRPr="00604533" w:rsidRDefault="00604533" w:rsidP="00604533">
            <w:pPr>
              <w:pStyle w:val="TableText0"/>
              <w:keepNext w:val="0"/>
              <w:rPr>
                <w:lang w:val="en-US"/>
              </w:rPr>
            </w:pPr>
          </w:p>
        </w:tc>
        <w:tc>
          <w:tcPr>
            <w:tcW w:w="393" w:type="pct"/>
            <w:vMerge/>
            <w:tcBorders>
              <w:left w:val="single" w:sz="4" w:space="0" w:color="auto"/>
              <w:bottom w:val="single" w:sz="4" w:space="0" w:color="auto"/>
              <w:right w:val="single" w:sz="4" w:space="0" w:color="auto"/>
            </w:tcBorders>
          </w:tcPr>
          <w:p w14:paraId="796E616A" w14:textId="77777777" w:rsidR="00604533" w:rsidRPr="00604533" w:rsidRDefault="00604533" w:rsidP="00604533">
            <w:pPr>
              <w:pStyle w:val="TableText0"/>
              <w:keepNext w:val="0"/>
              <w:rPr>
                <w:lang w:val="en-US"/>
              </w:rPr>
            </w:pPr>
          </w:p>
        </w:tc>
        <w:tc>
          <w:tcPr>
            <w:tcW w:w="865" w:type="pct"/>
            <w:vMerge/>
            <w:tcBorders>
              <w:left w:val="single" w:sz="4" w:space="0" w:color="auto"/>
              <w:bottom w:val="single" w:sz="4" w:space="0" w:color="auto"/>
              <w:right w:val="single" w:sz="4" w:space="0" w:color="auto"/>
            </w:tcBorders>
          </w:tcPr>
          <w:p w14:paraId="1A9C0BEF"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6F827D01" w14:textId="77777777" w:rsidR="00604533" w:rsidRPr="00604533" w:rsidRDefault="00604533" w:rsidP="00604533">
            <w:pPr>
              <w:pStyle w:val="TableText0"/>
              <w:keepNext w:val="0"/>
              <w:rPr>
                <w:u w:val="single"/>
                <w:lang w:val="en-US"/>
              </w:rPr>
            </w:pPr>
            <w:r w:rsidRPr="00604533">
              <w:rPr>
                <w:u w:val="single"/>
                <w:lang w:val="en-US"/>
              </w:rPr>
              <w:t>PBC</w:t>
            </w:r>
          </w:p>
          <w:p w14:paraId="7C027D81" w14:textId="77777777" w:rsidR="00604533" w:rsidRPr="00604533" w:rsidRDefault="00604533" w:rsidP="00604533">
            <w:pPr>
              <w:pStyle w:val="TableText0"/>
              <w:keepNext w:val="0"/>
              <w:rPr>
                <w:lang w:val="en-US"/>
              </w:rPr>
            </w:pPr>
            <w:r w:rsidRPr="00604533">
              <w:rPr>
                <w:lang w:val="en-US"/>
              </w:rPr>
              <w:t xml:space="preserve">Platinum=3.55 </w:t>
            </w:r>
          </w:p>
          <w:p w14:paraId="0695BEAB" w14:textId="77777777" w:rsidR="00604533" w:rsidRPr="00604533" w:rsidRDefault="00604533" w:rsidP="00604533">
            <w:pPr>
              <w:pStyle w:val="TableText0"/>
              <w:keepNext w:val="0"/>
              <w:rPr>
                <w:lang w:val="en-US"/>
              </w:rPr>
            </w:pPr>
            <w:r w:rsidRPr="00604533">
              <w:rPr>
                <w:lang w:val="en-US"/>
              </w:rPr>
              <w:t>Paclitaxel=3.55</w:t>
            </w:r>
          </w:p>
        </w:tc>
      </w:tr>
      <w:tr w:rsidR="00604533" w:rsidRPr="00604533" w14:paraId="406E7113" w14:textId="77777777" w:rsidTr="000344CA">
        <w:trPr>
          <w:cantSplit/>
          <w:trHeight w:val="443"/>
        </w:trPr>
        <w:tc>
          <w:tcPr>
            <w:tcW w:w="547" w:type="pct"/>
            <w:vMerge w:val="restart"/>
            <w:tcBorders>
              <w:top w:val="single" w:sz="4" w:space="0" w:color="auto"/>
              <w:left w:val="single" w:sz="4" w:space="0" w:color="auto"/>
              <w:right w:val="single" w:sz="4" w:space="0" w:color="auto"/>
            </w:tcBorders>
            <w:hideMark/>
          </w:tcPr>
          <w:p w14:paraId="249E8438" w14:textId="77777777" w:rsidR="00604533" w:rsidRPr="00604533" w:rsidRDefault="00604533" w:rsidP="00604533">
            <w:pPr>
              <w:pStyle w:val="TableText0"/>
              <w:keepNext w:val="0"/>
              <w:rPr>
                <w:lang w:val="en-US"/>
              </w:rPr>
            </w:pPr>
            <w:r w:rsidRPr="00604533">
              <w:rPr>
                <w:lang w:val="en-US"/>
              </w:rPr>
              <w:t>Mean duration of treatment (months)</w:t>
            </w:r>
          </w:p>
        </w:tc>
        <w:tc>
          <w:tcPr>
            <w:tcW w:w="631" w:type="pct"/>
            <w:vMerge w:val="restart"/>
            <w:tcBorders>
              <w:top w:val="single" w:sz="4" w:space="0" w:color="auto"/>
              <w:left w:val="single" w:sz="4" w:space="0" w:color="auto"/>
              <w:right w:val="single" w:sz="4" w:space="0" w:color="auto"/>
            </w:tcBorders>
            <w:hideMark/>
          </w:tcPr>
          <w:p w14:paraId="70432571" w14:textId="77777777" w:rsidR="00604533" w:rsidRPr="00604533" w:rsidRDefault="00604533" w:rsidP="00604533">
            <w:pPr>
              <w:pStyle w:val="TableText0"/>
              <w:keepNext w:val="0"/>
              <w:rPr>
                <w:lang w:val="en-US"/>
              </w:rPr>
            </w:pPr>
            <w:r w:rsidRPr="00604533">
              <w:rPr>
                <w:lang w:val="en-US"/>
              </w:rPr>
              <w:t>Dabrafenib=</w:t>
            </w:r>
          </w:p>
          <w:p w14:paraId="5B005CBB" w14:textId="77777777" w:rsidR="00604533" w:rsidRPr="00604533" w:rsidRDefault="00604533" w:rsidP="00604533">
            <w:pPr>
              <w:pStyle w:val="TableText0"/>
              <w:keepNext w:val="0"/>
              <w:rPr>
                <w:lang w:val="en-US"/>
              </w:rPr>
            </w:pPr>
            <w:r w:rsidRPr="00604533">
              <w:rPr>
                <w:lang w:val="en-US"/>
              </w:rPr>
              <w:t xml:space="preserve">18.57 </w:t>
            </w:r>
          </w:p>
          <w:p w14:paraId="37F2555D" w14:textId="77777777" w:rsidR="00604533" w:rsidRPr="00604533" w:rsidRDefault="00604533" w:rsidP="00604533">
            <w:pPr>
              <w:pStyle w:val="TableText0"/>
              <w:keepNext w:val="0"/>
              <w:rPr>
                <w:lang w:val="en-US"/>
              </w:rPr>
            </w:pPr>
            <w:r w:rsidRPr="00604533">
              <w:rPr>
                <w:lang w:val="en-US"/>
              </w:rPr>
              <w:t>Trametinib=</w:t>
            </w:r>
          </w:p>
          <w:p w14:paraId="66C1AC0C" w14:textId="77777777" w:rsidR="00604533" w:rsidRPr="00604533" w:rsidRDefault="00604533" w:rsidP="00604533">
            <w:pPr>
              <w:pStyle w:val="TableText0"/>
              <w:keepNext w:val="0"/>
              <w:rPr>
                <w:lang w:val="en-US"/>
              </w:rPr>
            </w:pPr>
            <w:r w:rsidRPr="00604533">
              <w:rPr>
                <w:lang w:val="en-US"/>
              </w:rPr>
              <w:t xml:space="preserve">17.60 </w:t>
            </w:r>
          </w:p>
        </w:tc>
        <w:tc>
          <w:tcPr>
            <w:tcW w:w="629" w:type="pct"/>
            <w:vMerge w:val="restart"/>
            <w:tcBorders>
              <w:top w:val="single" w:sz="4" w:space="0" w:color="auto"/>
              <w:left w:val="single" w:sz="4" w:space="0" w:color="auto"/>
              <w:right w:val="single" w:sz="4" w:space="0" w:color="auto"/>
            </w:tcBorders>
            <w:hideMark/>
          </w:tcPr>
          <w:p w14:paraId="2EF22B57" w14:textId="77777777" w:rsidR="00604533" w:rsidRPr="00604533" w:rsidRDefault="00604533" w:rsidP="00604533">
            <w:pPr>
              <w:pStyle w:val="TableText0"/>
              <w:keepNext w:val="0"/>
              <w:rPr>
                <w:lang w:val="en-US"/>
              </w:rPr>
            </w:pPr>
            <w:r w:rsidRPr="00604533">
              <w:rPr>
                <w:lang w:val="en-US"/>
              </w:rPr>
              <w:t>Dabrafenib=</w:t>
            </w:r>
          </w:p>
          <w:p w14:paraId="1B75806D" w14:textId="77777777" w:rsidR="00604533" w:rsidRPr="00604533" w:rsidRDefault="00604533" w:rsidP="00604533">
            <w:pPr>
              <w:pStyle w:val="TableText0"/>
              <w:keepNext w:val="0"/>
              <w:rPr>
                <w:lang w:val="en-US"/>
              </w:rPr>
            </w:pPr>
            <w:r w:rsidRPr="00604533">
              <w:rPr>
                <w:lang w:val="en-US"/>
              </w:rPr>
              <w:t>18.91</w:t>
            </w:r>
          </w:p>
          <w:p w14:paraId="05CC8495" w14:textId="77777777" w:rsidR="00604533" w:rsidRPr="00604533" w:rsidRDefault="00604533" w:rsidP="00604533">
            <w:pPr>
              <w:pStyle w:val="TableText0"/>
              <w:keepNext w:val="0"/>
              <w:rPr>
                <w:lang w:val="en-US"/>
              </w:rPr>
            </w:pPr>
            <w:r w:rsidRPr="00604533">
              <w:rPr>
                <w:lang w:val="en-US"/>
              </w:rPr>
              <w:t>Trametinib=</w:t>
            </w:r>
          </w:p>
          <w:p w14:paraId="1206F756" w14:textId="77777777" w:rsidR="00604533" w:rsidRPr="00604533" w:rsidRDefault="00604533" w:rsidP="00604533">
            <w:pPr>
              <w:pStyle w:val="TableText0"/>
              <w:keepNext w:val="0"/>
              <w:rPr>
                <w:lang w:val="en-US"/>
              </w:rPr>
            </w:pPr>
            <w:r w:rsidRPr="00604533">
              <w:rPr>
                <w:lang w:val="en-US"/>
              </w:rPr>
              <w:t xml:space="preserve">17.72 </w:t>
            </w:r>
          </w:p>
        </w:tc>
        <w:tc>
          <w:tcPr>
            <w:tcW w:w="1020" w:type="pct"/>
            <w:vMerge w:val="restart"/>
            <w:tcBorders>
              <w:top w:val="single" w:sz="4" w:space="0" w:color="auto"/>
              <w:left w:val="single" w:sz="4" w:space="0" w:color="auto"/>
              <w:right w:val="single" w:sz="4" w:space="0" w:color="auto"/>
            </w:tcBorders>
            <w:hideMark/>
          </w:tcPr>
          <w:p w14:paraId="5708F4CE" w14:textId="6DF49743" w:rsidR="00604533" w:rsidRPr="00604533" w:rsidRDefault="00604533" w:rsidP="00604533">
            <w:pPr>
              <w:pStyle w:val="TableText0"/>
              <w:keepNext w:val="0"/>
              <w:rPr>
                <w:lang w:val="en-US"/>
              </w:rPr>
            </w:pPr>
            <w:r w:rsidRPr="00604533">
              <w:rPr>
                <w:lang w:val="en-US"/>
              </w:rPr>
              <w:t>Dabrafenib=18.91</w:t>
            </w:r>
          </w:p>
          <w:p w14:paraId="76532134" w14:textId="5B5BC8FE" w:rsidR="00604533" w:rsidRPr="00604533" w:rsidRDefault="00604533" w:rsidP="000344CA">
            <w:pPr>
              <w:pStyle w:val="TableText0"/>
              <w:keepNext w:val="0"/>
              <w:rPr>
                <w:lang w:val="en-US"/>
              </w:rPr>
            </w:pPr>
            <w:r w:rsidRPr="00604533">
              <w:rPr>
                <w:lang w:val="en-US"/>
              </w:rPr>
              <w:t xml:space="preserve">Trametinib=17.72 </w:t>
            </w:r>
          </w:p>
        </w:tc>
        <w:tc>
          <w:tcPr>
            <w:tcW w:w="393" w:type="pct"/>
            <w:vMerge w:val="restart"/>
            <w:tcBorders>
              <w:top w:val="single" w:sz="4" w:space="0" w:color="auto"/>
              <w:left w:val="single" w:sz="4" w:space="0" w:color="auto"/>
              <w:right w:val="single" w:sz="4" w:space="0" w:color="auto"/>
            </w:tcBorders>
            <w:hideMark/>
          </w:tcPr>
          <w:p w14:paraId="6E2DD1D5" w14:textId="77777777" w:rsidR="00604533" w:rsidRPr="00604533" w:rsidRDefault="00604533" w:rsidP="00604533">
            <w:pPr>
              <w:pStyle w:val="TableText0"/>
              <w:keepNext w:val="0"/>
              <w:rPr>
                <w:lang w:val="en-US"/>
              </w:rPr>
            </w:pPr>
            <w:r w:rsidRPr="00604533">
              <w:rPr>
                <w:lang w:val="en-US"/>
              </w:rPr>
              <w:t>NR</w:t>
            </w:r>
          </w:p>
        </w:tc>
        <w:tc>
          <w:tcPr>
            <w:tcW w:w="865" w:type="pct"/>
            <w:vMerge w:val="restart"/>
            <w:tcBorders>
              <w:top w:val="single" w:sz="4" w:space="0" w:color="auto"/>
              <w:left w:val="single" w:sz="4" w:space="0" w:color="auto"/>
              <w:right w:val="single" w:sz="4" w:space="0" w:color="auto"/>
            </w:tcBorders>
            <w:hideMark/>
          </w:tcPr>
          <w:p w14:paraId="6ED7C1A7"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 xml:space="preserve">=9.98 </w:t>
            </w:r>
          </w:p>
          <w:p w14:paraId="662D0573" w14:textId="77777777" w:rsidR="00604533" w:rsidRPr="00604533" w:rsidRDefault="00604533" w:rsidP="00604533">
            <w:pPr>
              <w:pStyle w:val="TableText0"/>
              <w:keepNext w:val="0"/>
              <w:rPr>
                <w:lang w:val="en-US"/>
              </w:rPr>
            </w:pPr>
            <w:r w:rsidRPr="00604533">
              <w:rPr>
                <w:lang w:val="en-US"/>
              </w:rPr>
              <w:t>Platinum=2.52</w:t>
            </w:r>
          </w:p>
          <w:p w14:paraId="6836E843" w14:textId="77777777" w:rsidR="00604533" w:rsidRPr="00604533" w:rsidRDefault="00604533" w:rsidP="00604533">
            <w:pPr>
              <w:pStyle w:val="TableText0"/>
              <w:keepNext w:val="0"/>
              <w:rPr>
                <w:lang w:val="en-US"/>
              </w:rPr>
            </w:pPr>
            <w:r w:rsidRPr="00604533">
              <w:rPr>
                <w:lang w:val="en-US"/>
              </w:rPr>
              <w:t xml:space="preserve">Paclitaxel=2.52 </w:t>
            </w:r>
          </w:p>
          <w:p w14:paraId="1D794A3A"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hideMark/>
          </w:tcPr>
          <w:p w14:paraId="51215E86"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=9.98</w:t>
            </w:r>
          </w:p>
          <w:p w14:paraId="08341127" w14:textId="77777777" w:rsidR="00604533" w:rsidRPr="00604533" w:rsidRDefault="00604533" w:rsidP="00604533">
            <w:pPr>
              <w:pStyle w:val="TableText0"/>
              <w:keepNext w:val="0"/>
              <w:rPr>
                <w:lang w:val="en-US"/>
              </w:rPr>
            </w:pPr>
            <w:r w:rsidRPr="00604533">
              <w:rPr>
                <w:lang w:val="en-US"/>
              </w:rPr>
              <w:t>Platinum=2.52</w:t>
            </w:r>
          </w:p>
          <w:p w14:paraId="5082A9CF" w14:textId="77777777" w:rsidR="00604533" w:rsidRPr="00604533" w:rsidRDefault="00604533" w:rsidP="00604533">
            <w:pPr>
              <w:pStyle w:val="TableText0"/>
              <w:keepNext w:val="0"/>
              <w:rPr>
                <w:lang w:val="en-US"/>
              </w:rPr>
            </w:pPr>
            <w:r w:rsidRPr="00604533">
              <w:rPr>
                <w:lang w:val="en-US"/>
              </w:rPr>
              <w:t>Paclitaxel=2.52</w:t>
            </w:r>
          </w:p>
          <w:p w14:paraId="3FB93D38" w14:textId="77777777" w:rsidR="00604533" w:rsidRPr="00604533" w:rsidRDefault="00604533" w:rsidP="00604533">
            <w:pPr>
              <w:pStyle w:val="TableText0"/>
              <w:keepNext w:val="0"/>
              <w:rPr>
                <w:lang w:val="en-US"/>
              </w:rPr>
            </w:pPr>
          </w:p>
        </w:tc>
      </w:tr>
      <w:tr w:rsidR="00604533" w:rsidRPr="00604533" w14:paraId="6CC417AC" w14:textId="77777777" w:rsidTr="000344CA">
        <w:trPr>
          <w:cantSplit/>
          <w:trHeight w:val="442"/>
        </w:trPr>
        <w:tc>
          <w:tcPr>
            <w:tcW w:w="547" w:type="pct"/>
            <w:vMerge/>
            <w:tcBorders>
              <w:left w:val="single" w:sz="4" w:space="0" w:color="auto"/>
              <w:right w:val="single" w:sz="4" w:space="0" w:color="auto"/>
            </w:tcBorders>
          </w:tcPr>
          <w:p w14:paraId="67F4B6AC" w14:textId="77777777" w:rsidR="00604533" w:rsidRPr="00604533" w:rsidRDefault="00604533" w:rsidP="00604533">
            <w:pPr>
              <w:pStyle w:val="TableText0"/>
              <w:keepNext w:val="0"/>
              <w:rPr>
                <w:lang w:val="en-US"/>
              </w:rPr>
            </w:pPr>
          </w:p>
        </w:tc>
        <w:tc>
          <w:tcPr>
            <w:tcW w:w="631" w:type="pct"/>
            <w:vMerge/>
            <w:tcBorders>
              <w:left w:val="single" w:sz="4" w:space="0" w:color="auto"/>
              <w:right w:val="single" w:sz="4" w:space="0" w:color="auto"/>
            </w:tcBorders>
          </w:tcPr>
          <w:p w14:paraId="3210DD58" w14:textId="77777777" w:rsidR="00604533" w:rsidRPr="00604533" w:rsidRDefault="00604533" w:rsidP="00604533">
            <w:pPr>
              <w:pStyle w:val="TableText0"/>
              <w:keepNext w:val="0"/>
              <w:rPr>
                <w:lang w:val="en-US"/>
              </w:rPr>
            </w:pPr>
          </w:p>
        </w:tc>
        <w:tc>
          <w:tcPr>
            <w:tcW w:w="629" w:type="pct"/>
            <w:vMerge/>
            <w:tcBorders>
              <w:left w:val="single" w:sz="4" w:space="0" w:color="auto"/>
              <w:right w:val="single" w:sz="4" w:space="0" w:color="auto"/>
            </w:tcBorders>
          </w:tcPr>
          <w:p w14:paraId="4C085248" w14:textId="77777777" w:rsidR="00604533" w:rsidRPr="00604533" w:rsidRDefault="00604533" w:rsidP="00604533">
            <w:pPr>
              <w:pStyle w:val="TableText0"/>
              <w:keepNext w:val="0"/>
              <w:rPr>
                <w:lang w:val="en-US"/>
              </w:rPr>
            </w:pPr>
          </w:p>
        </w:tc>
        <w:tc>
          <w:tcPr>
            <w:tcW w:w="1020" w:type="pct"/>
            <w:vMerge/>
            <w:tcBorders>
              <w:left w:val="single" w:sz="4" w:space="0" w:color="auto"/>
              <w:right w:val="single" w:sz="4" w:space="0" w:color="auto"/>
            </w:tcBorders>
          </w:tcPr>
          <w:p w14:paraId="764981C6" w14:textId="77777777" w:rsidR="00604533" w:rsidRPr="00604533" w:rsidRDefault="00604533" w:rsidP="00604533">
            <w:pPr>
              <w:pStyle w:val="TableText0"/>
              <w:keepNext w:val="0"/>
              <w:rPr>
                <w:lang w:val="en-US"/>
              </w:rPr>
            </w:pPr>
          </w:p>
        </w:tc>
        <w:tc>
          <w:tcPr>
            <w:tcW w:w="393" w:type="pct"/>
            <w:vMerge/>
            <w:tcBorders>
              <w:left w:val="single" w:sz="4" w:space="0" w:color="auto"/>
              <w:right w:val="single" w:sz="4" w:space="0" w:color="auto"/>
            </w:tcBorders>
          </w:tcPr>
          <w:p w14:paraId="7D047F2A" w14:textId="77777777" w:rsidR="00604533" w:rsidRPr="00604533" w:rsidRDefault="00604533" w:rsidP="00604533">
            <w:pPr>
              <w:pStyle w:val="TableText0"/>
              <w:keepNext w:val="0"/>
              <w:rPr>
                <w:lang w:val="en-US"/>
              </w:rPr>
            </w:pPr>
          </w:p>
        </w:tc>
        <w:tc>
          <w:tcPr>
            <w:tcW w:w="865" w:type="pct"/>
            <w:vMerge/>
            <w:tcBorders>
              <w:left w:val="single" w:sz="4" w:space="0" w:color="auto"/>
              <w:right w:val="single" w:sz="4" w:space="0" w:color="auto"/>
            </w:tcBorders>
          </w:tcPr>
          <w:p w14:paraId="308F6060"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07710EEE" w14:textId="77777777" w:rsidR="00604533" w:rsidRPr="00604533" w:rsidRDefault="00604533" w:rsidP="00604533">
            <w:pPr>
              <w:pStyle w:val="TableText0"/>
              <w:keepNext w:val="0"/>
              <w:rPr>
                <w:lang w:val="en-US"/>
              </w:rPr>
            </w:pPr>
            <w:r w:rsidRPr="00604533">
              <w:rPr>
                <w:u w:val="single"/>
                <w:lang w:val="en-US"/>
              </w:rPr>
              <w:t>Monotherapy</w:t>
            </w:r>
          </w:p>
          <w:p w14:paraId="175681F3"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 xml:space="preserve"> =9.98</w:t>
            </w:r>
          </w:p>
        </w:tc>
      </w:tr>
      <w:tr w:rsidR="00604533" w:rsidRPr="00604533" w14:paraId="750E8B5D" w14:textId="77777777" w:rsidTr="000344CA">
        <w:trPr>
          <w:cantSplit/>
          <w:trHeight w:val="442"/>
        </w:trPr>
        <w:tc>
          <w:tcPr>
            <w:tcW w:w="547" w:type="pct"/>
            <w:vMerge/>
            <w:tcBorders>
              <w:left w:val="single" w:sz="4" w:space="0" w:color="auto"/>
              <w:bottom w:val="single" w:sz="4" w:space="0" w:color="auto"/>
              <w:right w:val="single" w:sz="4" w:space="0" w:color="auto"/>
            </w:tcBorders>
          </w:tcPr>
          <w:p w14:paraId="39CD1DDE" w14:textId="77777777" w:rsidR="00604533" w:rsidRPr="00604533" w:rsidRDefault="00604533" w:rsidP="00604533">
            <w:pPr>
              <w:pStyle w:val="TableText0"/>
              <w:keepNext w:val="0"/>
              <w:rPr>
                <w:lang w:val="en-US"/>
              </w:rPr>
            </w:pPr>
          </w:p>
        </w:tc>
        <w:tc>
          <w:tcPr>
            <w:tcW w:w="631" w:type="pct"/>
            <w:vMerge/>
            <w:tcBorders>
              <w:left w:val="single" w:sz="4" w:space="0" w:color="auto"/>
              <w:bottom w:val="single" w:sz="4" w:space="0" w:color="auto"/>
              <w:right w:val="single" w:sz="4" w:space="0" w:color="auto"/>
            </w:tcBorders>
          </w:tcPr>
          <w:p w14:paraId="0CFF9535" w14:textId="77777777" w:rsidR="00604533" w:rsidRPr="00604533" w:rsidRDefault="00604533" w:rsidP="00604533">
            <w:pPr>
              <w:pStyle w:val="TableText0"/>
              <w:keepNext w:val="0"/>
              <w:rPr>
                <w:lang w:val="en-US"/>
              </w:rPr>
            </w:pPr>
          </w:p>
        </w:tc>
        <w:tc>
          <w:tcPr>
            <w:tcW w:w="629" w:type="pct"/>
            <w:vMerge/>
            <w:tcBorders>
              <w:left w:val="single" w:sz="4" w:space="0" w:color="auto"/>
              <w:bottom w:val="single" w:sz="4" w:space="0" w:color="auto"/>
              <w:right w:val="single" w:sz="4" w:space="0" w:color="auto"/>
            </w:tcBorders>
          </w:tcPr>
          <w:p w14:paraId="440BD7A3" w14:textId="77777777" w:rsidR="00604533" w:rsidRPr="00604533" w:rsidRDefault="00604533" w:rsidP="00604533">
            <w:pPr>
              <w:pStyle w:val="TableText0"/>
              <w:keepNext w:val="0"/>
              <w:rPr>
                <w:lang w:val="en-US"/>
              </w:rPr>
            </w:pPr>
          </w:p>
        </w:tc>
        <w:tc>
          <w:tcPr>
            <w:tcW w:w="1020" w:type="pct"/>
            <w:vMerge/>
            <w:tcBorders>
              <w:left w:val="single" w:sz="4" w:space="0" w:color="auto"/>
              <w:bottom w:val="single" w:sz="4" w:space="0" w:color="auto"/>
              <w:right w:val="single" w:sz="4" w:space="0" w:color="auto"/>
            </w:tcBorders>
          </w:tcPr>
          <w:p w14:paraId="155C69B3" w14:textId="77777777" w:rsidR="00604533" w:rsidRPr="00604533" w:rsidRDefault="00604533" w:rsidP="00604533">
            <w:pPr>
              <w:pStyle w:val="TableText0"/>
              <w:keepNext w:val="0"/>
              <w:rPr>
                <w:lang w:val="en-US"/>
              </w:rPr>
            </w:pPr>
          </w:p>
        </w:tc>
        <w:tc>
          <w:tcPr>
            <w:tcW w:w="393" w:type="pct"/>
            <w:vMerge/>
            <w:tcBorders>
              <w:left w:val="single" w:sz="4" w:space="0" w:color="auto"/>
              <w:bottom w:val="single" w:sz="4" w:space="0" w:color="auto"/>
              <w:right w:val="single" w:sz="4" w:space="0" w:color="auto"/>
            </w:tcBorders>
          </w:tcPr>
          <w:p w14:paraId="154FB792" w14:textId="77777777" w:rsidR="00604533" w:rsidRPr="00604533" w:rsidRDefault="00604533" w:rsidP="00604533">
            <w:pPr>
              <w:pStyle w:val="TableText0"/>
              <w:keepNext w:val="0"/>
              <w:rPr>
                <w:lang w:val="en-US"/>
              </w:rPr>
            </w:pPr>
          </w:p>
        </w:tc>
        <w:tc>
          <w:tcPr>
            <w:tcW w:w="865" w:type="pct"/>
            <w:vMerge/>
            <w:tcBorders>
              <w:left w:val="single" w:sz="4" w:space="0" w:color="auto"/>
              <w:bottom w:val="single" w:sz="4" w:space="0" w:color="auto"/>
              <w:right w:val="single" w:sz="4" w:space="0" w:color="auto"/>
            </w:tcBorders>
          </w:tcPr>
          <w:p w14:paraId="2E4210B7" w14:textId="77777777" w:rsidR="00604533" w:rsidRPr="00604533" w:rsidRDefault="00604533"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37880A8E" w14:textId="77777777" w:rsidR="00604533" w:rsidRPr="00604533" w:rsidRDefault="00604533" w:rsidP="00604533">
            <w:pPr>
              <w:pStyle w:val="TableText0"/>
              <w:keepNext w:val="0"/>
              <w:rPr>
                <w:u w:val="single"/>
                <w:lang w:val="en-US"/>
              </w:rPr>
            </w:pPr>
            <w:r w:rsidRPr="00604533">
              <w:rPr>
                <w:u w:val="single"/>
                <w:lang w:val="en-US"/>
              </w:rPr>
              <w:t>PBC</w:t>
            </w:r>
          </w:p>
          <w:p w14:paraId="7909CDC3" w14:textId="77777777" w:rsidR="00604533" w:rsidRPr="00604533" w:rsidRDefault="00604533" w:rsidP="00604533">
            <w:pPr>
              <w:pStyle w:val="TableText0"/>
              <w:keepNext w:val="0"/>
              <w:rPr>
                <w:lang w:val="en-US"/>
              </w:rPr>
            </w:pPr>
            <w:r w:rsidRPr="00604533">
              <w:rPr>
                <w:lang w:val="en-US"/>
              </w:rPr>
              <w:t>Platinum=2.45</w:t>
            </w:r>
          </w:p>
          <w:p w14:paraId="0827AC6D" w14:textId="77777777" w:rsidR="00604533" w:rsidRPr="00604533" w:rsidRDefault="00604533" w:rsidP="00604533">
            <w:pPr>
              <w:pStyle w:val="TableText0"/>
              <w:keepNext w:val="0"/>
              <w:rPr>
                <w:lang w:val="en-US"/>
              </w:rPr>
            </w:pPr>
            <w:r w:rsidRPr="00604533">
              <w:rPr>
                <w:lang w:val="en-US"/>
              </w:rPr>
              <w:t>Paclitaxel=2.45</w:t>
            </w:r>
          </w:p>
        </w:tc>
      </w:tr>
      <w:tr w:rsidR="00604533" w:rsidRPr="00604533" w14:paraId="20A38B05" w14:textId="77777777" w:rsidTr="000344CA">
        <w:trPr>
          <w:cantSplit/>
        </w:trPr>
        <w:tc>
          <w:tcPr>
            <w:tcW w:w="547" w:type="pct"/>
            <w:tcBorders>
              <w:top w:val="single" w:sz="4" w:space="0" w:color="auto"/>
              <w:left w:val="single" w:sz="4" w:space="0" w:color="auto"/>
              <w:bottom w:val="single" w:sz="4" w:space="0" w:color="auto"/>
              <w:right w:val="single" w:sz="4" w:space="0" w:color="auto"/>
            </w:tcBorders>
            <w:hideMark/>
          </w:tcPr>
          <w:p w14:paraId="4A0570B6" w14:textId="77777777" w:rsidR="00604533" w:rsidRPr="00604533" w:rsidRDefault="00604533" w:rsidP="00604533">
            <w:pPr>
              <w:pStyle w:val="TableText0"/>
              <w:keepNext w:val="0"/>
              <w:rPr>
                <w:lang w:val="en-US"/>
              </w:rPr>
            </w:pPr>
            <w:r w:rsidRPr="00604533">
              <w:rPr>
                <w:lang w:val="en-US"/>
              </w:rPr>
              <w:t>Cost/dose</w:t>
            </w:r>
          </w:p>
        </w:tc>
        <w:tc>
          <w:tcPr>
            <w:tcW w:w="631" w:type="pct"/>
            <w:tcBorders>
              <w:top w:val="single" w:sz="4" w:space="0" w:color="auto"/>
              <w:left w:val="single" w:sz="4" w:space="0" w:color="auto"/>
              <w:bottom w:val="single" w:sz="4" w:space="0" w:color="auto"/>
              <w:right w:val="single" w:sz="4" w:space="0" w:color="auto"/>
            </w:tcBorders>
            <w:hideMark/>
          </w:tcPr>
          <w:p w14:paraId="4DC1CEC2" w14:textId="77777777" w:rsidR="00604533" w:rsidRPr="00604533" w:rsidRDefault="00604533" w:rsidP="00604533">
            <w:pPr>
              <w:pStyle w:val="TableText0"/>
              <w:keepNext w:val="0"/>
              <w:rPr>
                <w:lang w:val="en-US"/>
              </w:rPr>
            </w:pPr>
            <w:r w:rsidRPr="00604533">
              <w:rPr>
                <w:lang w:val="en-US"/>
              </w:rPr>
              <w:t>-</w:t>
            </w:r>
          </w:p>
        </w:tc>
        <w:tc>
          <w:tcPr>
            <w:tcW w:w="629" w:type="pct"/>
            <w:tcBorders>
              <w:top w:val="single" w:sz="4" w:space="0" w:color="auto"/>
              <w:left w:val="single" w:sz="4" w:space="0" w:color="auto"/>
              <w:bottom w:val="single" w:sz="4" w:space="0" w:color="auto"/>
              <w:right w:val="single" w:sz="4" w:space="0" w:color="auto"/>
            </w:tcBorders>
            <w:hideMark/>
          </w:tcPr>
          <w:p w14:paraId="1F25BDBF" w14:textId="77777777" w:rsidR="00604533" w:rsidRPr="00604533" w:rsidRDefault="00604533" w:rsidP="00604533">
            <w:pPr>
              <w:pStyle w:val="TableText0"/>
              <w:keepNext w:val="0"/>
              <w:rPr>
                <w:lang w:val="en-US"/>
              </w:rPr>
            </w:pPr>
            <w:r w:rsidRPr="00604533">
              <w:rPr>
                <w:lang w:val="en-US"/>
              </w:rPr>
              <w:t>Dabrafenib=</w:t>
            </w:r>
          </w:p>
          <w:p w14:paraId="05ED16FE" w14:textId="77777777" w:rsidR="00604533" w:rsidRPr="00604533" w:rsidRDefault="00604533" w:rsidP="00604533">
            <w:pPr>
              <w:pStyle w:val="TableText0"/>
              <w:keepNext w:val="0"/>
              <w:rPr>
                <w:lang w:val="en-US"/>
              </w:rPr>
            </w:pPr>
            <w:r w:rsidRPr="00604533">
              <w:rPr>
                <w:lang w:val="en-US"/>
              </w:rPr>
              <w:t>$105.61</w:t>
            </w:r>
          </w:p>
          <w:p w14:paraId="7397B023" w14:textId="77777777" w:rsidR="00604533" w:rsidRPr="00604533" w:rsidRDefault="00604533" w:rsidP="00604533">
            <w:pPr>
              <w:pStyle w:val="TableText0"/>
              <w:keepNext w:val="0"/>
              <w:rPr>
                <w:lang w:val="en-US"/>
              </w:rPr>
            </w:pPr>
            <w:r w:rsidRPr="00604533">
              <w:rPr>
                <w:lang w:val="en-US"/>
              </w:rPr>
              <w:t>Trametinib=</w:t>
            </w:r>
          </w:p>
          <w:p w14:paraId="1D4D32D1" w14:textId="77777777" w:rsidR="00604533" w:rsidRPr="00604533" w:rsidRDefault="00604533" w:rsidP="00604533">
            <w:pPr>
              <w:pStyle w:val="TableText0"/>
              <w:keepNext w:val="0"/>
              <w:rPr>
                <w:lang w:val="en-US"/>
              </w:rPr>
            </w:pPr>
            <w:r w:rsidRPr="00604533">
              <w:rPr>
                <w:lang w:val="en-US"/>
              </w:rPr>
              <w:t>$111.17</w:t>
            </w:r>
          </w:p>
        </w:tc>
        <w:tc>
          <w:tcPr>
            <w:tcW w:w="1020" w:type="pct"/>
            <w:tcBorders>
              <w:top w:val="single" w:sz="4" w:space="0" w:color="auto"/>
              <w:left w:val="single" w:sz="4" w:space="0" w:color="auto"/>
              <w:bottom w:val="single" w:sz="4" w:space="0" w:color="auto"/>
              <w:right w:val="single" w:sz="4" w:space="0" w:color="auto"/>
            </w:tcBorders>
            <w:hideMark/>
          </w:tcPr>
          <w:p w14:paraId="51B74492" w14:textId="6B3AA897" w:rsidR="00604533" w:rsidRPr="00604533" w:rsidRDefault="00604533" w:rsidP="00604533">
            <w:pPr>
              <w:pStyle w:val="TableText0"/>
              <w:keepNext w:val="0"/>
              <w:rPr>
                <w:lang w:val="en-US"/>
              </w:rPr>
            </w:pPr>
            <w:r w:rsidRPr="00604533">
              <w:rPr>
                <w:lang w:val="en-US"/>
              </w:rPr>
              <w:t>Dabrafenib=$112.30</w:t>
            </w:r>
          </w:p>
          <w:p w14:paraId="511038F1" w14:textId="44628D69" w:rsidR="00604533" w:rsidRPr="00604533" w:rsidRDefault="00604533" w:rsidP="000344CA">
            <w:pPr>
              <w:pStyle w:val="TableText0"/>
              <w:keepNext w:val="0"/>
              <w:rPr>
                <w:lang w:val="en-US"/>
              </w:rPr>
            </w:pPr>
            <w:r w:rsidRPr="00604533">
              <w:rPr>
                <w:lang w:val="en-US"/>
              </w:rPr>
              <w:t>Trametinib=$117.93</w:t>
            </w:r>
          </w:p>
        </w:tc>
        <w:tc>
          <w:tcPr>
            <w:tcW w:w="393" w:type="pct"/>
            <w:tcBorders>
              <w:top w:val="single" w:sz="4" w:space="0" w:color="auto"/>
              <w:left w:val="single" w:sz="4" w:space="0" w:color="auto"/>
              <w:bottom w:val="single" w:sz="4" w:space="0" w:color="auto"/>
              <w:right w:val="single" w:sz="4" w:space="0" w:color="auto"/>
            </w:tcBorders>
            <w:hideMark/>
          </w:tcPr>
          <w:p w14:paraId="76656710" w14:textId="77777777" w:rsidR="00604533" w:rsidRPr="00604533" w:rsidRDefault="00604533" w:rsidP="00604533">
            <w:pPr>
              <w:pStyle w:val="TableText0"/>
              <w:keepNext w:val="0"/>
              <w:rPr>
                <w:lang w:val="en-US"/>
              </w:rPr>
            </w:pPr>
            <w:r w:rsidRPr="00604533">
              <w:rPr>
                <w:lang w:val="en-US"/>
              </w:rPr>
              <w:t>-</w:t>
            </w:r>
          </w:p>
        </w:tc>
        <w:tc>
          <w:tcPr>
            <w:tcW w:w="865" w:type="pct"/>
            <w:tcBorders>
              <w:top w:val="single" w:sz="4" w:space="0" w:color="auto"/>
              <w:left w:val="single" w:sz="4" w:space="0" w:color="auto"/>
              <w:bottom w:val="single" w:sz="4" w:space="0" w:color="auto"/>
              <w:right w:val="single" w:sz="4" w:space="0" w:color="auto"/>
            </w:tcBorders>
            <w:hideMark/>
          </w:tcPr>
          <w:p w14:paraId="2B2FD822"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=$7,647.50</w:t>
            </w:r>
          </w:p>
          <w:p w14:paraId="65836BFD" w14:textId="77777777" w:rsidR="00604533" w:rsidRPr="00604533" w:rsidRDefault="00604533" w:rsidP="00604533">
            <w:pPr>
              <w:pStyle w:val="TableText0"/>
              <w:keepNext w:val="0"/>
              <w:rPr>
                <w:lang w:val="en-US"/>
              </w:rPr>
            </w:pPr>
            <w:r w:rsidRPr="00604533">
              <w:rPr>
                <w:lang w:val="en-US"/>
              </w:rPr>
              <w:t>Platinum=$192.52</w:t>
            </w:r>
          </w:p>
          <w:p w14:paraId="7DD2A85E" w14:textId="77777777" w:rsidR="00604533" w:rsidRPr="00604533" w:rsidRDefault="00604533" w:rsidP="00604533">
            <w:pPr>
              <w:pStyle w:val="TableText0"/>
              <w:keepNext w:val="0"/>
              <w:rPr>
                <w:lang w:val="en-US"/>
              </w:rPr>
            </w:pPr>
            <w:r w:rsidRPr="00604533">
              <w:rPr>
                <w:lang w:val="en-US"/>
              </w:rPr>
              <w:t>Paclitaxel=$73.56</w:t>
            </w:r>
          </w:p>
        </w:tc>
        <w:tc>
          <w:tcPr>
            <w:tcW w:w="915" w:type="pct"/>
            <w:tcBorders>
              <w:top w:val="single" w:sz="4" w:space="0" w:color="auto"/>
              <w:left w:val="single" w:sz="4" w:space="0" w:color="auto"/>
              <w:bottom w:val="single" w:sz="4" w:space="0" w:color="auto"/>
              <w:right w:val="single" w:sz="4" w:space="0" w:color="auto"/>
            </w:tcBorders>
            <w:hideMark/>
          </w:tcPr>
          <w:p w14:paraId="159207BA" w14:textId="77777777" w:rsidR="00604533" w:rsidRPr="00604533" w:rsidRDefault="00604533" w:rsidP="00604533">
            <w:pPr>
              <w:pStyle w:val="TableText0"/>
              <w:keepNext w:val="0"/>
              <w:rPr>
                <w:lang w:val="en-US"/>
              </w:rPr>
            </w:pPr>
            <w:proofErr w:type="spellStart"/>
            <w:r w:rsidRPr="00604533">
              <w:rPr>
                <w:lang w:val="en-US"/>
              </w:rPr>
              <w:t>Pembro</w:t>
            </w:r>
            <w:proofErr w:type="spellEnd"/>
            <w:r w:rsidRPr="00604533">
              <w:rPr>
                <w:lang w:val="en-US"/>
              </w:rPr>
              <w:t>=$7,833.64</w:t>
            </w:r>
          </w:p>
          <w:p w14:paraId="1E3F1B80" w14:textId="77777777" w:rsidR="00604533" w:rsidRPr="00604533" w:rsidRDefault="00604533" w:rsidP="00604533">
            <w:pPr>
              <w:pStyle w:val="TableText0"/>
              <w:keepNext w:val="0"/>
              <w:rPr>
                <w:lang w:val="en-US"/>
              </w:rPr>
            </w:pPr>
            <w:r w:rsidRPr="00604533">
              <w:rPr>
                <w:lang w:val="en-US"/>
              </w:rPr>
              <w:t>Platinum=$173.15</w:t>
            </w:r>
          </w:p>
          <w:p w14:paraId="760EC86D" w14:textId="77777777" w:rsidR="00604533" w:rsidRPr="00604533" w:rsidRDefault="00604533" w:rsidP="00604533">
            <w:pPr>
              <w:pStyle w:val="TableText0"/>
              <w:keepNext w:val="0"/>
              <w:rPr>
                <w:lang w:val="en-US"/>
              </w:rPr>
            </w:pPr>
            <w:r w:rsidRPr="00604533">
              <w:rPr>
                <w:lang w:val="en-US"/>
              </w:rPr>
              <w:t xml:space="preserve">Paclitaxel=$194.72 </w:t>
            </w:r>
          </w:p>
          <w:p w14:paraId="302BF004" w14:textId="77777777" w:rsidR="00604533" w:rsidRPr="00604533" w:rsidRDefault="00604533" w:rsidP="00604533">
            <w:pPr>
              <w:pStyle w:val="TableText0"/>
              <w:keepNext w:val="0"/>
              <w:rPr>
                <w:lang w:val="en-US"/>
              </w:rPr>
            </w:pPr>
          </w:p>
        </w:tc>
      </w:tr>
      <w:tr w:rsidR="00604533" w:rsidRPr="00604533" w14:paraId="4BD1BF8F" w14:textId="77777777" w:rsidTr="000344CA">
        <w:trPr>
          <w:cantSplit/>
          <w:trHeight w:val="880"/>
        </w:trPr>
        <w:tc>
          <w:tcPr>
            <w:tcW w:w="547" w:type="pct"/>
            <w:vMerge w:val="restart"/>
            <w:tcBorders>
              <w:top w:val="single" w:sz="4" w:space="0" w:color="auto"/>
              <w:left w:val="single" w:sz="4" w:space="0" w:color="auto"/>
              <w:right w:val="single" w:sz="4" w:space="0" w:color="auto"/>
            </w:tcBorders>
            <w:hideMark/>
          </w:tcPr>
          <w:p w14:paraId="3D18EFD2" w14:textId="77777777" w:rsidR="00604533" w:rsidRPr="00604533" w:rsidRDefault="00604533" w:rsidP="00604533">
            <w:pPr>
              <w:pStyle w:val="TableText0"/>
              <w:keepNext w:val="0"/>
              <w:rPr>
                <w:lang w:val="en-US"/>
              </w:rPr>
            </w:pPr>
            <w:r w:rsidRPr="00604533">
              <w:rPr>
                <w:lang w:val="en-US"/>
              </w:rPr>
              <w:t xml:space="preserve">Cost/patient/ course </w:t>
            </w:r>
            <w:r w:rsidRPr="00604533">
              <w:rPr>
                <w:vertAlign w:val="superscript"/>
                <w:lang w:val="en-US"/>
              </w:rPr>
              <w:t>a</w:t>
            </w:r>
          </w:p>
        </w:tc>
        <w:tc>
          <w:tcPr>
            <w:tcW w:w="631" w:type="pct"/>
            <w:vMerge w:val="restart"/>
            <w:tcBorders>
              <w:top w:val="single" w:sz="4" w:space="0" w:color="auto"/>
              <w:left w:val="single" w:sz="4" w:space="0" w:color="auto"/>
              <w:right w:val="single" w:sz="4" w:space="0" w:color="auto"/>
            </w:tcBorders>
            <w:hideMark/>
          </w:tcPr>
          <w:p w14:paraId="00B51D31" w14:textId="77777777" w:rsidR="00604533" w:rsidRPr="00604533" w:rsidRDefault="00604533" w:rsidP="00604533">
            <w:pPr>
              <w:pStyle w:val="TableText0"/>
              <w:keepNext w:val="0"/>
              <w:rPr>
                <w:lang w:val="en-US"/>
              </w:rPr>
            </w:pPr>
            <w:r w:rsidRPr="00604533">
              <w:rPr>
                <w:lang w:val="en-US"/>
              </w:rPr>
              <w:t>-</w:t>
            </w:r>
          </w:p>
        </w:tc>
        <w:tc>
          <w:tcPr>
            <w:tcW w:w="629" w:type="pct"/>
            <w:tcBorders>
              <w:top w:val="single" w:sz="4" w:space="0" w:color="auto"/>
              <w:left w:val="single" w:sz="4" w:space="0" w:color="auto"/>
              <w:right w:val="single" w:sz="4" w:space="0" w:color="auto"/>
            </w:tcBorders>
            <w:hideMark/>
          </w:tcPr>
          <w:p w14:paraId="3DC3A124" w14:textId="09E6BA28" w:rsidR="0020532C" w:rsidRPr="0020532C" w:rsidRDefault="0020532C" w:rsidP="0020532C">
            <w:pPr>
              <w:pStyle w:val="TableText0"/>
              <w:rPr>
                <w:lang w:val="en-US"/>
              </w:rPr>
            </w:pPr>
            <w:r w:rsidRPr="0020532C">
              <w:rPr>
                <w:lang w:val="en-US"/>
              </w:rPr>
              <w:t>NSQ: Dabrafenib</w:t>
            </w:r>
            <w:r w:rsidR="000344CA">
              <w:rPr>
                <w:lang w:val="en-US"/>
              </w:rPr>
              <w:t>=</w:t>
            </w:r>
          </w:p>
          <w:p w14:paraId="1509C224" w14:textId="77777777" w:rsidR="0020532C" w:rsidRPr="0020532C" w:rsidRDefault="0020532C" w:rsidP="0020532C">
            <w:pPr>
              <w:pStyle w:val="TableText0"/>
              <w:rPr>
                <w:lang w:val="en-US"/>
              </w:rPr>
            </w:pPr>
            <w:r w:rsidRPr="0020532C">
              <w:rPr>
                <w:lang w:val="en-US"/>
              </w:rPr>
              <w:t>$51,247.34</w:t>
            </w:r>
          </w:p>
          <w:p w14:paraId="32698D4F" w14:textId="73804787" w:rsidR="0020532C" w:rsidRPr="0020532C" w:rsidRDefault="0020532C" w:rsidP="0020532C">
            <w:pPr>
              <w:pStyle w:val="TableText0"/>
              <w:rPr>
                <w:lang w:val="en-US"/>
              </w:rPr>
            </w:pPr>
            <w:r w:rsidRPr="0020532C">
              <w:rPr>
                <w:lang w:val="en-US"/>
              </w:rPr>
              <w:t>Trametinib</w:t>
            </w:r>
            <w:r w:rsidR="000344CA">
              <w:rPr>
                <w:lang w:val="en-US"/>
              </w:rPr>
              <w:t>=</w:t>
            </w:r>
          </w:p>
          <w:p w14:paraId="165EEC50" w14:textId="77777777" w:rsidR="0020532C" w:rsidRPr="0020532C" w:rsidRDefault="0020532C" w:rsidP="0020532C">
            <w:pPr>
              <w:pStyle w:val="TableText0"/>
              <w:rPr>
                <w:lang w:val="en-US"/>
              </w:rPr>
            </w:pPr>
            <w:r w:rsidRPr="0020532C">
              <w:rPr>
                <w:lang w:val="en-US"/>
              </w:rPr>
              <w:t>$54,820.46</w:t>
            </w:r>
          </w:p>
          <w:p w14:paraId="529C8005" w14:textId="5E769690" w:rsidR="0020532C" w:rsidRPr="0020532C" w:rsidRDefault="0020532C" w:rsidP="0020532C">
            <w:pPr>
              <w:pStyle w:val="TableText0"/>
              <w:rPr>
                <w:lang w:val="en-US"/>
              </w:rPr>
            </w:pPr>
            <w:r w:rsidRPr="0020532C">
              <w:rPr>
                <w:lang w:val="en-US"/>
              </w:rPr>
              <w:t>Total</w:t>
            </w:r>
            <w:r w:rsidR="000344CA">
              <w:rPr>
                <w:lang w:val="en-US"/>
              </w:rPr>
              <w:t>=</w:t>
            </w:r>
          </w:p>
          <w:p w14:paraId="27529338" w14:textId="760FB251" w:rsidR="00604533" w:rsidRPr="00604533" w:rsidRDefault="0020532C" w:rsidP="0020532C">
            <w:pPr>
              <w:pStyle w:val="TableText0"/>
              <w:rPr>
                <w:lang w:val="en-US"/>
              </w:rPr>
            </w:pPr>
            <w:r w:rsidRPr="0020532C">
              <w:rPr>
                <w:lang w:val="en-US"/>
              </w:rPr>
              <w:t>$106,067.80</w:t>
            </w:r>
          </w:p>
        </w:tc>
        <w:tc>
          <w:tcPr>
            <w:tcW w:w="1020" w:type="pct"/>
            <w:vMerge w:val="restart"/>
            <w:tcBorders>
              <w:top w:val="single" w:sz="4" w:space="0" w:color="auto"/>
              <w:left w:val="single" w:sz="4" w:space="0" w:color="auto"/>
              <w:right w:val="single" w:sz="4" w:space="0" w:color="auto"/>
            </w:tcBorders>
            <w:hideMark/>
          </w:tcPr>
          <w:p w14:paraId="31078E31" w14:textId="1F8643C4" w:rsidR="000344CA" w:rsidRPr="00BA46AD" w:rsidRDefault="00604533" w:rsidP="00604533">
            <w:pPr>
              <w:pStyle w:val="TableText0"/>
              <w:keepNext w:val="0"/>
              <w:rPr>
                <w:lang w:val="en-US"/>
              </w:rPr>
            </w:pPr>
            <w:r w:rsidRPr="00BA46AD">
              <w:rPr>
                <w:lang w:val="en-US"/>
              </w:rPr>
              <w:t>NSQ and SQ</w:t>
            </w:r>
            <w:r w:rsidR="000344CA" w:rsidRPr="00BA46AD">
              <w:rPr>
                <w:lang w:val="en-US"/>
              </w:rPr>
              <w:t>=</w:t>
            </w:r>
          </w:p>
          <w:p w14:paraId="25E684BE" w14:textId="313F53DC" w:rsidR="00604533" w:rsidRPr="00BA46AD" w:rsidRDefault="00604533" w:rsidP="00604533">
            <w:pPr>
              <w:pStyle w:val="TableText0"/>
              <w:keepNext w:val="0"/>
              <w:rPr>
                <w:lang w:val="en-US"/>
              </w:rPr>
            </w:pPr>
            <w:r w:rsidRPr="00BA46AD">
              <w:rPr>
                <w:lang w:val="en-US"/>
              </w:rPr>
              <w:t>$</w:t>
            </w:r>
            <w:r w:rsidR="000344CA" w:rsidRPr="00BA46AD">
              <w:rPr>
                <w:lang w:val="en-US"/>
              </w:rPr>
              <w:t>110,907.80</w:t>
            </w:r>
            <w:r w:rsidR="002B4DF0" w:rsidRPr="00BA46AD">
              <w:rPr>
                <w:vertAlign w:val="superscript"/>
                <w:lang w:val="en-US"/>
              </w:rPr>
              <w:t>b</w:t>
            </w:r>
          </w:p>
        </w:tc>
        <w:tc>
          <w:tcPr>
            <w:tcW w:w="393" w:type="pct"/>
            <w:vMerge w:val="restart"/>
            <w:tcBorders>
              <w:top w:val="single" w:sz="4" w:space="0" w:color="auto"/>
              <w:left w:val="single" w:sz="4" w:space="0" w:color="auto"/>
              <w:right w:val="single" w:sz="4" w:space="0" w:color="auto"/>
            </w:tcBorders>
            <w:hideMark/>
          </w:tcPr>
          <w:p w14:paraId="177F25BF" w14:textId="77777777" w:rsidR="00604533" w:rsidRPr="00BA46AD" w:rsidRDefault="00604533" w:rsidP="00604533">
            <w:pPr>
              <w:pStyle w:val="TableText0"/>
              <w:keepNext w:val="0"/>
              <w:rPr>
                <w:lang w:val="en-US"/>
              </w:rPr>
            </w:pPr>
            <w:r w:rsidRPr="00BA46AD">
              <w:rPr>
                <w:lang w:val="en-US"/>
              </w:rPr>
              <w:t>-</w:t>
            </w:r>
          </w:p>
        </w:tc>
        <w:tc>
          <w:tcPr>
            <w:tcW w:w="865" w:type="pct"/>
            <w:tcBorders>
              <w:top w:val="single" w:sz="4" w:space="0" w:color="auto"/>
              <w:left w:val="single" w:sz="4" w:space="0" w:color="auto"/>
              <w:right w:val="single" w:sz="4" w:space="0" w:color="auto"/>
            </w:tcBorders>
            <w:hideMark/>
          </w:tcPr>
          <w:p w14:paraId="7732E64B" w14:textId="77777777" w:rsidR="0020532C" w:rsidRPr="00BA46AD" w:rsidRDefault="0020532C" w:rsidP="0020532C">
            <w:pPr>
              <w:pStyle w:val="TableText0"/>
              <w:rPr>
                <w:lang w:val="en-US"/>
              </w:rPr>
            </w:pPr>
            <w:r w:rsidRPr="00BA46AD">
              <w:rPr>
                <w:lang w:val="en-US"/>
              </w:rPr>
              <w:t xml:space="preserve">NSQ: </w:t>
            </w:r>
          </w:p>
          <w:p w14:paraId="76B9BFAF" w14:textId="32320E46" w:rsidR="0020532C" w:rsidRPr="00BA46AD" w:rsidRDefault="0020532C" w:rsidP="0020532C">
            <w:pPr>
              <w:pStyle w:val="TableText0"/>
              <w:rPr>
                <w:lang w:val="en-US"/>
              </w:rPr>
            </w:pPr>
            <w:proofErr w:type="spellStart"/>
            <w:r w:rsidRPr="00BA46AD">
              <w:rPr>
                <w:lang w:val="en-US"/>
              </w:rPr>
              <w:t>Pembro</w:t>
            </w:r>
            <w:proofErr w:type="spellEnd"/>
            <w:r w:rsidR="000344CA" w:rsidRPr="00BA46AD">
              <w:rPr>
                <w:lang w:val="en-US"/>
              </w:rPr>
              <w:t>=</w:t>
            </w:r>
          </w:p>
          <w:p w14:paraId="4EFB80E7" w14:textId="77777777" w:rsidR="0020532C" w:rsidRPr="00BA46AD" w:rsidRDefault="0020532C" w:rsidP="0020532C">
            <w:pPr>
              <w:pStyle w:val="TableText0"/>
              <w:rPr>
                <w:lang w:val="en-US"/>
              </w:rPr>
            </w:pPr>
            <w:r w:rsidRPr="00BA46AD">
              <w:rPr>
                <w:lang w:val="en-US"/>
              </w:rPr>
              <w:t>$108,082.96</w:t>
            </w:r>
          </w:p>
          <w:p w14:paraId="218D0027" w14:textId="2ACFA607" w:rsidR="0020532C" w:rsidRPr="00BA46AD" w:rsidRDefault="0020532C" w:rsidP="0020532C">
            <w:pPr>
              <w:pStyle w:val="TableText0"/>
              <w:rPr>
                <w:lang w:val="en-US"/>
              </w:rPr>
            </w:pPr>
            <w:r w:rsidRPr="00BA46AD">
              <w:rPr>
                <w:lang w:val="en-US"/>
              </w:rPr>
              <w:t>Platinum</w:t>
            </w:r>
            <w:r w:rsidR="000344CA" w:rsidRPr="00BA46AD">
              <w:rPr>
                <w:lang w:val="en-US"/>
              </w:rPr>
              <w:t>=</w:t>
            </w:r>
            <w:r w:rsidRPr="00BA46AD">
              <w:rPr>
                <w:lang w:val="en-US"/>
              </w:rPr>
              <w:t xml:space="preserve"> </w:t>
            </w:r>
            <w:r w:rsidRPr="00BA46AD">
              <w:rPr>
                <w:lang w:val="en-US"/>
              </w:rPr>
              <w:tab/>
            </w:r>
          </w:p>
          <w:p w14:paraId="394B90AA" w14:textId="77777777" w:rsidR="0020532C" w:rsidRPr="00BA46AD" w:rsidRDefault="0020532C" w:rsidP="0020532C">
            <w:pPr>
              <w:pStyle w:val="TableText0"/>
              <w:rPr>
                <w:lang w:val="en-US"/>
              </w:rPr>
            </w:pPr>
            <w:r w:rsidRPr="00BA46AD">
              <w:rPr>
                <w:lang w:val="en-US"/>
              </w:rPr>
              <w:t>$168.06</w:t>
            </w:r>
          </w:p>
          <w:p w14:paraId="22F9A1F3" w14:textId="6DCF4166" w:rsidR="0020532C" w:rsidRPr="00BA46AD" w:rsidRDefault="0020532C" w:rsidP="0020532C">
            <w:pPr>
              <w:pStyle w:val="TableText0"/>
              <w:rPr>
                <w:lang w:val="en-US"/>
              </w:rPr>
            </w:pPr>
            <w:r w:rsidRPr="00BA46AD">
              <w:rPr>
                <w:lang w:val="en-US"/>
              </w:rPr>
              <w:t>Pem</w:t>
            </w:r>
            <w:r w:rsidR="000344CA" w:rsidRPr="00BA46AD">
              <w:rPr>
                <w:lang w:val="en-US"/>
              </w:rPr>
              <w:t>=</w:t>
            </w:r>
          </w:p>
          <w:p w14:paraId="5DC6B919" w14:textId="77777777" w:rsidR="0020532C" w:rsidRPr="00BA46AD" w:rsidRDefault="0020532C" w:rsidP="0020532C">
            <w:pPr>
              <w:pStyle w:val="TableText0"/>
              <w:rPr>
                <w:lang w:val="en-US"/>
              </w:rPr>
            </w:pPr>
            <w:r w:rsidRPr="00BA46AD">
              <w:rPr>
                <w:lang w:val="en-US"/>
              </w:rPr>
              <w:t>$721.21</w:t>
            </w:r>
          </w:p>
          <w:p w14:paraId="2BB7DB69" w14:textId="5D31299B" w:rsidR="0020532C" w:rsidRPr="00BA46AD" w:rsidRDefault="0020532C" w:rsidP="0020532C">
            <w:pPr>
              <w:pStyle w:val="TableText0"/>
              <w:rPr>
                <w:lang w:val="en-US"/>
              </w:rPr>
            </w:pPr>
            <w:r w:rsidRPr="00BA46AD">
              <w:rPr>
                <w:lang w:val="en-US"/>
              </w:rPr>
              <w:t>Total</w:t>
            </w:r>
            <w:r w:rsidR="000344CA" w:rsidRPr="00BA46AD">
              <w:rPr>
                <w:lang w:val="en-US"/>
              </w:rPr>
              <w:t>=</w:t>
            </w:r>
          </w:p>
          <w:p w14:paraId="0A6485B9" w14:textId="3694C809" w:rsidR="00604533" w:rsidRPr="00BA46AD" w:rsidRDefault="0020532C" w:rsidP="0020532C">
            <w:pPr>
              <w:pStyle w:val="TableText0"/>
              <w:rPr>
                <w:lang w:val="en-US"/>
              </w:rPr>
            </w:pPr>
            <w:r w:rsidRPr="00BA46AD">
              <w:rPr>
                <w:lang w:val="en-US"/>
              </w:rPr>
              <w:t>$108,972.27</w:t>
            </w:r>
          </w:p>
        </w:tc>
        <w:tc>
          <w:tcPr>
            <w:tcW w:w="915" w:type="pct"/>
            <w:tcBorders>
              <w:top w:val="single" w:sz="4" w:space="0" w:color="auto"/>
              <w:left w:val="single" w:sz="4" w:space="0" w:color="auto"/>
              <w:bottom w:val="single" w:sz="4" w:space="0" w:color="auto"/>
              <w:right w:val="single" w:sz="4" w:space="0" w:color="auto"/>
            </w:tcBorders>
            <w:hideMark/>
          </w:tcPr>
          <w:p w14:paraId="4D6ACC4B" w14:textId="1F0D487F" w:rsidR="00604533" w:rsidRPr="00BA46AD" w:rsidRDefault="00604533" w:rsidP="00604533">
            <w:pPr>
              <w:pStyle w:val="TableText0"/>
              <w:keepNext w:val="0"/>
              <w:rPr>
                <w:u w:val="single"/>
                <w:lang w:val="en-US"/>
              </w:rPr>
            </w:pPr>
            <w:proofErr w:type="spellStart"/>
            <w:r w:rsidRPr="00BA46AD">
              <w:rPr>
                <w:u w:val="single"/>
                <w:lang w:val="en-US"/>
              </w:rPr>
              <w:t>Pembro+PBC</w:t>
            </w:r>
            <w:proofErr w:type="spellEnd"/>
            <w:r w:rsidRPr="00BA46AD">
              <w:rPr>
                <w:u w:val="single"/>
                <w:lang w:val="en-US"/>
              </w:rPr>
              <w:t xml:space="preserve"> </w:t>
            </w:r>
          </w:p>
          <w:p w14:paraId="152C3B08" w14:textId="0AEE8E6D" w:rsidR="00604533" w:rsidRPr="00BA46AD" w:rsidRDefault="00604533" w:rsidP="00604533">
            <w:pPr>
              <w:pStyle w:val="TableText0"/>
              <w:keepNext w:val="0"/>
              <w:rPr>
                <w:lang w:val="en-US"/>
              </w:rPr>
            </w:pPr>
            <w:r w:rsidRPr="00BA46AD">
              <w:rPr>
                <w:lang w:val="en-US"/>
              </w:rPr>
              <w:t>NSQ</w:t>
            </w:r>
            <w:r w:rsidR="000344CA" w:rsidRPr="00BA46AD">
              <w:rPr>
                <w:lang w:val="en-US"/>
              </w:rPr>
              <w:t>=</w:t>
            </w:r>
            <w:r w:rsidRPr="00BA46AD">
              <w:rPr>
                <w:lang w:val="en-US"/>
              </w:rPr>
              <w:t xml:space="preserve"> $113,613.8</w:t>
            </w:r>
            <w:r w:rsidR="008249AA" w:rsidRPr="00BA46AD">
              <w:rPr>
                <w:lang w:val="en-US"/>
              </w:rPr>
              <w:t>8</w:t>
            </w:r>
          </w:p>
          <w:p w14:paraId="5CE156F4" w14:textId="69B1360E" w:rsidR="00604533" w:rsidRPr="00BA46AD" w:rsidRDefault="00604533" w:rsidP="00604533">
            <w:pPr>
              <w:pStyle w:val="TableText0"/>
              <w:keepNext w:val="0"/>
              <w:rPr>
                <w:lang w:val="en-US"/>
              </w:rPr>
            </w:pPr>
            <w:r w:rsidRPr="00BA46AD">
              <w:rPr>
                <w:lang w:val="en-US"/>
              </w:rPr>
              <w:t>SQ</w:t>
            </w:r>
            <w:r w:rsidR="000344CA" w:rsidRPr="00BA46AD">
              <w:rPr>
                <w:lang w:val="en-US"/>
              </w:rPr>
              <w:t>=</w:t>
            </w:r>
            <w:r w:rsidRPr="00BA46AD">
              <w:rPr>
                <w:lang w:val="en-US"/>
              </w:rPr>
              <w:t xml:space="preserve"> $111,140.4</w:t>
            </w:r>
            <w:r w:rsidR="008249AA" w:rsidRPr="00BA46AD">
              <w:rPr>
                <w:lang w:val="en-US"/>
              </w:rPr>
              <w:t>3</w:t>
            </w:r>
          </w:p>
        </w:tc>
      </w:tr>
      <w:tr w:rsidR="0020532C" w:rsidRPr="00604533" w14:paraId="185D3C2E" w14:textId="77777777" w:rsidTr="000344CA">
        <w:trPr>
          <w:cantSplit/>
          <w:trHeight w:val="192"/>
        </w:trPr>
        <w:tc>
          <w:tcPr>
            <w:tcW w:w="547" w:type="pct"/>
            <w:vMerge/>
            <w:tcBorders>
              <w:left w:val="single" w:sz="4" w:space="0" w:color="auto"/>
              <w:right w:val="single" w:sz="4" w:space="0" w:color="auto"/>
            </w:tcBorders>
          </w:tcPr>
          <w:p w14:paraId="48AEA086" w14:textId="77777777" w:rsidR="0020532C" w:rsidRPr="00604533" w:rsidRDefault="0020532C" w:rsidP="00604533">
            <w:pPr>
              <w:pStyle w:val="TableText0"/>
              <w:keepNext w:val="0"/>
              <w:rPr>
                <w:lang w:val="en-US"/>
              </w:rPr>
            </w:pPr>
          </w:p>
        </w:tc>
        <w:tc>
          <w:tcPr>
            <w:tcW w:w="631" w:type="pct"/>
            <w:vMerge/>
            <w:tcBorders>
              <w:left w:val="single" w:sz="4" w:space="0" w:color="auto"/>
              <w:right w:val="single" w:sz="4" w:space="0" w:color="auto"/>
            </w:tcBorders>
          </w:tcPr>
          <w:p w14:paraId="6E510AC5" w14:textId="77777777" w:rsidR="0020532C" w:rsidRPr="00604533" w:rsidRDefault="0020532C" w:rsidP="00604533">
            <w:pPr>
              <w:pStyle w:val="TableText0"/>
              <w:keepNext w:val="0"/>
              <w:rPr>
                <w:lang w:val="en-US"/>
              </w:rPr>
            </w:pPr>
          </w:p>
        </w:tc>
        <w:tc>
          <w:tcPr>
            <w:tcW w:w="629" w:type="pct"/>
            <w:vMerge w:val="restart"/>
            <w:tcBorders>
              <w:left w:val="single" w:sz="4" w:space="0" w:color="auto"/>
              <w:right w:val="single" w:sz="4" w:space="0" w:color="auto"/>
            </w:tcBorders>
          </w:tcPr>
          <w:p w14:paraId="639F818B" w14:textId="77777777" w:rsidR="0020532C" w:rsidRPr="0020532C" w:rsidRDefault="0020532C" w:rsidP="0020532C">
            <w:pPr>
              <w:pStyle w:val="TableText0"/>
              <w:rPr>
                <w:lang w:val="en-US"/>
              </w:rPr>
            </w:pPr>
            <w:r w:rsidRPr="0020532C">
              <w:rPr>
                <w:lang w:val="en-US"/>
              </w:rPr>
              <w:t xml:space="preserve">SQ: </w:t>
            </w:r>
          </w:p>
          <w:p w14:paraId="7939AC00" w14:textId="26C0825B" w:rsidR="0020532C" w:rsidRPr="0020532C" w:rsidRDefault="0020532C" w:rsidP="0020532C">
            <w:pPr>
              <w:pStyle w:val="TableText0"/>
              <w:rPr>
                <w:lang w:val="en-US"/>
              </w:rPr>
            </w:pPr>
            <w:r w:rsidRPr="0020532C">
              <w:rPr>
                <w:lang w:val="en-US"/>
              </w:rPr>
              <w:t>Dabrafenib</w:t>
            </w:r>
            <w:r w:rsidR="000344CA">
              <w:rPr>
                <w:lang w:val="en-US"/>
              </w:rPr>
              <w:t>=</w:t>
            </w:r>
          </w:p>
          <w:p w14:paraId="34887B87" w14:textId="77777777" w:rsidR="0020532C" w:rsidRPr="0020532C" w:rsidRDefault="0020532C" w:rsidP="0020532C">
            <w:pPr>
              <w:pStyle w:val="TableText0"/>
              <w:rPr>
                <w:lang w:val="en-US"/>
              </w:rPr>
            </w:pPr>
            <w:r w:rsidRPr="0020532C">
              <w:rPr>
                <w:lang w:val="en-US"/>
              </w:rPr>
              <w:t>$50,454.38</w:t>
            </w:r>
          </w:p>
          <w:p w14:paraId="72F7C9E0" w14:textId="1E11816D" w:rsidR="0020532C" w:rsidRPr="0020532C" w:rsidRDefault="0020532C" w:rsidP="0020532C">
            <w:pPr>
              <w:pStyle w:val="TableText0"/>
              <w:rPr>
                <w:lang w:val="en-US"/>
              </w:rPr>
            </w:pPr>
            <w:r w:rsidRPr="0020532C">
              <w:rPr>
                <w:lang w:val="en-US"/>
              </w:rPr>
              <w:t>Trametinib</w:t>
            </w:r>
            <w:r w:rsidR="000344CA">
              <w:rPr>
                <w:lang w:val="en-US"/>
              </w:rPr>
              <w:t>=</w:t>
            </w:r>
          </w:p>
          <w:p w14:paraId="27087C6E" w14:textId="77777777" w:rsidR="0020532C" w:rsidRPr="0020532C" w:rsidRDefault="0020532C" w:rsidP="0020532C">
            <w:pPr>
              <w:pStyle w:val="TableText0"/>
              <w:rPr>
                <w:lang w:val="en-US"/>
              </w:rPr>
            </w:pPr>
            <w:r w:rsidRPr="0020532C">
              <w:rPr>
                <w:lang w:val="en-US"/>
              </w:rPr>
              <w:t>$53,972.21</w:t>
            </w:r>
          </w:p>
          <w:p w14:paraId="0B9A4ABA" w14:textId="60D6185C" w:rsidR="0020532C" w:rsidRPr="0020532C" w:rsidRDefault="0020532C" w:rsidP="0020532C">
            <w:pPr>
              <w:pStyle w:val="TableText0"/>
              <w:rPr>
                <w:lang w:val="en-US"/>
              </w:rPr>
            </w:pPr>
            <w:r w:rsidRPr="0020532C">
              <w:rPr>
                <w:lang w:val="en-US"/>
              </w:rPr>
              <w:t>Total</w:t>
            </w:r>
            <w:r w:rsidR="000344CA">
              <w:rPr>
                <w:lang w:val="en-US"/>
              </w:rPr>
              <w:t>=</w:t>
            </w:r>
          </w:p>
          <w:p w14:paraId="36171C75" w14:textId="39316EFA" w:rsidR="0020532C" w:rsidRPr="00604533" w:rsidRDefault="0020532C" w:rsidP="0020532C">
            <w:pPr>
              <w:pStyle w:val="TableText0"/>
              <w:keepNext w:val="0"/>
              <w:rPr>
                <w:lang w:val="en-US"/>
              </w:rPr>
            </w:pPr>
            <w:r w:rsidRPr="0020532C">
              <w:rPr>
                <w:lang w:val="en-US"/>
              </w:rPr>
              <w:t>$104,426.59</w:t>
            </w:r>
          </w:p>
        </w:tc>
        <w:tc>
          <w:tcPr>
            <w:tcW w:w="1020" w:type="pct"/>
            <w:vMerge/>
            <w:tcBorders>
              <w:left w:val="single" w:sz="4" w:space="0" w:color="auto"/>
              <w:right w:val="single" w:sz="4" w:space="0" w:color="auto"/>
            </w:tcBorders>
          </w:tcPr>
          <w:p w14:paraId="2FAB75C5" w14:textId="77777777" w:rsidR="0020532C" w:rsidRPr="00BA46AD" w:rsidRDefault="0020532C" w:rsidP="00604533">
            <w:pPr>
              <w:pStyle w:val="TableText0"/>
              <w:keepNext w:val="0"/>
              <w:rPr>
                <w:lang w:val="en-US"/>
              </w:rPr>
            </w:pPr>
          </w:p>
        </w:tc>
        <w:tc>
          <w:tcPr>
            <w:tcW w:w="393" w:type="pct"/>
            <w:vMerge/>
            <w:tcBorders>
              <w:left w:val="single" w:sz="4" w:space="0" w:color="auto"/>
              <w:right w:val="single" w:sz="4" w:space="0" w:color="auto"/>
            </w:tcBorders>
          </w:tcPr>
          <w:p w14:paraId="5FD1C20F" w14:textId="77777777" w:rsidR="0020532C" w:rsidRPr="00BA46AD" w:rsidRDefault="0020532C" w:rsidP="00604533">
            <w:pPr>
              <w:pStyle w:val="TableText0"/>
              <w:keepNext w:val="0"/>
              <w:rPr>
                <w:lang w:val="en-US"/>
              </w:rPr>
            </w:pPr>
          </w:p>
        </w:tc>
        <w:tc>
          <w:tcPr>
            <w:tcW w:w="865" w:type="pct"/>
            <w:vMerge w:val="restart"/>
            <w:tcBorders>
              <w:left w:val="single" w:sz="4" w:space="0" w:color="auto"/>
              <w:right w:val="single" w:sz="4" w:space="0" w:color="auto"/>
            </w:tcBorders>
          </w:tcPr>
          <w:p w14:paraId="2C3CE881" w14:textId="77777777" w:rsidR="0020532C" w:rsidRPr="00BA46AD" w:rsidRDefault="0020532C" w:rsidP="0020532C">
            <w:pPr>
              <w:pStyle w:val="TableText0"/>
              <w:rPr>
                <w:lang w:val="en-US"/>
              </w:rPr>
            </w:pPr>
            <w:r w:rsidRPr="00BA46AD">
              <w:rPr>
                <w:lang w:val="en-US"/>
              </w:rPr>
              <w:t>SQ:</w:t>
            </w:r>
          </w:p>
          <w:p w14:paraId="37B05B48" w14:textId="0916068D" w:rsidR="0020532C" w:rsidRPr="00BA46AD" w:rsidRDefault="0020532C" w:rsidP="0020532C">
            <w:pPr>
              <w:pStyle w:val="TableText0"/>
              <w:rPr>
                <w:lang w:val="en-US"/>
              </w:rPr>
            </w:pPr>
            <w:proofErr w:type="spellStart"/>
            <w:r w:rsidRPr="00BA46AD">
              <w:rPr>
                <w:lang w:val="en-US"/>
              </w:rPr>
              <w:t>Pembro</w:t>
            </w:r>
            <w:proofErr w:type="spellEnd"/>
            <w:r w:rsidR="000344CA" w:rsidRPr="00BA46AD">
              <w:rPr>
                <w:lang w:val="en-US"/>
              </w:rPr>
              <w:t>=</w:t>
            </w:r>
          </w:p>
          <w:p w14:paraId="03AA9866" w14:textId="77777777" w:rsidR="0020532C" w:rsidRPr="00BA46AD" w:rsidRDefault="0020532C" w:rsidP="0020532C">
            <w:pPr>
              <w:pStyle w:val="TableText0"/>
              <w:rPr>
                <w:lang w:val="en-US"/>
              </w:rPr>
            </w:pPr>
            <w:r w:rsidRPr="00BA46AD">
              <w:rPr>
                <w:lang w:val="en-US"/>
              </w:rPr>
              <w:t>$107,217.81</w:t>
            </w:r>
          </w:p>
          <w:p w14:paraId="42A54038" w14:textId="3B079FE1" w:rsidR="0020532C" w:rsidRPr="00BA46AD" w:rsidRDefault="0020532C" w:rsidP="0020532C">
            <w:pPr>
              <w:pStyle w:val="TableText0"/>
              <w:rPr>
                <w:lang w:val="en-US"/>
              </w:rPr>
            </w:pPr>
            <w:r w:rsidRPr="00BA46AD">
              <w:rPr>
                <w:lang w:val="en-US"/>
              </w:rPr>
              <w:t>Platinum</w:t>
            </w:r>
            <w:r w:rsidR="000344CA" w:rsidRPr="00BA46AD">
              <w:rPr>
                <w:lang w:val="en-US"/>
              </w:rPr>
              <w:t>=</w:t>
            </w:r>
          </w:p>
          <w:p w14:paraId="589D82E7" w14:textId="77777777" w:rsidR="0020532C" w:rsidRPr="00BA46AD" w:rsidRDefault="0020532C" w:rsidP="0020532C">
            <w:pPr>
              <w:pStyle w:val="TableText0"/>
              <w:rPr>
                <w:lang w:val="en-US"/>
              </w:rPr>
            </w:pPr>
            <w:r w:rsidRPr="00BA46AD">
              <w:rPr>
                <w:lang w:val="en-US"/>
              </w:rPr>
              <w:t>$192.52</w:t>
            </w:r>
          </w:p>
          <w:p w14:paraId="2DB3BA9A" w14:textId="0A0DDFC0" w:rsidR="0020532C" w:rsidRPr="00BA46AD" w:rsidRDefault="0020532C" w:rsidP="0020532C">
            <w:pPr>
              <w:pStyle w:val="TableText0"/>
              <w:rPr>
                <w:lang w:val="en-US"/>
              </w:rPr>
            </w:pPr>
            <w:r w:rsidRPr="00BA46AD">
              <w:rPr>
                <w:lang w:val="en-US"/>
              </w:rPr>
              <w:t>Paclitaxel</w:t>
            </w:r>
            <w:r w:rsidR="000344CA" w:rsidRPr="00BA46AD">
              <w:rPr>
                <w:lang w:val="en-US"/>
              </w:rPr>
              <w:t>=</w:t>
            </w:r>
            <w:r w:rsidRPr="00BA46AD">
              <w:rPr>
                <w:lang w:val="en-US"/>
              </w:rPr>
              <w:tab/>
            </w:r>
          </w:p>
          <w:p w14:paraId="630A61E3" w14:textId="77777777" w:rsidR="0020532C" w:rsidRPr="00BA46AD" w:rsidRDefault="0020532C" w:rsidP="0020532C">
            <w:pPr>
              <w:pStyle w:val="TableText0"/>
              <w:rPr>
                <w:lang w:val="en-US"/>
              </w:rPr>
            </w:pPr>
            <w:r w:rsidRPr="00BA46AD">
              <w:rPr>
                <w:lang w:val="en-US"/>
              </w:rPr>
              <w:t>$264.82</w:t>
            </w:r>
          </w:p>
          <w:p w14:paraId="205A274B" w14:textId="3AF999BD" w:rsidR="0020532C" w:rsidRPr="00BA46AD" w:rsidRDefault="0020532C" w:rsidP="0020532C">
            <w:pPr>
              <w:pStyle w:val="TableText0"/>
              <w:rPr>
                <w:lang w:val="en-US"/>
              </w:rPr>
            </w:pPr>
            <w:r w:rsidRPr="00BA46AD">
              <w:rPr>
                <w:lang w:val="en-US"/>
              </w:rPr>
              <w:t>Tota</w:t>
            </w:r>
            <w:r w:rsidR="000344CA" w:rsidRPr="00BA46AD">
              <w:rPr>
                <w:lang w:val="en-US"/>
              </w:rPr>
              <w:t>l=</w:t>
            </w:r>
          </w:p>
          <w:p w14:paraId="0D0E9BD5" w14:textId="3DA23C51" w:rsidR="0020532C" w:rsidRPr="00BA46AD" w:rsidRDefault="0020532C" w:rsidP="0020532C">
            <w:pPr>
              <w:pStyle w:val="TableText0"/>
              <w:keepNext w:val="0"/>
              <w:rPr>
                <w:lang w:val="en-US"/>
              </w:rPr>
            </w:pPr>
            <w:r w:rsidRPr="00BA46AD">
              <w:rPr>
                <w:lang w:val="en-US"/>
              </w:rPr>
              <w:t>$107,675.15</w:t>
            </w:r>
          </w:p>
        </w:tc>
        <w:tc>
          <w:tcPr>
            <w:tcW w:w="915" w:type="pct"/>
            <w:tcBorders>
              <w:top w:val="single" w:sz="4" w:space="0" w:color="auto"/>
              <w:left w:val="single" w:sz="4" w:space="0" w:color="auto"/>
              <w:bottom w:val="single" w:sz="4" w:space="0" w:color="auto"/>
              <w:right w:val="single" w:sz="4" w:space="0" w:color="auto"/>
            </w:tcBorders>
          </w:tcPr>
          <w:p w14:paraId="12354193" w14:textId="77777777" w:rsidR="000344CA" w:rsidRPr="00BA46AD" w:rsidRDefault="0020532C" w:rsidP="00604533">
            <w:pPr>
              <w:pStyle w:val="TableText0"/>
              <w:keepNext w:val="0"/>
              <w:rPr>
                <w:u w:val="single"/>
                <w:lang w:val="en-US"/>
              </w:rPr>
            </w:pPr>
            <w:r w:rsidRPr="00BA46AD">
              <w:rPr>
                <w:u w:val="single"/>
                <w:lang w:val="en-US"/>
              </w:rPr>
              <w:t xml:space="preserve">Monotherapy </w:t>
            </w:r>
          </w:p>
          <w:p w14:paraId="4A94FB83" w14:textId="57A93A7A" w:rsidR="0020532C" w:rsidRPr="00BA46AD" w:rsidRDefault="0020532C" w:rsidP="00604533">
            <w:pPr>
              <w:pStyle w:val="TableText0"/>
              <w:keepNext w:val="0"/>
              <w:rPr>
                <w:lang w:val="en-US"/>
              </w:rPr>
            </w:pPr>
            <w:r w:rsidRPr="00BA46AD">
              <w:rPr>
                <w:lang w:val="en-US"/>
              </w:rPr>
              <w:t>NSQ</w:t>
            </w:r>
            <w:r w:rsidR="000344CA" w:rsidRPr="00BA46AD">
              <w:rPr>
                <w:lang w:val="en-US"/>
              </w:rPr>
              <w:t>=</w:t>
            </w:r>
            <w:r w:rsidRPr="00BA46AD">
              <w:rPr>
                <w:lang w:val="en-US"/>
              </w:rPr>
              <w:t xml:space="preserve"> $110,689.40</w:t>
            </w:r>
          </w:p>
          <w:p w14:paraId="5081A329" w14:textId="588C5871" w:rsidR="0020532C" w:rsidRPr="00BA46AD" w:rsidRDefault="0020532C" w:rsidP="00604533">
            <w:pPr>
              <w:pStyle w:val="TableText0"/>
              <w:keepNext w:val="0"/>
              <w:rPr>
                <w:lang w:val="en-US"/>
              </w:rPr>
            </w:pPr>
            <w:r w:rsidRPr="00BA46AD">
              <w:rPr>
                <w:lang w:val="en-US"/>
              </w:rPr>
              <w:t>SQ</w:t>
            </w:r>
            <w:r w:rsidR="000344CA" w:rsidRPr="00BA46AD">
              <w:rPr>
                <w:lang w:val="en-US"/>
              </w:rPr>
              <w:t>=</w:t>
            </w:r>
            <w:r w:rsidRPr="00BA46AD">
              <w:rPr>
                <w:lang w:val="en-US"/>
              </w:rPr>
              <w:t xml:space="preserve"> $109,827.70</w:t>
            </w:r>
          </w:p>
        </w:tc>
      </w:tr>
      <w:tr w:rsidR="0020532C" w:rsidRPr="00604533" w14:paraId="4F0BFFAD" w14:textId="77777777" w:rsidTr="000344CA">
        <w:trPr>
          <w:cantSplit/>
          <w:trHeight w:val="192"/>
        </w:trPr>
        <w:tc>
          <w:tcPr>
            <w:tcW w:w="547" w:type="pct"/>
            <w:vMerge/>
            <w:tcBorders>
              <w:left w:val="single" w:sz="4" w:space="0" w:color="auto"/>
              <w:bottom w:val="single" w:sz="4" w:space="0" w:color="auto"/>
              <w:right w:val="single" w:sz="4" w:space="0" w:color="auto"/>
            </w:tcBorders>
          </w:tcPr>
          <w:p w14:paraId="4BDA73D9" w14:textId="77777777" w:rsidR="0020532C" w:rsidRPr="00604533" w:rsidRDefault="0020532C" w:rsidP="00604533">
            <w:pPr>
              <w:pStyle w:val="TableText0"/>
              <w:keepNext w:val="0"/>
              <w:rPr>
                <w:lang w:val="en-US"/>
              </w:rPr>
            </w:pPr>
          </w:p>
        </w:tc>
        <w:tc>
          <w:tcPr>
            <w:tcW w:w="631" w:type="pct"/>
            <w:vMerge/>
            <w:tcBorders>
              <w:left w:val="single" w:sz="4" w:space="0" w:color="auto"/>
              <w:bottom w:val="single" w:sz="4" w:space="0" w:color="auto"/>
              <w:right w:val="single" w:sz="4" w:space="0" w:color="auto"/>
            </w:tcBorders>
          </w:tcPr>
          <w:p w14:paraId="169B1C15" w14:textId="77777777" w:rsidR="0020532C" w:rsidRPr="00604533" w:rsidRDefault="0020532C" w:rsidP="00604533">
            <w:pPr>
              <w:pStyle w:val="TableText0"/>
              <w:keepNext w:val="0"/>
              <w:rPr>
                <w:lang w:val="en-US"/>
              </w:rPr>
            </w:pPr>
          </w:p>
        </w:tc>
        <w:tc>
          <w:tcPr>
            <w:tcW w:w="629" w:type="pct"/>
            <w:vMerge/>
            <w:tcBorders>
              <w:left w:val="single" w:sz="4" w:space="0" w:color="auto"/>
              <w:bottom w:val="single" w:sz="4" w:space="0" w:color="auto"/>
              <w:right w:val="single" w:sz="4" w:space="0" w:color="auto"/>
            </w:tcBorders>
          </w:tcPr>
          <w:p w14:paraId="579119B5" w14:textId="77777777" w:rsidR="0020532C" w:rsidRPr="00604533" w:rsidRDefault="0020532C" w:rsidP="00604533">
            <w:pPr>
              <w:pStyle w:val="TableText0"/>
              <w:keepNext w:val="0"/>
              <w:rPr>
                <w:lang w:val="en-US"/>
              </w:rPr>
            </w:pPr>
          </w:p>
        </w:tc>
        <w:tc>
          <w:tcPr>
            <w:tcW w:w="1020" w:type="pct"/>
            <w:vMerge/>
            <w:tcBorders>
              <w:left w:val="single" w:sz="4" w:space="0" w:color="auto"/>
              <w:bottom w:val="single" w:sz="4" w:space="0" w:color="auto"/>
              <w:right w:val="single" w:sz="4" w:space="0" w:color="auto"/>
            </w:tcBorders>
          </w:tcPr>
          <w:p w14:paraId="74942AEA" w14:textId="77777777" w:rsidR="0020532C" w:rsidRPr="00BA46AD" w:rsidRDefault="0020532C" w:rsidP="00604533">
            <w:pPr>
              <w:pStyle w:val="TableText0"/>
              <w:keepNext w:val="0"/>
              <w:rPr>
                <w:lang w:val="en-US"/>
              </w:rPr>
            </w:pPr>
          </w:p>
        </w:tc>
        <w:tc>
          <w:tcPr>
            <w:tcW w:w="393" w:type="pct"/>
            <w:vMerge/>
            <w:tcBorders>
              <w:left w:val="single" w:sz="4" w:space="0" w:color="auto"/>
              <w:bottom w:val="single" w:sz="4" w:space="0" w:color="auto"/>
              <w:right w:val="single" w:sz="4" w:space="0" w:color="auto"/>
            </w:tcBorders>
          </w:tcPr>
          <w:p w14:paraId="733F3E01" w14:textId="77777777" w:rsidR="0020532C" w:rsidRPr="00BA46AD" w:rsidRDefault="0020532C" w:rsidP="00604533">
            <w:pPr>
              <w:pStyle w:val="TableText0"/>
              <w:keepNext w:val="0"/>
              <w:rPr>
                <w:lang w:val="en-US"/>
              </w:rPr>
            </w:pPr>
          </w:p>
        </w:tc>
        <w:tc>
          <w:tcPr>
            <w:tcW w:w="865" w:type="pct"/>
            <w:vMerge/>
            <w:tcBorders>
              <w:left w:val="single" w:sz="4" w:space="0" w:color="auto"/>
              <w:bottom w:val="single" w:sz="4" w:space="0" w:color="auto"/>
              <w:right w:val="single" w:sz="4" w:space="0" w:color="auto"/>
            </w:tcBorders>
          </w:tcPr>
          <w:p w14:paraId="5C3A94E3" w14:textId="77777777" w:rsidR="0020532C" w:rsidRPr="00BA46AD" w:rsidRDefault="0020532C" w:rsidP="00604533">
            <w:pPr>
              <w:pStyle w:val="TableText0"/>
              <w:keepNext w:val="0"/>
              <w:rPr>
                <w:lang w:val="en-US"/>
              </w:rPr>
            </w:pPr>
          </w:p>
        </w:tc>
        <w:tc>
          <w:tcPr>
            <w:tcW w:w="915" w:type="pct"/>
            <w:tcBorders>
              <w:top w:val="single" w:sz="4" w:space="0" w:color="auto"/>
              <w:left w:val="single" w:sz="4" w:space="0" w:color="auto"/>
              <w:bottom w:val="single" w:sz="4" w:space="0" w:color="auto"/>
              <w:right w:val="single" w:sz="4" w:space="0" w:color="auto"/>
            </w:tcBorders>
          </w:tcPr>
          <w:p w14:paraId="4E6EB14A" w14:textId="0F0D918D" w:rsidR="0020532C" w:rsidRPr="00BA46AD" w:rsidRDefault="0020532C" w:rsidP="00604533">
            <w:pPr>
              <w:pStyle w:val="TableText0"/>
              <w:keepNext w:val="0"/>
              <w:rPr>
                <w:u w:val="single"/>
                <w:lang w:val="en-US"/>
              </w:rPr>
            </w:pPr>
            <w:r w:rsidRPr="00BA46AD">
              <w:rPr>
                <w:u w:val="single"/>
                <w:lang w:val="en-US"/>
              </w:rPr>
              <w:t>PBC</w:t>
            </w:r>
          </w:p>
          <w:p w14:paraId="07944225" w14:textId="0919C573" w:rsidR="0020532C" w:rsidRPr="00BA46AD" w:rsidRDefault="0020532C" w:rsidP="00604533">
            <w:pPr>
              <w:pStyle w:val="TableText0"/>
              <w:keepNext w:val="0"/>
              <w:rPr>
                <w:lang w:val="en-US"/>
              </w:rPr>
            </w:pPr>
            <w:r w:rsidRPr="00BA46AD">
              <w:rPr>
                <w:lang w:val="en-US"/>
              </w:rPr>
              <w:t>NSQ</w:t>
            </w:r>
            <w:r w:rsidR="000344CA" w:rsidRPr="00BA46AD">
              <w:rPr>
                <w:lang w:val="en-US"/>
              </w:rPr>
              <w:t>=</w:t>
            </w:r>
            <w:r w:rsidRPr="00BA46AD">
              <w:rPr>
                <w:lang w:val="en-US"/>
              </w:rPr>
              <w:t xml:space="preserve"> $2,214.2</w:t>
            </w:r>
            <w:r w:rsidR="008249AA" w:rsidRPr="00BA46AD">
              <w:rPr>
                <w:lang w:val="en-US"/>
              </w:rPr>
              <w:t>8</w:t>
            </w:r>
          </w:p>
          <w:p w14:paraId="5DBA4C3F" w14:textId="2D6205FE" w:rsidR="0020532C" w:rsidRPr="00BA46AD" w:rsidRDefault="0020532C" w:rsidP="00604533">
            <w:pPr>
              <w:pStyle w:val="TableText0"/>
              <w:keepNext w:val="0"/>
              <w:rPr>
                <w:lang w:val="en-US"/>
              </w:rPr>
            </w:pPr>
            <w:r w:rsidRPr="00BA46AD">
              <w:rPr>
                <w:lang w:val="en-US"/>
              </w:rPr>
              <w:t>SQ</w:t>
            </w:r>
            <w:r w:rsidR="000344CA" w:rsidRPr="00BA46AD">
              <w:rPr>
                <w:lang w:val="en-US"/>
              </w:rPr>
              <w:t>=</w:t>
            </w:r>
            <w:r w:rsidRPr="00BA46AD">
              <w:rPr>
                <w:lang w:val="en-US"/>
              </w:rPr>
              <w:t>$1,280.2</w:t>
            </w:r>
            <w:r w:rsidR="008249AA" w:rsidRPr="00BA46AD">
              <w:rPr>
                <w:lang w:val="en-US"/>
              </w:rPr>
              <w:t>8</w:t>
            </w:r>
          </w:p>
        </w:tc>
      </w:tr>
    </w:tbl>
    <w:p w14:paraId="27F100EC" w14:textId="77777777" w:rsidR="00604533" w:rsidRPr="00B6418E" w:rsidRDefault="00604533" w:rsidP="00604533">
      <w:pPr>
        <w:pStyle w:val="FooterTableFigure"/>
      </w:pPr>
      <w:r w:rsidRPr="00B6418E">
        <w:t xml:space="preserve">Source: </w:t>
      </w:r>
      <w:r>
        <w:t xml:space="preserve">Table 3.0060, p213 and Table 3.0061, p215 of the E2201 study CSR, </w:t>
      </w:r>
      <w:r w:rsidRPr="003330B8">
        <w:t>‘</w:t>
      </w:r>
      <w:proofErr w:type="spellStart"/>
      <w:r w:rsidRPr="003330B8">
        <w:t>Mekinist</w:t>
      </w:r>
      <w:proofErr w:type="spellEnd"/>
      <w:r w:rsidRPr="003330B8">
        <w:t xml:space="preserve"> (trametinib) </w:t>
      </w:r>
      <w:proofErr w:type="spellStart"/>
      <w:r w:rsidRPr="003330B8">
        <w:t>Tafinlar</w:t>
      </w:r>
      <w:proofErr w:type="spellEnd"/>
      <w:r w:rsidRPr="003330B8">
        <w:t xml:space="preserve"> (dabrafenib) – NSCLC- </w:t>
      </w:r>
      <w:proofErr w:type="spellStart"/>
      <w:r w:rsidRPr="003330B8">
        <w:t>UCM.xslx</w:t>
      </w:r>
      <w:proofErr w:type="spellEnd"/>
      <w:r w:rsidRPr="003330B8">
        <w:t>’ workbook</w:t>
      </w:r>
      <w:r>
        <w:t>, and ‘</w:t>
      </w:r>
      <w:proofErr w:type="spellStart"/>
      <w:r w:rsidRPr="003330B8">
        <w:t>Mekinist</w:t>
      </w:r>
      <w:proofErr w:type="spellEnd"/>
      <w:r w:rsidRPr="003330B8">
        <w:t xml:space="preserve"> (trametinib) </w:t>
      </w:r>
      <w:proofErr w:type="spellStart"/>
      <w:r w:rsidRPr="003330B8">
        <w:t>Tafinlar</w:t>
      </w:r>
      <w:proofErr w:type="spellEnd"/>
      <w:r w:rsidRPr="003330B8">
        <w:t xml:space="preserve"> (dabrafenib) – CMA’.xlsx workbook.</w:t>
      </w:r>
    </w:p>
    <w:p w14:paraId="63BD2D75" w14:textId="20DE0600" w:rsidR="00604533" w:rsidRPr="00B6418E" w:rsidRDefault="00604533" w:rsidP="00604533">
      <w:pPr>
        <w:pStyle w:val="FooterTableFigure"/>
        <w:rPr>
          <w:vertAlign w:val="superscript"/>
        </w:rPr>
      </w:pPr>
      <w:r>
        <w:t xml:space="preserve">AEMP = approved ex-manufacturer price; Carb = </w:t>
      </w:r>
      <w:r w:rsidRPr="00B6418E">
        <w:t xml:space="preserve">carboplatin, </w:t>
      </w:r>
      <w:r>
        <w:t>cis</w:t>
      </w:r>
      <w:r w:rsidRPr="00B6418E">
        <w:t xml:space="preserve"> </w:t>
      </w:r>
      <w:r>
        <w:t xml:space="preserve">= </w:t>
      </w:r>
      <w:r w:rsidRPr="00B6418E">
        <w:t xml:space="preserve">cisplatin, </w:t>
      </w:r>
      <w:r>
        <w:t xml:space="preserve">DPMQ/DPMA = dispensed price for maximum quantity/amount, PBC = platinum-based chemotherapy; </w:t>
      </w:r>
      <w:r w:rsidRPr="00B6418E">
        <w:t>P</w:t>
      </w:r>
      <w:r>
        <w:t>em</w:t>
      </w:r>
      <w:r w:rsidRPr="00B6418E">
        <w:t xml:space="preserve"> </w:t>
      </w:r>
      <w:r>
        <w:t xml:space="preserve">= </w:t>
      </w:r>
      <w:r w:rsidRPr="00B6418E">
        <w:t xml:space="preserve">pemetrexed, </w:t>
      </w:r>
      <w:proofErr w:type="spellStart"/>
      <w:r>
        <w:t>Pembro</w:t>
      </w:r>
      <w:proofErr w:type="spellEnd"/>
      <w:r>
        <w:t xml:space="preserve"> = </w:t>
      </w:r>
      <w:r w:rsidRPr="00B6418E">
        <w:t xml:space="preserve">pembrolizumab, </w:t>
      </w:r>
      <w:r>
        <w:t xml:space="preserve">pts = patients; </w:t>
      </w:r>
      <w:r w:rsidRPr="00B6418E">
        <w:t>RDI =</w:t>
      </w:r>
      <w:r>
        <w:t xml:space="preserve"> </w:t>
      </w:r>
      <w:r w:rsidRPr="00B6418E">
        <w:t>relative dose intensity,</w:t>
      </w:r>
      <w:r>
        <w:t xml:space="preserve"> </w:t>
      </w:r>
      <w:r w:rsidRPr="00B6418E">
        <w:t xml:space="preserve">NR </w:t>
      </w:r>
      <w:r>
        <w:t xml:space="preserve">= </w:t>
      </w:r>
      <w:r w:rsidRPr="00B6418E">
        <w:t xml:space="preserve">not reported, NSQ </w:t>
      </w:r>
      <w:r>
        <w:t xml:space="preserve">= </w:t>
      </w:r>
      <w:r w:rsidRPr="00B6418E">
        <w:t xml:space="preserve">non-squamous, SQ </w:t>
      </w:r>
      <w:r>
        <w:t xml:space="preserve">= </w:t>
      </w:r>
      <w:r w:rsidRPr="00B6418E">
        <w:t>squamous</w:t>
      </w:r>
      <w:r>
        <w:t>.</w:t>
      </w:r>
    </w:p>
    <w:p w14:paraId="6B85C588" w14:textId="6B7CF673" w:rsidR="00604533" w:rsidRPr="00BA46AD" w:rsidRDefault="00604533" w:rsidP="00604533">
      <w:pPr>
        <w:pStyle w:val="FooterTableFigure"/>
      </w:pPr>
      <w:r w:rsidRPr="00BA46AD">
        <w:rPr>
          <w:vertAlign w:val="superscript"/>
        </w:rPr>
        <w:t>a</w:t>
      </w:r>
      <w:r w:rsidRPr="00BA46AD">
        <w:t xml:space="preserve"> Cost/patient/course for financials was calculated using the duration of treatment reported for each medicine multiplied by cost per dose and </w:t>
      </w:r>
      <w:r w:rsidR="000344CA" w:rsidRPr="00BA46AD">
        <w:t xml:space="preserve">includes </w:t>
      </w:r>
      <w:r w:rsidRPr="00BA46AD">
        <w:t xml:space="preserve">patient co-payment. </w:t>
      </w:r>
    </w:p>
    <w:p w14:paraId="6FD5320C" w14:textId="426ADE75" w:rsidR="002B4DF0" w:rsidRPr="00BA46AD" w:rsidRDefault="00BD7778" w:rsidP="00604533">
      <w:pPr>
        <w:pStyle w:val="FooterTableFigure"/>
      </w:pPr>
      <w:r w:rsidRPr="00BA46AD">
        <w:rPr>
          <w:vertAlign w:val="superscript"/>
        </w:rPr>
        <w:t>b</w:t>
      </w:r>
      <w:r w:rsidR="002B4DF0" w:rsidRPr="00BA46AD">
        <w:t xml:space="preserve"> </w:t>
      </w:r>
      <w:r w:rsidR="000344CA" w:rsidRPr="00BA46AD">
        <w:t>The cost was</w:t>
      </w:r>
      <w:r w:rsidRPr="00BA46AD">
        <w:t xml:space="preserve"> not differentiated by NSQ or SQ histology, as the submission proposed a weighted AEMP (76.79% for NSQ and 23.21% for SQ) calculated using the economic model</w:t>
      </w:r>
      <w:r w:rsidR="007B6148" w:rsidRPr="00BA46AD">
        <w:t>.</w:t>
      </w:r>
    </w:p>
    <w:p w14:paraId="77C7C58D" w14:textId="5FF22E65" w:rsidR="00604533" w:rsidRPr="00BA46AD" w:rsidRDefault="00604533" w:rsidP="00604533">
      <w:pPr>
        <w:pStyle w:val="FooterTableFigure"/>
      </w:pPr>
      <w:r w:rsidRPr="00BA46AD">
        <w:t xml:space="preserve">Italics calculated during evaluation. </w:t>
      </w:r>
    </w:p>
    <w:p w14:paraId="268768EF" w14:textId="3626F292" w:rsidR="00B60939" w:rsidRPr="00C9624D" w:rsidRDefault="00B60939" w:rsidP="00217F6A">
      <w:pPr>
        <w:pStyle w:val="4-SubsectionHeading"/>
        <w:tabs>
          <w:tab w:val="left" w:pos="5812"/>
        </w:tabs>
      </w:pPr>
      <w:bookmarkStart w:id="93" w:name="_Toc22897647"/>
      <w:bookmarkStart w:id="94" w:name="_Toc186369245"/>
      <w:bookmarkStart w:id="95" w:name="_Toc188347783"/>
      <w:r w:rsidRPr="00C9624D">
        <w:t>Estimated PBS usage &amp; financial implications</w:t>
      </w:r>
      <w:bookmarkEnd w:id="93"/>
      <w:bookmarkEnd w:id="94"/>
      <w:bookmarkEnd w:id="95"/>
    </w:p>
    <w:p w14:paraId="264A1C0D" w14:textId="685F131B" w:rsidR="000A2F12" w:rsidRDefault="00C25D9C" w:rsidP="000A2F12">
      <w:pPr>
        <w:pStyle w:val="3-BodyText"/>
      </w:pPr>
      <w:r>
        <w:t xml:space="preserve">This submission </w:t>
      </w:r>
      <w:r w:rsidR="00EE1F88">
        <w:t xml:space="preserve">was </w:t>
      </w:r>
      <w:r>
        <w:t>not considered by DUSC</w:t>
      </w:r>
      <w:r w:rsidRPr="00B50DB8">
        <w:rPr>
          <w:color w:val="0070C0"/>
        </w:rPr>
        <w:t>.</w:t>
      </w:r>
      <w:r w:rsidR="00BC591F">
        <w:rPr>
          <w:color w:val="0070C0"/>
        </w:rPr>
        <w:t xml:space="preserve"> </w:t>
      </w:r>
      <w:r w:rsidR="000A2F12" w:rsidRPr="006D1A5F">
        <w:t>The</w:t>
      </w:r>
      <w:r w:rsidR="000A2F12" w:rsidRPr="00A47365">
        <w:t xml:space="preserve"> submission used a</w:t>
      </w:r>
      <w:r w:rsidR="009F714A">
        <w:t xml:space="preserve">n epidemiological </w:t>
      </w:r>
      <w:r w:rsidR="000A2F12" w:rsidRPr="00A47365">
        <w:t xml:space="preserve">approach to estimate the utilisation and financial impact of listing </w:t>
      </w:r>
      <w:r w:rsidR="000A2F12">
        <w:t xml:space="preserve">D+T </w:t>
      </w:r>
      <w:r w:rsidR="000A2F12" w:rsidRPr="00A47365">
        <w:t xml:space="preserve">for the treatment of patients with </w:t>
      </w:r>
      <w:r w:rsidR="000A2F12">
        <w:t xml:space="preserve">BRAF V600E mutation positive </w:t>
      </w:r>
      <w:r w:rsidR="000A2F12" w:rsidRPr="00A47365">
        <w:t>Stage IV NSCLC.</w:t>
      </w:r>
      <w:r w:rsidR="00C8201B">
        <w:t xml:space="preserve"> </w:t>
      </w:r>
    </w:p>
    <w:p w14:paraId="5035CFE5" w14:textId="0998297D" w:rsidR="003D79A8" w:rsidRPr="00BA46AD" w:rsidRDefault="003D79A8" w:rsidP="000A2F12">
      <w:pPr>
        <w:pStyle w:val="3-BodyText"/>
      </w:pPr>
      <w:r w:rsidRPr="003D79A8">
        <w:t xml:space="preserve">To aid in the diagnosis and classification of NSCLC, two MBS-listed multi-gene panel tests (items 73437 and 73438) currently include BRAF mutation testing. </w:t>
      </w:r>
      <w:r w:rsidR="00675160" w:rsidRPr="00BA46AD">
        <w:t xml:space="preserve">Patients with NSCLC would undergo the multi-gene panel test regardless of the availability of D+T, with no re-testing required for BRAF V600E mutation. </w:t>
      </w:r>
    </w:p>
    <w:p w14:paraId="04B31D2D" w14:textId="2EFD0488" w:rsidR="0072416F" w:rsidRPr="002B05A1" w:rsidRDefault="00E16AD8" w:rsidP="006D3B5C">
      <w:pPr>
        <w:pStyle w:val="3-BodyText"/>
      </w:pPr>
      <w:r>
        <w:fldChar w:fldCharType="begin"/>
      </w:r>
      <w:r>
        <w:instrText xml:space="preserve"> REF _Ref104805262 \h  \* MERGEFORMAT </w:instrText>
      </w:r>
      <w:r>
        <w:fldChar w:fldCharType="separate"/>
      </w:r>
      <w:r w:rsidR="00EF4998">
        <w:t>Table 15</w:t>
      </w:r>
      <w:r>
        <w:fldChar w:fldCharType="end"/>
      </w:r>
      <w:r>
        <w:t xml:space="preserve"> </w:t>
      </w:r>
      <w:r w:rsidR="006D3B5C" w:rsidRPr="006D3B5C">
        <w:t xml:space="preserve">summarises the key inputs and data sources to estimate </w:t>
      </w:r>
      <w:r w:rsidR="008D7E45">
        <w:t>the utilisation of D+T</w:t>
      </w:r>
      <w:r w:rsidR="006D3B5C" w:rsidRPr="006D3B5C">
        <w:t>.</w:t>
      </w:r>
    </w:p>
    <w:p w14:paraId="3393BCE7" w14:textId="762D4A20" w:rsidR="00E42F73" w:rsidRPr="007925DF" w:rsidRDefault="00E16AD8" w:rsidP="507C910F">
      <w:pPr>
        <w:pStyle w:val="Caption"/>
        <w:rPr>
          <w:rStyle w:val="CommentReference"/>
          <w:b/>
        </w:rPr>
      </w:pPr>
      <w:bookmarkStart w:id="96" w:name="_Ref104805262"/>
      <w:r>
        <w:lastRenderedPageBreak/>
        <w:t xml:space="preserve">Table </w:t>
      </w:r>
      <w:r w:rsidRPr="507C910F">
        <w:fldChar w:fldCharType="begin"/>
      </w:r>
      <w:r>
        <w:instrText xml:space="preserve"> SEQ Table \* ARABIC </w:instrText>
      </w:r>
      <w:r w:rsidRPr="507C910F">
        <w:fldChar w:fldCharType="separate"/>
      </w:r>
      <w:r w:rsidR="00EF4998">
        <w:rPr>
          <w:noProof/>
        </w:rPr>
        <w:t>15</w:t>
      </w:r>
      <w:r w:rsidRPr="507C910F">
        <w:rPr>
          <w:noProof/>
        </w:rPr>
        <w:fldChar w:fldCharType="end"/>
      </w:r>
      <w:bookmarkEnd w:id="96"/>
      <w:r>
        <w:t>:</w:t>
      </w:r>
      <w:r w:rsidR="00E42F73" w:rsidRPr="507C910F">
        <w:rPr>
          <w:rStyle w:val="CommentReference"/>
          <w:b/>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704"/>
        <w:gridCol w:w="570"/>
        <w:gridCol w:w="568"/>
        <w:gridCol w:w="1693"/>
        <w:gridCol w:w="2927"/>
      </w:tblGrid>
      <w:tr w:rsidR="00A9648D" w:rsidRPr="003D1DE4" w14:paraId="7AFD013A" w14:textId="77777777" w:rsidTr="507C910F">
        <w:trPr>
          <w:tblHeader/>
        </w:trPr>
        <w:tc>
          <w:tcPr>
            <w:tcW w:w="862" w:type="pct"/>
            <w:shd w:val="clear" w:color="auto" w:fill="auto"/>
            <w:vAlign w:val="center"/>
          </w:tcPr>
          <w:p w14:paraId="45C2C4CE" w14:textId="370E9AAB" w:rsidR="000E66A8" w:rsidRPr="003D1DE4" w:rsidRDefault="000E66A8" w:rsidP="002757CD">
            <w:pPr>
              <w:pStyle w:val="In-tableHeading"/>
              <w:keepNext w:val="0"/>
            </w:pPr>
            <w:r>
              <w:t>Parameter</w:t>
            </w:r>
          </w:p>
        </w:tc>
        <w:tc>
          <w:tcPr>
            <w:tcW w:w="1576" w:type="pct"/>
            <w:gridSpan w:val="3"/>
            <w:shd w:val="clear" w:color="auto" w:fill="auto"/>
            <w:vAlign w:val="center"/>
          </w:tcPr>
          <w:p w14:paraId="5C04F956" w14:textId="3B98FE85" w:rsidR="000E66A8" w:rsidRPr="003D1DE4" w:rsidRDefault="000E66A8" w:rsidP="002757CD">
            <w:pPr>
              <w:pStyle w:val="In-tableHeading"/>
              <w:keepNext w:val="0"/>
            </w:pPr>
            <w:r>
              <w:t>Value applied</w:t>
            </w:r>
          </w:p>
        </w:tc>
        <w:tc>
          <w:tcPr>
            <w:tcW w:w="939" w:type="pct"/>
          </w:tcPr>
          <w:p w14:paraId="6338897D" w14:textId="6765C3F9" w:rsidR="000E66A8" w:rsidRDefault="000E66A8" w:rsidP="002757CD">
            <w:pPr>
              <w:pStyle w:val="In-tableHeading"/>
              <w:keepNext w:val="0"/>
            </w:pPr>
            <w:r>
              <w:t xml:space="preserve">Source </w:t>
            </w:r>
          </w:p>
        </w:tc>
        <w:tc>
          <w:tcPr>
            <w:tcW w:w="1623" w:type="pct"/>
            <w:shd w:val="clear" w:color="auto" w:fill="auto"/>
            <w:vAlign w:val="center"/>
          </w:tcPr>
          <w:p w14:paraId="45DE44AA" w14:textId="3305090A" w:rsidR="000E66A8" w:rsidRPr="00BA46AD" w:rsidRDefault="000E66A8" w:rsidP="002757CD">
            <w:pPr>
              <w:pStyle w:val="In-tableHeading"/>
              <w:keepNext w:val="0"/>
            </w:pPr>
            <w:r w:rsidRPr="00BA46AD">
              <w:t>Comment</w:t>
            </w:r>
          </w:p>
        </w:tc>
      </w:tr>
      <w:tr w:rsidR="00382289" w:rsidRPr="003D1DE4" w14:paraId="1B4B99F9" w14:textId="77777777" w:rsidTr="507C910F">
        <w:tc>
          <w:tcPr>
            <w:tcW w:w="5000" w:type="pct"/>
            <w:gridSpan w:val="6"/>
            <w:shd w:val="clear" w:color="auto" w:fill="auto"/>
            <w:vAlign w:val="center"/>
          </w:tcPr>
          <w:p w14:paraId="3B2BD307" w14:textId="4E3ECE72" w:rsidR="00382289" w:rsidRPr="00BA46AD" w:rsidRDefault="00382289" w:rsidP="002757CD">
            <w:pPr>
              <w:pStyle w:val="In-tableHeading"/>
              <w:keepNext w:val="0"/>
            </w:pPr>
            <w:r w:rsidRPr="00BA46AD">
              <w:t>Eligible population</w:t>
            </w:r>
          </w:p>
        </w:tc>
      </w:tr>
      <w:tr w:rsidR="00A9648D" w:rsidRPr="00E2771E" w14:paraId="4BEF206D" w14:textId="77777777" w:rsidTr="507C910F">
        <w:tc>
          <w:tcPr>
            <w:tcW w:w="862" w:type="pct"/>
            <w:shd w:val="clear" w:color="auto" w:fill="auto"/>
          </w:tcPr>
          <w:p w14:paraId="253BB967" w14:textId="7D039151" w:rsidR="000E66A8" w:rsidRDefault="000E66A8" w:rsidP="00A9648D">
            <w:pPr>
              <w:pStyle w:val="TableText0"/>
              <w:keepNext w:val="0"/>
              <w:rPr>
                <w:lang w:val="en-US"/>
              </w:rPr>
            </w:pPr>
            <w:r>
              <w:rPr>
                <w:lang w:val="en-US"/>
              </w:rPr>
              <w:t>Incidence</w:t>
            </w:r>
          </w:p>
          <w:p w14:paraId="5724F53F" w14:textId="7F445F29" w:rsidR="000E66A8" w:rsidRPr="00E2771E" w:rsidRDefault="000E66A8" w:rsidP="00A9648D">
            <w:pPr>
              <w:pStyle w:val="TableText0"/>
              <w:keepNext w:val="0"/>
              <w:rPr>
                <w:lang w:val="en-US"/>
              </w:rPr>
            </w:pPr>
            <w:r>
              <w:rPr>
                <w:lang w:val="en-US"/>
              </w:rPr>
              <w:t>population</w:t>
            </w:r>
          </w:p>
        </w:tc>
        <w:tc>
          <w:tcPr>
            <w:tcW w:w="1576" w:type="pct"/>
            <w:gridSpan w:val="3"/>
            <w:shd w:val="clear" w:color="auto" w:fill="auto"/>
          </w:tcPr>
          <w:p w14:paraId="2974F923" w14:textId="3002D1CB" w:rsidR="000E66A8" w:rsidRPr="00E2771E" w:rsidRDefault="008B5A1C" w:rsidP="00A9648D">
            <w:pPr>
              <w:pStyle w:val="TableText0"/>
              <w:keepNext w:val="0"/>
              <w:rPr>
                <w:lang w:val="en-US"/>
              </w:rPr>
            </w:pPr>
            <w:r>
              <w:rPr>
                <w:color w:val="000000"/>
                <w:spacing w:val="52"/>
                <w:shd w:val="solid" w:color="000000" w:fill="000000"/>
                <w:fitText w:val="330" w:id="-694514432"/>
                <w:lang w:val="en-US"/>
                <w14:textFill>
                  <w14:solidFill>
                    <w14:srgbClr w14:val="000000">
                      <w14:alpha w14:val="100000"/>
                    </w14:srgbClr>
                  </w14:solidFill>
                </w14:textFill>
              </w:rPr>
              <w:t>|||</w:t>
            </w:r>
            <w:r>
              <w:rPr>
                <w:color w:val="000000"/>
                <w:spacing w:val="2"/>
                <w:shd w:val="solid" w:color="000000" w:fill="000000"/>
                <w:fitText w:val="330" w:id="-694514432"/>
                <w:lang w:val="en-US"/>
                <w14:textFill>
                  <w14:solidFill>
                    <w14:srgbClr w14:val="000000">
                      <w14:alpha w14:val="100000"/>
                    </w14:srgbClr>
                  </w14:solidFill>
                </w14:textFill>
              </w:rPr>
              <w:t>|</w:t>
            </w:r>
            <w:r w:rsidR="000608BC" w:rsidRPr="000608BC">
              <w:rPr>
                <w:vertAlign w:val="superscript"/>
                <w:lang w:val="en-US"/>
              </w:rPr>
              <w:t>1</w:t>
            </w:r>
            <w:r w:rsidR="000E66A8">
              <w:rPr>
                <w:lang w:val="en-US"/>
              </w:rPr>
              <w:t xml:space="preserve"> in Yr 1 increasing to </w:t>
            </w:r>
            <w:r>
              <w:rPr>
                <w:color w:val="000000"/>
                <w:spacing w:val="52"/>
                <w:shd w:val="solid" w:color="000000" w:fill="000000"/>
                <w:fitText w:val="330" w:id="-694514431"/>
                <w:lang w:val="en-US"/>
                <w14:textFill>
                  <w14:solidFill>
                    <w14:srgbClr w14:val="000000">
                      <w14:alpha w14:val="100000"/>
                    </w14:srgbClr>
                  </w14:solidFill>
                </w14:textFill>
              </w:rPr>
              <w:t>|||</w:t>
            </w:r>
            <w:r>
              <w:rPr>
                <w:color w:val="000000"/>
                <w:spacing w:val="2"/>
                <w:shd w:val="solid" w:color="000000" w:fill="000000"/>
                <w:fitText w:val="330" w:id="-694514431"/>
                <w:lang w:val="en-US"/>
                <w14:textFill>
                  <w14:solidFill>
                    <w14:srgbClr w14:val="000000">
                      <w14:alpha w14:val="100000"/>
                    </w14:srgbClr>
                  </w14:solidFill>
                </w14:textFill>
              </w:rPr>
              <w:t>|</w:t>
            </w:r>
            <w:r w:rsidR="000608BC" w:rsidRPr="000608BC">
              <w:rPr>
                <w:vertAlign w:val="superscript"/>
                <w:lang w:val="en-US"/>
              </w:rPr>
              <w:t>1</w:t>
            </w:r>
            <w:r w:rsidR="000E66A8">
              <w:rPr>
                <w:lang w:val="en-US"/>
              </w:rPr>
              <w:t xml:space="preserve"> in Yr 6</w:t>
            </w:r>
          </w:p>
        </w:tc>
        <w:tc>
          <w:tcPr>
            <w:tcW w:w="939" w:type="pct"/>
          </w:tcPr>
          <w:p w14:paraId="0D04CF2B" w14:textId="4D819564" w:rsidR="000E66A8" w:rsidRPr="000E66A8" w:rsidRDefault="000E66A8" w:rsidP="00A9648D">
            <w:pPr>
              <w:pStyle w:val="TableText0"/>
              <w:keepNext w:val="0"/>
              <w:rPr>
                <w:lang w:val="en-US"/>
              </w:rPr>
            </w:pPr>
            <w:r w:rsidRPr="000E66A8">
              <w:rPr>
                <w:lang w:val="en-US"/>
              </w:rPr>
              <w:t>Based on extrapolating lung cancer incidence data from AIHW reports for the year 2001-2020.</w:t>
            </w:r>
          </w:p>
        </w:tc>
        <w:tc>
          <w:tcPr>
            <w:tcW w:w="1623" w:type="pct"/>
            <w:shd w:val="clear" w:color="auto" w:fill="auto"/>
          </w:tcPr>
          <w:p w14:paraId="078672CF" w14:textId="226CE30E" w:rsidR="000E66A8" w:rsidRPr="00BA46AD" w:rsidRDefault="000E66A8" w:rsidP="00A9648D">
            <w:pPr>
              <w:pStyle w:val="TableText0"/>
              <w:keepNext w:val="0"/>
              <w:rPr>
                <w:lang w:val="en-US"/>
              </w:rPr>
            </w:pPr>
          </w:p>
        </w:tc>
      </w:tr>
      <w:tr w:rsidR="00284BCC" w:rsidRPr="00E2771E" w14:paraId="273D05F4" w14:textId="77777777" w:rsidTr="507C910F">
        <w:tc>
          <w:tcPr>
            <w:tcW w:w="862" w:type="pct"/>
            <w:shd w:val="clear" w:color="auto" w:fill="auto"/>
          </w:tcPr>
          <w:p w14:paraId="0152C8AA" w14:textId="60EBDF80" w:rsidR="00284BCC" w:rsidRDefault="00284BCC" w:rsidP="00A9648D">
            <w:pPr>
              <w:pStyle w:val="TableText0"/>
              <w:keepNext w:val="0"/>
              <w:rPr>
                <w:lang w:val="en-US"/>
              </w:rPr>
            </w:pPr>
            <w:r>
              <w:rPr>
                <w:lang w:val="en-US"/>
              </w:rPr>
              <w:t xml:space="preserve">% </w:t>
            </w:r>
            <w:r w:rsidRPr="00A931AD">
              <w:rPr>
                <w:lang w:val="en-US"/>
              </w:rPr>
              <w:t>NSCLC</w:t>
            </w:r>
          </w:p>
        </w:tc>
        <w:tc>
          <w:tcPr>
            <w:tcW w:w="1576" w:type="pct"/>
            <w:gridSpan w:val="3"/>
            <w:shd w:val="clear" w:color="auto" w:fill="auto"/>
          </w:tcPr>
          <w:p w14:paraId="5FE8DC6D" w14:textId="7C92F6A9" w:rsidR="00284BCC" w:rsidRDefault="00284BCC" w:rsidP="00A9648D">
            <w:pPr>
              <w:pStyle w:val="TableText0"/>
              <w:keepNext w:val="0"/>
              <w:rPr>
                <w:lang w:val="en-US"/>
              </w:rPr>
            </w:pPr>
            <w:r>
              <w:rPr>
                <w:lang w:val="en-US"/>
              </w:rPr>
              <w:t>86.6%</w:t>
            </w:r>
          </w:p>
        </w:tc>
        <w:tc>
          <w:tcPr>
            <w:tcW w:w="939" w:type="pct"/>
            <w:vMerge w:val="restart"/>
          </w:tcPr>
          <w:p w14:paraId="45A6A968" w14:textId="22F3C1A8" w:rsidR="00284BCC" w:rsidRPr="000E66A8" w:rsidRDefault="00284BCC" w:rsidP="00A9648D">
            <w:pPr>
              <w:pStyle w:val="TableText0"/>
              <w:keepNext w:val="0"/>
              <w:rPr>
                <w:lang w:val="en-US"/>
              </w:rPr>
            </w:pPr>
            <w:r>
              <w:rPr>
                <w:lang w:val="en-US"/>
              </w:rPr>
              <w:t xml:space="preserve">Based on </w:t>
            </w:r>
            <w:r w:rsidRPr="000E66A8">
              <w:rPr>
                <w:lang w:val="en-US"/>
              </w:rPr>
              <w:t>Mitchel</w:t>
            </w:r>
            <w:r w:rsidR="00F9768A">
              <w:rPr>
                <w:lang w:val="en-US"/>
              </w:rPr>
              <w:t>l</w:t>
            </w:r>
            <w:r w:rsidRPr="000E66A8">
              <w:rPr>
                <w:lang w:val="en-US"/>
              </w:rPr>
              <w:t xml:space="preserve"> et al. (2013)</w:t>
            </w:r>
          </w:p>
          <w:p w14:paraId="33D22F22" w14:textId="1D0A2BC9" w:rsidR="00284BCC" w:rsidRPr="000E66A8" w:rsidRDefault="00284BCC" w:rsidP="00A9648D">
            <w:pPr>
              <w:pStyle w:val="TableText0"/>
              <w:keepNext w:val="0"/>
              <w:rPr>
                <w:lang w:val="en-US"/>
              </w:rPr>
            </w:pPr>
          </w:p>
        </w:tc>
        <w:tc>
          <w:tcPr>
            <w:tcW w:w="1623" w:type="pct"/>
            <w:vMerge w:val="restart"/>
            <w:shd w:val="clear" w:color="auto" w:fill="auto"/>
          </w:tcPr>
          <w:p w14:paraId="035D240F" w14:textId="464F474F" w:rsidR="00284BCC" w:rsidRPr="00BA46AD" w:rsidRDefault="00284BCC" w:rsidP="00A9648D">
            <w:pPr>
              <w:pStyle w:val="TableText0"/>
              <w:keepNext w:val="0"/>
              <w:rPr>
                <w:lang w:val="en-US"/>
              </w:rPr>
            </w:pPr>
          </w:p>
        </w:tc>
      </w:tr>
      <w:tr w:rsidR="00284BCC" w:rsidRPr="00E2771E" w14:paraId="4E4EB129" w14:textId="77777777" w:rsidTr="507C910F">
        <w:tc>
          <w:tcPr>
            <w:tcW w:w="862" w:type="pct"/>
            <w:shd w:val="clear" w:color="auto" w:fill="auto"/>
          </w:tcPr>
          <w:p w14:paraId="23E41A47" w14:textId="1B2DF7F8" w:rsidR="00284BCC" w:rsidRDefault="00284BCC" w:rsidP="00A9648D">
            <w:pPr>
              <w:pStyle w:val="TableText0"/>
              <w:keepNext w:val="0"/>
              <w:rPr>
                <w:lang w:val="en-US"/>
              </w:rPr>
            </w:pPr>
            <w:r>
              <w:rPr>
                <w:lang w:val="en-US"/>
              </w:rPr>
              <w:t>% Stage IV NSCLC</w:t>
            </w:r>
          </w:p>
        </w:tc>
        <w:tc>
          <w:tcPr>
            <w:tcW w:w="1576" w:type="pct"/>
            <w:gridSpan w:val="3"/>
            <w:shd w:val="clear" w:color="auto" w:fill="auto"/>
          </w:tcPr>
          <w:p w14:paraId="00D0EA17" w14:textId="503A9F9A" w:rsidR="00284BCC" w:rsidRDefault="00284BCC" w:rsidP="00A9648D">
            <w:pPr>
              <w:pStyle w:val="TableText0"/>
              <w:keepNext w:val="0"/>
              <w:rPr>
                <w:lang w:val="en-US"/>
              </w:rPr>
            </w:pPr>
            <w:r>
              <w:rPr>
                <w:lang w:val="en-US"/>
              </w:rPr>
              <w:t>51.5%</w:t>
            </w:r>
          </w:p>
        </w:tc>
        <w:tc>
          <w:tcPr>
            <w:tcW w:w="939" w:type="pct"/>
            <w:vMerge/>
          </w:tcPr>
          <w:p w14:paraId="275A9082" w14:textId="2F6CCDF6" w:rsidR="00284BCC" w:rsidRPr="000E66A8" w:rsidRDefault="00284BCC" w:rsidP="00A9648D">
            <w:pPr>
              <w:pStyle w:val="TableText0"/>
              <w:keepNext w:val="0"/>
              <w:rPr>
                <w:lang w:val="en-US"/>
              </w:rPr>
            </w:pPr>
          </w:p>
        </w:tc>
        <w:tc>
          <w:tcPr>
            <w:tcW w:w="1623" w:type="pct"/>
            <w:vMerge/>
          </w:tcPr>
          <w:p w14:paraId="69B13517" w14:textId="42969EE5" w:rsidR="00284BCC" w:rsidRPr="00BA46AD" w:rsidRDefault="00284BCC" w:rsidP="00A9648D">
            <w:pPr>
              <w:pStyle w:val="TableText0"/>
              <w:keepNext w:val="0"/>
              <w:rPr>
                <w:lang w:val="en-US"/>
              </w:rPr>
            </w:pPr>
          </w:p>
        </w:tc>
      </w:tr>
      <w:tr w:rsidR="00284BCC" w:rsidRPr="00E2771E" w14:paraId="01A4F272" w14:textId="77777777" w:rsidTr="507C910F">
        <w:tc>
          <w:tcPr>
            <w:tcW w:w="862" w:type="pct"/>
            <w:shd w:val="clear" w:color="auto" w:fill="auto"/>
          </w:tcPr>
          <w:p w14:paraId="5567E3FB" w14:textId="63E16503" w:rsidR="00284BCC" w:rsidRDefault="00284BCC" w:rsidP="00A9648D">
            <w:pPr>
              <w:pStyle w:val="TableText0"/>
              <w:keepNext w:val="0"/>
              <w:rPr>
                <w:lang w:val="en-US"/>
              </w:rPr>
            </w:pPr>
            <w:r>
              <w:rPr>
                <w:lang w:val="en-US"/>
              </w:rPr>
              <w:t>% ECOG 0-</w:t>
            </w:r>
            <w:r w:rsidR="00A42DD2">
              <w:rPr>
                <w:lang w:val="en-US"/>
              </w:rPr>
              <w:t>1 and 2</w:t>
            </w:r>
          </w:p>
        </w:tc>
        <w:tc>
          <w:tcPr>
            <w:tcW w:w="1576" w:type="pct"/>
            <w:gridSpan w:val="3"/>
            <w:shd w:val="clear" w:color="auto" w:fill="auto"/>
          </w:tcPr>
          <w:p w14:paraId="0DA208DA" w14:textId="51F487C3" w:rsidR="00284BCC" w:rsidRDefault="00284BCC" w:rsidP="00A9648D">
            <w:pPr>
              <w:pStyle w:val="TableText0"/>
              <w:keepNext w:val="0"/>
              <w:rPr>
                <w:lang w:val="en-US"/>
              </w:rPr>
            </w:pPr>
            <w:r>
              <w:rPr>
                <w:lang w:val="en-US"/>
              </w:rPr>
              <w:t>80.1%</w:t>
            </w:r>
          </w:p>
        </w:tc>
        <w:tc>
          <w:tcPr>
            <w:tcW w:w="939" w:type="pct"/>
            <w:vMerge/>
          </w:tcPr>
          <w:p w14:paraId="68390AB8" w14:textId="6B111B28" w:rsidR="00284BCC" w:rsidRPr="000E66A8" w:rsidRDefault="00284BCC" w:rsidP="00A9648D">
            <w:pPr>
              <w:pStyle w:val="TableText0"/>
              <w:keepNext w:val="0"/>
              <w:rPr>
                <w:lang w:val="en-US"/>
              </w:rPr>
            </w:pPr>
          </w:p>
        </w:tc>
        <w:tc>
          <w:tcPr>
            <w:tcW w:w="1623" w:type="pct"/>
            <w:vMerge/>
          </w:tcPr>
          <w:p w14:paraId="1C3A3F8E" w14:textId="2EC21F57" w:rsidR="00284BCC" w:rsidRPr="00BA46AD" w:rsidRDefault="00284BCC" w:rsidP="00A9648D">
            <w:pPr>
              <w:pStyle w:val="TableText0"/>
              <w:keepNext w:val="0"/>
              <w:rPr>
                <w:lang w:val="en-US"/>
              </w:rPr>
            </w:pPr>
          </w:p>
        </w:tc>
      </w:tr>
      <w:tr w:rsidR="00284BCC" w:rsidRPr="00E2771E" w14:paraId="0F7B081B" w14:textId="77777777" w:rsidTr="507C910F">
        <w:tc>
          <w:tcPr>
            <w:tcW w:w="862" w:type="pct"/>
            <w:shd w:val="clear" w:color="auto" w:fill="auto"/>
          </w:tcPr>
          <w:p w14:paraId="192BDA75" w14:textId="02A88E80" w:rsidR="00284BCC" w:rsidRDefault="00284BCC" w:rsidP="00A9648D">
            <w:pPr>
              <w:pStyle w:val="TableText0"/>
              <w:keepNext w:val="0"/>
              <w:rPr>
                <w:lang w:val="en-US"/>
              </w:rPr>
            </w:pPr>
            <w:r>
              <w:rPr>
                <w:lang w:val="en-US"/>
              </w:rPr>
              <w:t>% NSQ and SQ</w:t>
            </w:r>
          </w:p>
        </w:tc>
        <w:tc>
          <w:tcPr>
            <w:tcW w:w="1576" w:type="pct"/>
            <w:gridSpan w:val="3"/>
            <w:shd w:val="clear" w:color="auto" w:fill="auto"/>
          </w:tcPr>
          <w:p w14:paraId="42687360" w14:textId="4411EE60" w:rsidR="00284BCC" w:rsidRDefault="00284BCC" w:rsidP="00A9648D">
            <w:pPr>
              <w:pStyle w:val="TableText0"/>
              <w:keepNext w:val="0"/>
              <w:rPr>
                <w:lang w:val="en-US"/>
              </w:rPr>
            </w:pPr>
            <w:r>
              <w:rPr>
                <w:lang w:val="en-US"/>
              </w:rPr>
              <w:t>76.8%</w:t>
            </w:r>
            <w:r w:rsidR="000C6CF1">
              <w:rPr>
                <w:lang w:val="en-US"/>
              </w:rPr>
              <w:t xml:space="preserve"> and 23.2%</w:t>
            </w:r>
          </w:p>
        </w:tc>
        <w:tc>
          <w:tcPr>
            <w:tcW w:w="939" w:type="pct"/>
            <w:vMerge/>
          </w:tcPr>
          <w:p w14:paraId="3C1EFE8B" w14:textId="77777777" w:rsidR="00284BCC" w:rsidRPr="000E66A8" w:rsidRDefault="00284BCC" w:rsidP="00A9648D">
            <w:pPr>
              <w:pStyle w:val="TableText0"/>
              <w:keepNext w:val="0"/>
              <w:rPr>
                <w:lang w:val="en-US"/>
              </w:rPr>
            </w:pPr>
          </w:p>
        </w:tc>
        <w:tc>
          <w:tcPr>
            <w:tcW w:w="1623" w:type="pct"/>
            <w:vMerge/>
          </w:tcPr>
          <w:p w14:paraId="0C17FE14" w14:textId="77777777" w:rsidR="00284BCC" w:rsidRPr="00BA46AD" w:rsidRDefault="00284BCC" w:rsidP="00A9648D">
            <w:pPr>
              <w:pStyle w:val="TableText0"/>
              <w:keepNext w:val="0"/>
              <w:rPr>
                <w:lang w:val="en-US"/>
              </w:rPr>
            </w:pPr>
          </w:p>
        </w:tc>
      </w:tr>
      <w:tr w:rsidR="00A9648D" w:rsidRPr="00E2771E" w14:paraId="5706D5C0" w14:textId="77777777" w:rsidTr="507C910F">
        <w:trPr>
          <w:trHeight w:val="793"/>
        </w:trPr>
        <w:tc>
          <w:tcPr>
            <w:tcW w:w="862" w:type="pct"/>
            <w:shd w:val="clear" w:color="auto" w:fill="auto"/>
          </w:tcPr>
          <w:p w14:paraId="02F7E1CE" w14:textId="51EEFCD0" w:rsidR="000E66A8" w:rsidRDefault="00114A89" w:rsidP="00A9648D">
            <w:pPr>
              <w:pStyle w:val="TableText0"/>
              <w:keepNext w:val="0"/>
              <w:rPr>
                <w:lang w:val="en-US"/>
              </w:rPr>
            </w:pPr>
            <w:r>
              <w:t>%</w:t>
            </w:r>
            <w:r w:rsidR="000E66A8" w:rsidRPr="00076291">
              <w:t xml:space="preserve"> BRAF mutation</w:t>
            </w:r>
          </w:p>
        </w:tc>
        <w:tc>
          <w:tcPr>
            <w:tcW w:w="1576" w:type="pct"/>
            <w:gridSpan w:val="3"/>
            <w:shd w:val="clear" w:color="auto" w:fill="auto"/>
          </w:tcPr>
          <w:p w14:paraId="7A9E3F93" w14:textId="319915EA" w:rsidR="000E66A8" w:rsidRDefault="000E66A8" w:rsidP="00A9648D">
            <w:pPr>
              <w:pStyle w:val="TableText0"/>
              <w:keepNext w:val="0"/>
              <w:rPr>
                <w:lang w:val="en-US"/>
              </w:rPr>
            </w:pPr>
            <w:r w:rsidRPr="00076291">
              <w:t>1.13%</w:t>
            </w:r>
          </w:p>
        </w:tc>
        <w:tc>
          <w:tcPr>
            <w:tcW w:w="939" w:type="pct"/>
          </w:tcPr>
          <w:p w14:paraId="23F9DCE6" w14:textId="4CB65F28" w:rsidR="000E66A8" w:rsidRPr="00D02B6C" w:rsidRDefault="006A2326" w:rsidP="00A9648D">
            <w:pPr>
              <w:pStyle w:val="TableText0"/>
              <w:keepNext w:val="0"/>
              <w:rPr>
                <w:lang w:val="en-US"/>
              </w:rPr>
            </w:pPr>
            <w:r w:rsidRPr="00D02B6C">
              <w:t>Based on the average prevalence rate reported in a literature review of 32 studies.</w:t>
            </w:r>
          </w:p>
        </w:tc>
        <w:tc>
          <w:tcPr>
            <w:tcW w:w="1623" w:type="pct"/>
            <w:shd w:val="clear" w:color="auto" w:fill="auto"/>
          </w:tcPr>
          <w:p w14:paraId="439C1CBA" w14:textId="4C52BE49" w:rsidR="000E66A8" w:rsidRPr="00BA46AD" w:rsidRDefault="00347E09" w:rsidP="00A9648D">
            <w:pPr>
              <w:pStyle w:val="TableText0"/>
              <w:keepNext w:val="0"/>
              <w:rPr>
                <w:lang w:val="en-US"/>
              </w:rPr>
            </w:pPr>
            <w:r w:rsidRPr="00BA46AD">
              <w:rPr>
                <w:lang w:val="en-US"/>
              </w:rPr>
              <w:t xml:space="preserve">This approach was reasonable </w:t>
            </w:r>
          </w:p>
        </w:tc>
      </w:tr>
      <w:tr w:rsidR="00A9648D" w:rsidRPr="00E2771E" w14:paraId="1DFA5F2D" w14:textId="77777777" w:rsidTr="507C910F">
        <w:tc>
          <w:tcPr>
            <w:tcW w:w="862" w:type="pct"/>
            <w:shd w:val="clear" w:color="auto" w:fill="auto"/>
          </w:tcPr>
          <w:p w14:paraId="6F516EAB" w14:textId="4107AF87" w:rsidR="00114A89" w:rsidRDefault="00114A89" w:rsidP="00A9648D">
            <w:pPr>
              <w:pStyle w:val="TableText0"/>
              <w:keepNext w:val="0"/>
            </w:pPr>
            <w:r>
              <w:t>Incident patients</w:t>
            </w:r>
          </w:p>
        </w:tc>
        <w:tc>
          <w:tcPr>
            <w:tcW w:w="1576" w:type="pct"/>
            <w:gridSpan w:val="3"/>
            <w:shd w:val="clear" w:color="auto" w:fill="auto"/>
          </w:tcPr>
          <w:p w14:paraId="220F7E80" w14:textId="7F17BDA0" w:rsidR="00114A89" w:rsidRPr="00076291" w:rsidRDefault="008B5A1C" w:rsidP="00A9648D">
            <w:pPr>
              <w:pStyle w:val="TableText0"/>
              <w:keepNext w:val="0"/>
            </w:pPr>
            <w:r>
              <w:rPr>
                <w:color w:val="000000"/>
                <w:spacing w:val="52"/>
                <w:shd w:val="solid" w:color="000000" w:fill="000000"/>
                <w:fitText w:val="330" w:id="-694514430"/>
                <w14:textFill>
                  <w14:solidFill>
                    <w14:srgbClr w14:val="000000">
                      <w14:alpha w14:val="100000"/>
                    </w14:srgbClr>
                  </w14:solidFill>
                </w14:textFill>
              </w:rPr>
              <w:t>|||</w:t>
            </w:r>
            <w:r>
              <w:rPr>
                <w:color w:val="000000"/>
                <w:spacing w:val="2"/>
                <w:shd w:val="solid" w:color="000000" w:fill="000000"/>
                <w:fitText w:val="330" w:id="-694514430"/>
                <w14:textFill>
                  <w14:solidFill>
                    <w14:srgbClr w14:val="000000">
                      <w14:alpha w14:val="100000"/>
                    </w14:srgbClr>
                  </w14:solidFill>
                </w14:textFill>
              </w:rPr>
              <w:t>|</w:t>
            </w:r>
            <w:r w:rsidR="000608BC">
              <w:rPr>
                <w:vertAlign w:val="superscript"/>
              </w:rPr>
              <w:t>2</w:t>
            </w:r>
            <w:r w:rsidR="001E6B13">
              <w:t xml:space="preserve"> in Yr 1 increasing to </w:t>
            </w:r>
            <w:r>
              <w:rPr>
                <w:color w:val="000000"/>
                <w:spacing w:val="52"/>
                <w:shd w:val="solid" w:color="000000" w:fill="000000"/>
                <w:fitText w:val="330" w:id="-694514429"/>
                <w14:textFill>
                  <w14:solidFill>
                    <w14:srgbClr w14:val="000000">
                      <w14:alpha w14:val="100000"/>
                    </w14:srgbClr>
                  </w14:solidFill>
                </w14:textFill>
              </w:rPr>
              <w:t>|||</w:t>
            </w:r>
            <w:r>
              <w:rPr>
                <w:color w:val="000000"/>
                <w:spacing w:val="2"/>
                <w:shd w:val="solid" w:color="000000" w:fill="000000"/>
                <w:fitText w:val="330" w:id="-694514429"/>
                <w14:textFill>
                  <w14:solidFill>
                    <w14:srgbClr w14:val="000000">
                      <w14:alpha w14:val="100000"/>
                    </w14:srgbClr>
                  </w14:solidFill>
                </w14:textFill>
              </w:rPr>
              <w:t>|</w:t>
            </w:r>
            <w:r w:rsidR="000608BC">
              <w:rPr>
                <w:vertAlign w:val="superscript"/>
              </w:rPr>
              <w:t>2</w:t>
            </w:r>
            <w:r w:rsidR="001E6B13">
              <w:t xml:space="preserve"> in Yr 6</w:t>
            </w:r>
          </w:p>
        </w:tc>
        <w:tc>
          <w:tcPr>
            <w:tcW w:w="939" w:type="pct"/>
          </w:tcPr>
          <w:p w14:paraId="4774BFF4" w14:textId="11D72B88" w:rsidR="00114A89" w:rsidRPr="00D02B6C" w:rsidRDefault="0043686E" w:rsidP="00A9648D">
            <w:pPr>
              <w:pStyle w:val="TableText0"/>
              <w:keepNext w:val="0"/>
            </w:pPr>
            <w:r w:rsidRPr="00D02B6C">
              <w:t>Calculated</w:t>
            </w:r>
          </w:p>
        </w:tc>
        <w:tc>
          <w:tcPr>
            <w:tcW w:w="1623" w:type="pct"/>
            <w:shd w:val="clear" w:color="auto" w:fill="auto"/>
          </w:tcPr>
          <w:p w14:paraId="64F4CA1B" w14:textId="6A6F7684" w:rsidR="00114A89" w:rsidRPr="00BA46AD" w:rsidRDefault="00114A89" w:rsidP="00A9648D">
            <w:pPr>
              <w:pStyle w:val="TableText0"/>
              <w:keepNext w:val="0"/>
              <w:rPr>
                <w:lang w:val="en-US"/>
              </w:rPr>
            </w:pPr>
          </w:p>
        </w:tc>
      </w:tr>
      <w:tr w:rsidR="00DE3E98" w:rsidRPr="00E2771E" w14:paraId="111F6B7D" w14:textId="77777777" w:rsidTr="507C910F">
        <w:tc>
          <w:tcPr>
            <w:tcW w:w="862" w:type="pct"/>
            <w:shd w:val="clear" w:color="auto" w:fill="auto"/>
          </w:tcPr>
          <w:p w14:paraId="36F8707E" w14:textId="28264960" w:rsidR="00DE3E98" w:rsidRDefault="00DE3E98" w:rsidP="00A9648D">
            <w:pPr>
              <w:pStyle w:val="TableText0"/>
              <w:keepNext w:val="0"/>
              <w:rPr>
                <w:lang w:val="en-US"/>
              </w:rPr>
            </w:pPr>
            <w:r>
              <w:rPr>
                <w:lang w:val="en-US"/>
              </w:rPr>
              <w:t xml:space="preserve">Patients progressing from Stage I-II </w:t>
            </w:r>
          </w:p>
        </w:tc>
        <w:tc>
          <w:tcPr>
            <w:tcW w:w="1576" w:type="pct"/>
            <w:gridSpan w:val="3"/>
            <w:shd w:val="clear" w:color="auto" w:fill="auto"/>
          </w:tcPr>
          <w:p w14:paraId="740054E8" w14:textId="66CA8267" w:rsidR="00DE3E98" w:rsidRDefault="008B5A1C" w:rsidP="00A9648D">
            <w:pPr>
              <w:pStyle w:val="TableText0"/>
              <w:keepNext w:val="0"/>
              <w:rPr>
                <w:lang w:val="en-US"/>
              </w:rPr>
            </w:pPr>
            <w:r>
              <w:rPr>
                <w:color w:val="000000"/>
                <w:spacing w:val="52"/>
                <w:shd w:val="solid" w:color="000000" w:fill="000000"/>
                <w:fitText w:val="330" w:id="-694514428"/>
                <w:lang w:val="en-US"/>
                <w14:textFill>
                  <w14:solidFill>
                    <w14:srgbClr w14:val="000000">
                      <w14:alpha w14:val="100000"/>
                    </w14:srgbClr>
                  </w14:solidFill>
                </w14:textFill>
              </w:rPr>
              <w:t>|||</w:t>
            </w:r>
            <w:r>
              <w:rPr>
                <w:color w:val="000000"/>
                <w:spacing w:val="2"/>
                <w:shd w:val="solid" w:color="000000" w:fill="000000"/>
                <w:fitText w:val="330" w:id="-694514428"/>
                <w:lang w:val="en-US"/>
                <w14:textFill>
                  <w14:solidFill>
                    <w14:srgbClr w14:val="000000">
                      <w14:alpha w14:val="100000"/>
                    </w14:srgbClr>
                  </w14:solidFill>
                </w14:textFill>
              </w:rPr>
              <w:t>|</w:t>
            </w:r>
            <w:r w:rsidR="000608BC">
              <w:rPr>
                <w:vertAlign w:val="superscript"/>
              </w:rPr>
              <w:t>2</w:t>
            </w:r>
            <w:r w:rsidR="00DE3E98">
              <w:rPr>
                <w:lang w:val="en-US"/>
              </w:rPr>
              <w:t xml:space="preserve"> patients each year</w:t>
            </w:r>
          </w:p>
        </w:tc>
        <w:tc>
          <w:tcPr>
            <w:tcW w:w="939" w:type="pct"/>
            <w:vMerge w:val="restart"/>
          </w:tcPr>
          <w:p w14:paraId="6DF7CD3C" w14:textId="1EC53580" w:rsidR="00DE3E98" w:rsidRPr="001D7C84" w:rsidRDefault="00DE3E98" w:rsidP="00A9648D">
            <w:pPr>
              <w:pStyle w:val="TableText0"/>
              <w:keepNext w:val="0"/>
              <w:rPr>
                <w:lang w:val="en-US"/>
              </w:rPr>
            </w:pPr>
            <w:r w:rsidRPr="001D7C84">
              <w:rPr>
                <w:lang w:val="en-US"/>
              </w:rPr>
              <w:t xml:space="preserve">Described in detail in paragraph </w:t>
            </w:r>
            <w:r w:rsidR="00DF0891" w:rsidRPr="001D7C84">
              <w:rPr>
                <w:lang w:val="en-US"/>
              </w:rPr>
              <w:fldChar w:fldCharType="begin"/>
            </w:r>
            <w:r w:rsidR="00DF0891" w:rsidRPr="001D7C84">
              <w:rPr>
                <w:lang w:val="en-US"/>
              </w:rPr>
              <w:instrText xml:space="preserve"> REF _Ref187434707 \r \h  \* MERGEFORMAT </w:instrText>
            </w:r>
            <w:r w:rsidR="00DF0891" w:rsidRPr="001D7C84">
              <w:rPr>
                <w:lang w:val="en-US"/>
              </w:rPr>
            </w:r>
            <w:r w:rsidR="00DF0891" w:rsidRPr="001D7C84">
              <w:rPr>
                <w:lang w:val="en-US"/>
              </w:rPr>
              <w:fldChar w:fldCharType="separate"/>
            </w:r>
            <w:r w:rsidR="00EF4998">
              <w:rPr>
                <w:lang w:val="en-US"/>
              </w:rPr>
              <w:t>6.69</w:t>
            </w:r>
            <w:r w:rsidR="00DF0891" w:rsidRPr="001D7C84">
              <w:rPr>
                <w:lang w:val="en-US"/>
              </w:rPr>
              <w:fldChar w:fldCharType="end"/>
            </w:r>
          </w:p>
        </w:tc>
        <w:tc>
          <w:tcPr>
            <w:tcW w:w="1623" w:type="pct"/>
            <w:vMerge w:val="restart"/>
            <w:shd w:val="clear" w:color="auto" w:fill="auto"/>
          </w:tcPr>
          <w:p w14:paraId="4BC64A5B" w14:textId="12856E7D" w:rsidR="00DE3E98" w:rsidRPr="00BA46AD" w:rsidRDefault="00DE3E98" w:rsidP="00A9648D">
            <w:pPr>
              <w:pStyle w:val="TableText0"/>
              <w:keepNext w:val="0"/>
              <w:rPr>
                <w:lang w:val="en-US"/>
              </w:rPr>
            </w:pPr>
            <w:r w:rsidRPr="00BA46AD">
              <w:rPr>
                <w:lang w:val="en-US"/>
              </w:rPr>
              <w:t>This was uncertain</w:t>
            </w:r>
            <w:r w:rsidR="00D02B6C" w:rsidRPr="00BA46AD">
              <w:rPr>
                <w:lang w:val="en-US"/>
              </w:rPr>
              <w:t xml:space="preserve"> due to the various sources and estimates used.</w:t>
            </w:r>
          </w:p>
        </w:tc>
      </w:tr>
      <w:tr w:rsidR="00DE3E98" w:rsidRPr="00E2771E" w14:paraId="7CAE714B" w14:textId="77777777" w:rsidTr="507C910F">
        <w:tc>
          <w:tcPr>
            <w:tcW w:w="862" w:type="pct"/>
            <w:shd w:val="clear" w:color="auto" w:fill="auto"/>
          </w:tcPr>
          <w:p w14:paraId="599540AB" w14:textId="458F8C42" w:rsidR="00DE3E98" w:rsidRDefault="00DE3E98" w:rsidP="00A9648D">
            <w:pPr>
              <w:pStyle w:val="TableText0"/>
              <w:keepNext w:val="0"/>
              <w:rPr>
                <w:lang w:val="en-US"/>
              </w:rPr>
            </w:pPr>
            <w:r>
              <w:rPr>
                <w:lang w:val="en-US"/>
              </w:rPr>
              <w:t xml:space="preserve">Patients progressing from Stage III </w:t>
            </w:r>
          </w:p>
        </w:tc>
        <w:tc>
          <w:tcPr>
            <w:tcW w:w="1576" w:type="pct"/>
            <w:gridSpan w:val="3"/>
            <w:shd w:val="clear" w:color="auto" w:fill="auto"/>
          </w:tcPr>
          <w:p w14:paraId="4DDED8E8" w14:textId="40238166" w:rsidR="00DE3E98" w:rsidRDefault="008B5A1C" w:rsidP="00A9648D">
            <w:pPr>
              <w:pStyle w:val="TableText0"/>
              <w:keepNext w:val="0"/>
              <w:rPr>
                <w:lang w:val="en-US"/>
              </w:rPr>
            </w:pPr>
            <w:r>
              <w:rPr>
                <w:color w:val="000000"/>
                <w:spacing w:val="52"/>
                <w:shd w:val="solid" w:color="000000" w:fill="000000"/>
                <w:fitText w:val="330" w:id="-694514427"/>
                <w:lang w:val="en-US"/>
                <w14:textFill>
                  <w14:solidFill>
                    <w14:srgbClr w14:val="000000">
                      <w14:alpha w14:val="100000"/>
                    </w14:srgbClr>
                  </w14:solidFill>
                </w14:textFill>
              </w:rPr>
              <w:t>|||</w:t>
            </w:r>
            <w:r>
              <w:rPr>
                <w:color w:val="000000"/>
                <w:spacing w:val="2"/>
                <w:shd w:val="solid" w:color="000000" w:fill="000000"/>
                <w:fitText w:val="330" w:id="-694514427"/>
                <w:lang w:val="en-US"/>
                <w14:textFill>
                  <w14:solidFill>
                    <w14:srgbClr w14:val="000000">
                      <w14:alpha w14:val="100000"/>
                    </w14:srgbClr>
                  </w14:solidFill>
                </w14:textFill>
              </w:rPr>
              <w:t>|</w:t>
            </w:r>
            <w:r w:rsidR="000608BC">
              <w:rPr>
                <w:vertAlign w:val="superscript"/>
              </w:rPr>
              <w:t>2</w:t>
            </w:r>
            <w:r w:rsidR="00DE3E98">
              <w:rPr>
                <w:lang w:val="en-US"/>
              </w:rPr>
              <w:t xml:space="preserve"> in Yr 1 increasing to </w:t>
            </w:r>
            <w:r>
              <w:rPr>
                <w:color w:val="000000"/>
                <w:spacing w:val="52"/>
                <w:shd w:val="solid" w:color="000000" w:fill="000000"/>
                <w:fitText w:val="330" w:id="-694514426"/>
                <w:lang w:val="en-US"/>
                <w14:textFill>
                  <w14:solidFill>
                    <w14:srgbClr w14:val="000000">
                      <w14:alpha w14:val="100000"/>
                    </w14:srgbClr>
                  </w14:solidFill>
                </w14:textFill>
              </w:rPr>
              <w:t>|||</w:t>
            </w:r>
            <w:r>
              <w:rPr>
                <w:color w:val="000000"/>
                <w:spacing w:val="2"/>
                <w:shd w:val="solid" w:color="000000" w:fill="000000"/>
                <w:fitText w:val="330" w:id="-694514426"/>
                <w:lang w:val="en-US"/>
                <w14:textFill>
                  <w14:solidFill>
                    <w14:srgbClr w14:val="000000">
                      <w14:alpha w14:val="100000"/>
                    </w14:srgbClr>
                  </w14:solidFill>
                </w14:textFill>
              </w:rPr>
              <w:t>|</w:t>
            </w:r>
            <w:r w:rsidR="000608BC">
              <w:rPr>
                <w:vertAlign w:val="superscript"/>
              </w:rPr>
              <w:t>2</w:t>
            </w:r>
            <w:r w:rsidR="00DE3E98">
              <w:rPr>
                <w:lang w:val="en-US"/>
              </w:rPr>
              <w:t xml:space="preserve"> in Yr 6</w:t>
            </w:r>
          </w:p>
        </w:tc>
        <w:tc>
          <w:tcPr>
            <w:tcW w:w="939" w:type="pct"/>
            <w:vMerge/>
          </w:tcPr>
          <w:p w14:paraId="79340EA0" w14:textId="77777777" w:rsidR="00DE3E98" w:rsidRDefault="00DE3E98" w:rsidP="00A9648D">
            <w:pPr>
              <w:pStyle w:val="TableText0"/>
              <w:keepNext w:val="0"/>
              <w:rPr>
                <w:lang w:val="en-US"/>
              </w:rPr>
            </w:pPr>
          </w:p>
        </w:tc>
        <w:tc>
          <w:tcPr>
            <w:tcW w:w="1623" w:type="pct"/>
            <w:vMerge/>
          </w:tcPr>
          <w:p w14:paraId="5D2201DD" w14:textId="77777777" w:rsidR="00DE3E98" w:rsidRPr="00BA46AD" w:rsidRDefault="00DE3E98" w:rsidP="00A9648D">
            <w:pPr>
              <w:pStyle w:val="TableText0"/>
              <w:keepNext w:val="0"/>
              <w:rPr>
                <w:highlight w:val="yellow"/>
                <w:lang w:val="en-US"/>
              </w:rPr>
            </w:pPr>
          </w:p>
        </w:tc>
      </w:tr>
      <w:tr w:rsidR="00382289" w:rsidRPr="00E2771E" w14:paraId="6BF6A711" w14:textId="77777777" w:rsidTr="507C910F">
        <w:tc>
          <w:tcPr>
            <w:tcW w:w="5000" w:type="pct"/>
            <w:gridSpan w:val="6"/>
            <w:shd w:val="clear" w:color="auto" w:fill="auto"/>
          </w:tcPr>
          <w:p w14:paraId="724569BF" w14:textId="572AB213" w:rsidR="00382289" w:rsidRPr="00BA46AD" w:rsidRDefault="00731475" w:rsidP="00A9648D">
            <w:pPr>
              <w:pStyle w:val="TableText0"/>
              <w:keepNext w:val="0"/>
              <w:rPr>
                <w:b/>
                <w:bCs w:val="0"/>
                <w:lang w:val="en-US"/>
              </w:rPr>
            </w:pPr>
            <w:r w:rsidRPr="00BA46AD">
              <w:rPr>
                <w:b/>
                <w:bCs w:val="0"/>
                <w:lang w:val="en-US"/>
              </w:rPr>
              <w:t>Treatment u</w:t>
            </w:r>
            <w:r w:rsidR="00382289" w:rsidRPr="00BA46AD">
              <w:rPr>
                <w:b/>
                <w:bCs w:val="0"/>
                <w:lang w:val="en-US"/>
              </w:rPr>
              <w:t>tilisation</w:t>
            </w:r>
          </w:p>
        </w:tc>
      </w:tr>
      <w:tr w:rsidR="00A9648D" w:rsidRPr="00E2771E" w14:paraId="35CBF0F5" w14:textId="77777777" w:rsidTr="507C910F">
        <w:tc>
          <w:tcPr>
            <w:tcW w:w="862" w:type="pct"/>
            <w:shd w:val="clear" w:color="auto" w:fill="auto"/>
          </w:tcPr>
          <w:p w14:paraId="7C718E8C" w14:textId="44763A2A" w:rsidR="00FE793E" w:rsidRDefault="00FE793E" w:rsidP="00A9648D">
            <w:pPr>
              <w:pStyle w:val="TableText0"/>
              <w:keepNext w:val="0"/>
              <w:rPr>
                <w:lang w:val="en-US"/>
              </w:rPr>
            </w:pPr>
            <w:r>
              <w:rPr>
                <w:lang w:val="en-US"/>
              </w:rPr>
              <w:t>P</w:t>
            </w:r>
            <w:r w:rsidR="00303156">
              <w:rPr>
                <w:lang w:val="en-US"/>
              </w:rPr>
              <w:t>embrolizumab</w:t>
            </w:r>
            <w:r w:rsidR="00605867">
              <w:rPr>
                <w:lang w:val="en-US"/>
              </w:rPr>
              <w:t xml:space="preserve"> monotherapy</w:t>
            </w:r>
          </w:p>
        </w:tc>
        <w:tc>
          <w:tcPr>
            <w:tcW w:w="1576" w:type="pct"/>
            <w:gridSpan w:val="3"/>
            <w:shd w:val="clear" w:color="auto" w:fill="auto"/>
          </w:tcPr>
          <w:p w14:paraId="2B7683CD" w14:textId="71532BA5" w:rsidR="00FE793E" w:rsidRDefault="00AD19FA" w:rsidP="00A9648D">
            <w:pPr>
              <w:pStyle w:val="TableText0"/>
              <w:keepNext w:val="0"/>
              <w:rPr>
                <w:lang w:val="en-US"/>
              </w:rPr>
            </w:pPr>
            <w:r>
              <w:rPr>
                <w:lang w:val="en-US"/>
              </w:rPr>
              <w:t>22.</w:t>
            </w:r>
            <w:r w:rsidR="008460EF">
              <w:rPr>
                <w:lang w:val="en-US"/>
              </w:rPr>
              <w:t>4</w:t>
            </w:r>
            <w:r>
              <w:rPr>
                <w:lang w:val="en-US"/>
              </w:rPr>
              <w:t>%</w:t>
            </w:r>
          </w:p>
        </w:tc>
        <w:tc>
          <w:tcPr>
            <w:tcW w:w="939" w:type="pct"/>
          </w:tcPr>
          <w:p w14:paraId="7CAB1B86" w14:textId="0C6E39D2" w:rsidR="00FE793E" w:rsidRPr="00605867" w:rsidRDefault="00B1041E" w:rsidP="00A9648D">
            <w:pPr>
              <w:pStyle w:val="TableText0"/>
              <w:keepNext w:val="0"/>
              <w:rPr>
                <w:iCs/>
                <w:lang w:val="en-US"/>
              </w:rPr>
            </w:pPr>
            <w:r>
              <w:rPr>
                <w:lang w:val="en-US"/>
              </w:rPr>
              <w:t xml:space="preserve">Based on </w:t>
            </w:r>
            <w:r w:rsidR="00605867" w:rsidRPr="00605867">
              <w:rPr>
                <w:iCs/>
                <w:lang w:val="en-US"/>
              </w:rPr>
              <w:t>Dietel et al. (2019)</w:t>
            </w:r>
          </w:p>
        </w:tc>
        <w:tc>
          <w:tcPr>
            <w:tcW w:w="1623" w:type="pct"/>
            <w:shd w:val="clear" w:color="auto" w:fill="auto"/>
          </w:tcPr>
          <w:p w14:paraId="4B4BCB88" w14:textId="3719B78D" w:rsidR="00FE793E" w:rsidRPr="00BA46AD" w:rsidRDefault="00FE793E" w:rsidP="00A9648D">
            <w:pPr>
              <w:pStyle w:val="TableText0"/>
              <w:keepNext w:val="0"/>
              <w:rPr>
                <w:lang w:val="en-US"/>
              </w:rPr>
            </w:pPr>
          </w:p>
        </w:tc>
      </w:tr>
      <w:tr w:rsidR="005036D9" w:rsidRPr="00E2771E" w14:paraId="104B2D35" w14:textId="77777777" w:rsidTr="507C910F">
        <w:tc>
          <w:tcPr>
            <w:tcW w:w="862" w:type="pct"/>
            <w:shd w:val="clear" w:color="auto" w:fill="auto"/>
          </w:tcPr>
          <w:p w14:paraId="31E18521" w14:textId="77777777" w:rsidR="005036D9" w:rsidRDefault="005036D9" w:rsidP="00A9648D">
            <w:pPr>
              <w:pStyle w:val="TableText0"/>
              <w:keepNext w:val="0"/>
              <w:rPr>
                <w:lang w:val="en-US"/>
              </w:rPr>
            </w:pPr>
            <w:r>
              <w:rPr>
                <w:lang w:val="en-US"/>
              </w:rPr>
              <w:t>Duration of treatment</w:t>
            </w:r>
          </w:p>
          <w:p w14:paraId="48B8E233" w14:textId="3F8B5C43" w:rsidR="005036D9" w:rsidRDefault="005036D9" w:rsidP="00A9648D">
            <w:pPr>
              <w:pStyle w:val="TableText0"/>
              <w:keepNext w:val="0"/>
              <w:rPr>
                <w:lang w:val="en-US"/>
              </w:rPr>
            </w:pPr>
            <w:r>
              <w:rPr>
                <w:lang w:val="en-US"/>
              </w:rPr>
              <w:t>(months)</w:t>
            </w:r>
          </w:p>
        </w:tc>
        <w:tc>
          <w:tcPr>
            <w:tcW w:w="945" w:type="pct"/>
            <w:tcBorders>
              <w:bottom w:val="single" w:sz="4" w:space="0" w:color="auto"/>
              <w:right w:val="nil"/>
            </w:tcBorders>
            <w:shd w:val="clear" w:color="auto" w:fill="auto"/>
          </w:tcPr>
          <w:p w14:paraId="07C5D1AC" w14:textId="77777777" w:rsidR="00D81527" w:rsidRDefault="00D81527" w:rsidP="00A9648D">
            <w:pPr>
              <w:pStyle w:val="TableText0"/>
              <w:keepNext w:val="0"/>
              <w:rPr>
                <w:lang w:val="en-US"/>
              </w:rPr>
            </w:pPr>
          </w:p>
          <w:p w14:paraId="75C5A50A" w14:textId="0892BEBF" w:rsidR="005036D9" w:rsidRPr="00774533" w:rsidRDefault="005036D9" w:rsidP="00A9648D">
            <w:pPr>
              <w:pStyle w:val="TableText0"/>
              <w:keepNext w:val="0"/>
              <w:rPr>
                <w:lang w:val="en-US"/>
              </w:rPr>
            </w:pPr>
            <w:r w:rsidRPr="00774533">
              <w:rPr>
                <w:lang w:val="en-US"/>
              </w:rPr>
              <w:t>Dabrafenib</w:t>
            </w:r>
          </w:p>
          <w:p w14:paraId="3A595902" w14:textId="6F3BA38F" w:rsidR="005036D9" w:rsidRDefault="005036D9" w:rsidP="00A9648D">
            <w:pPr>
              <w:pStyle w:val="TableText0"/>
              <w:keepNext w:val="0"/>
              <w:rPr>
                <w:lang w:val="en-US"/>
              </w:rPr>
            </w:pPr>
            <w:r w:rsidRPr="00774533">
              <w:rPr>
                <w:lang w:val="en-US"/>
              </w:rPr>
              <w:t>Trametinib</w:t>
            </w:r>
          </w:p>
          <w:p w14:paraId="2CFCAAAB" w14:textId="5DFE8BAD" w:rsidR="005036D9" w:rsidRPr="00303156" w:rsidRDefault="005036D9" w:rsidP="00A9648D">
            <w:pPr>
              <w:pStyle w:val="TableText0"/>
              <w:keepNext w:val="0"/>
              <w:rPr>
                <w:u w:val="single"/>
                <w:lang w:val="en-US"/>
              </w:rPr>
            </w:pPr>
            <w:r w:rsidRPr="00303156">
              <w:rPr>
                <w:u w:val="single"/>
                <w:lang w:val="en-US"/>
              </w:rPr>
              <w:t>ECOG PS 0-1</w:t>
            </w:r>
          </w:p>
          <w:p w14:paraId="7D0A20A1" w14:textId="77777777" w:rsidR="00C6188C" w:rsidRDefault="005036D9" w:rsidP="005036D9">
            <w:pPr>
              <w:pStyle w:val="TableText0"/>
              <w:keepNext w:val="0"/>
              <w:rPr>
                <w:lang w:val="en-US"/>
              </w:rPr>
            </w:pPr>
            <w:r w:rsidRPr="00774533">
              <w:rPr>
                <w:lang w:val="en-US"/>
              </w:rPr>
              <w:t>Pembrolizumab</w:t>
            </w:r>
          </w:p>
          <w:p w14:paraId="256EBBA4" w14:textId="5D861CC2" w:rsidR="005036D9" w:rsidRDefault="005036D9" w:rsidP="005036D9">
            <w:pPr>
              <w:pStyle w:val="TableText0"/>
              <w:keepNext w:val="0"/>
              <w:rPr>
                <w:lang w:val="en-US"/>
              </w:rPr>
            </w:pPr>
            <w:r>
              <w:rPr>
                <w:lang w:val="en-US"/>
              </w:rPr>
              <w:t>Platinum</w:t>
            </w:r>
          </w:p>
          <w:p w14:paraId="30144E3E" w14:textId="428FE5C6" w:rsidR="005036D9" w:rsidRDefault="005036D9" w:rsidP="005036D9">
            <w:pPr>
              <w:pStyle w:val="TableText0"/>
              <w:keepNext w:val="0"/>
              <w:rPr>
                <w:lang w:val="en-US"/>
              </w:rPr>
            </w:pPr>
            <w:r w:rsidRPr="00774533">
              <w:rPr>
                <w:lang w:val="en-US"/>
              </w:rPr>
              <w:t>Pemetrexed</w:t>
            </w:r>
            <w:r>
              <w:rPr>
                <w:lang w:val="en-US"/>
              </w:rPr>
              <w:t>/</w:t>
            </w:r>
            <w:r w:rsidRPr="00774533">
              <w:rPr>
                <w:lang w:val="en-US"/>
              </w:rPr>
              <w:t xml:space="preserve">Paclitaxel </w:t>
            </w:r>
          </w:p>
          <w:p w14:paraId="160A7EF0" w14:textId="77777777" w:rsidR="005036D9" w:rsidRPr="00303156" w:rsidRDefault="005036D9" w:rsidP="00A9648D">
            <w:pPr>
              <w:pStyle w:val="TableText0"/>
              <w:keepNext w:val="0"/>
              <w:rPr>
                <w:u w:val="single"/>
                <w:lang w:val="en-US"/>
              </w:rPr>
            </w:pPr>
            <w:r w:rsidRPr="00303156">
              <w:rPr>
                <w:u w:val="single"/>
                <w:lang w:val="en-US"/>
              </w:rPr>
              <w:t>ECOG PS 2</w:t>
            </w:r>
          </w:p>
          <w:p w14:paraId="2BB46B92" w14:textId="77777777" w:rsidR="005036D9" w:rsidRDefault="005036D9" w:rsidP="00D81527">
            <w:pPr>
              <w:pStyle w:val="TableText0"/>
              <w:keepNext w:val="0"/>
              <w:rPr>
                <w:lang w:val="en-US"/>
              </w:rPr>
            </w:pPr>
            <w:r>
              <w:rPr>
                <w:lang w:val="en-US"/>
              </w:rPr>
              <w:t>Platinum</w:t>
            </w:r>
          </w:p>
          <w:p w14:paraId="67423CF1" w14:textId="4959DC1E" w:rsidR="005036D9" w:rsidRDefault="005036D9" w:rsidP="00D81527">
            <w:pPr>
              <w:pStyle w:val="TableText0"/>
              <w:keepNext w:val="0"/>
              <w:rPr>
                <w:lang w:val="en-US"/>
              </w:rPr>
            </w:pPr>
            <w:r>
              <w:rPr>
                <w:lang w:val="en-US"/>
              </w:rPr>
              <w:t>Pemetrexed</w:t>
            </w:r>
          </w:p>
        </w:tc>
        <w:tc>
          <w:tcPr>
            <w:tcW w:w="316" w:type="pct"/>
            <w:tcBorders>
              <w:left w:val="nil"/>
              <w:bottom w:val="single" w:sz="4" w:space="0" w:color="auto"/>
              <w:right w:val="nil"/>
            </w:tcBorders>
            <w:shd w:val="clear" w:color="auto" w:fill="auto"/>
          </w:tcPr>
          <w:p w14:paraId="36C357DB" w14:textId="77777777" w:rsidR="00D81527" w:rsidRDefault="00D81527" w:rsidP="00D81527">
            <w:pPr>
              <w:pStyle w:val="TableText0"/>
              <w:keepNext w:val="0"/>
              <w:rPr>
                <w:lang w:val="en-US"/>
              </w:rPr>
            </w:pPr>
            <w:r>
              <w:rPr>
                <w:lang w:val="en-US"/>
              </w:rPr>
              <w:t>NSQ</w:t>
            </w:r>
          </w:p>
          <w:p w14:paraId="05F5E7B5" w14:textId="74181122" w:rsidR="005036D9" w:rsidRDefault="005036D9" w:rsidP="00D81527">
            <w:pPr>
              <w:pStyle w:val="TableText0"/>
              <w:keepNext w:val="0"/>
              <w:rPr>
                <w:lang w:val="en-US"/>
              </w:rPr>
            </w:pPr>
            <w:r>
              <w:rPr>
                <w:lang w:val="en-US"/>
              </w:rPr>
              <w:t>18.91</w:t>
            </w:r>
          </w:p>
          <w:p w14:paraId="45C6CE6A" w14:textId="77777777" w:rsidR="005036D9" w:rsidRDefault="005036D9" w:rsidP="00D81527">
            <w:pPr>
              <w:pStyle w:val="TableText0"/>
              <w:keepNext w:val="0"/>
              <w:rPr>
                <w:lang w:val="en-US"/>
              </w:rPr>
            </w:pPr>
            <w:r>
              <w:rPr>
                <w:lang w:val="en-US"/>
              </w:rPr>
              <w:t>17.72</w:t>
            </w:r>
          </w:p>
          <w:p w14:paraId="76E9932B" w14:textId="5A5F94E4" w:rsidR="005036D9" w:rsidRDefault="005036D9" w:rsidP="00D81527">
            <w:pPr>
              <w:pStyle w:val="TableText0"/>
              <w:keepNext w:val="0"/>
              <w:rPr>
                <w:lang w:val="en-US"/>
              </w:rPr>
            </w:pPr>
          </w:p>
          <w:p w14:paraId="4EB1B6A0" w14:textId="77777777" w:rsidR="005036D9" w:rsidRDefault="005036D9" w:rsidP="00D81527">
            <w:pPr>
              <w:pStyle w:val="TableText0"/>
              <w:keepNext w:val="0"/>
              <w:rPr>
                <w:lang w:val="en-US"/>
              </w:rPr>
            </w:pPr>
            <w:r>
              <w:rPr>
                <w:lang w:val="en-US"/>
              </w:rPr>
              <w:t>10.26</w:t>
            </w:r>
          </w:p>
          <w:p w14:paraId="12B7F184" w14:textId="77777777" w:rsidR="005036D9" w:rsidRDefault="005036D9" w:rsidP="00D81527">
            <w:pPr>
              <w:pStyle w:val="TableText0"/>
              <w:keepNext w:val="0"/>
              <w:rPr>
                <w:lang w:val="en-US"/>
              </w:rPr>
            </w:pPr>
            <w:r>
              <w:rPr>
                <w:lang w:val="en-US"/>
              </w:rPr>
              <w:t>2.53</w:t>
            </w:r>
          </w:p>
          <w:p w14:paraId="35B9232E" w14:textId="77777777" w:rsidR="005036D9" w:rsidRDefault="005036D9" w:rsidP="00D81527">
            <w:pPr>
              <w:pStyle w:val="TableText0"/>
              <w:keepNext w:val="0"/>
              <w:rPr>
                <w:lang w:val="en-US"/>
              </w:rPr>
            </w:pPr>
            <w:r>
              <w:rPr>
                <w:lang w:val="en-US"/>
              </w:rPr>
              <w:t>11.60</w:t>
            </w:r>
          </w:p>
          <w:p w14:paraId="14D91EA3" w14:textId="77777777" w:rsidR="00D81527" w:rsidRDefault="00D81527" w:rsidP="00D81527">
            <w:pPr>
              <w:pStyle w:val="TableText0"/>
              <w:keepNext w:val="0"/>
              <w:rPr>
                <w:lang w:val="en-US"/>
              </w:rPr>
            </w:pPr>
          </w:p>
          <w:p w14:paraId="7E67BE01" w14:textId="38E06D97" w:rsidR="00D81527" w:rsidRDefault="00D81527" w:rsidP="00D81527">
            <w:pPr>
              <w:pStyle w:val="TableText0"/>
              <w:keepNext w:val="0"/>
              <w:rPr>
                <w:lang w:val="en-US"/>
              </w:rPr>
            </w:pPr>
            <w:r>
              <w:rPr>
                <w:lang w:val="en-US"/>
              </w:rPr>
              <w:t>2.37</w:t>
            </w:r>
          </w:p>
          <w:p w14:paraId="385F36CE" w14:textId="3B0F82F3" w:rsidR="005036D9" w:rsidRDefault="00D81527" w:rsidP="00D81527">
            <w:pPr>
              <w:pStyle w:val="TableText0"/>
              <w:keepNext w:val="0"/>
              <w:rPr>
                <w:lang w:val="en-US"/>
              </w:rPr>
            </w:pPr>
            <w:r>
              <w:rPr>
                <w:lang w:val="en-US"/>
              </w:rPr>
              <w:t>6.65</w:t>
            </w:r>
          </w:p>
        </w:tc>
        <w:tc>
          <w:tcPr>
            <w:tcW w:w="315" w:type="pct"/>
            <w:tcBorders>
              <w:left w:val="nil"/>
              <w:bottom w:val="single" w:sz="4" w:space="0" w:color="auto"/>
            </w:tcBorders>
            <w:shd w:val="clear" w:color="auto" w:fill="auto"/>
          </w:tcPr>
          <w:p w14:paraId="157AA1ED" w14:textId="45A36805" w:rsidR="005036D9" w:rsidRDefault="00D81527" w:rsidP="00D81527">
            <w:pPr>
              <w:pStyle w:val="TableText0"/>
              <w:keepNext w:val="0"/>
              <w:rPr>
                <w:lang w:val="en-US"/>
              </w:rPr>
            </w:pPr>
            <w:r>
              <w:rPr>
                <w:lang w:val="en-US"/>
              </w:rPr>
              <w:t>SQ</w:t>
            </w:r>
          </w:p>
          <w:p w14:paraId="7E5BE2B6" w14:textId="77777777" w:rsidR="00D81527" w:rsidRDefault="00D81527" w:rsidP="00D81527">
            <w:pPr>
              <w:pStyle w:val="TableText0"/>
              <w:keepNext w:val="0"/>
              <w:rPr>
                <w:lang w:val="en-US"/>
              </w:rPr>
            </w:pPr>
            <w:r>
              <w:rPr>
                <w:lang w:val="en-US"/>
              </w:rPr>
              <w:t>18.91</w:t>
            </w:r>
          </w:p>
          <w:p w14:paraId="26154CD7" w14:textId="77777777" w:rsidR="00D81527" w:rsidRDefault="00D81527" w:rsidP="00D81527">
            <w:pPr>
              <w:pStyle w:val="TableText0"/>
              <w:keepNext w:val="0"/>
              <w:rPr>
                <w:lang w:val="en-US"/>
              </w:rPr>
            </w:pPr>
            <w:r>
              <w:rPr>
                <w:lang w:val="en-US"/>
              </w:rPr>
              <w:t>17.72</w:t>
            </w:r>
          </w:p>
          <w:p w14:paraId="215F98CA" w14:textId="3B4EDE30" w:rsidR="005036D9" w:rsidRDefault="005036D9" w:rsidP="00D81527">
            <w:pPr>
              <w:pStyle w:val="TableText0"/>
              <w:keepNext w:val="0"/>
              <w:rPr>
                <w:lang w:val="en-US"/>
              </w:rPr>
            </w:pPr>
          </w:p>
          <w:p w14:paraId="4B050A0F" w14:textId="77777777" w:rsidR="005036D9" w:rsidRDefault="005036D9" w:rsidP="00D81527">
            <w:pPr>
              <w:pStyle w:val="TableText0"/>
              <w:keepNext w:val="0"/>
              <w:rPr>
                <w:lang w:val="en-US"/>
              </w:rPr>
            </w:pPr>
            <w:r>
              <w:rPr>
                <w:lang w:val="en-US"/>
              </w:rPr>
              <w:t>9.98</w:t>
            </w:r>
          </w:p>
          <w:p w14:paraId="1B5FB1ED" w14:textId="77777777" w:rsidR="005036D9" w:rsidRDefault="005036D9" w:rsidP="00D81527">
            <w:pPr>
              <w:pStyle w:val="TableText0"/>
              <w:keepNext w:val="0"/>
              <w:rPr>
                <w:lang w:val="en-US"/>
              </w:rPr>
            </w:pPr>
            <w:r>
              <w:rPr>
                <w:lang w:val="en-US"/>
              </w:rPr>
              <w:t>2.52</w:t>
            </w:r>
          </w:p>
          <w:p w14:paraId="4139932F" w14:textId="77777777" w:rsidR="005036D9" w:rsidRDefault="005036D9" w:rsidP="00D81527">
            <w:pPr>
              <w:pStyle w:val="TableText0"/>
              <w:keepNext w:val="0"/>
              <w:rPr>
                <w:lang w:val="en-US"/>
              </w:rPr>
            </w:pPr>
            <w:r>
              <w:rPr>
                <w:lang w:val="en-US"/>
              </w:rPr>
              <w:t>2.52</w:t>
            </w:r>
          </w:p>
          <w:p w14:paraId="549024CB" w14:textId="77777777" w:rsidR="00D81527" w:rsidRDefault="00D81527" w:rsidP="00D81527">
            <w:pPr>
              <w:pStyle w:val="TableText0"/>
              <w:keepNext w:val="0"/>
              <w:rPr>
                <w:lang w:val="en-US"/>
              </w:rPr>
            </w:pPr>
          </w:p>
          <w:p w14:paraId="1694A330" w14:textId="04693E85" w:rsidR="00D81527" w:rsidRDefault="00D81527" w:rsidP="00D81527">
            <w:pPr>
              <w:pStyle w:val="TableText0"/>
              <w:keepNext w:val="0"/>
              <w:rPr>
                <w:lang w:val="en-US"/>
              </w:rPr>
            </w:pPr>
            <w:r>
              <w:rPr>
                <w:lang w:val="en-US"/>
              </w:rPr>
              <w:t>2.45</w:t>
            </w:r>
          </w:p>
          <w:p w14:paraId="77CA93F1" w14:textId="5F4535FD" w:rsidR="00D81527" w:rsidRDefault="00D81527" w:rsidP="00D81527">
            <w:pPr>
              <w:pStyle w:val="TableText0"/>
              <w:keepNext w:val="0"/>
              <w:rPr>
                <w:lang w:val="en-US"/>
              </w:rPr>
            </w:pPr>
            <w:r>
              <w:rPr>
                <w:lang w:val="en-US"/>
              </w:rPr>
              <w:t>2.45</w:t>
            </w:r>
          </w:p>
        </w:tc>
        <w:tc>
          <w:tcPr>
            <w:tcW w:w="939" w:type="pct"/>
          </w:tcPr>
          <w:p w14:paraId="3DB14CCE" w14:textId="7B1F9372" w:rsidR="005036D9" w:rsidRPr="00605867" w:rsidRDefault="005036D9" w:rsidP="00A9648D">
            <w:pPr>
              <w:pStyle w:val="TableText0"/>
              <w:keepNext w:val="0"/>
              <w:rPr>
                <w:iCs/>
                <w:lang w:val="en-US"/>
              </w:rPr>
            </w:pPr>
            <w:r w:rsidRPr="00605867">
              <w:rPr>
                <w:iCs/>
                <w:lang w:val="en-US"/>
              </w:rPr>
              <w:t>E2201 study Kaplan-Meier TTD</w:t>
            </w:r>
          </w:p>
          <w:p w14:paraId="6F9560A0" w14:textId="77777777" w:rsidR="005036D9" w:rsidRPr="00605867" w:rsidRDefault="005036D9" w:rsidP="00A9648D">
            <w:pPr>
              <w:pStyle w:val="TableText0"/>
              <w:keepNext w:val="0"/>
              <w:rPr>
                <w:iCs/>
                <w:lang w:val="en-US"/>
              </w:rPr>
            </w:pPr>
          </w:p>
          <w:p w14:paraId="78BA1AD7" w14:textId="77777777" w:rsidR="005036D9" w:rsidRDefault="005036D9" w:rsidP="00A9648D">
            <w:pPr>
              <w:pStyle w:val="TableText0"/>
              <w:keepNext w:val="0"/>
              <w:rPr>
                <w:iCs/>
                <w:lang w:val="en-US"/>
              </w:rPr>
            </w:pPr>
          </w:p>
          <w:p w14:paraId="2E5D94AE" w14:textId="7BD4C5BB" w:rsidR="005036D9" w:rsidRPr="00605867" w:rsidRDefault="005036D9" w:rsidP="00A9648D">
            <w:pPr>
              <w:pStyle w:val="TableText0"/>
              <w:keepNext w:val="0"/>
              <w:rPr>
                <w:iCs/>
                <w:lang w:val="en-US"/>
              </w:rPr>
            </w:pPr>
            <w:r w:rsidRPr="00605867">
              <w:rPr>
                <w:iCs/>
                <w:lang w:val="en-US"/>
              </w:rPr>
              <w:t xml:space="preserve">Estimated from </w:t>
            </w:r>
            <w:proofErr w:type="spellStart"/>
            <w:r w:rsidRPr="00605867">
              <w:rPr>
                <w:iCs/>
                <w:lang w:val="en-US"/>
              </w:rPr>
              <w:t>Gadgeel</w:t>
            </w:r>
            <w:proofErr w:type="spellEnd"/>
            <w:r w:rsidRPr="00605867">
              <w:rPr>
                <w:iCs/>
                <w:lang w:val="en-US"/>
              </w:rPr>
              <w:t xml:space="preserve"> et al., 202</w:t>
            </w:r>
            <w:r w:rsidR="00F77336">
              <w:rPr>
                <w:iCs/>
                <w:lang w:val="en-US"/>
              </w:rPr>
              <w:t>0</w:t>
            </w:r>
            <w:r w:rsidR="00D81527">
              <w:rPr>
                <w:iCs/>
                <w:lang w:val="en-US"/>
              </w:rPr>
              <w:t xml:space="preserve"> and </w:t>
            </w:r>
            <w:r w:rsidRPr="00605867">
              <w:rPr>
                <w:iCs/>
                <w:lang w:val="en-US"/>
              </w:rPr>
              <w:t>Paz-Ares et al., 2018</w:t>
            </w:r>
          </w:p>
        </w:tc>
        <w:tc>
          <w:tcPr>
            <w:tcW w:w="1623" w:type="pct"/>
            <w:shd w:val="clear" w:color="auto" w:fill="auto"/>
          </w:tcPr>
          <w:p w14:paraId="319A8774" w14:textId="36677E1C" w:rsidR="005036D9" w:rsidRPr="00BA46AD" w:rsidRDefault="005036D9" w:rsidP="00A9648D">
            <w:pPr>
              <w:pStyle w:val="TableText0"/>
              <w:keepNext w:val="0"/>
              <w:rPr>
                <w:lang w:val="en-US"/>
              </w:rPr>
            </w:pPr>
            <w:r w:rsidRPr="00BA46AD">
              <w:rPr>
                <w:lang w:val="en-US"/>
              </w:rPr>
              <w:t>While this was consistent with the economic estimates, the absence of</w:t>
            </w:r>
            <w:r w:rsidR="00B14FF9" w:rsidRPr="00BA46AD">
              <w:rPr>
                <w:lang w:val="en-US"/>
              </w:rPr>
              <w:t xml:space="preserve"> Kaplan-Meier</w:t>
            </w:r>
            <w:r w:rsidRPr="00BA46AD">
              <w:rPr>
                <w:lang w:val="en-US"/>
              </w:rPr>
              <w:t xml:space="preserve"> TTD data from the pembrolizumab trials introduces uncertainty regarding the mean duration of treatment and the resulting mean administration.</w:t>
            </w:r>
          </w:p>
        </w:tc>
      </w:tr>
      <w:tr w:rsidR="00A9648D" w:rsidRPr="00E2771E" w14:paraId="512A8938" w14:textId="77777777" w:rsidTr="507C910F">
        <w:tc>
          <w:tcPr>
            <w:tcW w:w="862" w:type="pct"/>
            <w:shd w:val="clear" w:color="auto" w:fill="auto"/>
          </w:tcPr>
          <w:p w14:paraId="1F4C70A3" w14:textId="7AFBD33A" w:rsidR="000E66A8" w:rsidRDefault="000E66A8" w:rsidP="00A9648D">
            <w:pPr>
              <w:pStyle w:val="TableText0"/>
              <w:keepNext w:val="0"/>
              <w:rPr>
                <w:lang w:val="en-US"/>
              </w:rPr>
            </w:pPr>
            <w:r>
              <w:rPr>
                <w:lang w:val="en-US"/>
              </w:rPr>
              <w:t>Compliance rate</w:t>
            </w:r>
          </w:p>
        </w:tc>
        <w:tc>
          <w:tcPr>
            <w:tcW w:w="945" w:type="pct"/>
            <w:tcBorders>
              <w:right w:val="nil"/>
            </w:tcBorders>
            <w:shd w:val="clear" w:color="auto" w:fill="auto"/>
          </w:tcPr>
          <w:p w14:paraId="79B808C4" w14:textId="77777777" w:rsidR="000E66A8" w:rsidRDefault="000E66A8" w:rsidP="00A9648D">
            <w:pPr>
              <w:pStyle w:val="TableText0"/>
              <w:keepNext w:val="0"/>
              <w:rPr>
                <w:lang w:val="en-US"/>
              </w:rPr>
            </w:pPr>
          </w:p>
          <w:p w14:paraId="58D90BCA" w14:textId="75F656AC" w:rsidR="000E66A8" w:rsidRPr="00774533" w:rsidRDefault="000E66A8" w:rsidP="00A9648D">
            <w:pPr>
              <w:pStyle w:val="TableText0"/>
              <w:keepNext w:val="0"/>
              <w:rPr>
                <w:lang w:val="en-US"/>
              </w:rPr>
            </w:pPr>
            <w:r w:rsidRPr="00774533">
              <w:rPr>
                <w:lang w:val="en-US"/>
              </w:rPr>
              <w:t>Dabrafenib</w:t>
            </w:r>
          </w:p>
          <w:p w14:paraId="27E6E02D" w14:textId="2DD7CFE8" w:rsidR="00662C13" w:rsidRDefault="000E66A8" w:rsidP="00A9648D">
            <w:pPr>
              <w:pStyle w:val="TableText0"/>
              <w:keepNext w:val="0"/>
              <w:rPr>
                <w:lang w:val="en-US"/>
              </w:rPr>
            </w:pPr>
            <w:r w:rsidRPr="00774533">
              <w:rPr>
                <w:lang w:val="en-US"/>
              </w:rPr>
              <w:t>Trametinib</w:t>
            </w:r>
          </w:p>
          <w:p w14:paraId="19A6172E" w14:textId="0941526E" w:rsidR="000E66A8" w:rsidRPr="00303156" w:rsidRDefault="000E66A8" w:rsidP="00A9648D">
            <w:pPr>
              <w:pStyle w:val="TableText0"/>
              <w:keepNext w:val="0"/>
              <w:rPr>
                <w:u w:val="single"/>
                <w:lang w:val="en-US"/>
              </w:rPr>
            </w:pPr>
            <w:r w:rsidRPr="00303156">
              <w:rPr>
                <w:u w:val="single"/>
                <w:lang w:val="en-US"/>
              </w:rPr>
              <w:t>ECOG PS 0-1</w:t>
            </w:r>
          </w:p>
          <w:p w14:paraId="13D40E8A" w14:textId="2A03ECA0" w:rsidR="000E66A8" w:rsidRPr="00774533" w:rsidRDefault="000E66A8" w:rsidP="00A9648D">
            <w:pPr>
              <w:pStyle w:val="TableText0"/>
              <w:keepNext w:val="0"/>
              <w:rPr>
                <w:lang w:val="en-US"/>
              </w:rPr>
            </w:pPr>
            <w:r w:rsidRPr="00774533">
              <w:rPr>
                <w:lang w:val="en-US"/>
              </w:rPr>
              <w:t>Pembrolizumab</w:t>
            </w:r>
          </w:p>
          <w:p w14:paraId="4599B162" w14:textId="770B6480" w:rsidR="000E66A8" w:rsidRDefault="000E66A8" w:rsidP="00A9648D">
            <w:pPr>
              <w:pStyle w:val="TableText0"/>
              <w:keepNext w:val="0"/>
              <w:rPr>
                <w:lang w:val="en-US"/>
              </w:rPr>
            </w:pPr>
            <w:r>
              <w:rPr>
                <w:lang w:val="en-US"/>
              </w:rPr>
              <w:t>Platinum</w:t>
            </w:r>
          </w:p>
          <w:p w14:paraId="1F787E77" w14:textId="77777777" w:rsidR="000E66A8" w:rsidRDefault="000E66A8" w:rsidP="00A9648D">
            <w:pPr>
              <w:pStyle w:val="TableText0"/>
              <w:keepNext w:val="0"/>
              <w:rPr>
                <w:lang w:val="en-US"/>
              </w:rPr>
            </w:pPr>
            <w:r w:rsidRPr="00774533">
              <w:rPr>
                <w:lang w:val="en-US"/>
              </w:rPr>
              <w:t>Pemetrexed</w:t>
            </w:r>
            <w:r>
              <w:rPr>
                <w:lang w:val="en-US"/>
              </w:rPr>
              <w:t>/</w:t>
            </w:r>
            <w:r w:rsidRPr="00774533">
              <w:rPr>
                <w:lang w:val="en-US"/>
              </w:rPr>
              <w:t xml:space="preserve">Paclitaxel </w:t>
            </w:r>
          </w:p>
          <w:p w14:paraId="780577FE" w14:textId="77777777" w:rsidR="000E66A8" w:rsidRPr="00303156" w:rsidRDefault="000E66A8" w:rsidP="00A9648D">
            <w:pPr>
              <w:pStyle w:val="TableText0"/>
              <w:keepNext w:val="0"/>
              <w:rPr>
                <w:u w:val="single"/>
                <w:lang w:val="en-US"/>
              </w:rPr>
            </w:pPr>
            <w:r w:rsidRPr="00303156">
              <w:rPr>
                <w:u w:val="single"/>
                <w:lang w:val="en-US"/>
              </w:rPr>
              <w:t>ECOG PS 2</w:t>
            </w:r>
          </w:p>
          <w:p w14:paraId="79734E1C" w14:textId="77777777" w:rsidR="000E66A8" w:rsidRDefault="000E66A8" w:rsidP="00A9648D">
            <w:pPr>
              <w:pStyle w:val="TableText0"/>
              <w:keepNext w:val="0"/>
              <w:rPr>
                <w:lang w:val="en-US"/>
              </w:rPr>
            </w:pPr>
            <w:r>
              <w:rPr>
                <w:lang w:val="en-US"/>
              </w:rPr>
              <w:t>Platinum</w:t>
            </w:r>
          </w:p>
          <w:p w14:paraId="7A1D08C6" w14:textId="3B11E441" w:rsidR="000E66A8" w:rsidRDefault="000E66A8" w:rsidP="00A9648D">
            <w:pPr>
              <w:pStyle w:val="TableText0"/>
              <w:keepNext w:val="0"/>
              <w:rPr>
                <w:lang w:val="en-US"/>
              </w:rPr>
            </w:pPr>
            <w:r>
              <w:rPr>
                <w:lang w:val="en-US"/>
              </w:rPr>
              <w:t>Pemetrexed</w:t>
            </w:r>
          </w:p>
        </w:tc>
        <w:tc>
          <w:tcPr>
            <w:tcW w:w="316" w:type="pct"/>
            <w:tcBorders>
              <w:left w:val="nil"/>
              <w:right w:val="nil"/>
            </w:tcBorders>
            <w:shd w:val="clear" w:color="auto" w:fill="auto"/>
          </w:tcPr>
          <w:p w14:paraId="33F89A4B" w14:textId="77777777" w:rsidR="000E66A8" w:rsidRDefault="000E66A8" w:rsidP="00A9648D">
            <w:pPr>
              <w:pStyle w:val="TableText0"/>
              <w:keepNext w:val="0"/>
              <w:rPr>
                <w:lang w:val="en-US"/>
              </w:rPr>
            </w:pPr>
            <w:r>
              <w:rPr>
                <w:lang w:val="en-US"/>
              </w:rPr>
              <w:t>NSQ</w:t>
            </w:r>
          </w:p>
          <w:p w14:paraId="646A29B8" w14:textId="1DBEFB51" w:rsidR="000E66A8" w:rsidRDefault="000E66A8" w:rsidP="00A9648D">
            <w:pPr>
              <w:pStyle w:val="TableText0"/>
              <w:keepNext w:val="0"/>
              <w:rPr>
                <w:lang w:val="en-US"/>
              </w:rPr>
            </w:pPr>
            <w:r>
              <w:rPr>
                <w:lang w:val="en-US"/>
              </w:rPr>
              <w:t>83.0%</w:t>
            </w:r>
          </w:p>
          <w:p w14:paraId="164BA719" w14:textId="21607789" w:rsidR="000E66A8" w:rsidRDefault="000E66A8" w:rsidP="00A9648D">
            <w:pPr>
              <w:pStyle w:val="TableText0"/>
              <w:keepNext w:val="0"/>
              <w:rPr>
                <w:lang w:val="en-US"/>
              </w:rPr>
            </w:pPr>
            <w:r>
              <w:rPr>
                <w:lang w:val="en-US"/>
              </w:rPr>
              <w:t>90.0%</w:t>
            </w:r>
          </w:p>
          <w:p w14:paraId="413CFD0D" w14:textId="77777777" w:rsidR="00662C13" w:rsidRDefault="00662C13" w:rsidP="00A9648D">
            <w:pPr>
              <w:pStyle w:val="TableText0"/>
              <w:keepNext w:val="0"/>
              <w:rPr>
                <w:lang w:val="en-US"/>
              </w:rPr>
            </w:pPr>
          </w:p>
          <w:p w14:paraId="7605A261" w14:textId="5F32F710" w:rsidR="000E66A8" w:rsidRDefault="000E66A8" w:rsidP="00A9648D">
            <w:pPr>
              <w:pStyle w:val="TableText0"/>
              <w:keepNext w:val="0"/>
              <w:rPr>
                <w:lang w:val="en-US"/>
              </w:rPr>
            </w:pPr>
            <w:r>
              <w:rPr>
                <w:lang w:val="en-US"/>
              </w:rPr>
              <w:t>95.3%</w:t>
            </w:r>
          </w:p>
          <w:p w14:paraId="7A7249EA" w14:textId="5142D971" w:rsidR="000E66A8" w:rsidRDefault="000E66A8" w:rsidP="00A9648D">
            <w:pPr>
              <w:pStyle w:val="TableText0"/>
              <w:keepNext w:val="0"/>
              <w:rPr>
                <w:lang w:val="en-US"/>
              </w:rPr>
            </w:pPr>
            <w:r>
              <w:rPr>
                <w:lang w:val="en-US"/>
              </w:rPr>
              <w:t>9</w:t>
            </w:r>
            <w:r w:rsidR="00285BB4">
              <w:rPr>
                <w:lang w:val="en-US"/>
              </w:rPr>
              <w:t>8</w:t>
            </w:r>
            <w:r>
              <w:rPr>
                <w:lang w:val="en-US"/>
              </w:rPr>
              <w:t>.5%</w:t>
            </w:r>
          </w:p>
          <w:p w14:paraId="69392556" w14:textId="204A2008" w:rsidR="000E66A8" w:rsidRDefault="000E66A8" w:rsidP="00A9648D">
            <w:pPr>
              <w:pStyle w:val="TableText0"/>
              <w:keepNext w:val="0"/>
              <w:rPr>
                <w:lang w:val="en-US"/>
              </w:rPr>
            </w:pPr>
            <w:r>
              <w:rPr>
                <w:lang w:val="en-US"/>
              </w:rPr>
              <w:t>81.0%</w:t>
            </w:r>
          </w:p>
          <w:p w14:paraId="77358032" w14:textId="77777777" w:rsidR="000E66A8" w:rsidRDefault="000E66A8" w:rsidP="00A9648D">
            <w:pPr>
              <w:pStyle w:val="TableText0"/>
              <w:keepNext w:val="0"/>
              <w:rPr>
                <w:lang w:val="en-US"/>
              </w:rPr>
            </w:pPr>
          </w:p>
          <w:p w14:paraId="141B7566" w14:textId="7E083733" w:rsidR="000E66A8" w:rsidRDefault="000E66A8" w:rsidP="00A9648D">
            <w:pPr>
              <w:pStyle w:val="TableText0"/>
              <w:keepNext w:val="0"/>
              <w:rPr>
                <w:lang w:val="en-US"/>
              </w:rPr>
            </w:pPr>
            <w:r>
              <w:rPr>
                <w:lang w:val="en-US"/>
              </w:rPr>
              <w:t>99.5%</w:t>
            </w:r>
          </w:p>
          <w:p w14:paraId="46E69841" w14:textId="10FFB25E" w:rsidR="000E66A8" w:rsidRDefault="000E66A8" w:rsidP="00A9648D">
            <w:pPr>
              <w:pStyle w:val="TableText0"/>
              <w:keepNext w:val="0"/>
              <w:rPr>
                <w:lang w:val="en-US"/>
              </w:rPr>
            </w:pPr>
            <w:r>
              <w:rPr>
                <w:lang w:val="en-US"/>
              </w:rPr>
              <w:t>87.2%</w:t>
            </w:r>
          </w:p>
        </w:tc>
        <w:tc>
          <w:tcPr>
            <w:tcW w:w="315" w:type="pct"/>
            <w:tcBorders>
              <w:left w:val="nil"/>
            </w:tcBorders>
            <w:shd w:val="clear" w:color="auto" w:fill="auto"/>
          </w:tcPr>
          <w:p w14:paraId="7787FDA1" w14:textId="77777777" w:rsidR="000E66A8" w:rsidRDefault="000E66A8" w:rsidP="00A9648D">
            <w:pPr>
              <w:pStyle w:val="TableText0"/>
              <w:keepNext w:val="0"/>
              <w:rPr>
                <w:lang w:val="en-US"/>
              </w:rPr>
            </w:pPr>
            <w:r>
              <w:rPr>
                <w:lang w:val="en-US"/>
              </w:rPr>
              <w:t>SQ</w:t>
            </w:r>
          </w:p>
          <w:p w14:paraId="3719FE27" w14:textId="77777777" w:rsidR="000E66A8" w:rsidRDefault="000E66A8" w:rsidP="00A9648D">
            <w:pPr>
              <w:pStyle w:val="TableText0"/>
              <w:keepNext w:val="0"/>
              <w:rPr>
                <w:lang w:val="en-US"/>
              </w:rPr>
            </w:pPr>
            <w:r>
              <w:rPr>
                <w:lang w:val="en-US"/>
              </w:rPr>
              <w:t>83.0%</w:t>
            </w:r>
          </w:p>
          <w:p w14:paraId="7B37F0F6" w14:textId="77777777" w:rsidR="000E66A8" w:rsidRDefault="000E66A8" w:rsidP="00A9648D">
            <w:pPr>
              <w:pStyle w:val="TableText0"/>
              <w:keepNext w:val="0"/>
              <w:rPr>
                <w:lang w:val="en-US"/>
              </w:rPr>
            </w:pPr>
            <w:r>
              <w:rPr>
                <w:lang w:val="en-US"/>
              </w:rPr>
              <w:t>90.0%</w:t>
            </w:r>
          </w:p>
          <w:p w14:paraId="2228E180" w14:textId="77777777" w:rsidR="00662C13" w:rsidRDefault="00662C13" w:rsidP="00A9648D">
            <w:pPr>
              <w:pStyle w:val="TableText0"/>
              <w:keepNext w:val="0"/>
              <w:rPr>
                <w:lang w:val="en-US"/>
              </w:rPr>
            </w:pPr>
          </w:p>
          <w:p w14:paraId="19E4E712" w14:textId="5BC4A633" w:rsidR="000E66A8" w:rsidRDefault="000E66A8" w:rsidP="00A9648D">
            <w:pPr>
              <w:pStyle w:val="TableText0"/>
              <w:keepNext w:val="0"/>
              <w:rPr>
                <w:lang w:val="en-US"/>
              </w:rPr>
            </w:pPr>
            <w:r>
              <w:rPr>
                <w:lang w:val="en-US"/>
              </w:rPr>
              <w:t>97.3%</w:t>
            </w:r>
          </w:p>
          <w:p w14:paraId="36D9FD6A" w14:textId="77777777" w:rsidR="000E66A8" w:rsidRDefault="000E66A8" w:rsidP="00A9648D">
            <w:pPr>
              <w:pStyle w:val="TableText0"/>
              <w:keepNext w:val="0"/>
              <w:rPr>
                <w:lang w:val="en-US"/>
              </w:rPr>
            </w:pPr>
            <w:r>
              <w:rPr>
                <w:lang w:val="en-US"/>
              </w:rPr>
              <w:t>99.4%</w:t>
            </w:r>
          </w:p>
          <w:p w14:paraId="2606963E" w14:textId="77777777" w:rsidR="000E66A8" w:rsidRDefault="000E66A8" w:rsidP="00A9648D">
            <w:pPr>
              <w:pStyle w:val="TableText0"/>
              <w:keepNext w:val="0"/>
              <w:rPr>
                <w:lang w:val="en-US"/>
              </w:rPr>
            </w:pPr>
            <w:r>
              <w:rPr>
                <w:lang w:val="en-US"/>
              </w:rPr>
              <w:t>98.8%</w:t>
            </w:r>
          </w:p>
          <w:p w14:paraId="5C5F275B" w14:textId="77777777" w:rsidR="000E66A8" w:rsidRDefault="000E66A8" w:rsidP="00A9648D">
            <w:pPr>
              <w:pStyle w:val="TableText0"/>
              <w:keepNext w:val="0"/>
              <w:rPr>
                <w:lang w:val="en-US"/>
              </w:rPr>
            </w:pPr>
          </w:p>
          <w:p w14:paraId="37DFCEFA" w14:textId="77777777" w:rsidR="000E66A8" w:rsidRDefault="000E66A8" w:rsidP="00A9648D">
            <w:pPr>
              <w:pStyle w:val="TableText0"/>
              <w:keepNext w:val="0"/>
              <w:rPr>
                <w:lang w:val="en-US"/>
              </w:rPr>
            </w:pPr>
            <w:r>
              <w:rPr>
                <w:lang w:val="en-US"/>
              </w:rPr>
              <w:t>98.7%</w:t>
            </w:r>
          </w:p>
          <w:p w14:paraId="5289CDB1" w14:textId="58ED8A5E" w:rsidR="000E66A8" w:rsidRDefault="000E66A8" w:rsidP="00A9648D">
            <w:pPr>
              <w:pStyle w:val="TableText0"/>
              <w:keepNext w:val="0"/>
              <w:rPr>
                <w:lang w:val="en-US"/>
              </w:rPr>
            </w:pPr>
            <w:r>
              <w:rPr>
                <w:lang w:val="en-US"/>
              </w:rPr>
              <w:t>95.9%</w:t>
            </w:r>
          </w:p>
        </w:tc>
        <w:tc>
          <w:tcPr>
            <w:tcW w:w="939" w:type="pct"/>
          </w:tcPr>
          <w:p w14:paraId="76342ACA" w14:textId="77777777" w:rsidR="000E66A8" w:rsidRPr="00605867" w:rsidRDefault="000E66A8" w:rsidP="00A9648D">
            <w:pPr>
              <w:pStyle w:val="TableText0"/>
              <w:keepNext w:val="0"/>
              <w:rPr>
                <w:iCs/>
                <w:lang w:val="en-US"/>
              </w:rPr>
            </w:pPr>
          </w:p>
          <w:p w14:paraId="1080F1EA" w14:textId="77777777" w:rsidR="000B168A" w:rsidRPr="00605867" w:rsidRDefault="00840275" w:rsidP="00A9648D">
            <w:pPr>
              <w:pStyle w:val="TableText0"/>
              <w:keepNext w:val="0"/>
              <w:rPr>
                <w:iCs/>
                <w:lang w:val="en-US"/>
              </w:rPr>
            </w:pPr>
            <w:r w:rsidRPr="00605867">
              <w:rPr>
                <w:iCs/>
                <w:lang w:val="en-US"/>
              </w:rPr>
              <w:t>E2201 Kaplan-Meier TTD</w:t>
            </w:r>
          </w:p>
          <w:p w14:paraId="45CA377F" w14:textId="77777777" w:rsidR="00662C13" w:rsidRPr="00605867" w:rsidRDefault="00662C13" w:rsidP="00A9648D">
            <w:pPr>
              <w:pStyle w:val="TableText0"/>
              <w:keepNext w:val="0"/>
              <w:rPr>
                <w:iCs/>
                <w:lang w:val="en-US"/>
              </w:rPr>
            </w:pPr>
          </w:p>
          <w:p w14:paraId="323D14FF" w14:textId="5C2D029D" w:rsidR="0031061C" w:rsidRPr="00605867" w:rsidRDefault="00662C13" w:rsidP="00A9648D">
            <w:pPr>
              <w:pStyle w:val="TableText0"/>
              <w:keepNext w:val="0"/>
              <w:rPr>
                <w:iCs/>
                <w:lang w:val="en-US"/>
              </w:rPr>
            </w:pPr>
            <w:r w:rsidRPr="00605867">
              <w:rPr>
                <w:iCs/>
                <w:lang w:val="en-US"/>
              </w:rPr>
              <w:t xml:space="preserve">Estimated using the methods described in the cost </w:t>
            </w:r>
            <w:proofErr w:type="spellStart"/>
            <w:r w:rsidRPr="00605867">
              <w:rPr>
                <w:iCs/>
                <w:lang w:val="en-US"/>
              </w:rPr>
              <w:t>minimisation</w:t>
            </w:r>
            <w:proofErr w:type="spellEnd"/>
            <w:r w:rsidRPr="00605867">
              <w:rPr>
                <w:iCs/>
                <w:lang w:val="en-US"/>
              </w:rPr>
              <w:t xml:space="preserve"> approach</w:t>
            </w:r>
          </w:p>
          <w:p w14:paraId="7562E42B" w14:textId="012DEC98" w:rsidR="0031061C" w:rsidRPr="00605867" w:rsidRDefault="0031061C" w:rsidP="00A9648D">
            <w:pPr>
              <w:pStyle w:val="TableText0"/>
              <w:keepNext w:val="0"/>
              <w:rPr>
                <w:iCs/>
                <w:lang w:val="en-US"/>
              </w:rPr>
            </w:pPr>
          </w:p>
        </w:tc>
        <w:tc>
          <w:tcPr>
            <w:tcW w:w="1623" w:type="pct"/>
            <w:shd w:val="clear" w:color="auto" w:fill="auto"/>
          </w:tcPr>
          <w:p w14:paraId="0BA4ED26" w14:textId="70A377B5" w:rsidR="000E66A8" w:rsidRPr="00BA46AD" w:rsidRDefault="000E66A8" w:rsidP="00A9648D">
            <w:pPr>
              <w:pStyle w:val="TableText0"/>
              <w:keepNext w:val="0"/>
              <w:rPr>
                <w:lang w:val="en-US"/>
              </w:rPr>
            </w:pPr>
          </w:p>
        </w:tc>
      </w:tr>
      <w:tr w:rsidR="00A9648D" w:rsidRPr="00E2771E" w14:paraId="72C42837" w14:textId="77777777" w:rsidTr="507C910F">
        <w:tc>
          <w:tcPr>
            <w:tcW w:w="862" w:type="pct"/>
            <w:shd w:val="clear" w:color="auto" w:fill="auto"/>
          </w:tcPr>
          <w:p w14:paraId="207029FF" w14:textId="61B0EA50" w:rsidR="00303156" w:rsidRDefault="00303156" w:rsidP="00A9648D">
            <w:pPr>
              <w:pStyle w:val="TableText0"/>
              <w:keepNext w:val="0"/>
              <w:rPr>
                <w:lang w:val="en-US"/>
              </w:rPr>
            </w:pPr>
            <w:r>
              <w:rPr>
                <w:lang w:val="en-US"/>
              </w:rPr>
              <w:t>Uptake rate of D+T</w:t>
            </w:r>
          </w:p>
        </w:tc>
        <w:tc>
          <w:tcPr>
            <w:tcW w:w="1576" w:type="pct"/>
            <w:gridSpan w:val="3"/>
            <w:tcBorders>
              <w:bottom w:val="single" w:sz="4" w:space="0" w:color="auto"/>
            </w:tcBorders>
            <w:shd w:val="clear" w:color="auto" w:fill="auto"/>
          </w:tcPr>
          <w:p w14:paraId="5BF779FE" w14:textId="75F3FE1B" w:rsidR="00303156" w:rsidRDefault="008B5A1C" w:rsidP="00A9648D">
            <w:pPr>
              <w:pStyle w:val="TableText0"/>
              <w:keepNext w:val="0"/>
              <w:rPr>
                <w:lang w:val="en-US"/>
              </w:rPr>
            </w:pPr>
            <w:r w:rsidRPr="008B5A1C">
              <w:rPr>
                <w:color w:val="000000"/>
                <w:spacing w:val="53"/>
                <w:shd w:val="solid" w:color="000000" w:fill="000000"/>
                <w:fitText w:val="330" w:id="-694514425"/>
                <w:lang w:val="en-US"/>
                <w14:textFill>
                  <w14:solidFill>
                    <w14:srgbClr w14:val="000000">
                      <w14:alpha w14:val="100000"/>
                    </w14:srgbClr>
                  </w14:solidFill>
                </w14:textFill>
              </w:rPr>
              <w:t>|||</w:t>
            </w:r>
            <w:r w:rsidRPr="008B5A1C">
              <w:rPr>
                <w:color w:val="000000"/>
                <w:spacing w:val="1"/>
                <w:shd w:val="solid" w:color="000000" w:fill="000000"/>
                <w:fitText w:val="330" w:id="-694514425"/>
                <w:lang w:val="en-US"/>
                <w14:textFill>
                  <w14:solidFill>
                    <w14:srgbClr w14:val="000000">
                      <w14:alpha w14:val="100000"/>
                    </w14:srgbClr>
                  </w14:solidFill>
                </w14:textFill>
              </w:rPr>
              <w:t>|</w:t>
            </w:r>
            <w:r w:rsidR="00303156">
              <w:rPr>
                <w:lang w:val="en-US"/>
              </w:rPr>
              <w:t>%</w:t>
            </w:r>
          </w:p>
        </w:tc>
        <w:tc>
          <w:tcPr>
            <w:tcW w:w="939" w:type="pct"/>
          </w:tcPr>
          <w:p w14:paraId="400FF764" w14:textId="5F0BE862" w:rsidR="00303156" w:rsidRPr="00605867" w:rsidRDefault="00303156" w:rsidP="00325FF3">
            <w:pPr>
              <w:pStyle w:val="TableText0"/>
              <w:keepNext w:val="0"/>
              <w:rPr>
                <w:iCs/>
                <w:lang w:val="en-US"/>
              </w:rPr>
            </w:pPr>
            <w:r w:rsidRPr="00605867">
              <w:rPr>
                <w:iCs/>
                <w:lang w:val="en-US"/>
              </w:rPr>
              <w:t>Based on Sponsor’s assumption</w:t>
            </w:r>
          </w:p>
        </w:tc>
        <w:tc>
          <w:tcPr>
            <w:tcW w:w="1623" w:type="pct"/>
            <w:shd w:val="clear" w:color="auto" w:fill="auto"/>
          </w:tcPr>
          <w:p w14:paraId="3F92834E" w14:textId="59F76615" w:rsidR="00303156" w:rsidRPr="00BA46AD" w:rsidRDefault="00303156" w:rsidP="00A9648D">
            <w:pPr>
              <w:pStyle w:val="TableText0"/>
              <w:keepNext w:val="0"/>
              <w:rPr>
                <w:lang w:val="en-US"/>
              </w:rPr>
            </w:pPr>
          </w:p>
        </w:tc>
      </w:tr>
      <w:tr w:rsidR="00A9648D" w:rsidRPr="00E2771E" w14:paraId="0C865763" w14:textId="77777777" w:rsidTr="507C910F">
        <w:tc>
          <w:tcPr>
            <w:tcW w:w="862" w:type="pct"/>
            <w:shd w:val="clear" w:color="auto" w:fill="auto"/>
          </w:tcPr>
          <w:p w14:paraId="4F544F1C" w14:textId="77777777" w:rsidR="000E66A8" w:rsidRDefault="000E66A8" w:rsidP="00A9648D">
            <w:pPr>
              <w:pStyle w:val="TableText0"/>
              <w:keepNext w:val="0"/>
              <w:rPr>
                <w:lang w:val="en-US"/>
              </w:rPr>
            </w:pPr>
            <w:r>
              <w:rPr>
                <w:lang w:val="en-US"/>
              </w:rPr>
              <w:t>Cost of medicines</w:t>
            </w:r>
          </w:p>
          <w:p w14:paraId="49D0440C" w14:textId="53F87BAA" w:rsidR="00A9648D" w:rsidRPr="00E2771E" w:rsidRDefault="00A9648D" w:rsidP="00A9648D">
            <w:pPr>
              <w:pStyle w:val="TableText0"/>
              <w:keepNext w:val="0"/>
              <w:rPr>
                <w:lang w:val="en-US"/>
              </w:rPr>
            </w:pPr>
            <w:r>
              <w:rPr>
                <w:lang w:val="en-US"/>
              </w:rPr>
              <w:t>(AEMP)</w:t>
            </w:r>
          </w:p>
        </w:tc>
        <w:tc>
          <w:tcPr>
            <w:tcW w:w="945" w:type="pct"/>
            <w:tcBorders>
              <w:bottom w:val="single" w:sz="4" w:space="0" w:color="auto"/>
              <w:right w:val="nil"/>
            </w:tcBorders>
            <w:shd w:val="clear" w:color="auto" w:fill="auto"/>
          </w:tcPr>
          <w:p w14:paraId="66BD6B40" w14:textId="36186688" w:rsidR="000E66A8" w:rsidRPr="00774533" w:rsidRDefault="5023B4CD" w:rsidP="00A9648D">
            <w:pPr>
              <w:pStyle w:val="TableText0"/>
              <w:keepNext w:val="0"/>
              <w:rPr>
                <w:lang w:val="en-US"/>
              </w:rPr>
            </w:pPr>
            <w:r w:rsidRPr="507C910F">
              <w:rPr>
                <w:lang w:val="en-US"/>
              </w:rPr>
              <w:t>Dabrafenib (75 mg)</w:t>
            </w:r>
          </w:p>
          <w:p w14:paraId="0BC851AB" w14:textId="1EFA2DCA" w:rsidR="000E66A8" w:rsidRPr="00774533" w:rsidRDefault="000E66A8" w:rsidP="00A9648D">
            <w:pPr>
              <w:pStyle w:val="TableText0"/>
              <w:keepNext w:val="0"/>
              <w:rPr>
                <w:lang w:val="en-US"/>
              </w:rPr>
            </w:pPr>
            <w:r w:rsidRPr="00774533">
              <w:rPr>
                <w:lang w:val="en-US"/>
              </w:rPr>
              <w:t>Trametinib</w:t>
            </w:r>
            <w:r>
              <w:rPr>
                <w:lang w:val="en-US"/>
              </w:rPr>
              <w:t xml:space="preserve"> (2 mg)</w:t>
            </w:r>
          </w:p>
          <w:p w14:paraId="62B14DD4" w14:textId="77777777" w:rsidR="00303156" w:rsidRDefault="000E66A8" w:rsidP="00A9648D">
            <w:pPr>
              <w:pStyle w:val="TableText0"/>
              <w:keepNext w:val="0"/>
              <w:rPr>
                <w:lang w:val="en-US"/>
              </w:rPr>
            </w:pPr>
            <w:r w:rsidRPr="00774533">
              <w:rPr>
                <w:lang w:val="en-US"/>
              </w:rPr>
              <w:t xml:space="preserve">Pembrolizumab </w:t>
            </w:r>
          </w:p>
          <w:p w14:paraId="1FBDE7B5" w14:textId="62ECB48F" w:rsidR="000E66A8" w:rsidRDefault="000E66A8" w:rsidP="00A9648D">
            <w:pPr>
              <w:pStyle w:val="TableText0"/>
              <w:keepNext w:val="0"/>
              <w:rPr>
                <w:lang w:val="en-US"/>
              </w:rPr>
            </w:pPr>
            <w:r>
              <w:rPr>
                <w:lang w:val="en-US"/>
              </w:rPr>
              <w:t>(100 mg)</w:t>
            </w:r>
          </w:p>
          <w:p w14:paraId="2DE953F2" w14:textId="3D798CF1" w:rsidR="000E66A8" w:rsidRPr="00786142" w:rsidRDefault="000E66A8" w:rsidP="00A9648D">
            <w:pPr>
              <w:pStyle w:val="TableText0"/>
              <w:keepNext w:val="0"/>
              <w:rPr>
                <w:lang w:val="en-US"/>
              </w:rPr>
            </w:pPr>
            <w:r w:rsidRPr="00786142">
              <w:rPr>
                <w:lang w:val="en-US"/>
              </w:rPr>
              <w:t>C</w:t>
            </w:r>
            <w:r w:rsidR="002A179C">
              <w:rPr>
                <w:lang w:val="en-US"/>
              </w:rPr>
              <w:t>isplatin</w:t>
            </w:r>
            <w:r>
              <w:rPr>
                <w:lang w:val="en-US"/>
              </w:rPr>
              <w:t xml:space="preserve"> (</w:t>
            </w:r>
            <w:r w:rsidR="002A179C">
              <w:rPr>
                <w:lang w:val="en-US"/>
              </w:rPr>
              <w:t>5</w:t>
            </w:r>
            <w:r>
              <w:rPr>
                <w:lang w:val="en-US"/>
              </w:rPr>
              <w:t>0 mg)</w:t>
            </w:r>
          </w:p>
          <w:p w14:paraId="59A6BDFA" w14:textId="77777777" w:rsidR="002A179C" w:rsidRDefault="000E66A8" w:rsidP="00A9648D">
            <w:pPr>
              <w:pStyle w:val="TableText0"/>
              <w:keepNext w:val="0"/>
              <w:rPr>
                <w:lang w:val="en-US"/>
              </w:rPr>
            </w:pPr>
            <w:r w:rsidRPr="00786142">
              <w:rPr>
                <w:lang w:val="en-US"/>
              </w:rPr>
              <w:t>Cisplatin</w:t>
            </w:r>
            <w:r>
              <w:rPr>
                <w:lang w:val="en-US"/>
              </w:rPr>
              <w:t xml:space="preserve"> (</w:t>
            </w:r>
            <w:r w:rsidR="002A179C">
              <w:rPr>
                <w:lang w:val="en-US"/>
              </w:rPr>
              <w:t>100</w:t>
            </w:r>
            <w:r>
              <w:rPr>
                <w:lang w:val="en-US"/>
              </w:rPr>
              <w:t xml:space="preserve"> mg)</w:t>
            </w:r>
          </w:p>
          <w:p w14:paraId="6B462A60" w14:textId="36CC3070" w:rsidR="000E66A8" w:rsidRPr="00786142" w:rsidRDefault="002A179C" w:rsidP="00A9648D">
            <w:pPr>
              <w:pStyle w:val="TableText0"/>
              <w:keepNext w:val="0"/>
              <w:rPr>
                <w:lang w:val="en-US"/>
              </w:rPr>
            </w:pPr>
            <w:r>
              <w:rPr>
                <w:lang w:val="en-US"/>
              </w:rPr>
              <w:t>Carboplatin (450 mg)</w:t>
            </w:r>
          </w:p>
          <w:p w14:paraId="71584D8B" w14:textId="77777777" w:rsidR="00303156" w:rsidRDefault="000E66A8" w:rsidP="00A9648D">
            <w:pPr>
              <w:pStyle w:val="TableText0"/>
              <w:keepNext w:val="0"/>
              <w:rPr>
                <w:lang w:val="en-US"/>
              </w:rPr>
            </w:pPr>
            <w:r w:rsidRPr="00786142">
              <w:rPr>
                <w:lang w:val="en-US"/>
              </w:rPr>
              <w:lastRenderedPageBreak/>
              <w:t>Pemetrexed</w:t>
            </w:r>
            <w:r>
              <w:rPr>
                <w:lang w:val="en-US"/>
              </w:rPr>
              <w:t xml:space="preserve"> </w:t>
            </w:r>
          </w:p>
          <w:p w14:paraId="7DD49F4E" w14:textId="27CA3BB1" w:rsidR="000E66A8" w:rsidRPr="00786142" w:rsidRDefault="000E66A8" w:rsidP="00A9648D">
            <w:pPr>
              <w:pStyle w:val="TableText0"/>
              <w:keepNext w:val="0"/>
              <w:rPr>
                <w:lang w:val="en-US"/>
              </w:rPr>
            </w:pPr>
            <w:r>
              <w:rPr>
                <w:lang w:val="en-US"/>
              </w:rPr>
              <w:t>(1,000 mg)</w:t>
            </w:r>
          </w:p>
          <w:p w14:paraId="4C8D52FE" w14:textId="32289441" w:rsidR="000E66A8" w:rsidRPr="00774533" w:rsidRDefault="000E66A8" w:rsidP="00A9648D">
            <w:pPr>
              <w:pStyle w:val="TableText0"/>
              <w:keepNext w:val="0"/>
              <w:rPr>
                <w:lang w:val="en-US"/>
              </w:rPr>
            </w:pPr>
            <w:r w:rsidRPr="00786142">
              <w:rPr>
                <w:lang w:val="en-US"/>
              </w:rPr>
              <w:t>Paclitaxel</w:t>
            </w:r>
            <w:r>
              <w:rPr>
                <w:lang w:val="en-US"/>
              </w:rPr>
              <w:t xml:space="preserve"> (50 mg)</w:t>
            </w:r>
          </w:p>
        </w:tc>
        <w:tc>
          <w:tcPr>
            <w:tcW w:w="631" w:type="pct"/>
            <w:gridSpan w:val="2"/>
            <w:tcBorders>
              <w:left w:val="nil"/>
              <w:bottom w:val="single" w:sz="4" w:space="0" w:color="auto"/>
            </w:tcBorders>
            <w:shd w:val="clear" w:color="auto" w:fill="auto"/>
          </w:tcPr>
          <w:p w14:paraId="6501C424" w14:textId="7C0918D3" w:rsidR="000E66A8" w:rsidRDefault="000E66A8" w:rsidP="00A9648D">
            <w:pPr>
              <w:pStyle w:val="TableText0"/>
              <w:keepNext w:val="0"/>
              <w:rPr>
                <w:lang w:val="en-US"/>
              </w:rPr>
            </w:pPr>
            <w:r>
              <w:rPr>
                <w:lang w:val="en-US"/>
              </w:rPr>
              <w:lastRenderedPageBreak/>
              <w:t>$6,995.23</w:t>
            </w:r>
          </w:p>
          <w:p w14:paraId="56E0C8DF" w14:textId="5C72BF1A" w:rsidR="000E66A8" w:rsidRDefault="000E66A8" w:rsidP="00A9648D">
            <w:pPr>
              <w:pStyle w:val="TableText0"/>
              <w:keepNext w:val="0"/>
              <w:rPr>
                <w:lang w:val="en-US"/>
              </w:rPr>
            </w:pPr>
            <w:r>
              <w:rPr>
                <w:lang w:val="en-US"/>
              </w:rPr>
              <w:t>$7</w:t>
            </w:r>
            <w:r w:rsidR="00FA0226">
              <w:rPr>
                <w:lang w:val="en-US"/>
              </w:rPr>
              <w:t>,</w:t>
            </w:r>
            <w:r>
              <w:rPr>
                <w:lang w:val="en-US"/>
              </w:rPr>
              <w:t>363.40</w:t>
            </w:r>
          </w:p>
          <w:p w14:paraId="17810936" w14:textId="63D3DEDF" w:rsidR="000E66A8" w:rsidRDefault="000E66A8" w:rsidP="00A9648D">
            <w:pPr>
              <w:pStyle w:val="TableText0"/>
              <w:keepNext w:val="0"/>
              <w:rPr>
                <w:lang w:val="en-US"/>
              </w:rPr>
            </w:pPr>
            <w:r>
              <w:rPr>
                <w:lang w:val="en-US"/>
              </w:rPr>
              <w:t>$3</w:t>
            </w:r>
            <w:r w:rsidR="009D50CF">
              <w:rPr>
                <w:lang w:val="en-US"/>
              </w:rPr>
              <w:t>,</w:t>
            </w:r>
            <w:r>
              <w:rPr>
                <w:lang w:val="en-US"/>
              </w:rPr>
              <w:t>823.75</w:t>
            </w:r>
          </w:p>
          <w:p w14:paraId="700BFFBD" w14:textId="77777777" w:rsidR="00303156" w:rsidRDefault="00303156" w:rsidP="00A9648D">
            <w:pPr>
              <w:pStyle w:val="TableText0"/>
              <w:keepNext w:val="0"/>
              <w:rPr>
                <w:lang w:val="en-US"/>
              </w:rPr>
            </w:pPr>
          </w:p>
          <w:p w14:paraId="3B90DD02" w14:textId="45D9BDCA" w:rsidR="000E66A8" w:rsidRDefault="000E66A8" w:rsidP="00A9648D">
            <w:pPr>
              <w:pStyle w:val="TableText0"/>
              <w:keepNext w:val="0"/>
              <w:rPr>
                <w:lang w:val="en-US"/>
              </w:rPr>
            </w:pPr>
            <w:r>
              <w:rPr>
                <w:lang w:val="en-US"/>
              </w:rPr>
              <w:t>$10.41</w:t>
            </w:r>
          </w:p>
          <w:p w14:paraId="7E3C48D4" w14:textId="58DD9439" w:rsidR="000E66A8" w:rsidRDefault="000E66A8" w:rsidP="00A9648D">
            <w:pPr>
              <w:pStyle w:val="TableText0"/>
              <w:keepNext w:val="0"/>
              <w:rPr>
                <w:lang w:val="en-US"/>
              </w:rPr>
            </w:pPr>
            <w:r>
              <w:rPr>
                <w:lang w:val="en-US"/>
              </w:rPr>
              <w:t>$19.28</w:t>
            </w:r>
          </w:p>
          <w:p w14:paraId="0A91DF0F" w14:textId="604E718D" w:rsidR="002A179C" w:rsidRDefault="002A179C" w:rsidP="00A9648D">
            <w:pPr>
              <w:pStyle w:val="TableText0"/>
              <w:keepNext w:val="0"/>
              <w:rPr>
                <w:lang w:val="en-US"/>
              </w:rPr>
            </w:pPr>
            <w:r>
              <w:rPr>
                <w:lang w:val="en-US"/>
              </w:rPr>
              <w:t>$26.58</w:t>
            </w:r>
          </w:p>
          <w:p w14:paraId="65EB40D1" w14:textId="78B31DF9" w:rsidR="000E66A8" w:rsidRDefault="000E66A8" w:rsidP="00A9648D">
            <w:pPr>
              <w:pStyle w:val="TableText0"/>
              <w:keepNext w:val="0"/>
              <w:rPr>
                <w:lang w:val="en-US"/>
              </w:rPr>
            </w:pPr>
            <w:r>
              <w:rPr>
                <w:lang w:val="en-US"/>
              </w:rPr>
              <w:lastRenderedPageBreak/>
              <w:t>$53.09</w:t>
            </w:r>
          </w:p>
          <w:p w14:paraId="692FBF68" w14:textId="77777777" w:rsidR="00303156" w:rsidRDefault="00303156" w:rsidP="00A9648D">
            <w:pPr>
              <w:pStyle w:val="TableText0"/>
              <w:keepNext w:val="0"/>
              <w:rPr>
                <w:lang w:val="en-US"/>
              </w:rPr>
            </w:pPr>
          </w:p>
          <w:p w14:paraId="55CF5673" w14:textId="3A06FB40" w:rsidR="000E66A8" w:rsidRPr="00E2771E" w:rsidRDefault="5023B4CD" w:rsidP="00A9648D">
            <w:pPr>
              <w:pStyle w:val="TableText0"/>
              <w:keepNext w:val="0"/>
              <w:rPr>
                <w:lang w:val="en-US"/>
              </w:rPr>
            </w:pPr>
            <w:r w:rsidRPr="507C910F">
              <w:rPr>
                <w:lang w:val="en-US"/>
              </w:rPr>
              <w:t>$36.78</w:t>
            </w:r>
          </w:p>
        </w:tc>
        <w:tc>
          <w:tcPr>
            <w:tcW w:w="939" w:type="pct"/>
          </w:tcPr>
          <w:p w14:paraId="4A8D1A14" w14:textId="0526A9EC" w:rsidR="000B168A" w:rsidRPr="00605867" w:rsidRDefault="00F74272" w:rsidP="00325FF3">
            <w:pPr>
              <w:pStyle w:val="TableText0"/>
              <w:keepNext w:val="0"/>
              <w:rPr>
                <w:iCs/>
                <w:lang w:val="en-US"/>
              </w:rPr>
            </w:pPr>
            <w:r>
              <w:rPr>
                <w:iCs/>
                <w:lang w:val="en-US"/>
              </w:rPr>
              <w:lastRenderedPageBreak/>
              <w:t xml:space="preserve">DPMQ/DPMA was calculated based on the AEMP reported in the </w:t>
            </w:r>
            <w:r w:rsidR="000B168A" w:rsidRPr="00605867">
              <w:rPr>
                <w:iCs/>
                <w:lang w:val="en-US"/>
              </w:rPr>
              <w:t>Schedule of Pharmaceutical Benefits, October 2024</w:t>
            </w:r>
          </w:p>
        </w:tc>
        <w:tc>
          <w:tcPr>
            <w:tcW w:w="1623" w:type="pct"/>
            <w:shd w:val="clear" w:color="auto" w:fill="auto"/>
          </w:tcPr>
          <w:p w14:paraId="0E346EAB" w14:textId="6B2996A9" w:rsidR="00B95935" w:rsidRPr="00BA46AD" w:rsidRDefault="002B756D" w:rsidP="00B95935">
            <w:pPr>
              <w:pStyle w:val="TableText0"/>
              <w:keepNext w:val="0"/>
              <w:rPr>
                <w:lang w:val="en-US"/>
              </w:rPr>
            </w:pPr>
            <w:r w:rsidRPr="00BA46AD">
              <w:rPr>
                <w:lang w:val="en-US"/>
              </w:rPr>
              <w:t>For D+T, the submission did not use the cost-</w:t>
            </w:r>
            <w:proofErr w:type="spellStart"/>
            <w:r w:rsidRPr="00BA46AD">
              <w:rPr>
                <w:lang w:val="en-US"/>
              </w:rPr>
              <w:t>minimised</w:t>
            </w:r>
            <w:proofErr w:type="spellEnd"/>
            <w:r w:rsidRPr="00BA46AD">
              <w:rPr>
                <w:lang w:val="en-US"/>
              </w:rPr>
              <w:t xml:space="preserve"> price derived </w:t>
            </w:r>
            <w:r w:rsidR="00A05D58" w:rsidRPr="00BA46AD">
              <w:rPr>
                <w:lang w:val="en-US"/>
              </w:rPr>
              <w:t>in the economic analysis section.</w:t>
            </w:r>
            <w:r w:rsidR="00A9648D" w:rsidRPr="00BA46AD">
              <w:rPr>
                <w:lang w:val="en-US"/>
              </w:rPr>
              <w:t xml:space="preserve"> </w:t>
            </w:r>
            <w:r w:rsidR="00A05D58" w:rsidRPr="00BA46AD">
              <w:rPr>
                <w:lang w:val="en-US"/>
              </w:rPr>
              <w:t>The financial implication</w:t>
            </w:r>
            <w:r w:rsidR="008F24BB">
              <w:rPr>
                <w:lang w:val="en-US"/>
              </w:rPr>
              <w:t>s</w:t>
            </w:r>
            <w:r w:rsidR="00A05D58" w:rsidRPr="00BA46AD">
              <w:rPr>
                <w:lang w:val="en-US"/>
              </w:rPr>
              <w:t xml:space="preserve"> presented below were recalculated during the evaluation using the cost-</w:t>
            </w:r>
            <w:proofErr w:type="spellStart"/>
            <w:r w:rsidR="00A05D58" w:rsidRPr="00BA46AD">
              <w:rPr>
                <w:lang w:val="en-US"/>
              </w:rPr>
              <w:t>minimised</w:t>
            </w:r>
            <w:proofErr w:type="spellEnd"/>
            <w:r w:rsidR="00A05D58" w:rsidRPr="00BA46AD">
              <w:rPr>
                <w:lang w:val="en-US"/>
              </w:rPr>
              <w:t xml:space="preserve"> </w:t>
            </w:r>
            <w:r w:rsidR="00984C5E" w:rsidRPr="00BA46AD">
              <w:rPr>
                <w:lang w:val="en-US"/>
              </w:rPr>
              <w:t>DPMQ</w:t>
            </w:r>
            <w:r w:rsidR="00A05D58" w:rsidRPr="00BA46AD">
              <w:rPr>
                <w:lang w:val="en-US"/>
              </w:rPr>
              <w:t xml:space="preserve"> for both dabrafe</w:t>
            </w:r>
            <w:r w:rsidR="00C917FA" w:rsidRPr="00BA46AD">
              <w:rPr>
                <w:lang w:val="en-US"/>
              </w:rPr>
              <w:t xml:space="preserve">nib </w:t>
            </w:r>
            <w:r w:rsidR="00B95935" w:rsidRPr="00BA46AD">
              <w:t>(</w:t>
            </w:r>
            <w:r w:rsidR="00F74272" w:rsidRPr="00BA46AD">
              <w:t xml:space="preserve">DPMQ </w:t>
            </w:r>
            <w:r w:rsidR="00B95935" w:rsidRPr="00BA46AD">
              <w:t xml:space="preserve">per pack of </w:t>
            </w:r>
            <w:r w:rsidR="00B95935" w:rsidRPr="00BA46AD">
              <w:lastRenderedPageBreak/>
              <w:t>$3,</w:t>
            </w:r>
            <w:r w:rsidR="00F74272" w:rsidRPr="00BA46AD">
              <w:t>369.08</w:t>
            </w:r>
            <w:r w:rsidR="00B95935" w:rsidRPr="00BA46AD">
              <w:t>) and trametinib (AEMP per pack of $3,</w:t>
            </w:r>
            <w:r w:rsidR="00F74272" w:rsidRPr="00BA46AD">
              <w:t>537.84</w:t>
            </w:r>
            <w:r w:rsidR="00B95935" w:rsidRPr="00BA46AD">
              <w:t xml:space="preserve">). </w:t>
            </w:r>
          </w:p>
        </w:tc>
      </w:tr>
    </w:tbl>
    <w:p w14:paraId="5E80FAC0" w14:textId="77777777" w:rsidR="00F210C8" w:rsidRDefault="00F210C8" w:rsidP="00F210C8">
      <w:pPr>
        <w:pStyle w:val="FooterTableFigure"/>
      </w:pPr>
      <w:r w:rsidRPr="000A6039">
        <w:lastRenderedPageBreak/>
        <w:t>Source: Table</w:t>
      </w:r>
      <w:r>
        <w:t xml:space="preserve"> 4.1</w:t>
      </w:r>
      <w:r w:rsidRPr="000A6039">
        <w:t xml:space="preserve">, </w:t>
      </w:r>
      <w:r>
        <w:t>pp 129-132</w:t>
      </w:r>
      <w:r w:rsidRPr="000A6039">
        <w:t xml:space="preserve"> of the submission.</w:t>
      </w:r>
    </w:p>
    <w:p w14:paraId="43BD5767" w14:textId="77777777" w:rsidR="00E01FBE" w:rsidRDefault="00F210C8" w:rsidP="00E01FBE">
      <w:pPr>
        <w:pStyle w:val="FooterTableFigure"/>
      </w:pPr>
      <w:r w:rsidRPr="00FD2CC6">
        <w:t>AEMP</w:t>
      </w:r>
      <w:r>
        <w:t xml:space="preserve"> = </w:t>
      </w:r>
      <w:r w:rsidRPr="00FD2CC6">
        <w:t>Approved Ex-Manufacturer Price</w:t>
      </w:r>
      <w:r>
        <w:t xml:space="preserve">; </w:t>
      </w:r>
      <w:r w:rsidRPr="00FD2CC6">
        <w:t>AIHW</w:t>
      </w:r>
      <w:r>
        <w:t xml:space="preserve"> = </w:t>
      </w:r>
      <w:r w:rsidRPr="00FD2CC6">
        <w:t>Australian Institute of Health and Welfare</w:t>
      </w:r>
      <w:r>
        <w:t xml:space="preserve">; </w:t>
      </w:r>
      <w:r w:rsidRPr="00FD2CC6">
        <w:t>BRAF</w:t>
      </w:r>
      <w:r>
        <w:t xml:space="preserve"> =</w:t>
      </w:r>
      <w:r w:rsidRPr="00FD2CC6">
        <w:t xml:space="preserve"> B-Raf serine-threonine kinase, CT </w:t>
      </w:r>
      <w:r>
        <w:t>=</w:t>
      </w:r>
      <w:r w:rsidRPr="00FD2CC6">
        <w:t xml:space="preserve"> Computed Tomography, D+T </w:t>
      </w:r>
      <w:r>
        <w:t>=</w:t>
      </w:r>
      <w:r w:rsidRPr="00FD2CC6">
        <w:t xml:space="preserve"> Dabrafenib + Trametinib, ECOG</w:t>
      </w:r>
      <w:r>
        <w:t xml:space="preserve"> PS =</w:t>
      </w:r>
      <w:r w:rsidRPr="00FD2CC6">
        <w:t xml:space="preserve"> Eastern Cooperative Oncology Group</w:t>
      </w:r>
      <w:r>
        <w:t xml:space="preserve"> Performance Status</w:t>
      </w:r>
      <w:bookmarkStart w:id="97" w:name="_Hlk186805502"/>
      <w:r>
        <w:t xml:space="preserve">; </w:t>
      </w:r>
      <w:r w:rsidRPr="00FD2CC6">
        <w:t xml:space="preserve">HbA1c </w:t>
      </w:r>
      <w:r>
        <w:t>=</w:t>
      </w:r>
      <w:r w:rsidRPr="00FD2CC6">
        <w:t xml:space="preserve"> Haemoglobin A1c (glycated haemoglobin test)</w:t>
      </w:r>
      <w:r>
        <w:t xml:space="preserve">; IV = intravenous; </w:t>
      </w:r>
      <w:r w:rsidRPr="00F530CC">
        <w:t>MBS</w:t>
      </w:r>
      <w:r>
        <w:t xml:space="preserve"> = </w:t>
      </w:r>
      <w:r w:rsidRPr="00F530CC">
        <w:t>Medicare Benefits Schedule</w:t>
      </w:r>
      <w:r>
        <w:t xml:space="preserve">; </w:t>
      </w:r>
      <w:r w:rsidRPr="00F530CC">
        <w:t xml:space="preserve">MUGA </w:t>
      </w:r>
      <w:r>
        <w:t>=</w:t>
      </w:r>
      <w:r w:rsidRPr="00F530CC">
        <w:t xml:space="preserve"> </w:t>
      </w:r>
      <w:proofErr w:type="spellStart"/>
      <w:r w:rsidRPr="00F530CC">
        <w:t>Multigated</w:t>
      </w:r>
      <w:proofErr w:type="spellEnd"/>
      <w:r w:rsidRPr="00F530CC">
        <w:t xml:space="preserve"> Acquisition Scan</w:t>
      </w:r>
      <w:r>
        <w:t>;</w:t>
      </w:r>
      <w:r w:rsidRPr="00F530CC">
        <w:t xml:space="preserve"> </w:t>
      </w:r>
      <w:bookmarkEnd w:id="97"/>
      <w:r w:rsidRPr="00F530CC">
        <w:t>NSCLC</w:t>
      </w:r>
      <w:r>
        <w:t xml:space="preserve"> = </w:t>
      </w:r>
      <w:r w:rsidRPr="00F530CC">
        <w:t>Non-Small Cell Lung Cancer</w:t>
      </w:r>
      <w:r>
        <w:t xml:space="preserve">; </w:t>
      </w:r>
      <w:r w:rsidRPr="00F530CC">
        <w:t xml:space="preserve">NSQ </w:t>
      </w:r>
      <w:r>
        <w:t>=</w:t>
      </w:r>
      <w:r w:rsidRPr="00F530CC">
        <w:t xml:space="preserve"> Non-</w:t>
      </w:r>
      <w:r>
        <w:t>s</w:t>
      </w:r>
      <w:r w:rsidRPr="00F530CC">
        <w:t>quamous</w:t>
      </w:r>
      <w:r>
        <w:t xml:space="preserve">; </w:t>
      </w:r>
      <w:r w:rsidRPr="00F530CC">
        <w:t xml:space="preserve">PBS </w:t>
      </w:r>
      <w:r>
        <w:t>=</w:t>
      </w:r>
      <w:r w:rsidRPr="00F530CC">
        <w:t xml:space="preserve"> Pharmaceutical Benefits Scheme</w:t>
      </w:r>
      <w:r>
        <w:t xml:space="preserve">; </w:t>
      </w:r>
      <w:r w:rsidR="00B95935">
        <w:t xml:space="preserve">PBC = platinum-based chemotherapy; </w:t>
      </w:r>
      <w:r w:rsidRPr="00F530CC">
        <w:t xml:space="preserve">RPBS </w:t>
      </w:r>
      <w:r>
        <w:t xml:space="preserve">= </w:t>
      </w:r>
      <w:r w:rsidRPr="00F530CC">
        <w:t>Repatriation Pharmaceutical Benefits Scheme</w:t>
      </w:r>
      <w:r>
        <w:t xml:space="preserve">; </w:t>
      </w:r>
      <w:r w:rsidRPr="00F530CC">
        <w:t xml:space="preserve">SQ </w:t>
      </w:r>
      <w:r>
        <w:t xml:space="preserve">= </w:t>
      </w:r>
      <w:r w:rsidRPr="00F530CC">
        <w:t>Squamous</w:t>
      </w:r>
      <w:r>
        <w:t>; TSH = thyroid stimulating hormone; TTD = time to treatment discontinuation</w:t>
      </w:r>
      <w:r w:rsidR="00F4154B">
        <w:t>; Yr = year</w:t>
      </w:r>
      <w:r>
        <w:t>.</w:t>
      </w:r>
      <w:r w:rsidR="00E01FBE" w:rsidRPr="00E01FBE">
        <w:t xml:space="preserve"> </w:t>
      </w:r>
    </w:p>
    <w:p w14:paraId="329F0547" w14:textId="62892E2D" w:rsidR="00E01FBE" w:rsidRPr="009031CE" w:rsidRDefault="00E01FBE" w:rsidP="00E01FBE">
      <w:pPr>
        <w:pStyle w:val="FooterTableFigure"/>
      </w:pPr>
      <w:r w:rsidRPr="009031CE">
        <w:t xml:space="preserve">The redacted values correspond to the following ranges: </w:t>
      </w:r>
    </w:p>
    <w:p w14:paraId="59B28A2A" w14:textId="77777777" w:rsidR="00D75259" w:rsidRPr="009031CE" w:rsidRDefault="00E01FBE" w:rsidP="00E01FBE">
      <w:pPr>
        <w:pStyle w:val="FooterTableFigure"/>
      </w:pPr>
      <w:r w:rsidRPr="009031CE">
        <w:rPr>
          <w:vertAlign w:val="superscript"/>
        </w:rPr>
        <w:t>1</w:t>
      </w:r>
      <w:r w:rsidRPr="009031CE">
        <w:t xml:space="preserve"> </w:t>
      </w:r>
      <w:r w:rsidR="00D75259" w:rsidRPr="009031CE">
        <w:t xml:space="preserve">10,000 to &lt; 20,000 </w:t>
      </w:r>
    </w:p>
    <w:p w14:paraId="152087FF" w14:textId="22FCDCE2" w:rsidR="00F210C8" w:rsidRPr="009031CE" w:rsidRDefault="00D75259" w:rsidP="00E01FBE">
      <w:pPr>
        <w:pStyle w:val="FooterTableFigure"/>
      </w:pPr>
      <w:r w:rsidRPr="009031CE">
        <w:rPr>
          <w:vertAlign w:val="superscript"/>
        </w:rPr>
        <w:t>2</w:t>
      </w:r>
      <w:r w:rsidR="00E01FBE" w:rsidRPr="009031CE">
        <w:t>&lt; 500</w:t>
      </w:r>
    </w:p>
    <w:p w14:paraId="4305070B" w14:textId="052934EB" w:rsidR="00F75889" w:rsidRPr="00BA46AD" w:rsidRDefault="00217F6A" w:rsidP="00F75889">
      <w:pPr>
        <w:pStyle w:val="3-BodyText"/>
      </w:pPr>
      <w:r w:rsidRPr="00217F6A">
        <w:t>Incident patients were estimated using a linear trend analysis of lung cancer incidence data reported by the Australian Institute of Health and Family Welfare (AIHW)</w:t>
      </w:r>
      <w:r>
        <w:t xml:space="preserve"> for the year 2001-2020</w:t>
      </w:r>
      <w:r w:rsidRPr="00217F6A">
        <w:t>.</w:t>
      </w:r>
      <w:r>
        <w:t xml:space="preserve"> </w:t>
      </w:r>
      <w:r w:rsidR="00F75889" w:rsidRPr="0024253A">
        <w:t>Based on Mitchel</w:t>
      </w:r>
      <w:r w:rsidR="00F9768A">
        <w:t>l</w:t>
      </w:r>
      <w:r w:rsidR="00F75889" w:rsidRPr="0024253A">
        <w:t xml:space="preserve"> et al. (2013), a retrospective survey of lung cancer</w:t>
      </w:r>
      <w:r w:rsidR="00F9768A">
        <w:t xml:space="preserve"> in Victoria</w:t>
      </w:r>
      <w:r w:rsidR="00F75889" w:rsidRPr="0024253A">
        <w:t>, the submission</w:t>
      </w:r>
      <w:r w:rsidR="00D71017">
        <w:t xml:space="preserve"> estimated</w:t>
      </w:r>
      <w:r w:rsidR="00F75889" w:rsidRPr="0024253A">
        <w:t xml:space="preserve"> that 86.6% of incident cases would have NSCLC, 51.5% would </w:t>
      </w:r>
      <w:r w:rsidR="00D71017">
        <w:t>have</w:t>
      </w:r>
      <w:r w:rsidR="00F75889" w:rsidRPr="0024253A">
        <w:t xml:space="preserve"> advanced or metastatic disease (Stage IV), with 63.3% having an ECOG PS of 0-1, and 16.8% an ECOG PS of 2. Additionally, 76.8% were </w:t>
      </w:r>
      <w:r w:rsidR="00D71017">
        <w:t>estimated</w:t>
      </w:r>
      <w:r w:rsidR="00F75889" w:rsidRPr="0024253A">
        <w:t xml:space="preserve"> to have NSQ histology, while the remaining 23.2% were assumed to have SQ histology. </w:t>
      </w:r>
      <w:r w:rsidR="00C9672E">
        <w:t>T</w:t>
      </w:r>
      <w:r w:rsidR="00F75889" w:rsidRPr="00BA46AD">
        <w:t>he estimate</w:t>
      </w:r>
      <w:r w:rsidR="00495C64" w:rsidRPr="00BA46AD">
        <w:t>s</w:t>
      </w:r>
      <w:r w:rsidR="00F75889" w:rsidRPr="00BA46AD">
        <w:t xml:space="preserve"> of proportion of NSCLC and advanced or metastatic disease were consistent with those previously presented to the PBAC (paragraph 6.91, </w:t>
      </w:r>
      <w:proofErr w:type="spellStart"/>
      <w:r w:rsidR="00F75889" w:rsidRPr="00BA46AD">
        <w:t>selpercatinib</w:t>
      </w:r>
      <w:proofErr w:type="spellEnd"/>
      <w:r w:rsidR="00F75889" w:rsidRPr="00BA46AD">
        <w:t>, PSD, July 2023 PBAC meeting).</w:t>
      </w:r>
    </w:p>
    <w:p w14:paraId="32EC03DE" w14:textId="74C69C81" w:rsidR="00F75889" w:rsidRPr="00BA46AD" w:rsidRDefault="00F75889" w:rsidP="00F75889">
      <w:pPr>
        <w:pStyle w:val="3-BodyText"/>
      </w:pPr>
      <w:r w:rsidRPr="0024253A">
        <w:t>The eligible population was further limited to those with BRAF V600E mutations, estimated at 1.13%. This was based on a weighted average prevalence calculated using data from 32 studies identified in a systematic literature review conducted by the submission. While the approach was reasonable, only two studies were conducted in Australia, reporting prevalence rates between 1.5% and 2.9%, while the remaining studies were conducted internationally.</w:t>
      </w:r>
    </w:p>
    <w:p w14:paraId="235D3172" w14:textId="2DB1DD14" w:rsidR="00F75889" w:rsidRPr="00997F75" w:rsidRDefault="00F75889" w:rsidP="00F75889">
      <w:pPr>
        <w:pStyle w:val="3-BodyText"/>
      </w:pPr>
      <w:bookmarkStart w:id="98" w:name="_Ref187434707"/>
      <w:r w:rsidRPr="0024253A">
        <w:t xml:space="preserve">The submission also assumed that some patients with earlier-stage disease (i.e., Stage I-III) would become eligible for treatment with D+T upon progression </w:t>
      </w:r>
      <w:r w:rsidRPr="00997F75">
        <w:t>to Stage IV</w:t>
      </w:r>
      <w:bookmarkEnd w:id="98"/>
      <w:r w:rsidR="00193CC4">
        <w:t>:</w:t>
      </w:r>
    </w:p>
    <w:p w14:paraId="493E9511" w14:textId="77777777" w:rsidR="00F75889" w:rsidRPr="00997F75" w:rsidRDefault="00F75889" w:rsidP="00F75889">
      <w:pPr>
        <w:pStyle w:val="ListParagraph"/>
      </w:pPr>
      <w:r w:rsidRPr="00997F75">
        <w:t xml:space="preserve">For patients with ECOG PS 0-1 and 2, 30% of the newly diagnosed patients with Stage I-II NSCLC were estimated to progress to Stage </w:t>
      </w:r>
      <w:proofErr w:type="spellStart"/>
      <w:r w:rsidRPr="00997F75">
        <w:t>IIIb</w:t>
      </w:r>
      <w:proofErr w:type="spellEnd"/>
      <w:r w:rsidRPr="00997F75">
        <w:t xml:space="preserve">-IV within a year, with 51.5% of these patients having Stage IV NSCLC. This was based on the DUSC 24-month predicted versus actual analysis for erlotinib and gefitinib for patients with Stage I-IIIa progressed to Stage </w:t>
      </w:r>
      <w:proofErr w:type="spellStart"/>
      <w:r w:rsidRPr="00997F75">
        <w:t>IIIb</w:t>
      </w:r>
      <w:proofErr w:type="spellEnd"/>
      <w:r w:rsidRPr="00997F75">
        <w:t>-IV.</w:t>
      </w:r>
      <w:r>
        <w:rPr>
          <w:rStyle w:val="FootnoteReference"/>
        </w:rPr>
        <w:footnoteReference w:id="16"/>
      </w:r>
      <w:r w:rsidRPr="00997F75">
        <w:t xml:space="preserve"> </w:t>
      </w:r>
    </w:p>
    <w:p w14:paraId="00E97EED" w14:textId="77777777" w:rsidR="00F75889" w:rsidRPr="00F75889" w:rsidRDefault="00F75889" w:rsidP="00F75889">
      <w:pPr>
        <w:pStyle w:val="ListParagraph"/>
      </w:pPr>
      <w:r w:rsidRPr="00F75889">
        <w:rPr>
          <w:rStyle w:val="ListParagraphChar"/>
          <w:snapToGrid w:val="0"/>
        </w:rPr>
        <w:t>For ECOG PS 0-1, newly diagnosed patients with Stage III NSCLC may progress to Stage IV, but the rate of progression differs if they receive treatment with durvalumab.</w:t>
      </w:r>
      <w:r w:rsidRPr="00F75889">
        <w:t xml:space="preserve"> To be eligible for treatment with durvalumab, patient must have </w:t>
      </w:r>
      <w:proofErr w:type="spellStart"/>
      <w:r w:rsidRPr="00F75889">
        <w:lastRenderedPageBreak/>
        <w:t>unrescetable</w:t>
      </w:r>
      <w:proofErr w:type="spellEnd"/>
      <w:r w:rsidRPr="00F75889">
        <w:t xml:space="preserve"> disease and have not experienced disease progression with platinum-based chemotherapy radiation (CRT). </w:t>
      </w:r>
    </w:p>
    <w:p w14:paraId="18B70418" w14:textId="7DAA3372" w:rsidR="00F75889" w:rsidRPr="00F75889" w:rsidRDefault="00F75889" w:rsidP="00F75889">
      <w:pPr>
        <w:pStyle w:val="ListParagraph"/>
      </w:pPr>
      <w:r w:rsidRPr="00F75889">
        <w:t>For patients who received treatment with durvalumab, the proportion of patients with unresectable Stage III NSCLC (86%) was estimated from Vinod et al. (2017), a retrospective cohort study. The proportion of patients with unrese</w:t>
      </w:r>
      <w:r w:rsidR="00534BD3">
        <w:t>c</w:t>
      </w:r>
      <w:r w:rsidRPr="00F75889">
        <w:t>table disease who did not receive CRT was estimated at 83.9% based on a literature review. The submission assumed an uptake rate of 90% for durvalumab, with 75% of patients experiencing progression at 72 months, as outlined in the durvalumab submission to the PBAC (paragraphs 4.16 and 4.22, durvalumab, PSD, November 2019 PBAC meeting).</w:t>
      </w:r>
    </w:p>
    <w:p w14:paraId="4024D6D3" w14:textId="77777777" w:rsidR="00F75889" w:rsidRPr="00F75889" w:rsidRDefault="00F75889" w:rsidP="00F75889">
      <w:pPr>
        <w:pStyle w:val="ListParagraph"/>
      </w:pPr>
      <w:r w:rsidRPr="00F75889">
        <w:t>For patients who did not receive treatment with durvalumab, the submission assumed that 60% and 100% of patients with Stage IIIA and Stage IIIB disease will progress to Stage IV in the year of diagnosis, respectively. The submission referenced a previous PBAC submission for pembrolizumab, stating it appropriateness given that durvalumab was not listed on the PBS and patients did not receive treatment with durvalumab at that time (Table 17, p25, pembrolizumab, PSD, November 2018 PBAC meeting).</w:t>
      </w:r>
    </w:p>
    <w:p w14:paraId="60523448" w14:textId="7AC32F81" w:rsidR="00F75889" w:rsidRPr="00F75889" w:rsidRDefault="00F75889" w:rsidP="00F75889">
      <w:pPr>
        <w:pStyle w:val="ListParagraph"/>
      </w:pPr>
      <w:r w:rsidRPr="00F75889">
        <w:t>For patients with ECOG PS of 2, all newly diagnosed patients with Stage IIIB NSCLC were assumed to progress to Stage IV in the year of diagnosis. The submission stated that was in line with the approach previously presented to the PBAC (Table 17, p25, pembrolizumab, PSD, November 2018 PBAC meeting).</w:t>
      </w:r>
    </w:p>
    <w:p w14:paraId="1EC9B014" w14:textId="2DE6EC93" w:rsidR="00050535" w:rsidRPr="00050535" w:rsidRDefault="00050535" w:rsidP="00050535">
      <w:pPr>
        <w:pStyle w:val="ListParagraph"/>
      </w:pPr>
      <w:r>
        <w:t xml:space="preserve">Based on the above stated estimates, the submission projected a total of </w:t>
      </w:r>
      <w:r w:rsidR="006912EA">
        <w:t xml:space="preserve">&lt;500 </w:t>
      </w:r>
      <w:r>
        <w:t xml:space="preserve">patients per year would progress from Stage I-II to Stage IV, while the number of patients progressing from Stage III to Stage IV was projected to be </w:t>
      </w:r>
      <w:r w:rsidR="00814DFA">
        <w:t xml:space="preserve">&lt;500 </w:t>
      </w:r>
      <w:r>
        <w:t xml:space="preserve">patients in Year 1, increasing to </w:t>
      </w:r>
      <w:r w:rsidR="00814DFA">
        <w:t xml:space="preserve">&lt;500 </w:t>
      </w:r>
      <w:r>
        <w:t>patients by Year 6. The</w:t>
      </w:r>
      <w:r w:rsidR="00495C64">
        <w:t xml:space="preserve"> </w:t>
      </w:r>
      <w:r>
        <w:t xml:space="preserve">number of patients with </w:t>
      </w:r>
      <w:r w:rsidR="00512E85">
        <w:t>early-stage</w:t>
      </w:r>
      <w:r>
        <w:t xml:space="preserve"> disease was uncertain due to the use of various sources and estimates.</w:t>
      </w:r>
    </w:p>
    <w:p w14:paraId="65B09B68" w14:textId="260DAADC" w:rsidR="005D15F6" w:rsidRPr="00BA46AD" w:rsidRDefault="00CE2202" w:rsidP="000B6113">
      <w:pPr>
        <w:pStyle w:val="3-BodyText"/>
      </w:pPr>
      <w:r w:rsidRPr="00CE2202">
        <w:t xml:space="preserve">The submission stated that the current standard of care for patients with Stage IV BRAF V600E NSCLC and an ECOG performance status of </w:t>
      </w:r>
      <w:r w:rsidR="005D15F6">
        <w:t>0-1</w:t>
      </w:r>
      <w:r w:rsidRPr="00CE2202">
        <w:t xml:space="preserve"> </w:t>
      </w:r>
      <w:r w:rsidR="008D43B8">
        <w:t xml:space="preserve">is </w:t>
      </w:r>
      <w:proofErr w:type="spellStart"/>
      <w:r>
        <w:t>pembrolizumab</w:t>
      </w:r>
      <w:r w:rsidRPr="00CE2202">
        <w:t>+PBC</w:t>
      </w:r>
      <w:proofErr w:type="spellEnd"/>
      <w:r w:rsidRPr="00CE2202">
        <w:t xml:space="preserve"> or </w:t>
      </w:r>
      <w:r>
        <w:t>pembrolizumab</w:t>
      </w:r>
      <w:r w:rsidRPr="00CE2202">
        <w:t xml:space="preserve"> monotherapy</w:t>
      </w:r>
      <w:r w:rsidR="009D001F">
        <w:t xml:space="preserve"> (22</w:t>
      </w:r>
      <w:r w:rsidR="008460EF">
        <w:t>.4</w:t>
      </w:r>
      <w:r w:rsidR="009D001F">
        <w:t>%)</w:t>
      </w:r>
      <w:r w:rsidRPr="00CE2202">
        <w:t xml:space="preserve">. However, patients </w:t>
      </w:r>
      <w:r w:rsidR="006400A3">
        <w:t xml:space="preserve">with </w:t>
      </w:r>
      <w:r w:rsidR="00234DEF">
        <w:t xml:space="preserve">unresectable </w:t>
      </w:r>
      <w:r w:rsidR="006400A3">
        <w:t>Stage III NSCLC</w:t>
      </w:r>
      <w:r w:rsidR="00234DEF">
        <w:t xml:space="preserve"> </w:t>
      </w:r>
      <w:r w:rsidRPr="00CE2202">
        <w:t xml:space="preserve">treated with </w:t>
      </w:r>
      <w:r>
        <w:t>durvalumab</w:t>
      </w:r>
      <w:r w:rsidRPr="00CE2202">
        <w:t xml:space="preserve"> are ineligible for further treatment with </w:t>
      </w:r>
      <w:r>
        <w:t>pembrolizumab</w:t>
      </w:r>
      <w:r w:rsidRPr="00CE2202">
        <w:t xml:space="preserve"> or </w:t>
      </w:r>
      <w:r>
        <w:t>another</w:t>
      </w:r>
      <w:r w:rsidRPr="00CE2202">
        <w:t xml:space="preserve"> PD-(L)1 therapy in Stage IV. For these patients, as well as those with an ECOG performance status of 2, PBC remains the only available treatment option</w:t>
      </w:r>
      <w:r w:rsidR="005F5DB7">
        <w:t xml:space="preserve">, with </w:t>
      </w:r>
      <w:r w:rsidR="009D001F">
        <w:t>its</w:t>
      </w:r>
      <w:r w:rsidR="005F5DB7">
        <w:t xml:space="preserve"> components </w:t>
      </w:r>
      <w:r w:rsidR="009D001F">
        <w:t>determined by</w:t>
      </w:r>
      <w:r w:rsidR="00495C64">
        <w:t xml:space="preserve"> </w:t>
      </w:r>
      <w:r w:rsidR="005F5DB7">
        <w:t>histology</w:t>
      </w:r>
      <w:r w:rsidRPr="00CE2202">
        <w:t>.</w:t>
      </w:r>
      <w:r w:rsidR="009D001F">
        <w:t xml:space="preserve"> </w:t>
      </w:r>
    </w:p>
    <w:p w14:paraId="4CD90520" w14:textId="62D405BC" w:rsidR="00D350E8" w:rsidRDefault="0082419B" w:rsidP="000B6113">
      <w:pPr>
        <w:pStyle w:val="3-BodyText"/>
      </w:pPr>
      <w:r w:rsidRPr="00BA46AD">
        <w:t>Consistent with</w:t>
      </w:r>
      <w:r w:rsidR="00A92260" w:rsidRPr="00BA46AD">
        <w:t xml:space="preserve"> the method</w:t>
      </w:r>
      <w:r w:rsidRPr="00BA46AD">
        <w:t>ology</w:t>
      </w:r>
      <w:r w:rsidR="00A92260" w:rsidRPr="00BA46AD">
        <w:t xml:space="preserve"> used in the CMA,</w:t>
      </w:r>
      <w:r w:rsidR="00A92260">
        <w:t xml:space="preserve"> the submission estimated the duration of treatment</w:t>
      </w:r>
      <w:r w:rsidR="001669DA">
        <w:t>, dose per administration,</w:t>
      </w:r>
      <w:r w:rsidR="00CB5CBB">
        <w:t xml:space="preserve"> </w:t>
      </w:r>
      <w:r w:rsidR="00D35436">
        <w:t>and compliance</w:t>
      </w:r>
      <w:r w:rsidR="00A92260">
        <w:t xml:space="preserve"> for D+T and </w:t>
      </w:r>
      <w:proofErr w:type="spellStart"/>
      <w:r w:rsidR="00A92260">
        <w:t>pembrolizumab+PBC</w:t>
      </w:r>
      <w:proofErr w:type="spellEnd"/>
      <w:r w:rsidR="00A92260">
        <w:t xml:space="preserve">. </w:t>
      </w:r>
      <w:r>
        <w:t>It further assumed that</w:t>
      </w:r>
      <w:r w:rsidR="00A92260">
        <w:t xml:space="preserve"> t</w:t>
      </w:r>
      <w:r w:rsidR="00E74631">
        <w:t xml:space="preserve">he duration of treatment with pembrolizumab monotherapy </w:t>
      </w:r>
      <w:r w:rsidR="00BA71BC">
        <w:t>would be</w:t>
      </w:r>
      <w:r w:rsidR="00E74631">
        <w:t xml:space="preserve"> similar to </w:t>
      </w:r>
      <w:proofErr w:type="spellStart"/>
      <w:r w:rsidR="00E74631">
        <w:t>pembrolizumab+PBC</w:t>
      </w:r>
      <w:proofErr w:type="spellEnd"/>
      <w:r w:rsidR="00BA71BC">
        <w:t xml:space="preserve">, with no expected </w:t>
      </w:r>
      <w:r w:rsidR="00B252B2">
        <w:t xml:space="preserve">differences between patients with an ECOG </w:t>
      </w:r>
      <w:r w:rsidR="00BA71BC">
        <w:t>PS</w:t>
      </w:r>
      <w:r w:rsidR="00B252B2">
        <w:t xml:space="preserve"> of 0-1 and those with an ECOG </w:t>
      </w:r>
      <w:r w:rsidR="00CA237B">
        <w:t>PS</w:t>
      </w:r>
      <w:r w:rsidR="00B252B2">
        <w:t xml:space="preserve"> of 2. </w:t>
      </w:r>
    </w:p>
    <w:p w14:paraId="7E2E6704" w14:textId="363DF5A4" w:rsidR="00215378" w:rsidRPr="00215378" w:rsidRDefault="00215378" w:rsidP="00F75889">
      <w:pPr>
        <w:pStyle w:val="3-BodyText"/>
        <w:rPr>
          <w:i/>
          <w:iCs/>
        </w:rPr>
      </w:pPr>
      <w:r w:rsidRPr="00215378">
        <w:lastRenderedPageBreak/>
        <w:t xml:space="preserve">The submission also incorporated monitoring costs for </w:t>
      </w:r>
      <w:r>
        <w:t>D+T</w:t>
      </w:r>
      <w:r w:rsidRPr="00215378">
        <w:t xml:space="preserve">, </w:t>
      </w:r>
      <w:r>
        <w:t>pembrolizumab</w:t>
      </w:r>
      <w:r w:rsidRPr="00215378">
        <w:t>, and PBC components (cisplatin, carboplatin, pemetrexed, and paclitaxel)</w:t>
      </w:r>
      <w:r>
        <w:t xml:space="preserve"> </w:t>
      </w:r>
      <w:r w:rsidRPr="00215378">
        <w:t xml:space="preserve">in accordance with the requirements outlined in their respective TGA PIs. </w:t>
      </w:r>
      <w:r w:rsidRPr="00BA46AD">
        <w:t xml:space="preserve">These costs were consistent with </w:t>
      </w:r>
      <w:r w:rsidR="00D35436" w:rsidRPr="00BA46AD">
        <w:t>those</w:t>
      </w:r>
      <w:r w:rsidRPr="00BA46AD">
        <w:t xml:space="preserve"> used in the CMA.</w:t>
      </w:r>
    </w:p>
    <w:p w14:paraId="54D4C0DA" w14:textId="5A66CAF5" w:rsidR="00F75889" w:rsidRPr="00502D99" w:rsidRDefault="00F75889" w:rsidP="00F75889">
      <w:pPr>
        <w:pStyle w:val="3-BodyText"/>
      </w:pPr>
      <w:r w:rsidRPr="00502D99">
        <w:t xml:space="preserve">The estimated financial implications of listing D+T are presented in </w:t>
      </w:r>
      <w:r w:rsidRPr="00502D99">
        <w:fldChar w:fldCharType="begin"/>
      </w:r>
      <w:r w:rsidRPr="00502D99">
        <w:instrText xml:space="preserve"> REF _Ref104805295 \h  \* MERGEFORMAT </w:instrText>
      </w:r>
      <w:r w:rsidRPr="00502D99">
        <w:fldChar w:fldCharType="separate"/>
      </w:r>
      <w:r w:rsidR="00EF4998">
        <w:t>Table 16</w:t>
      </w:r>
      <w:r w:rsidRPr="00502D99">
        <w:fldChar w:fldCharType="end"/>
      </w:r>
      <w:r w:rsidRPr="00502D99">
        <w:t>.</w:t>
      </w:r>
    </w:p>
    <w:p w14:paraId="38EC053C" w14:textId="27C1673A" w:rsidR="00C25D9C" w:rsidRPr="00606FBA" w:rsidRDefault="00E16AD8" w:rsidP="00E16AD8">
      <w:pPr>
        <w:pStyle w:val="Caption"/>
      </w:pPr>
      <w:bookmarkStart w:id="99" w:name="_Ref104805295"/>
      <w:r>
        <w:t xml:space="preserve">Table </w:t>
      </w:r>
      <w:r w:rsidR="00E77066">
        <w:fldChar w:fldCharType="begin"/>
      </w:r>
      <w:r w:rsidR="00E77066">
        <w:instrText xml:space="preserve"> SEQ Table \* ARABIC </w:instrText>
      </w:r>
      <w:r w:rsidR="00E77066">
        <w:fldChar w:fldCharType="separate"/>
      </w:r>
      <w:r w:rsidR="00EF4998">
        <w:rPr>
          <w:noProof/>
        </w:rPr>
        <w:t>16</w:t>
      </w:r>
      <w:r w:rsidR="00E77066">
        <w:rPr>
          <w:noProof/>
        </w:rPr>
        <w:fldChar w:fldCharType="end"/>
      </w:r>
      <w:bookmarkEnd w:id="99"/>
      <w:r>
        <w:t>:</w:t>
      </w:r>
      <w:r w:rsidR="002A2F50" w:rsidRPr="00606FBA">
        <w:rPr>
          <w:rStyle w:val="CommentReference"/>
          <w:b/>
          <w:szCs w:val="24"/>
        </w:rPr>
        <w:t xml:space="preserve"> Estimated use and financial implications</w:t>
      </w:r>
      <w:r w:rsidR="008D7E45">
        <w:rPr>
          <w:rStyle w:val="CommentReference"/>
          <w:b/>
          <w:szCs w:val="24"/>
        </w:rPr>
        <w:t xml:space="preserve"> – published price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053"/>
        <w:gridCol w:w="1055"/>
        <w:gridCol w:w="1055"/>
        <w:gridCol w:w="1055"/>
        <w:gridCol w:w="1055"/>
        <w:gridCol w:w="1055"/>
      </w:tblGrid>
      <w:tr w:rsidR="00385A9D" w:rsidRPr="00D1078F" w14:paraId="43A2A3A1" w14:textId="77777777" w:rsidTr="00CD4719">
        <w:trPr>
          <w:tblHeader/>
        </w:trPr>
        <w:tc>
          <w:tcPr>
            <w:tcW w:w="1491" w:type="pct"/>
            <w:shd w:val="clear" w:color="auto" w:fill="auto"/>
            <w:vAlign w:val="center"/>
          </w:tcPr>
          <w:p w14:paraId="0A4E41E1" w14:textId="77777777" w:rsidR="00385A9D" w:rsidRPr="003639A6" w:rsidRDefault="00385A9D" w:rsidP="00606FBA">
            <w:pPr>
              <w:pStyle w:val="In-tableHeading"/>
              <w:jc w:val="center"/>
            </w:pPr>
          </w:p>
        </w:tc>
        <w:tc>
          <w:tcPr>
            <w:tcW w:w="584" w:type="pct"/>
            <w:shd w:val="clear" w:color="auto" w:fill="auto"/>
            <w:vAlign w:val="center"/>
          </w:tcPr>
          <w:p w14:paraId="77420B6F" w14:textId="77777777" w:rsidR="00385A9D" w:rsidRPr="00D1078F" w:rsidRDefault="00385A9D" w:rsidP="00606FBA">
            <w:pPr>
              <w:pStyle w:val="In-tableHeading"/>
              <w:jc w:val="center"/>
            </w:pPr>
            <w:r w:rsidRPr="00D1078F">
              <w:t>Year 1</w:t>
            </w:r>
          </w:p>
        </w:tc>
        <w:tc>
          <w:tcPr>
            <w:tcW w:w="585" w:type="pct"/>
            <w:shd w:val="clear" w:color="auto" w:fill="auto"/>
            <w:vAlign w:val="center"/>
          </w:tcPr>
          <w:p w14:paraId="3BBD9218" w14:textId="77777777" w:rsidR="00385A9D" w:rsidRPr="00D1078F" w:rsidRDefault="00385A9D" w:rsidP="00606FBA">
            <w:pPr>
              <w:pStyle w:val="In-tableHeading"/>
              <w:jc w:val="center"/>
            </w:pPr>
            <w:r w:rsidRPr="00D1078F">
              <w:t>Year 2</w:t>
            </w:r>
          </w:p>
        </w:tc>
        <w:tc>
          <w:tcPr>
            <w:tcW w:w="585" w:type="pct"/>
            <w:shd w:val="clear" w:color="auto" w:fill="auto"/>
            <w:vAlign w:val="center"/>
          </w:tcPr>
          <w:p w14:paraId="729A646E" w14:textId="77777777" w:rsidR="00385A9D" w:rsidRPr="00D1078F" w:rsidRDefault="00385A9D" w:rsidP="00606FBA">
            <w:pPr>
              <w:pStyle w:val="In-tableHeading"/>
              <w:jc w:val="center"/>
            </w:pPr>
            <w:r w:rsidRPr="00D1078F">
              <w:t>Year 3</w:t>
            </w:r>
          </w:p>
        </w:tc>
        <w:tc>
          <w:tcPr>
            <w:tcW w:w="585" w:type="pct"/>
            <w:shd w:val="clear" w:color="auto" w:fill="auto"/>
            <w:vAlign w:val="center"/>
          </w:tcPr>
          <w:p w14:paraId="280BB544" w14:textId="77777777" w:rsidR="00385A9D" w:rsidRPr="00D1078F" w:rsidRDefault="00385A9D" w:rsidP="00606FBA">
            <w:pPr>
              <w:pStyle w:val="In-tableHeading"/>
              <w:jc w:val="center"/>
            </w:pPr>
            <w:r w:rsidRPr="00D1078F">
              <w:t>Year 4</w:t>
            </w:r>
          </w:p>
        </w:tc>
        <w:tc>
          <w:tcPr>
            <w:tcW w:w="585" w:type="pct"/>
            <w:shd w:val="clear" w:color="auto" w:fill="auto"/>
            <w:vAlign w:val="center"/>
          </w:tcPr>
          <w:p w14:paraId="6435BB5B" w14:textId="77777777" w:rsidR="00385A9D" w:rsidRPr="00D1078F" w:rsidRDefault="00385A9D" w:rsidP="00606FBA">
            <w:pPr>
              <w:pStyle w:val="In-tableHeading"/>
              <w:jc w:val="center"/>
            </w:pPr>
            <w:r w:rsidRPr="00D1078F">
              <w:t>Year 5</w:t>
            </w:r>
          </w:p>
        </w:tc>
        <w:tc>
          <w:tcPr>
            <w:tcW w:w="585" w:type="pct"/>
          </w:tcPr>
          <w:p w14:paraId="7C618119" w14:textId="77777777" w:rsidR="00385A9D" w:rsidRPr="00D1078F" w:rsidRDefault="00385A9D" w:rsidP="00606FBA">
            <w:pPr>
              <w:pStyle w:val="In-tableHeading"/>
              <w:jc w:val="center"/>
            </w:pPr>
            <w:r w:rsidRPr="00D1078F">
              <w:t>Year 6</w:t>
            </w:r>
          </w:p>
        </w:tc>
      </w:tr>
      <w:tr w:rsidR="00385A9D" w:rsidRPr="00D1078F" w14:paraId="3C519059" w14:textId="77777777" w:rsidTr="009C3A3A">
        <w:tc>
          <w:tcPr>
            <w:tcW w:w="5000" w:type="pct"/>
            <w:gridSpan w:val="7"/>
            <w:shd w:val="clear" w:color="auto" w:fill="auto"/>
            <w:vAlign w:val="center"/>
          </w:tcPr>
          <w:p w14:paraId="516C2197" w14:textId="77777777" w:rsidR="00385A9D" w:rsidRPr="00D1078F" w:rsidRDefault="00385A9D" w:rsidP="00606FBA">
            <w:pPr>
              <w:pStyle w:val="In-tableHeading"/>
              <w:rPr>
                <w:bCs/>
                <w:color w:val="000000"/>
              </w:rPr>
            </w:pPr>
            <w:r w:rsidRPr="00D1078F">
              <w:rPr>
                <w:bCs/>
                <w:color w:val="000000"/>
              </w:rPr>
              <w:t>Estimated extent of use</w:t>
            </w:r>
          </w:p>
        </w:tc>
      </w:tr>
      <w:tr w:rsidR="005F349D" w:rsidRPr="003639A6" w14:paraId="148A8EEF" w14:textId="77777777" w:rsidTr="00CD4719">
        <w:tc>
          <w:tcPr>
            <w:tcW w:w="1491" w:type="pct"/>
            <w:shd w:val="clear" w:color="auto" w:fill="auto"/>
            <w:vAlign w:val="center"/>
          </w:tcPr>
          <w:p w14:paraId="201B6ECA" w14:textId="5583783D" w:rsidR="005F349D" w:rsidRPr="003639A6" w:rsidRDefault="005F349D" w:rsidP="005F349D">
            <w:pPr>
              <w:pStyle w:val="TableText0"/>
              <w:rPr>
                <w:rFonts w:ascii="Times" w:hAnsi="Times"/>
              </w:rPr>
            </w:pPr>
            <w:r w:rsidRPr="003639A6">
              <w:t xml:space="preserve">Number of patients </w:t>
            </w:r>
            <w:proofErr w:type="spellStart"/>
            <w:r w:rsidRPr="003639A6">
              <w:t>treated</w:t>
            </w:r>
            <w:r w:rsidR="00D3004A" w:rsidRPr="003639A6">
              <w:rPr>
                <w:vertAlign w:val="superscript"/>
              </w:rPr>
              <w:t>a</w:t>
            </w:r>
            <w:proofErr w:type="spellEnd"/>
          </w:p>
        </w:tc>
        <w:tc>
          <w:tcPr>
            <w:tcW w:w="584" w:type="pct"/>
            <w:shd w:val="clear" w:color="auto" w:fill="auto"/>
          </w:tcPr>
          <w:p w14:paraId="577607A9" w14:textId="01F4CBFA" w:rsidR="005F349D" w:rsidRPr="00E152ED" w:rsidRDefault="008B5A1C" w:rsidP="005F349D">
            <w:pPr>
              <w:pStyle w:val="TableText0"/>
              <w:jc w:val="center"/>
              <w:rPr>
                <w:color w:val="000000"/>
                <w:highlight w:val="darkGray"/>
              </w:rPr>
            </w:pPr>
            <w:r w:rsidRPr="008B5A1C">
              <w:rPr>
                <w:rFonts w:hint="eastAsia"/>
                <w:color w:val="000000"/>
                <w:w w:val="18"/>
                <w:shd w:val="solid" w:color="000000" w:fill="000000"/>
                <w:fitText w:val="80" w:id="-694514424"/>
                <w14:textFill>
                  <w14:solidFill>
                    <w14:srgbClr w14:val="000000">
                      <w14:alpha w14:val="100000"/>
                    </w14:srgbClr>
                  </w14:solidFill>
                </w14:textFill>
              </w:rPr>
              <w:t xml:space="preserve">　</w:t>
            </w:r>
            <w:r w:rsidRPr="008B5A1C">
              <w:rPr>
                <w:color w:val="000000"/>
                <w:w w:val="18"/>
                <w:shd w:val="solid" w:color="000000" w:fill="000000"/>
                <w:fitText w:val="80" w:id="-694514424"/>
                <w14:textFill>
                  <w14:solidFill>
                    <w14:srgbClr w14:val="000000">
                      <w14:alpha w14:val="100000"/>
                    </w14:srgbClr>
                  </w14:solidFill>
                </w14:textFill>
              </w:rPr>
              <w:t>|</w:t>
            </w:r>
            <w:r w:rsidRPr="008B5A1C">
              <w:rPr>
                <w:rFonts w:hint="eastAsia"/>
                <w:color w:val="000000"/>
                <w:w w:val="18"/>
                <w:shd w:val="solid" w:color="000000" w:fill="000000"/>
                <w:fitText w:val="80" w:id="-694514424"/>
                <w14:textFill>
                  <w14:solidFill>
                    <w14:srgbClr w14:val="000000">
                      <w14:alpha w14:val="100000"/>
                    </w14:srgbClr>
                  </w14:solidFill>
                </w14:textFill>
              </w:rPr>
              <w:t xml:space="preserve">　</w:t>
            </w:r>
            <w:r w:rsidR="00D33EAA" w:rsidRPr="00D33EAA">
              <w:rPr>
                <w:vertAlign w:val="superscript"/>
              </w:rPr>
              <w:t>1</w:t>
            </w:r>
          </w:p>
        </w:tc>
        <w:tc>
          <w:tcPr>
            <w:tcW w:w="585" w:type="pct"/>
            <w:shd w:val="clear" w:color="auto" w:fill="auto"/>
          </w:tcPr>
          <w:p w14:paraId="6610B4C9" w14:textId="3E2D38EB" w:rsidR="005F349D" w:rsidRPr="00E152ED" w:rsidRDefault="008B5A1C" w:rsidP="005F349D">
            <w:pPr>
              <w:pStyle w:val="TableText0"/>
              <w:jc w:val="center"/>
              <w:rPr>
                <w:color w:val="000000"/>
                <w:highlight w:val="darkGray"/>
              </w:rPr>
            </w:pPr>
            <w:r w:rsidRPr="008B5A1C">
              <w:rPr>
                <w:rFonts w:hint="eastAsia"/>
                <w:color w:val="000000"/>
                <w:w w:val="18"/>
                <w:shd w:val="solid" w:color="000000" w:fill="000000"/>
                <w:fitText w:val="80" w:id="-694514423"/>
                <w14:textFill>
                  <w14:solidFill>
                    <w14:srgbClr w14:val="000000">
                      <w14:alpha w14:val="100000"/>
                    </w14:srgbClr>
                  </w14:solidFill>
                </w14:textFill>
              </w:rPr>
              <w:t xml:space="preserve">　</w:t>
            </w:r>
            <w:r w:rsidRPr="008B5A1C">
              <w:rPr>
                <w:color w:val="000000"/>
                <w:w w:val="18"/>
                <w:shd w:val="solid" w:color="000000" w:fill="000000"/>
                <w:fitText w:val="80" w:id="-694514423"/>
                <w14:textFill>
                  <w14:solidFill>
                    <w14:srgbClr w14:val="000000">
                      <w14:alpha w14:val="100000"/>
                    </w14:srgbClr>
                  </w14:solidFill>
                </w14:textFill>
              </w:rPr>
              <w:t>|</w:t>
            </w:r>
            <w:r w:rsidRPr="008B5A1C">
              <w:rPr>
                <w:rFonts w:hint="eastAsia"/>
                <w:color w:val="000000"/>
                <w:w w:val="18"/>
                <w:shd w:val="solid" w:color="000000" w:fill="000000"/>
                <w:fitText w:val="80" w:id="-694514423"/>
                <w14:textFill>
                  <w14:solidFill>
                    <w14:srgbClr w14:val="000000">
                      <w14:alpha w14:val="100000"/>
                    </w14:srgbClr>
                  </w14:solidFill>
                </w14:textFill>
              </w:rPr>
              <w:t xml:space="preserve">　</w:t>
            </w:r>
            <w:r w:rsidR="00D33EAA" w:rsidRPr="00D33EAA">
              <w:rPr>
                <w:vertAlign w:val="superscript"/>
              </w:rPr>
              <w:t>1</w:t>
            </w:r>
          </w:p>
        </w:tc>
        <w:tc>
          <w:tcPr>
            <w:tcW w:w="585" w:type="pct"/>
            <w:shd w:val="clear" w:color="auto" w:fill="auto"/>
          </w:tcPr>
          <w:p w14:paraId="29F46D6B" w14:textId="5063DEFC" w:rsidR="005F349D" w:rsidRPr="00E152ED" w:rsidRDefault="008B5A1C" w:rsidP="005F349D">
            <w:pPr>
              <w:pStyle w:val="TableText0"/>
              <w:jc w:val="center"/>
              <w:rPr>
                <w:color w:val="000000"/>
                <w:highlight w:val="darkGray"/>
              </w:rPr>
            </w:pPr>
            <w:r w:rsidRPr="008B5A1C">
              <w:rPr>
                <w:rFonts w:hint="eastAsia"/>
                <w:color w:val="000000"/>
                <w:w w:val="18"/>
                <w:shd w:val="solid" w:color="000000" w:fill="000000"/>
                <w:fitText w:val="80" w:id="-694514422"/>
                <w14:textFill>
                  <w14:solidFill>
                    <w14:srgbClr w14:val="000000">
                      <w14:alpha w14:val="100000"/>
                    </w14:srgbClr>
                  </w14:solidFill>
                </w14:textFill>
              </w:rPr>
              <w:t xml:space="preserve">　</w:t>
            </w:r>
            <w:r w:rsidRPr="008B5A1C">
              <w:rPr>
                <w:color w:val="000000"/>
                <w:w w:val="18"/>
                <w:shd w:val="solid" w:color="000000" w:fill="000000"/>
                <w:fitText w:val="80" w:id="-694514422"/>
                <w14:textFill>
                  <w14:solidFill>
                    <w14:srgbClr w14:val="000000">
                      <w14:alpha w14:val="100000"/>
                    </w14:srgbClr>
                  </w14:solidFill>
                </w14:textFill>
              </w:rPr>
              <w:t>|</w:t>
            </w:r>
            <w:r w:rsidRPr="008B5A1C">
              <w:rPr>
                <w:rFonts w:hint="eastAsia"/>
                <w:color w:val="000000"/>
                <w:w w:val="18"/>
                <w:shd w:val="solid" w:color="000000" w:fill="000000"/>
                <w:fitText w:val="80" w:id="-694514422"/>
                <w14:textFill>
                  <w14:solidFill>
                    <w14:srgbClr w14:val="000000">
                      <w14:alpha w14:val="100000"/>
                    </w14:srgbClr>
                  </w14:solidFill>
                </w14:textFill>
              </w:rPr>
              <w:t xml:space="preserve">　</w:t>
            </w:r>
            <w:r w:rsidR="00D33EAA" w:rsidRPr="00D33EAA">
              <w:rPr>
                <w:vertAlign w:val="superscript"/>
              </w:rPr>
              <w:t>1</w:t>
            </w:r>
          </w:p>
        </w:tc>
        <w:tc>
          <w:tcPr>
            <w:tcW w:w="585" w:type="pct"/>
            <w:shd w:val="clear" w:color="auto" w:fill="auto"/>
          </w:tcPr>
          <w:p w14:paraId="21167904" w14:textId="388D829F" w:rsidR="005F349D" w:rsidRPr="00E152ED" w:rsidRDefault="008B5A1C" w:rsidP="005F349D">
            <w:pPr>
              <w:pStyle w:val="TableText0"/>
              <w:jc w:val="center"/>
              <w:rPr>
                <w:color w:val="000000"/>
                <w:highlight w:val="darkGray"/>
              </w:rPr>
            </w:pPr>
            <w:r w:rsidRPr="008B5A1C">
              <w:rPr>
                <w:rFonts w:hint="eastAsia"/>
                <w:color w:val="000000"/>
                <w:w w:val="18"/>
                <w:shd w:val="solid" w:color="000000" w:fill="000000"/>
                <w:fitText w:val="80" w:id="-694514421"/>
                <w14:textFill>
                  <w14:solidFill>
                    <w14:srgbClr w14:val="000000">
                      <w14:alpha w14:val="100000"/>
                    </w14:srgbClr>
                  </w14:solidFill>
                </w14:textFill>
              </w:rPr>
              <w:t xml:space="preserve">　</w:t>
            </w:r>
            <w:r w:rsidRPr="008B5A1C">
              <w:rPr>
                <w:color w:val="000000"/>
                <w:w w:val="18"/>
                <w:shd w:val="solid" w:color="000000" w:fill="000000"/>
                <w:fitText w:val="80" w:id="-694514421"/>
                <w14:textFill>
                  <w14:solidFill>
                    <w14:srgbClr w14:val="000000">
                      <w14:alpha w14:val="100000"/>
                    </w14:srgbClr>
                  </w14:solidFill>
                </w14:textFill>
              </w:rPr>
              <w:t>|</w:t>
            </w:r>
            <w:r w:rsidRPr="008B5A1C">
              <w:rPr>
                <w:rFonts w:hint="eastAsia"/>
                <w:color w:val="000000"/>
                <w:w w:val="18"/>
                <w:shd w:val="solid" w:color="000000" w:fill="000000"/>
                <w:fitText w:val="80" w:id="-694514421"/>
                <w14:textFill>
                  <w14:solidFill>
                    <w14:srgbClr w14:val="000000">
                      <w14:alpha w14:val="100000"/>
                    </w14:srgbClr>
                  </w14:solidFill>
                </w14:textFill>
              </w:rPr>
              <w:t xml:space="preserve">　</w:t>
            </w:r>
            <w:r w:rsidR="00D33EAA" w:rsidRPr="00D33EAA">
              <w:rPr>
                <w:vertAlign w:val="superscript"/>
              </w:rPr>
              <w:t>1</w:t>
            </w:r>
          </w:p>
        </w:tc>
        <w:tc>
          <w:tcPr>
            <w:tcW w:w="585" w:type="pct"/>
            <w:shd w:val="clear" w:color="auto" w:fill="auto"/>
          </w:tcPr>
          <w:p w14:paraId="762D4B71" w14:textId="589A5835" w:rsidR="005F349D" w:rsidRPr="00E152ED" w:rsidRDefault="008B5A1C" w:rsidP="005F349D">
            <w:pPr>
              <w:pStyle w:val="TableText0"/>
              <w:jc w:val="center"/>
              <w:rPr>
                <w:color w:val="000000"/>
                <w:highlight w:val="darkGray"/>
              </w:rPr>
            </w:pPr>
            <w:r w:rsidRPr="008B5A1C">
              <w:rPr>
                <w:rFonts w:hint="eastAsia"/>
                <w:color w:val="000000"/>
                <w:w w:val="18"/>
                <w:shd w:val="solid" w:color="000000" w:fill="000000"/>
                <w:fitText w:val="80" w:id="-694514420"/>
                <w14:textFill>
                  <w14:solidFill>
                    <w14:srgbClr w14:val="000000">
                      <w14:alpha w14:val="100000"/>
                    </w14:srgbClr>
                  </w14:solidFill>
                </w14:textFill>
              </w:rPr>
              <w:t xml:space="preserve">　</w:t>
            </w:r>
            <w:r w:rsidRPr="008B5A1C">
              <w:rPr>
                <w:color w:val="000000"/>
                <w:w w:val="18"/>
                <w:shd w:val="solid" w:color="000000" w:fill="000000"/>
                <w:fitText w:val="80" w:id="-694514420"/>
                <w14:textFill>
                  <w14:solidFill>
                    <w14:srgbClr w14:val="000000">
                      <w14:alpha w14:val="100000"/>
                    </w14:srgbClr>
                  </w14:solidFill>
                </w14:textFill>
              </w:rPr>
              <w:t>|</w:t>
            </w:r>
            <w:r w:rsidRPr="008B5A1C">
              <w:rPr>
                <w:rFonts w:hint="eastAsia"/>
                <w:color w:val="000000"/>
                <w:w w:val="18"/>
                <w:shd w:val="solid" w:color="000000" w:fill="000000"/>
                <w:fitText w:val="80" w:id="-694514420"/>
                <w14:textFill>
                  <w14:solidFill>
                    <w14:srgbClr w14:val="000000">
                      <w14:alpha w14:val="100000"/>
                    </w14:srgbClr>
                  </w14:solidFill>
                </w14:textFill>
              </w:rPr>
              <w:t xml:space="preserve">　</w:t>
            </w:r>
            <w:r w:rsidR="00D33EAA" w:rsidRPr="00D33EAA">
              <w:rPr>
                <w:vertAlign w:val="superscript"/>
              </w:rPr>
              <w:t>1</w:t>
            </w:r>
          </w:p>
        </w:tc>
        <w:tc>
          <w:tcPr>
            <w:tcW w:w="585" w:type="pct"/>
          </w:tcPr>
          <w:p w14:paraId="42B428B5" w14:textId="23FB4BB9" w:rsidR="005F349D" w:rsidRPr="00E152ED" w:rsidRDefault="008B5A1C" w:rsidP="005F349D">
            <w:pPr>
              <w:pStyle w:val="TableText0"/>
              <w:jc w:val="center"/>
              <w:rPr>
                <w:color w:val="000000"/>
                <w:highlight w:val="darkGray"/>
              </w:rPr>
            </w:pPr>
            <w:r w:rsidRPr="008B5A1C">
              <w:rPr>
                <w:rFonts w:hint="eastAsia"/>
                <w:color w:val="000000"/>
                <w:w w:val="18"/>
                <w:shd w:val="solid" w:color="000000" w:fill="000000"/>
                <w:fitText w:val="80" w:id="-694514419"/>
                <w14:textFill>
                  <w14:solidFill>
                    <w14:srgbClr w14:val="000000">
                      <w14:alpha w14:val="100000"/>
                    </w14:srgbClr>
                  </w14:solidFill>
                </w14:textFill>
              </w:rPr>
              <w:t xml:space="preserve">　</w:t>
            </w:r>
            <w:r w:rsidRPr="008B5A1C">
              <w:rPr>
                <w:color w:val="000000"/>
                <w:w w:val="18"/>
                <w:shd w:val="solid" w:color="000000" w:fill="000000"/>
                <w:fitText w:val="80" w:id="-694514419"/>
                <w14:textFill>
                  <w14:solidFill>
                    <w14:srgbClr w14:val="000000">
                      <w14:alpha w14:val="100000"/>
                    </w14:srgbClr>
                  </w14:solidFill>
                </w14:textFill>
              </w:rPr>
              <w:t>|</w:t>
            </w:r>
            <w:r w:rsidRPr="008B5A1C">
              <w:rPr>
                <w:rFonts w:hint="eastAsia"/>
                <w:color w:val="000000"/>
                <w:w w:val="18"/>
                <w:shd w:val="solid" w:color="000000" w:fill="000000"/>
                <w:fitText w:val="80" w:id="-694514419"/>
                <w14:textFill>
                  <w14:solidFill>
                    <w14:srgbClr w14:val="000000">
                      <w14:alpha w14:val="100000"/>
                    </w14:srgbClr>
                  </w14:solidFill>
                </w14:textFill>
              </w:rPr>
              <w:t xml:space="preserve">　</w:t>
            </w:r>
            <w:r w:rsidR="00D33EAA" w:rsidRPr="00D33EAA">
              <w:rPr>
                <w:vertAlign w:val="superscript"/>
              </w:rPr>
              <w:t>1</w:t>
            </w:r>
          </w:p>
        </w:tc>
      </w:tr>
      <w:tr w:rsidR="000276DE" w:rsidRPr="003639A6" w14:paraId="1CEE4D09" w14:textId="77777777" w:rsidTr="00CD4719">
        <w:tc>
          <w:tcPr>
            <w:tcW w:w="1491" w:type="pct"/>
            <w:shd w:val="clear" w:color="auto" w:fill="auto"/>
            <w:vAlign w:val="center"/>
          </w:tcPr>
          <w:p w14:paraId="229A1EDF" w14:textId="1E203AFB" w:rsidR="000276DE" w:rsidRPr="003639A6" w:rsidRDefault="000276DE" w:rsidP="000276DE">
            <w:pPr>
              <w:pStyle w:val="TableText0"/>
              <w:rPr>
                <w:rFonts w:ascii="Times" w:hAnsi="Times"/>
              </w:rPr>
            </w:pPr>
            <w:r w:rsidRPr="003639A6">
              <w:t xml:space="preserve">Number of </w:t>
            </w:r>
            <w:r>
              <w:t>scripts</w:t>
            </w:r>
            <w:r w:rsidRPr="003639A6">
              <w:t xml:space="preserve"> dispensed</w:t>
            </w:r>
          </w:p>
        </w:tc>
        <w:tc>
          <w:tcPr>
            <w:tcW w:w="584" w:type="pct"/>
            <w:shd w:val="clear" w:color="auto" w:fill="auto"/>
          </w:tcPr>
          <w:p w14:paraId="0D9F25C2" w14:textId="320A3FFD" w:rsidR="000276DE" w:rsidRPr="00E152ED" w:rsidRDefault="008B5A1C" w:rsidP="000276DE">
            <w:pPr>
              <w:pStyle w:val="TableText0"/>
              <w:jc w:val="center"/>
              <w:rPr>
                <w:color w:val="000000"/>
                <w:highlight w:val="darkGray"/>
              </w:rPr>
            </w:pPr>
            <w:r w:rsidRPr="008B5A1C">
              <w:rPr>
                <w:rFonts w:hint="eastAsia"/>
                <w:color w:val="000000"/>
                <w:w w:val="18"/>
                <w:shd w:val="solid" w:color="000000" w:fill="000000"/>
                <w:fitText w:val="80" w:id="-694514418"/>
                <w14:textFill>
                  <w14:solidFill>
                    <w14:srgbClr w14:val="000000">
                      <w14:alpha w14:val="100000"/>
                    </w14:srgbClr>
                  </w14:solidFill>
                </w14:textFill>
              </w:rPr>
              <w:t xml:space="preserve">　</w:t>
            </w:r>
            <w:r w:rsidRPr="008B5A1C">
              <w:rPr>
                <w:color w:val="000000"/>
                <w:w w:val="18"/>
                <w:shd w:val="solid" w:color="000000" w:fill="000000"/>
                <w:fitText w:val="80" w:id="-694514418"/>
                <w14:textFill>
                  <w14:solidFill>
                    <w14:srgbClr w14:val="000000">
                      <w14:alpha w14:val="100000"/>
                    </w14:srgbClr>
                  </w14:solidFill>
                </w14:textFill>
              </w:rPr>
              <w:t>|</w:t>
            </w:r>
            <w:r w:rsidRPr="008B5A1C">
              <w:rPr>
                <w:rFonts w:hint="eastAsia"/>
                <w:color w:val="000000"/>
                <w:w w:val="18"/>
                <w:shd w:val="solid" w:color="000000" w:fill="000000"/>
                <w:fitText w:val="80" w:id="-694514418"/>
                <w14:textFill>
                  <w14:solidFill>
                    <w14:srgbClr w14:val="000000">
                      <w14:alpha w14:val="100000"/>
                    </w14:srgbClr>
                  </w14:solidFill>
                </w14:textFill>
              </w:rPr>
              <w:t xml:space="preserve">　</w:t>
            </w:r>
            <w:r w:rsidR="006A1C44" w:rsidRPr="006A1C44">
              <w:rPr>
                <w:vertAlign w:val="superscript"/>
              </w:rPr>
              <w:t>2</w:t>
            </w:r>
          </w:p>
        </w:tc>
        <w:tc>
          <w:tcPr>
            <w:tcW w:w="585" w:type="pct"/>
            <w:shd w:val="clear" w:color="auto" w:fill="auto"/>
          </w:tcPr>
          <w:p w14:paraId="2D7847AA" w14:textId="544609ED" w:rsidR="000276DE" w:rsidRPr="00E152ED" w:rsidRDefault="008B5A1C" w:rsidP="000276DE">
            <w:pPr>
              <w:pStyle w:val="TableText0"/>
              <w:jc w:val="center"/>
              <w:rPr>
                <w:color w:val="000000"/>
                <w:highlight w:val="darkGray"/>
              </w:rPr>
            </w:pPr>
            <w:r w:rsidRPr="008B5A1C">
              <w:rPr>
                <w:rFonts w:hint="eastAsia"/>
                <w:color w:val="000000"/>
                <w:w w:val="18"/>
                <w:shd w:val="solid" w:color="000000" w:fill="000000"/>
                <w:fitText w:val="80" w:id="-694514417"/>
                <w14:textFill>
                  <w14:solidFill>
                    <w14:srgbClr w14:val="000000">
                      <w14:alpha w14:val="100000"/>
                    </w14:srgbClr>
                  </w14:solidFill>
                </w14:textFill>
              </w:rPr>
              <w:t xml:space="preserve">　</w:t>
            </w:r>
            <w:r w:rsidRPr="008B5A1C">
              <w:rPr>
                <w:color w:val="000000"/>
                <w:w w:val="18"/>
                <w:shd w:val="solid" w:color="000000" w:fill="000000"/>
                <w:fitText w:val="80" w:id="-694514417"/>
                <w14:textFill>
                  <w14:solidFill>
                    <w14:srgbClr w14:val="000000">
                      <w14:alpha w14:val="100000"/>
                    </w14:srgbClr>
                  </w14:solidFill>
                </w14:textFill>
              </w:rPr>
              <w:t>|</w:t>
            </w:r>
            <w:r w:rsidRPr="008B5A1C">
              <w:rPr>
                <w:rFonts w:hint="eastAsia"/>
                <w:color w:val="000000"/>
                <w:w w:val="18"/>
                <w:shd w:val="solid" w:color="000000" w:fill="000000"/>
                <w:fitText w:val="80" w:id="-694514417"/>
                <w14:textFill>
                  <w14:solidFill>
                    <w14:srgbClr w14:val="000000">
                      <w14:alpha w14:val="100000"/>
                    </w14:srgbClr>
                  </w14:solidFill>
                </w14:textFill>
              </w:rPr>
              <w:t xml:space="preserve">　</w:t>
            </w:r>
            <w:r w:rsidR="006A1C44" w:rsidRPr="006A1C44">
              <w:rPr>
                <w:vertAlign w:val="superscript"/>
              </w:rPr>
              <w:t>2</w:t>
            </w:r>
          </w:p>
        </w:tc>
        <w:tc>
          <w:tcPr>
            <w:tcW w:w="585" w:type="pct"/>
            <w:shd w:val="clear" w:color="auto" w:fill="auto"/>
          </w:tcPr>
          <w:p w14:paraId="7A620378" w14:textId="2F1B2C54" w:rsidR="000276DE" w:rsidRPr="00E152ED" w:rsidRDefault="008B5A1C" w:rsidP="000276DE">
            <w:pPr>
              <w:pStyle w:val="TableText0"/>
              <w:jc w:val="center"/>
              <w:rPr>
                <w:color w:val="000000"/>
                <w:highlight w:val="darkGray"/>
              </w:rPr>
            </w:pPr>
            <w:r w:rsidRPr="008B5A1C">
              <w:rPr>
                <w:rFonts w:hint="eastAsia"/>
                <w:color w:val="000000"/>
                <w:w w:val="18"/>
                <w:shd w:val="solid" w:color="000000" w:fill="000000"/>
                <w:fitText w:val="80" w:id="-694514416"/>
                <w14:textFill>
                  <w14:solidFill>
                    <w14:srgbClr w14:val="000000">
                      <w14:alpha w14:val="100000"/>
                    </w14:srgbClr>
                  </w14:solidFill>
                </w14:textFill>
              </w:rPr>
              <w:t xml:space="preserve">　</w:t>
            </w:r>
            <w:r w:rsidRPr="008B5A1C">
              <w:rPr>
                <w:color w:val="000000"/>
                <w:w w:val="18"/>
                <w:shd w:val="solid" w:color="000000" w:fill="000000"/>
                <w:fitText w:val="80" w:id="-694514416"/>
                <w14:textFill>
                  <w14:solidFill>
                    <w14:srgbClr w14:val="000000">
                      <w14:alpha w14:val="100000"/>
                    </w14:srgbClr>
                  </w14:solidFill>
                </w14:textFill>
              </w:rPr>
              <w:t>|</w:t>
            </w:r>
            <w:r w:rsidRPr="008B5A1C">
              <w:rPr>
                <w:rFonts w:hint="eastAsia"/>
                <w:color w:val="000000"/>
                <w:w w:val="18"/>
                <w:shd w:val="solid" w:color="000000" w:fill="000000"/>
                <w:fitText w:val="80" w:id="-694514416"/>
                <w14:textFill>
                  <w14:solidFill>
                    <w14:srgbClr w14:val="000000">
                      <w14:alpha w14:val="100000"/>
                    </w14:srgbClr>
                  </w14:solidFill>
                </w14:textFill>
              </w:rPr>
              <w:t xml:space="preserve">　</w:t>
            </w:r>
            <w:r w:rsidR="006A1C44" w:rsidRPr="006A1C44">
              <w:rPr>
                <w:vertAlign w:val="superscript"/>
              </w:rPr>
              <w:t>2</w:t>
            </w:r>
          </w:p>
        </w:tc>
        <w:tc>
          <w:tcPr>
            <w:tcW w:w="585" w:type="pct"/>
            <w:shd w:val="clear" w:color="auto" w:fill="auto"/>
          </w:tcPr>
          <w:p w14:paraId="1D2C1413" w14:textId="0DFDD726" w:rsidR="000276DE" w:rsidRPr="00E152ED" w:rsidRDefault="008B5A1C" w:rsidP="000276DE">
            <w:pPr>
              <w:pStyle w:val="TableText0"/>
              <w:jc w:val="center"/>
              <w:rPr>
                <w:color w:val="000000"/>
                <w:highlight w:val="darkGray"/>
              </w:rPr>
            </w:pPr>
            <w:r w:rsidRPr="008B5A1C">
              <w:rPr>
                <w:rFonts w:hint="eastAsia"/>
                <w:color w:val="000000"/>
                <w:w w:val="18"/>
                <w:shd w:val="solid" w:color="000000" w:fill="000000"/>
                <w:fitText w:val="80" w:id="-694514432"/>
                <w14:textFill>
                  <w14:solidFill>
                    <w14:srgbClr w14:val="000000">
                      <w14:alpha w14:val="100000"/>
                    </w14:srgbClr>
                  </w14:solidFill>
                </w14:textFill>
              </w:rPr>
              <w:t xml:space="preserve">　</w:t>
            </w:r>
            <w:r w:rsidRPr="008B5A1C">
              <w:rPr>
                <w:color w:val="000000"/>
                <w:w w:val="18"/>
                <w:shd w:val="solid" w:color="000000" w:fill="000000"/>
                <w:fitText w:val="80" w:id="-694514432"/>
                <w14:textFill>
                  <w14:solidFill>
                    <w14:srgbClr w14:val="000000">
                      <w14:alpha w14:val="100000"/>
                    </w14:srgbClr>
                  </w14:solidFill>
                </w14:textFill>
              </w:rPr>
              <w:t>|</w:t>
            </w:r>
            <w:r w:rsidRPr="008B5A1C">
              <w:rPr>
                <w:rFonts w:hint="eastAsia"/>
                <w:color w:val="000000"/>
                <w:w w:val="18"/>
                <w:shd w:val="solid" w:color="000000" w:fill="000000"/>
                <w:fitText w:val="80" w:id="-694514432"/>
                <w14:textFill>
                  <w14:solidFill>
                    <w14:srgbClr w14:val="000000">
                      <w14:alpha w14:val="100000"/>
                    </w14:srgbClr>
                  </w14:solidFill>
                </w14:textFill>
              </w:rPr>
              <w:t xml:space="preserve">　</w:t>
            </w:r>
            <w:r w:rsidR="006A1C44" w:rsidRPr="006A1C44">
              <w:rPr>
                <w:vertAlign w:val="superscript"/>
              </w:rPr>
              <w:t>2</w:t>
            </w:r>
          </w:p>
        </w:tc>
        <w:tc>
          <w:tcPr>
            <w:tcW w:w="585" w:type="pct"/>
            <w:shd w:val="clear" w:color="auto" w:fill="auto"/>
          </w:tcPr>
          <w:p w14:paraId="3F0ACB95" w14:textId="00028DDA" w:rsidR="000276DE" w:rsidRPr="00E152ED" w:rsidRDefault="008B5A1C" w:rsidP="000276DE">
            <w:pPr>
              <w:pStyle w:val="TableText0"/>
              <w:jc w:val="center"/>
              <w:rPr>
                <w:color w:val="000000"/>
                <w:highlight w:val="darkGray"/>
              </w:rPr>
            </w:pPr>
            <w:r w:rsidRPr="008B5A1C">
              <w:rPr>
                <w:rFonts w:hint="eastAsia"/>
                <w:color w:val="000000"/>
                <w:w w:val="18"/>
                <w:shd w:val="solid" w:color="000000" w:fill="000000"/>
                <w:fitText w:val="80" w:id="-694514431"/>
                <w14:textFill>
                  <w14:solidFill>
                    <w14:srgbClr w14:val="000000">
                      <w14:alpha w14:val="100000"/>
                    </w14:srgbClr>
                  </w14:solidFill>
                </w14:textFill>
              </w:rPr>
              <w:t xml:space="preserve">　</w:t>
            </w:r>
            <w:r w:rsidRPr="008B5A1C">
              <w:rPr>
                <w:color w:val="000000"/>
                <w:w w:val="18"/>
                <w:shd w:val="solid" w:color="000000" w:fill="000000"/>
                <w:fitText w:val="80" w:id="-694514431"/>
                <w14:textFill>
                  <w14:solidFill>
                    <w14:srgbClr w14:val="000000">
                      <w14:alpha w14:val="100000"/>
                    </w14:srgbClr>
                  </w14:solidFill>
                </w14:textFill>
              </w:rPr>
              <w:t>|</w:t>
            </w:r>
            <w:r w:rsidRPr="008B5A1C">
              <w:rPr>
                <w:rFonts w:hint="eastAsia"/>
                <w:color w:val="000000"/>
                <w:w w:val="18"/>
                <w:shd w:val="solid" w:color="000000" w:fill="000000"/>
                <w:fitText w:val="80" w:id="-694514431"/>
                <w14:textFill>
                  <w14:solidFill>
                    <w14:srgbClr w14:val="000000">
                      <w14:alpha w14:val="100000"/>
                    </w14:srgbClr>
                  </w14:solidFill>
                </w14:textFill>
              </w:rPr>
              <w:t xml:space="preserve">　</w:t>
            </w:r>
            <w:r w:rsidR="006A1C44" w:rsidRPr="006A1C44">
              <w:rPr>
                <w:vertAlign w:val="superscript"/>
              </w:rPr>
              <w:t>2</w:t>
            </w:r>
          </w:p>
        </w:tc>
        <w:tc>
          <w:tcPr>
            <w:tcW w:w="585" w:type="pct"/>
          </w:tcPr>
          <w:p w14:paraId="1C30F331" w14:textId="11A4C090" w:rsidR="000276DE" w:rsidRPr="00E152ED" w:rsidRDefault="008B5A1C" w:rsidP="000276DE">
            <w:pPr>
              <w:pStyle w:val="TableText0"/>
              <w:jc w:val="center"/>
              <w:rPr>
                <w:color w:val="000000"/>
                <w:highlight w:val="darkGray"/>
              </w:rPr>
            </w:pPr>
            <w:r w:rsidRPr="008B5A1C">
              <w:rPr>
                <w:rFonts w:hint="eastAsia"/>
                <w:color w:val="000000"/>
                <w:w w:val="18"/>
                <w:shd w:val="solid" w:color="000000" w:fill="000000"/>
                <w:fitText w:val="80" w:id="-694514430"/>
                <w14:textFill>
                  <w14:solidFill>
                    <w14:srgbClr w14:val="000000">
                      <w14:alpha w14:val="100000"/>
                    </w14:srgbClr>
                  </w14:solidFill>
                </w14:textFill>
              </w:rPr>
              <w:t xml:space="preserve">　</w:t>
            </w:r>
            <w:r w:rsidRPr="008B5A1C">
              <w:rPr>
                <w:color w:val="000000"/>
                <w:w w:val="18"/>
                <w:shd w:val="solid" w:color="000000" w:fill="000000"/>
                <w:fitText w:val="80" w:id="-694514430"/>
                <w14:textFill>
                  <w14:solidFill>
                    <w14:srgbClr w14:val="000000">
                      <w14:alpha w14:val="100000"/>
                    </w14:srgbClr>
                  </w14:solidFill>
                </w14:textFill>
              </w:rPr>
              <w:t>|</w:t>
            </w:r>
            <w:r w:rsidRPr="008B5A1C">
              <w:rPr>
                <w:rFonts w:hint="eastAsia"/>
                <w:color w:val="000000"/>
                <w:w w:val="18"/>
                <w:shd w:val="solid" w:color="000000" w:fill="000000"/>
                <w:fitText w:val="80" w:id="-694514430"/>
                <w14:textFill>
                  <w14:solidFill>
                    <w14:srgbClr w14:val="000000">
                      <w14:alpha w14:val="100000"/>
                    </w14:srgbClr>
                  </w14:solidFill>
                </w14:textFill>
              </w:rPr>
              <w:t xml:space="preserve">　</w:t>
            </w:r>
            <w:r w:rsidR="006A1C44" w:rsidRPr="006A1C44">
              <w:rPr>
                <w:vertAlign w:val="superscript"/>
              </w:rPr>
              <w:t>2</w:t>
            </w:r>
          </w:p>
        </w:tc>
      </w:tr>
      <w:tr w:rsidR="00385A9D" w:rsidRPr="00D1078F" w14:paraId="1E699D47" w14:textId="77777777" w:rsidTr="009C3A3A">
        <w:tc>
          <w:tcPr>
            <w:tcW w:w="5000" w:type="pct"/>
            <w:gridSpan w:val="7"/>
            <w:shd w:val="clear" w:color="auto" w:fill="auto"/>
            <w:vAlign w:val="center"/>
          </w:tcPr>
          <w:p w14:paraId="7D0E0884" w14:textId="2310FEC6" w:rsidR="00385A9D" w:rsidRPr="00D1078F" w:rsidRDefault="00385A9D" w:rsidP="00606FBA">
            <w:pPr>
              <w:pStyle w:val="In-tableHeading"/>
            </w:pPr>
            <w:r w:rsidRPr="00D1078F">
              <w:t xml:space="preserve">Estimated </w:t>
            </w:r>
            <w:r>
              <w:t xml:space="preserve">financial implications of </w:t>
            </w:r>
            <w:r w:rsidR="00067381">
              <w:t>D+T</w:t>
            </w:r>
          </w:p>
        </w:tc>
      </w:tr>
      <w:tr w:rsidR="00CB3253" w:rsidRPr="003639A6" w14:paraId="4B4ACF1A" w14:textId="77777777" w:rsidTr="000B6113">
        <w:tc>
          <w:tcPr>
            <w:tcW w:w="1491" w:type="pct"/>
            <w:shd w:val="clear" w:color="auto" w:fill="auto"/>
            <w:vAlign w:val="center"/>
          </w:tcPr>
          <w:p w14:paraId="467993BD" w14:textId="61E872E2" w:rsidR="00CB3253" w:rsidRDefault="00CB3253" w:rsidP="00CB3253">
            <w:pPr>
              <w:pStyle w:val="TableText0"/>
              <w:rPr>
                <w:sz w:val="19"/>
                <w:szCs w:val="19"/>
              </w:rPr>
            </w:pPr>
            <w:r>
              <w:rPr>
                <w:sz w:val="19"/>
                <w:szCs w:val="19"/>
              </w:rPr>
              <w:t xml:space="preserve">Cost to PBS/RPBS less </w:t>
            </w:r>
            <w:proofErr w:type="spellStart"/>
            <w:r>
              <w:rPr>
                <w:sz w:val="19"/>
                <w:szCs w:val="19"/>
              </w:rPr>
              <w:t>copayments</w:t>
            </w:r>
            <w:r w:rsidRPr="00CE1709">
              <w:rPr>
                <w:sz w:val="19"/>
                <w:szCs w:val="19"/>
                <w:vertAlign w:val="superscript"/>
              </w:rPr>
              <w:t>c</w:t>
            </w:r>
            <w:proofErr w:type="spellEnd"/>
          </w:p>
        </w:tc>
        <w:tc>
          <w:tcPr>
            <w:tcW w:w="584" w:type="pct"/>
            <w:shd w:val="clear" w:color="auto" w:fill="auto"/>
          </w:tcPr>
          <w:p w14:paraId="4125A2B6" w14:textId="28A6D0A8" w:rsidR="00CB3253" w:rsidRPr="00E152ED" w:rsidRDefault="008B5A1C" w:rsidP="00CB3253">
            <w:pPr>
              <w:pStyle w:val="TableText0"/>
              <w:jc w:val="center"/>
              <w:rPr>
                <w:highlight w:val="darkGray"/>
              </w:rPr>
            </w:pPr>
            <w:r w:rsidRPr="008B5A1C">
              <w:rPr>
                <w:rFonts w:hint="eastAsia"/>
                <w:color w:val="000000"/>
                <w:w w:val="18"/>
                <w:shd w:val="solid" w:color="000000" w:fill="000000"/>
                <w:fitText w:val="80" w:id="-694514429"/>
                <w14:textFill>
                  <w14:solidFill>
                    <w14:srgbClr w14:val="000000">
                      <w14:alpha w14:val="100000"/>
                    </w14:srgbClr>
                  </w14:solidFill>
                </w14:textFill>
              </w:rPr>
              <w:t xml:space="preserve">　</w:t>
            </w:r>
            <w:r w:rsidRPr="008B5A1C">
              <w:rPr>
                <w:color w:val="000000"/>
                <w:w w:val="18"/>
                <w:shd w:val="solid" w:color="000000" w:fill="000000"/>
                <w:fitText w:val="80" w:id="-694514429"/>
                <w14:textFill>
                  <w14:solidFill>
                    <w14:srgbClr w14:val="000000">
                      <w14:alpha w14:val="100000"/>
                    </w14:srgbClr>
                  </w14:solidFill>
                </w14:textFill>
              </w:rPr>
              <w:t>|</w:t>
            </w:r>
            <w:r w:rsidRPr="008B5A1C">
              <w:rPr>
                <w:rFonts w:hint="eastAsia"/>
                <w:color w:val="000000"/>
                <w:w w:val="18"/>
                <w:shd w:val="solid" w:color="000000" w:fill="000000"/>
                <w:fitText w:val="80" w:id="-694514429"/>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5BDFECEB" w14:textId="352680E7" w:rsidR="00CB3253" w:rsidRPr="00E152ED" w:rsidRDefault="008B5A1C" w:rsidP="00CB3253">
            <w:pPr>
              <w:pStyle w:val="TableText0"/>
              <w:jc w:val="center"/>
              <w:rPr>
                <w:highlight w:val="darkGray"/>
              </w:rPr>
            </w:pPr>
            <w:r w:rsidRPr="008B5A1C">
              <w:rPr>
                <w:rFonts w:hint="eastAsia"/>
                <w:color w:val="000000"/>
                <w:w w:val="18"/>
                <w:shd w:val="solid" w:color="000000" w:fill="000000"/>
                <w:fitText w:val="80" w:id="-694514428"/>
                <w14:textFill>
                  <w14:solidFill>
                    <w14:srgbClr w14:val="000000">
                      <w14:alpha w14:val="100000"/>
                    </w14:srgbClr>
                  </w14:solidFill>
                </w14:textFill>
              </w:rPr>
              <w:t xml:space="preserve">　</w:t>
            </w:r>
            <w:r w:rsidRPr="008B5A1C">
              <w:rPr>
                <w:color w:val="000000"/>
                <w:w w:val="18"/>
                <w:shd w:val="solid" w:color="000000" w:fill="000000"/>
                <w:fitText w:val="80" w:id="-694514428"/>
                <w14:textFill>
                  <w14:solidFill>
                    <w14:srgbClr w14:val="000000">
                      <w14:alpha w14:val="100000"/>
                    </w14:srgbClr>
                  </w14:solidFill>
                </w14:textFill>
              </w:rPr>
              <w:t>|</w:t>
            </w:r>
            <w:r w:rsidRPr="008B5A1C">
              <w:rPr>
                <w:rFonts w:hint="eastAsia"/>
                <w:color w:val="000000"/>
                <w:w w:val="18"/>
                <w:shd w:val="solid" w:color="000000" w:fill="000000"/>
                <w:fitText w:val="80" w:id="-694514428"/>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3890D42E" w14:textId="1EFFF965" w:rsidR="00CB3253" w:rsidRPr="00E152ED" w:rsidRDefault="008B5A1C" w:rsidP="00CB3253">
            <w:pPr>
              <w:pStyle w:val="TableText0"/>
              <w:jc w:val="center"/>
              <w:rPr>
                <w:highlight w:val="darkGray"/>
              </w:rPr>
            </w:pPr>
            <w:r w:rsidRPr="008B5A1C">
              <w:rPr>
                <w:rFonts w:hint="eastAsia"/>
                <w:color w:val="000000"/>
                <w:w w:val="18"/>
                <w:shd w:val="solid" w:color="000000" w:fill="000000"/>
                <w:fitText w:val="80" w:id="-694514427"/>
                <w14:textFill>
                  <w14:solidFill>
                    <w14:srgbClr w14:val="000000">
                      <w14:alpha w14:val="100000"/>
                    </w14:srgbClr>
                  </w14:solidFill>
                </w14:textFill>
              </w:rPr>
              <w:t xml:space="preserve">　</w:t>
            </w:r>
            <w:r w:rsidRPr="008B5A1C">
              <w:rPr>
                <w:color w:val="000000"/>
                <w:w w:val="18"/>
                <w:shd w:val="solid" w:color="000000" w:fill="000000"/>
                <w:fitText w:val="80" w:id="-694514427"/>
                <w14:textFill>
                  <w14:solidFill>
                    <w14:srgbClr w14:val="000000">
                      <w14:alpha w14:val="100000"/>
                    </w14:srgbClr>
                  </w14:solidFill>
                </w14:textFill>
              </w:rPr>
              <w:t>|</w:t>
            </w:r>
            <w:r w:rsidRPr="008B5A1C">
              <w:rPr>
                <w:rFonts w:hint="eastAsia"/>
                <w:color w:val="000000"/>
                <w:w w:val="18"/>
                <w:shd w:val="solid" w:color="000000" w:fill="000000"/>
                <w:fitText w:val="80" w:id="-694514427"/>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2728B643" w14:textId="60F8C6C8" w:rsidR="00CB3253" w:rsidRPr="00E152ED" w:rsidRDefault="008B5A1C" w:rsidP="00CB3253">
            <w:pPr>
              <w:pStyle w:val="TableText0"/>
              <w:jc w:val="center"/>
              <w:rPr>
                <w:highlight w:val="darkGray"/>
              </w:rPr>
            </w:pPr>
            <w:r w:rsidRPr="008B5A1C">
              <w:rPr>
                <w:rFonts w:hint="eastAsia"/>
                <w:color w:val="000000"/>
                <w:w w:val="18"/>
                <w:shd w:val="solid" w:color="000000" w:fill="000000"/>
                <w:fitText w:val="80" w:id="-694514426"/>
                <w14:textFill>
                  <w14:solidFill>
                    <w14:srgbClr w14:val="000000">
                      <w14:alpha w14:val="100000"/>
                    </w14:srgbClr>
                  </w14:solidFill>
                </w14:textFill>
              </w:rPr>
              <w:t xml:space="preserve">　</w:t>
            </w:r>
            <w:r w:rsidRPr="008B5A1C">
              <w:rPr>
                <w:color w:val="000000"/>
                <w:w w:val="18"/>
                <w:shd w:val="solid" w:color="000000" w:fill="000000"/>
                <w:fitText w:val="80" w:id="-694514426"/>
                <w14:textFill>
                  <w14:solidFill>
                    <w14:srgbClr w14:val="000000">
                      <w14:alpha w14:val="100000"/>
                    </w14:srgbClr>
                  </w14:solidFill>
                </w14:textFill>
              </w:rPr>
              <w:t>|</w:t>
            </w:r>
            <w:r w:rsidRPr="008B5A1C">
              <w:rPr>
                <w:rFonts w:hint="eastAsia"/>
                <w:color w:val="000000"/>
                <w:w w:val="18"/>
                <w:shd w:val="solid" w:color="000000" w:fill="000000"/>
                <w:fitText w:val="80" w:id="-694514426"/>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5FE5021A" w14:textId="6BEAF536" w:rsidR="00CB3253" w:rsidRPr="00E152ED" w:rsidRDefault="008B5A1C" w:rsidP="00CB3253">
            <w:pPr>
              <w:pStyle w:val="TableText0"/>
              <w:jc w:val="center"/>
              <w:rPr>
                <w:highlight w:val="darkGray"/>
              </w:rPr>
            </w:pPr>
            <w:r w:rsidRPr="008B5A1C">
              <w:rPr>
                <w:rFonts w:hint="eastAsia"/>
                <w:color w:val="000000"/>
                <w:w w:val="18"/>
                <w:shd w:val="solid" w:color="000000" w:fill="000000"/>
                <w:fitText w:val="80" w:id="-694514425"/>
                <w14:textFill>
                  <w14:solidFill>
                    <w14:srgbClr w14:val="000000">
                      <w14:alpha w14:val="100000"/>
                    </w14:srgbClr>
                  </w14:solidFill>
                </w14:textFill>
              </w:rPr>
              <w:t xml:space="preserve">　</w:t>
            </w:r>
            <w:r w:rsidRPr="008B5A1C">
              <w:rPr>
                <w:color w:val="000000"/>
                <w:w w:val="18"/>
                <w:shd w:val="solid" w:color="000000" w:fill="000000"/>
                <w:fitText w:val="80" w:id="-694514425"/>
                <w14:textFill>
                  <w14:solidFill>
                    <w14:srgbClr w14:val="000000">
                      <w14:alpha w14:val="100000"/>
                    </w14:srgbClr>
                  </w14:solidFill>
                </w14:textFill>
              </w:rPr>
              <w:t>|</w:t>
            </w:r>
            <w:r w:rsidRPr="008B5A1C">
              <w:rPr>
                <w:rFonts w:hint="eastAsia"/>
                <w:color w:val="000000"/>
                <w:w w:val="18"/>
                <w:shd w:val="solid" w:color="000000" w:fill="000000"/>
                <w:fitText w:val="80" w:id="-694514425"/>
                <w14:textFill>
                  <w14:solidFill>
                    <w14:srgbClr w14:val="000000">
                      <w14:alpha w14:val="100000"/>
                    </w14:srgbClr>
                  </w14:solidFill>
                </w14:textFill>
              </w:rPr>
              <w:t xml:space="preserve">　</w:t>
            </w:r>
            <w:r w:rsidR="0045306C" w:rsidRPr="0045306C">
              <w:rPr>
                <w:vertAlign w:val="superscript"/>
              </w:rPr>
              <w:t>3</w:t>
            </w:r>
          </w:p>
        </w:tc>
        <w:tc>
          <w:tcPr>
            <w:tcW w:w="585" w:type="pct"/>
          </w:tcPr>
          <w:p w14:paraId="6F8E9082" w14:textId="3339CD43" w:rsidR="00CB3253" w:rsidRPr="00E152ED" w:rsidRDefault="008B5A1C" w:rsidP="00CB3253">
            <w:pPr>
              <w:pStyle w:val="TableText0"/>
              <w:jc w:val="center"/>
              <w:rPr>
                <w:highlight w:val="darkGray"/>
              </w:rPr>
            </w:pPr>
            <w:r w:rsidRPr="008B5A1C">
              <w:rPr>
                <w:rFonts w:hint="eastAsia"/>
                <w:color w:val="000000"/>
                <w:w w:val="18"/>
                <w:shd w:val="solid" w:color="000000" w:fill="000000"/>
                <w:fitText w:val="80" w:id="-694514424"/>
                <w14:textFill>
                  <w14:solidFill>
                    <w14:srgbClr w14:val="000000">
                      <w14:alpha w14:val="100000"/>
                    </w14:srgbClr>
                  </w14:solidFill>
                </w14:textFill>
              </w:rPr>
              <w:t xml:space="preserve">　</w:t>
            </w:r>
            <w:r w:rsidRPr="008B5A1C">
              <w:rPr>
                <w:color w:val="000000"/>
                <w:w w:val="18"/>
                <w:shd w:val="solid" w:color="000000" w:fill="000000"/>
                <w:fitText w:val="80" w:id="-694514424"/>
                <w14:textFill>
                  <w14:solidFill>
                    <w14:srgbClr w14:val="000000">
                      <w14:alpha w14:val="100000"/>
                    </w14:srgbClr>
                  </w14:solidFill>
                </w14:textFill>
              </w:rPr>
              <w:t>|</w:t>
            </w:r>
            <w:r w:rsidRPr="008B5A1C">
              <w:rPr>
                <w:rFonts w:hint="eastAsia"/>
                <w:color w:val="000000"/>
                <w:w w:val="18"/>
                <w:shd w:val="solid" w:color="000000" w:fill="000000"/>
                <w:fitText w:val="80" w:id="-694514424"/>
                <w14:textFill>
                  <w14:solidFill>
                    <w14:srgbClr w14:val="000000">
                      <w14:alpha w14:val="100000"/>
                    </w14:srgbClr>
                  </w14:solidFill>
                </w14:textFill>
              </w:rPr>
              <w:t xml:space="preserve">　</w:t>
            </w:r>
            <w:r w:rsidR="0045306C" w:rsidRPr="0045306C">
              <w:rPr>
                <w:vertAlign w:val="superscript"/>
              </w:rPr>
              <w:t>3</w:t>
            </w:r>
          </w:p>
        </w:tc>
      </w:tr>
      <w:tr w:rsidR="00385A9D" w:rsidRPr="003639A6" w14:paraId="344AC0E2" w14:textId="77777777" w:rsidTr="009C3A3A">
        <w:tc>
          <w:tcPr>
            <w:tcW w:w="5000" w:type="pct"/>
            <w:gridSpan w:val="7"/>
            <w:shd w:val="clear" w:color="auto" w:fill="auto"/>
            <w:vAlign w:val="center"/>
          </w:tcPr>
          <w:p w14:paraId="0FF7E64D" w14:textId="562F2220" w:rsidR="00385A9D" w:rsidRPr="00067381" w:rsidRDefault="00385A9D" w:rsidP="00606FBA">
            <w:pPr>
              <w:pStyle w:val="TableText0"/>
              <w:rPr>
                <w:b/>
                <w:bCs w:val="0"/>
              </w:rPr>
            </w:pPr>
            <w:r w:rsidRPr="00067381">
              <w:rPr>
                <w:b/>
                <w:bCs w:val="0"/>
              </w:rPr>
              <w:t xml:space="preserve">Estimated financial implications for </w:t>
            </w:r>
            <w:r w:rsidR="00BC12EC">
              <w:rPr>
                <w:b/>
                <w:bCs w:val="0"/>
              </w:rPr>
              <w:t>substituted medicines</w:t>
            </w:r>
          </w:p>
        </w:tc>
      </w:tr>
      <w:tr w:rsidR="00D476AD" w:rsidRPr="00BA46AD" w14:paraId="237D9F79" w14:textId="77777777" w:rsidTr="000B6113">
        <w:tc>
          <w:tcPr>
            <w:tcW w:w="1491" w:type="pct"/>
            <w:shd w:val="clear" w:color="auto" w:fill="auto"/>
            <w:vAlign w:val="center"/>
          </w:tcPr>
          <w:p w14:paraId="6CEA8D86" w14:textId="7EE0C211" w:rsidR="00D476AD" w:rsidRPr="00BA46AD" w:rsidRDefault="00D476AD" w:rsidP="00D476AD">
            <w:pPr>
              <w:pStyle w:val="TableText0"/>
              <w:rPr>
                <w:sz w:val="19"/>
                <w:szCs w:val="19"/>
              </w:rPr>
            </w:pPr>
            <w:r w:rsidRPr="00BA46AD">
              <w:rPr>
                <w:sz w:val="19"/>
                <w:szCs w:val="19"/>
              </w:rPr>
              <w:t xml:space="preserve">Total cost-offset to PBS/RPBS less copayments </w:t>
            </w:r>
          </w:p>
        </w:tc>
        <w:tc>
          <w:tcPr>
            <w:tcW w:w="584" w:type="pct"/>
            <w:shd w:val="clear" w:color="auto" w:fill="auto"/>
          </w:tcPr>
          <w:p w14:paraId="7D442E55" w14:textId="26F0756A" w:rsidR="00D476AD" w:rsidRPr="00E152ED" w:rsidRDefault="008B5A1C" w:rsidP="00D476AD">
            <w:pPr>
              <w:pStyle w:val="TableText0"/>
              <w:jc w:val="center"/>
              <w:rPr>
                <w:highlight w:val="darkGray"/>
              </w:rPr>
            </w:pPr>
            <w:r w:rsidRPr="008B5A1C">
              <w:rPr>
                <w:rFonts w:hint="eastAsia"/>
                <w:color w:val="000000"/>
                <w:w w:val="18"/>
                <w:shd w:val="solid" w:color="000000" w:fill="000000"/>
                <w:fitText w:val="80" w:id="-694514423"/>
                <w14:textFill>
                  <w14:solidFill>
                    <w14:srgbClr w14:val="000000">
                      <w14:alpha w14:val="100000"/>
                    </w14:srgbClr>
                  </w14:solidFill>
                </w14:textFill>
              </w:rPr>
              <w:t xml:space="preserve">　</w:t>
            </w:r>
            <w:r w:rsidRPr="008B5A1C">
              <w:rPr>
                <w:color w:val="000000"/>
                <w:w w:val="18"/>
                <w:shd w:val="solid" w:color="000000" w:fill="000000"/>
                <w:fitText w:val="80" w:id="-694514423"/>
                <w14:textFill>
                  <w14:solidFill>
                    <w14:srgbClr w14:val="000000">
                      <w14:alpha w14:val="100000"/>
                    </w14:srgbClr>
                  </w14:solidFill>
                </w14:textFill>
              </w:rPr>
              <w:t>|</w:t>
            </w:r>
            <w:r w:rsidRPr="008B5A1C">
              <w:rPr>
                <w:rFonts w:hint="eastAsia"/>
                <w:color w:val="000000"/>
                <w:w w:val="18"/>
                <w:shd w:val="solid" w:color="000000" w:fill="000000"/>
                <w:fitText w:val="80" w:id="-694514423"/>
                <w14:textFill>
                  <w14:solidFill>
                    <w14:srgbClr w14:val="000000">
                      <w14:alpha w14:val="100000"/>
                    </w14:srgbClr>
                  </w14:solidFill>
                </w14:textFill>
              </w:rPr>
              <w:t xml:space="preserve">　</w:t>
            </w:r>
            <w:r w:rsidR="00445672" w:rsidRPr="00445672">
              <w:rPr>
                <w:vertAlign w:val="superscript"/>
              </w:rPr>
              <w:t>4</w:t>
            </w:r>
          </w:p>
        </w:tc>
        <w:tc>
          <w:tcPr>
            <w:tcW w:w="585" w:type="pct"/>
            <w:shd w:val="clear" w:color="auto" w:fill="auto"/>
          </w:tcPr>
          <w:p w14:paraId="3BB27F5F" w14:textId="50AB1FEE" w:rsidR="00D476AD" w:rsidRPr="00E152ED" w:rsidRDefault="008B5A1C" w:rsidP="00D476AD">
            <w:pPr>
              <w:pStyle w:val="TableText0"/>
              <w:jc w:val="center"/>
              <w:rPr>
                <w:highlight w:val="darkGray"/>
              </w:rPr>
            </w:pPr>
            <w:r w:rsidRPr="008B5A1C">
              <w:rPr>
                <w:rFonts w:hint="eastAsia"/>
                <w:color w:val="000000"/>
                <w:w w:val="18"/>
                <w:shd w:val="solid" w:color="000000" w:fill="000000"/>
                <w:fitText w:val="80" w:id="-694514422"/>
                <w14:textFill>
                  <w14:solidFill>
                    <w14:srgbClr w14:val="000000">
                      <w14:alpha w14:val="100000"/>
                    </w14:srgbClr>
                  </w14:solidFill>
                </w14:textFill>
              </w:rPr>
              <w:t xml:space="preserve">　</w:t>
            </w:r>
            <w:r w:rsidRPr="008B5A1C">
              <w:rPr>
                <w:color w:val="000000"/>
                <w:w w:val="18"/>
                <w:shd w:val="solid" w:color="000000" w:fill="000000"/>
                <w:fitText w:val="80" w:id="-694514422"/>
                <w14:textFill>
                  <w14:solidFill>
                    <w14:srgbClr w14:val="000000">
                      <w14:alpha w14:val="100000"/>
                    </w14:srgbClr>
                  </w14:solidFill>
                </w14:textFill>
              </w:rPr>
              <w:t>|</w:t>
            </w:r>
            <w:r w:rsidRPr="008B5A1C">
              <w:rPr>
                <w:rFonts w:hint="eastAsia"/>
                <w:color w:val="000000"/>
                <w:w w:val="18"/>
                <w:shd w:val="solid" w:color="000000" w:fill="000000"/>
                <w:fitText w:val="80" w:id="-694514422"/>
                <w14:textFill>
                  <w14:solidFill>
                    <w14:srgbClr w14:val="000000">
                      <w14:alpha w14:val="100000"/>
                    </w14:srgbClr>
                  </w14:solidFill>
                </w14:textFill>
              </w:rPr>
              <w:t xml:space="preserve">　</w:t>
            </w:r>
            <w:r w:rsidR="00445672" w:rsidRPr="00445672">
              <w:rPr>
                <w:vertAlign w:val="superscript"/>
              </w:rPr>
              <w:t>4</w:t>
            </w:r>
          </w:p>
        </w:tc>
        <w:tc>
          <w:tcPr>
            <w:tcW w:w="585" w:type="pct"/>
            <w:shd w:val="clear" w:color="auto" w:fill="auto"/>
          </w:tcPr>
          <w:p w14:paraId="49CD292A" w14:textId="536CD118" w:rsidR="00D476AD" w:rsidRPr="00E152ED" w:rsidRDefault="008B5A1C" w:rsidP="00D476AD">
            <w:pPr>
              <w:pStyle w:val="TableText0"/>
              <w:jc w:val="center"/>
              <w:rPr>
                <w:highlight w:val="darkGray"/>
              </w:rPr>
            </w:pPr>
            <w:r w:rsidRPr="008B5A1C">
              <w:rPr>
                <w:rFonts w:hint="eastAsia"/>
                <w:color w:val="000000"/>
                <w:w w:val="18"/>
                <w:shd w:val="solid" w:color="000000" w:fill="000000"/>
                <w:fitText w:val="80" w:id="-694514421"/>
                <w14:textFill>
                  <w14:solidFill>
                    <w14:srgbClr w14:val="000000">
                      <w14:alpha w14:val="100000"/>
                    </w14:srgbClr>
                  </w14:solidFill>
                </w14:textFill>
              </w:rPr>
              <w:t xml:space="preserve">　</w:t>
            </w:r>
            <w:r w:rsidRPr="008B5A1C">
              <w:rPr>
                <w:color w:val="000000"/>
                <w:w w:val="18"/>
                <w:shd w:val="solid" w:color="000000" w:fill="000000"/>
                <w:fitText w:val="80" w:id="-694514421"/>
                <w14:textFill>
                  <w14:solidFill>
                    <w14:srgbClr w14:val="000000">
                      <w14:alpha w14:val="100000"/>
                    </w14:srgbClr>
                  </w14:solidFill>
                </w14:textFill>
              </w:rPr>
              <w:t>|</w:t>
            </w:r>
            <w:r w:rsidRPr="008B5A1C">
              <w:rPr>
                <w:rFonts w:hint="eastAsia"/>
                <w:color w:val="000000"/>
                <w:w w:val="18"/>
                <w:shd w:val="solid" w:color="000000" w:fill="000000"/>
                <w:fitText w:val="80" w:id="-694514421"/>
                <w14:textFill>
                  <w14:solidFill>
                    <w14:srgbClr w14:val="000000">
                      <w14:alpha w14:val="100000"/>
                    </w14:srgbClr>
                  </w14:solidFill>
                </w14:textFill>
              </w:rPr>
              <w:t xml:space="preserve">　</w:t>
            </w:r>
            <w:r w:rsidR="00445672" w:rsidRPr="00445672">
              <w:rPr>
                <w:vertAlign w:val="superscript"/>
              </w:rPr>
              <w:t>4</w:t>
            </w:r>
          </w:p>
        </w:tc>
        <w:tc>
          <w:tcPr>
            <w:tcW w:w="585" w:type="pct"/>
            <w:shd w:val="clear" w:color="auto" w:fill="auto"/>
          </w:tcPr>
          <w:p w14:paraId="5EB11F4D" w14:textId="6231D0B2" w:rsidR="00D476AD" w:rsidRPr="00E152ED" w:rsidRDefault="008B5A1C" w:rsidP="00D476AD">
            <w:pPr>
              <w:pStyle w:val="TableText0"/>
              <w:jc w:val="center"/>
              <w:rPr>
                <w:highlight w:val="darkGray"/>
              </w:rPr>
            </w:pPr>
            <w:r w:rsidRPr="008B5A1C">
              <w:rPr>
                <w:rFonts w:hint="eastAsia"/>
                <w:color w:val="000000"/>
                <w:w w:val="18"/>
                <w:shd w:val="solid" w:color="000000" w:fill="000000"/>
                <w:fitText w:val="80" w:id="-694514420"/>
                <w14:textFill>
                  <w14:solidFill>
                    <w14:srgbClr w14:val="000000">
                      <w14:alpha w14:val="100000"/>
                    </w14:srgbClr>
                  </w14:solidFill>
                </w14:textFill>
              </w:rPr>
              <w:t xml:space="preserve">　</w:t>
            </w:r>
            <w:r w:rsidRPr="008B5A1C">
              <w:rPr>
                <w:color w:val="000000"/>
                <w:w w:val="18"/>
                <w:shd w:val="solid" w:color="000000" w:fill="000000"/>
                <w:fitText w:val="80" w:id="-694514420"/>
                <w14:textFill>
                  <w14:solidFill>
                    <w14:srgbClr w14:val="000000">
                      <w14:alpha w14:val="100000"/>
                    </w14:srgbClr>
                  </w14:solidFill>
                </w14:textFill>
              </w:rPr>
              <w:t>|</w:t>
            </w:r>
            <w:r w:rsidRPr="008B5A1C">
              <w:rPr>
                <w:rFonts w:hint="eastAsia"/>
                <w:color w:val="000000"/>
                <w:w w:val="18"/>
                <w:shd w:val="solid" w:color="000000" w:fill="000000"/>
                <w:fitText w:val="80" w:id="-694514420"/>
                <w14:textFill>
                  <w14:solidFill>
                    <w14:srgbClr w14:val="000000">
                      <w14:alpha w14:val="100000"/>
                    </w14:srgbClr>
                  </w14:solidFill>
                </w14:textFill>
              </w:rPr>
              <w:t xml:space="preserve">　</w:t>
            </w:r>
            <w:r w:rsidR="00445672" w:rsidRPr="00445672">
              <w:rPr>
                <w:vertAlign w:val="superscript"/>
              </w:rPr>
              <w:t>4</w:t>
            </w:r>
          </w:p>
        </w:tc>
        <w:tc>
          <w:tcPr>
            <w:tcW w:w="585" w:type="pct"/>
            <w:shd w:val="clear" w:color="auto" w:fill="auto"/>
          </w:tcPr>
          <w:p w14:paraId="4C0AAE27" w14:textId="17DFE162" w:rsidR="00D476AD" w:rsidRPr="00E152ED" w:rsidRDefault="008B5A1C" w:rsidP="00D476AD">
            <w:pPr>
              <w:pStyle w:val="TableText0"/>
              <w:jc w:val="center"/>
              <w:rPr>
                <w:highlight w:val="darkGray"/>
              </w:rPr>
            </w:pPr>
            <w:r w:rsidRPr="008B5A1C">
              <w:rPr>
                <w:rFonts w:hint="eastAsia"/>
                <w:color w:val="000000"/>
                <w:w w:val="18"/>
                <w:shd w:val="solid" w:color="000000" w:fill="000000"/>
                <w:fitText w:val="80" w:id="-694514419"/>
                <w14:textFill>
                  <w14:solidFill>
                    <w14:srgbClr w14:val="000000">
                      <w14:alpha w14:val="100000"/>
                    </w14:srgbClr>
                  </w14:solidFill>
                </w14:textFill>
              </w:rPr>
              <w:t xml:space="preserve">　</w:t>
            </w:r>
            <w:r w:rsidRPr="008B5A1C">
              <w:rPr>
                <w:color w:val="000000"/>
                <w:w w:val="18"/>
                <w:shd w:val="solid" w:color="000000" w:fill="000000"/>
                <w:fitText w:val="80" w:id="-694514419"/>
                <w14:textFill>
                  <w14:solidFill>
                    <w14:srgbClr w14:val="000000">
                      <w14:alpha w14:val="100000"/>
                    </w14:srgbClr>
                  </w14:solidFill>
                </w14:textFill>
              </w:rPr>
              <w:t>|</w:t>
            </w:r>
            <w:r w:rsidRPr="008B5A1C">
              <w:rPr>
                <w:rFonts w:hint="eastAsia"/>
                <w:color w:val="000000"/>
                <w:w w:val="18"/>
                <w:shd w:val="solid" w:color="000000" w:fill="000000"/>
                <w:fitText w:val="80" w:id="-694514419"/>
                <w14:textFill>
                  <w14:solidFill>
                    <w14:srgbClr w14:val="000000">
                      <w14:alpha w14:val="100000"/>
                    </w14:srgbClr>
                  </w14:solidFill>
                </w14:textFill>
              </w:rPr>
              <w:t xml:space="preserve">　</w:t>
            </w:r>
            <w:r w:rsidR="00445672" w:rsidRPr="00445672">
              <w:rPr>
                <w:vertAlign w:val="superscript"/>
              </w:rPr>
              <w:t>4</w:t>
            </w:r>
          </w:p>
        </w:tc>
        <w:tc>
          <w:tcPr>
            <w:tcW w:w="585" w:type="pct"/>
          </w:tcPr>
          <w:p w14:paraId="50C7FE8F" w14:textId="7186C0B2" w:rsidR="00D476AD" w:rsidRPr="00E152ED" w:rsidRDefault="008B5A1C" w:rsidP="00D476AD">
            <w:pPr>
              <w:pStyle w:val="TableText0"/>
              <w:jc w:val="center"/>
              <w:rPr>
                <w:highlight w:val="darkGray"/>
              </w:rPr>
            </w:pPr>
            <w:r w:rsidRPr="008B5A1C">
              <w:rPr>
                <w:rFonts w:hint="eastAsia"/>
                <w:color w:val="000000"/>
                <w:w w:val="18"/>
                <w:shd w:val="solid" w:color="000000" w:fill="000000"/>
                <w:fitText w:val="80" w:id="-694514176"/>
                <w14:textFill>
                  <w14:solidFill>
                    <w14:srgbClr w14:val="000000">
                      <w14:alpha w14:val="100000"/>
                    </w14:srgbClr>
                  </w14:solidFill>
                </w14:textFill>
              </w:rPr>
              <w:t xml:space="preserve">　</w:t>
            </w:r>
            <w:r w:rsidRPr="008B5A1C">
              <w:rPr>
                <w:color w:val="000000"/>
                <w:w w:val="18"/>
                <w:shd w:val="solid" w:color="000000" w:fill="000000"/>
                <w:fitText w:val="80" w:id="-694514176"/>
                <w14:textFill>
                  <w14:solidFill>
                    <w14:srgbClr w14:val="000000">
                      <w14:alpha w14:val="100000"/>
                    </w14:srgbClr>
                  </w14:solidFill>
                </w14:textFill>
              </w:rPr>
              <w:t>|</w:t>
            </w:r>
            <w:r w:rsidRPr="008B5A1C">
              <w:rPr>
                <w:rFonts w:hint="eastAsia"/>
                <w:color w:val="000000"/>
                <w:w w:val="18"/>
                <w:shd w:val="solid" w:color="000000" w:fill="000000"/>
                <w:fitText w:val="80" w:id="-694514176"/>
                <w14:textFill>
                  <w14:solidFill>
                    <w14:srgbClr w14:val="000000">
                      <w14:alpha w14:val="100000"/>
                    </w14:srgbClr>
                  </w14:solidFill>
                </w14:textFill>
              </w:rPr>
              <w:t xml:space="preserve">　</w:t>
            </w:r>
            <w:r w:rsidR="00445672" w:rsidRPr="00445672">
              <w:rPr>
                <w:vertAlign w:val="superscript"/>
              </w:rPr>
              <w:t>4</w:t>
            </w:r>
          </w:p>
        </w:tc>
      </w:tr>
      <w:tr w:rsidR="002711DB" w:rsidRPr="00BA46AD" w14:paraId="4FA07BD8" w14:textId="77777777" w:rsidTr="009C3A3A">
        <w:tc>
          <w:tcPr>
            <w:tcW w:w="5000" w:type="pct"/>
            <w:gridSpan w:val="7"/>
            <w:shd w:val="clear" w:color="auto" w:fill="auto"/>
            <w:vAlign w:val="center"/>
          </w:tcPr>
          <w:p w14:paraId="1A627EA0" w14:textId="28E2EB25" w:rsidR="002711DB" w:rsidRPr="00BA46AD" w:rsidRDefault="002711DB" w:rsidP="002711DB">
            <w:pPr>
              <w:pStyle w:val="In-tableHeading"/>
            </w:pPr>
            <w:r w:rsidRPr="00BA46AD">
              <w:t>Net financial implications</w:t>
            </w:r>
            <w:r w:rsidRPr="00BA46AD">
              <w:rPr>
                <w:color w:val="4BACC6" w:themeColor="accent5"/>
              </w:rPr>
              <w:t xml:space="preserve"> </w:t>
            </w:r>
          </w:p>
        </w:tc>
      </w:tr>
      <w:tr w:rsidR="00096BB2" w:rsidRPr="00BA46AD" w14:paraId="3F33D4C6" w14:textId="77777777" w:rsidTr="000B6113">
        <w:tc>
          <w:tcPr>
            <w:tcW w:w="1491" w:type="pct"/>
            <w:shd w:val="clear" w:color="auto" w:fill="auto"/>
            <w:vAlign w:val="center"/>
          </w:tcPr>
          <w:p w14:paraId="5ABBDE64" w14:textId="77777777" w:rsidR="00096BB2" w:rsidRPr="00BA46AD" w:rsidRDefault="00096BB2" w:rsidP="00096BB2">
            <w:pPr>
              <w:pStyle w:val="TableText0"/>
              <w:rPr>
                <w:sz w:val="19"/>
                <w:szCs w:val="19"/>
              </w:rPr>
            </w:pPr>
            <w:r w:rsidRPr="00BA46AD">
              <w:rPr>
                <w:sz w:val="19"/>
                <w:szCs w:val="19"/>
              </w:rPr>
              <w:t>Net cost to PBS/RPBS</w:t>
            </w:r>
          </w:p>
        </w:tc>
        <w:tc>
          <w:tcPr>
            <w:tcW w:w="584" w:type="pct"/>
            <w:shd w:val="clear" w:color="auto" w:fill="auto"/>
          </w:tcPr>
          <w:p w14:paraId="744F82C2" w14:textId="286A4E6D"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75"/>
                <w14:textFill>
                  <w14:solidFill>
                    <w14:srgbClr w14:val="000000">
                      <w14:alpha w14:val="100000"/>
                    </w14:srgbClr>
                  </w14:solidFill>
                </w14:textFill>
              </w:rPr>
              <w:t xml:space="preserve">　</w:t>
            </w:r>
            <w:r w:rsidRPr="008B5A1C">
              <w:rPr>
                <w:color w:val="000000"/>
                <w:w w:val="18"/>
                <w:shd w:val="solid" w:color="000000" w:fill="000000"/>
                <w:fitText w:val="80" w:id="-694514175"/>
                <w14:textFill>
                  <w14:solidFill>
                    <w14:srgbClr w14:val="000000">
                      <w14:alpha w14:val="100000"/>
                    </w14:srgbClr>
                  </w14:solidFill>
                </w14:textFill>
              </w:rPr>
              <w:t>|</w:t>
            </w:r>
            <w:r w:rsidRPr="008B5A1C">
              <w:rPr>
                <w:rFonts w:hint="eastAsia"/>
                <w:color w:val="000000"/>
                <w:w w:val="18"/>
                <w:shd w:val="solid" w:color="000000" w:fill="000000"/>
                <w:fitText w:val="80" w:id="-694514175"/>
                <w14:textFill>
                  <w14:solidFill>
                    <w14:srgbClr w14:val="000000">
                      <w14:alpha w14:val="100000"/>
                    </w14:srgbClr>
                  </w14:solidFill>
                </w14:textFill>
              </w:rPr>
              <w:t xml:space="preserve">　</w:t>
            </w:r>
            <w:r w:rsidR="00445672" w:rsidRPr="00445672">
              <w:rPr>
                <w:vertAlign w:val="superscript"/>
              </w:rPr>
              <w:t>4</w:t>
            </w:r>
          </w:p>
        </w:tc>
        <w:tc>
          <w:tcPr>
            <w:tcW w:w="585" w:type="pct"/>
            <w:shd w:val="clear" w:color="auto" w:fill="auto"/>
          </w:tcPr>
          <w:p w14:paraId="295843EA" w14:textId="49EC60D1"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74"/>
                <w14:textFill>
                  <w14:solidFill>
                    <w14:srgbClr w14:val="000000">
                      <w14:alpha w14:val="100000"/>
                    </w14:srgbClr>
                  </w14:solidFill>
                </w14:textFill>
              </w:rPr>
              <w:t xml:space="preserve">　</w:t>
            </w:r>
            <w:r w:rsidRPr="008B5A1C">
              <w:rPr>
                <w:color w:val="000000"/>
                <w:w w:val="18"/>
                <w:shd w:val="solid" w:color="000000" w:fill="000000"/>
                <w:fitText w:val="80" w:id="-694514174"/>
                <w14:textFill>
                  <w14:solidFill>
                    <w14:srgbClr w14:val="000000">
                      <w14:alpha w14:val="100000"/>
                    </w14:srgbClr>
                  </w14:solidFill>
                </w14:textFill>
              </w:rPr>
              <w:t>|</w:t>
            </w:r>
            <w:r w:rsidRPr="008B5A1C">
              <w:rPr>
                <w:rFonts w:hint="eastAsia"/>
                <w:color w:val="000000"/>
                <w:w w:val="18"/>
                <w:shd w:val="solid" w:color="000000" w:fill="000000"/>
                <w:fitText w:val="80" w:id="-694514174"/>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3A32302A" w14:textId="50EE56A5"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73"/>
                <w14:textFill>
                  <w14:solidFill>
                    <w14:srgbClr w14:val="000000">
                      <w14:alpha w14:val="100000"/>
                    </w14:srgbClr>
                  </w14:solidFill>
                </w14:textFill>
              </w:rPr>
              <w:t xml:space="preserve">　</w:t>
            </w:r>
            <w:r w:rsidRPr="008B5A1C">
              <w:rPr>
                <w:color w:val="000000"/>
                <w:w w:val="18"/>
                <w:shd w:val="solid" w:color="000000" w:fill="000000"/>
                <w:fitText w:val="80" w:id="-694514173"/>
                <w14:textFill>
                  <w14:solidFill>
                    <w14:srgbClr w14:val="000000">
                      <w14:alpha w14:val="100000"/>
                    </w14:srgbClr>
                  </w14:solidFill>
                </w14:textFill>
              </w:rPr>
              <w:t>|</w:t>
            </w:r>
            <w:r w:rsidRPr="008B5A1C">
              <w:rPr>
                <w:rFonts w:hint="eastAsia"/>
                <w:color w:val="000000"/>
                <w:w w:val="18"/>
                <w:shd w:val="solid" w:color="000000" w:fill="000000"/>
                <w:fitText w:val="80" w:id="-694514173"/>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326E9207" w14:textId="082E110B"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72"/>
                <w14:textFill>
                  <w14:solidFill>
                    <w14:srgbClr w14:val="000000">
                      <w14:alpha w14:val="100000"/>
                    </w14:srgbClr>
                  </w14:solidFill>
                </w14:textFill>
              </w:rPr>
              <w:t xml:space="preserve">　</w:t>
            </w:r>
            <w:r w:rsidRPr="008B5A1C">
              <w:rPr>
                <w:color w:val="000000"/>
                <w:w w:val="18"/>
                <w:shd w:val="solid" w:color="000000" w:fill="000000"/>
                <w:fitText w:val="80" w:id="-694514172"/>
                <w14:textFill>
                  <w14:solidFill>
                    <w14:srgbClr w14:val="000000">
                      <w14:alpha w14:val="100000"/>
                    </w14:srgbClr>
                  </w14:solidFill>
                </w14:textFill>
              </w:rPr>
              <w:t>|</w:t>
            </w:r>
            <w:r w:rsidRPr="008B5A1C">
              <w:rPr>
                <w:rFonts w:hint="eastAsia"/>
                <w:color w:val="000000"/>
                <w:w w:val="18"/>
                <w:shd w:val="solid" w:color="000000" w:fill="000000"/>
                <w:fitText w:val="80" w:id="-694514172"/>
                <w14:textFill>
                  <w14:solidFill>
                    <w14:srgbClr w14:val="000000">
                      <w14:alpha w14:val="100000"/>
                    </w14:srgbClr>
                  </w14:solidFill>
                </w14:textFill>
              </w:rPr>
              <w:t xml:space="preserve">　</w:t>
            </w:r>
            <w:r w:rsidR="001E5679" w:rsidRPr="0045306C">
              <w:rPr>
                <w:vertAlign w:val="superscript"/>
              </w:rPr>
              <w:t>3</w:t>
            </w:r>
          </w:p>
        </w:tc>
        <w:tc>
          <w:tcPr>
            <w:tcW w:w="585" w:type="pct"/>
            <w:shd w:val="clear" w:color="auto" w:fill="auto"/>
          </w:tcPr>
          <w:p w14:paraId="56E4D70E" w14:textId="7134D0D7"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71"/>
                <w14:textFill>
                  <w14:solidFill>
                    <w14:srgbClr w14:val="000000">
                      <w14:alpha w14:val="100000"/>
                    </w14:srgbClr>
                  </w14:solidFill>
                </w14:textFill>
              </w:rPr>
              <w:t xml:space="preserve">　</w:t>
            </w:r>
            <w:r w:rsidRPr="008B5A1C">
              <w:rPr>
                <w:color w:val="000000"/>
                <w:w w:val="18"/>
                <w:shd w:val="solid" w:color="000000" w:fill="000000"/>
                <w:fitText w:val="80" w:id="-694514171"/>
                <w14:textFill>
                  <w14:solidFill>
                    <w14:srgbClr w14:val="000000">
                      <w14:alpha w14:val="100000"/>
                    </w14:srgbClr>
                  </w14:solidFill>
                </w14:textFill>
              </w:rPr>
              <w:t>|</w:t>
            </w:r>
            <w:r w:rsidRPr="008B5A1C">
              <w:rPr>
                <w:rFonts w:hint="eastAsia"/>
                <w:color w:val="000000"/>
                <w:w w:val="18"/>
                <w:shd w:val="solid" w:color="000000" w:fill="000000"/>
                <w:fitText w:val="80" w:id="-694514171"/>
                <w14:textFill>
                  <w14:solidFill>
                    <w14:srgbClr w14:val="000000">
                      <w14:alpha w14:val="100000"/>
                    </w14:srgbClr>
                  </w14:solidFill>
                </w14:textFill>
              </w:rPr>
              <w:t xml:space="preserve">　</w:t>
            </w:r>
            <w:r w:rsidR="00595467" w:rsidRPr="0045306C">
              <w:rPr>
                <w:vertAlign w:val="superscript"/>
              </w:rPr>
              <w:t>3</w:t>
            </w:r>
          </w:p>
        </w:tc>
        <w:tc>
          <w:tcPr>
            <w:tcW w:w="585" w:type="pct"/>
          </w:tcPr>
          <w:p w14:paraId="241B1CFD" w14:textId="67A9DB08"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70"/>
                <w14:textFill>
                  <w14:solidFill>
                    <w14:srgbClr w14:val="000000">
                      <w14:alpha w14:val="100000"/>
                    </w14:srgbClr>
                  </w14:solidFill>
                </w14:textFill>
              </w:rPr>
              <w:t xml:space="preserve">　</w:t>
            </w:r>
            <w:r w:rsidRPr="008B5A1C">
              <w:rPr>
                <w:color w:val="000000"/>
                <w:w w:val="18"/>
                <w:shd w:val="solid" w:color="000000" w:fill="000000"/>
                <w:fitText w:val="80" w:id="-694514170"/>
                <w14:textFill>
                  <w14:solidFill>
                    <w14:srgbClr w14:val="000000">
                      <w14:alpha w14:val="100000"/>
                    </w14:srgbClr>
                  </w14:solidFill>
                </w14:textFill>
              </w:rPr>
              <w:t>|</w:t>
            </w:r>
            <w:r w:rsidRPr="008B5A1C">
              <w:rPr>
                <w:rFonts w:hint="eastAsia"/>
                <w:color w:val="000000"/>
                <w:w w:val="18"/>
                <w:shd w:val="solid" w:color="000000" w:fill="000000"/>
                <w:fitText w:val="80" w:id="-694514170"/>
                <w14:textFill>
                  <w14:solidFill>
                    <w14:srgbClr w14:val="000000">
                      <w14:alpha w14:val="100000"/>
                    </w14:srgbClr>
                  </w14:solidFill>
                </w14:textFill>
              </w:rPr>
              <w:t xml:space="preserve">　</w:t>
            </w:r>
            <w:r w:rsidR="00A312AB" w:rsidRPr="0045306C">
              <w:rPr>
                <w:vertAlign w:val="superscript"/>
              </w:rPr>
              <w:t>3</w:t>
            </w:r>
          </w:p>
        </w:tc>
      </w:tr>
      <w:tr w:rsidR="00A52567" w:rsidRPr="00BA46AD" w14:paraId="571B64F4" w14:textId="77777777" w:rsidTr="000B6113">
        <w:tc>
          <w:tcPr>
            <w:tcW w:w="1491" w:type="pct"/>
            <w:shd w:val="clear" w:color="auto" w:fill="auto"/>
            <w:vAlign w:val="center"/>
          </w:tcPr>
          <w:p w14:paraId="427698FB" w14:textId="72531AE5" w:rsidR="00A52567" w:rsidRPr="00BA46AD" w:rsidRDefault="00A52567" w:rsidP="00A52567">
            <w:pPr>
              <w:pStyle w:val="TableText0"/>
              <w:rPr>
                <w:rFonts w:ascii="Times" w:hAnsi="Times"/>
              </w:rPr>
            </w:pPr>
            <w:r w:rsidRPr="00BA46AD">
              <w:rPr>
                <w:sz w:val="19"/>
                <w:szCs w:val="19"/>
              </w:rPr>
              <w:t>Net cost to MBS</w:t>
            </w:r>
          </w:p>
        </w:tc>
        <w:tc>
          <w:tcPr>
            <w:tcW w:w="584" w:type="pct"/>
            <w:shd w:val="clear" w:color="auto" w:fill="auto"/>
          </w:tcPr>
          <w:p w14:paraId="5AD7A1FC" w14:textId="4D4DBEC1" w:rsidR="00A52567" w:rsidRPr="00E152ED" w:rsidRDefault="008B5A1C" w:rsidP="00A52567">
            <w:pPr>
              <w:pStyle w:val="TableText0"/>
              <w:jc w:val="center"/>
              <w:rPr>
                <w:highlight w:val="darkGray"/>
              </w:rPr>
            </w:pPr>
            <w:r w:rsidRPr="008B5A1C">
              <w:rPr>
                <w:rFonts w:hint="eastAsia"/>
                <w:color w:val="000000"/>
                <w:w w:val="18"/>
                <w:shd w:val="solid" w:color="000000" w:fill="000000"/>
                <w:fitText w:val="80" w:id="-694514169"/>
                <w14:textFill>
                  <w14:solidFill>
                    <w14:srgbClr w14:val="000000">
                      <w14:alpha w14:val="100000"/>
                    </w14:srgbClr>
                  </w14:solidFill>
                </w14:textFill>
              </w:rPr>
              <w:t xml:space="preserve">　</w:t>
            </w:r>
            <w:r w:rsidRPr="008B5A1C">
              <w:rPr>
                <w:color w:val="000000"/>
                <w:w w:val="18"/>
                <w:shd w:val="solid" w:color="000000" w:fill="000000"/>
                <w:fitText w:val="80" w:id="-694514169"/>
                <w14:textFill>
                  <w14:solidFill>
                    <w14:srgbClr w14:val="000000">
                      <w14:alpha w14:val="100000"/>
                    </w14:srgbClr>
                  </w14:solidFill>
                </w14:textFill>
              </w:rPr>
              <w:t>|</w:t>
            </w:r>
            <w:r w:rsidRPr="008B5A1C">
              <w:rPr>
                <w:rFonts w:hint="eastAsia"/>
                <w:color w:val="000000"/>
                <w:w w:val="18"/>
                <w:shd w:val="solid" w:color="000000" w:fill="000000"/>
                <w:fitText w:val="80" w:id="-694514169"/>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1D6E215B" w14:textId="3449F590" w:rsidR="00A52567" w:rsidRPr="00E152ED" w:rsidRDefault="008B5A1C" w:rsidP="00A52567">
            <w:pPr>
              <w:pStyle w:val="TableText0"/>
              <w:jc w:val="center"/>
              <w:rPr>
                <w:highlight w:val="darkGray"/>
              </w:rPr>
            </w:pPr>
            <w:r w:rsidRPr="008B5A1C">
              <w:rPr>
                <w:rFonts w:hint="eastAsia"/>
                <w:color w:val="000000"/>
                <w:w w:val="18"/>
                <w:shd w:val="solid" w:color="000000" w:fill="000000"/>
                <w:fitText w:val="80" w:id="-694514168"/>
                <w14:textFill>
                  <w14:solidFill>
                    <w14:srgbClr w14:val="000000">
                      <w14:alpha w14:val="100000"/>
                    </w14:srgbClr>
                  </w14:solidFill>
                </w14:textFill>
              </w:rPr>
              <w:t xml:space="preserve">　</w:t>
            </w:r>
            <w:r w:rsidRPr="008B5A1C">
              <w:rPr>
                <w:color w:val="000000"/>
                <w:w w:val="18"/>
                <w:shd w:val="solid" w:color="000000" w:fill="000000"/>
                <w:fitText w:val="80" w:id="-694514168"/>
                <w14:textFill>
                  <w14:solidFill>
                    <w14:srgbClr w14:val="000000">
                      <w14:alpha w14:val="100000"/>
                    </w14:srgbClr>
                  </w14:solidFill>
                </w14:textFill>
              </w:rPr>
              <w:t>|</w:t>
            </w:r>
            <w:r w:rsidRPr="008B5A1C">
              <w:rPr>
                <w:rFonts w:hint="eastAsia"/>
                <w:color w:val="000000"/>
                <w:w w:val="18"/>
                <w:shd w:val="solid" w:color="000000" w:fill="000000"/>
                <w:fitText w:val="80" w:id="-694514168"/>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25026D9D" w14:textId="2535C36C" w:rsidR="00A52567" w:rsidRPr="00E152ED" w:rsidRDefault="008B5A1C" w:rsidP="00A52567">
            <w:pPr>
              <w:pStyle w:val="TableText0"/>
              <w:jc w:val="center"/>
              <w:rPr>
                <w:highlight w:val="darkGray"/>
              </w:rPr>
            </w:pPr>
            <w:r w:rsidRPr="008B5A1C">
              <w:rPr>
                <w:rFonts w:hint="eastAsia"/>
                <w:color w:val="000000"/>
                <w:w w:val="18"/>
                <w:shd w:val="solid" w:color="000000" w:fill="000000"/>
                <w:fitText w:val="80" w:id="-694514167"/>
                <w14:textFill>
                  <w14:solidFill>
                    <w14:srgbClr w14:val="000000">
                      <w14:alpha w14:val="100000"/>
                    </w14:srgbClr>
                  </w14:solidFill>
                </w14:textFill>
              </w:rPr>
              <w:t xml:space="preserve">　</w:t>
            </w:r>
            <w:r w:rsidRPr="008B5A1C">
              <w:rPr>
                <w:color w:val="000000"/>
                <w:w w:val="18"/>
                <w:shd w:val="solid" w:color="000000" w:fill="000000"/>
                <w:fitText w:val="80" w:id="-694514167"/>
                <w14:textFill>
                  <w14:solidFill>
                    <w14:srgbClr w14:val="000000">
                      <w14:alpha w14:val="100000"/>
                    </w14:srgbClr>
                  </w14:solidFill>
                </w14:textFill>
              </w:rPr>
              <w:t>|</w:t>
            </w:r>
            <w:r w:rsidRPr="008B5A1C">
              <w:rPr>
                <w:rFonts w:hint="eastAsia"/>
                <w:color w:val="000000"/>
                <w:w w:val="18"/>
                <w:shd w:val="solid" w:color="000000" w:fill="000000"/>
                <w:fitText w:val="80" w:id="-694514167"/>
                <w14:textFill>
                  <w14:solidFill>
                    <w14:srgbClr w14:val="000000">
                      <w14:alpha w14:val="100000"/>
                    </w14:srgbClr>
                  </w14:solidFill>
                </w14:textFill>
              </w:rPr>
              <w:t xml:space="preserve">　</w:t>
            </w:r>
            <w:r w:rsidR="001E5679" w:rsidRPr="0045306C">
              <w:rPr>
                <w:vertAlign w:val="superscript"/>
              </w:rPr>
              <w:t>3</w:t>
            </w:r>
          </w:p>
        </w:tc>
        <w:tc>
          <w:tcPr>
            <w:tcW w:w="585" w:type="pct"/>
            <w:shd w:val="clear" w:color="auto" w:fill="auto"/>
          </w:tcPr>
          <w:p w14:paraId="6933D36F" w14:textId="2DACBE6C" w:rsidR="00A52567" w:rsidRPr="00E152ED" w:rsidRDefault="008B5A1C" w:rsidP="00A52567">
            <w:pPr>
              <w:pStyle w:val="TableText0"/>
              <w:jc w:val="center"/>
              <w:rPr>
                <w:highlight w:val="darkGray"/>
              </w:rPr>
            </w:pPr>
            <w:r w:rsidRPr="008B5A1C">
              <w:rPr>
                <w:rFonts w:hint="eastAsia"/>
                <w:color w:val="000000"/>
                <w:w w:val="18"/>
                <w:shd w:val="solid" w:color="000000" w:fill="000000"/>
                <w:fitText w:val="80" w:id="-694514166"/>
                <w14:textFill>
                  <w14:solidFill>
                    <w14:srgbClr w14:val="000000">
                      <w14:alpha w14:val="100000"/>
                    </w14:srgbClr>
                  </w14:solidFill>
                </w14:textFill>
              </w:rPr>
              <w:t xml:space="preserve">　</w:t>
            </w:r>
            <w:r w:rsidRPr="008B5A1C">
              <w:rPr>
                <w:color w:val="000000"/>
                <w:w w:val="18"/>
                <w:shd w:val="solid" w:color="000000" w:fill="000000"/>
                <w:fitText w:val="80" w:id="-694514166"/>
                <w14:textFill>
                  <w14:solidFill>
                    <w14:srgbClr w14:val="000000">
                      <w14:alpha w14:val="100000"/>
                    </w14:srgbClr>
                  </w14:solidFill>
                </w14:textFill>
              </w:rPr>
              <w:t>|</w:t>
            </w:r>
            <w:r w:rsidRPr="008B5A1C">
              <w:rPr>
                <w:rFonts w:hint="eastAsia"/>
                <w:color w:val="000000"/>
                <w:w w:val="18"/>
                <w:shd w:val="solid" w:color="000000" w:fill="000000"/>
                <w:fitText w:val="80" w:id="-694514166"/>
                <w14:textFill>
                  <w14:solidFill>
                    <w14:srgbClr w14:val="000000">
                      <w14:alpha w14:val="100000"/>
                    </w14:srgbClr>
                  </w14:solidFill>
                </w14:textFill>
              </w:rPr>
              <w:t xml:space="preserve">　</w:t>
            </w:r>
            <w:r w:rsidR="00595467" w:rsidRPr="0045306C">
              <w:rPr>
                <w:vertAlign w:val="superscript"/>
              </w:rPr>
              <w:t>3</w:t>
            </w:r>
          </w:p>
        </w:tc>
        <w:tc>
          <w:tcPr>
            <w:tcW w:w="585" w:type="pct"/>
            <w:shd w:val="clear" w:color="auto" w:fill="auto"/>
          </w:tcPr>
          <w:p w14:paraId="04433A65" w14:textId="6635F489" w:rsidR="00A52567" w:rsidRPr="00E152ED" w:rsidRDefault="008B5A1C" w:rsidP="00A52567">
            <w:pPr>
              <w:pStyle w:val="TableText0"/>
              <w:jc w:val="center"/>
              <w:rPr>
                <w:highlight w:val="darkGray"/>
              </w:rPr>
            </w:pPr>
            <w:r w:rsidRPr="008B5A1C">
              <w:rPr>
                <w:rFonts w:hint="eastAsia"/>
                <w:color w:val="000000"/>
                <w:w w:val="18"/>
                <w:shd w:val="solid" w:color="000000" w:fill="000000"/>
                <w:fitText w:val="80" w:id="-694514165"/>
                <w14:textFill>
                  <w14:solidFill>
                    <w14:srgbClr w14:val="000000">
                      <w14:alpha w14:val="100000"/>
                    </w14:srgbClr>
                  </w14:solidFill>
                </w14:textFill>
              </w:rPr>
              <w:t xml:space="preserve">　</w:t>
            </w:r>
            <w:r w:rsidRPr="008B5A1C">
              <w:rPr>
                <w:color w:val="000000"/>
                <w:w w:val="18"/>
                <w:shd w:val="solid" w:color="000000" w:fill="000000"/>
                <w:fitText w:val="80" w:id="-694514165"/>
                <w14:textFill>
                  <w14:solidFill>
                    <w14:srgbClr w14:val="000000">
                      <w14:alpha w14:val="100000"/>
                    </w14:srgbClr>
                  </w14:solidFill>
                </w14:textFill>
              </w:rPr>
              <w:t>|</w:t>
            </w:r>
            <w:r w:rsidRPr="008B5A1C">
              <w:rPr>
                <w:rFonts w:hint="eastAsia"/>
                <w:color w:val="000000"/>
                <w:w w:val="18"/>
                <w:shd w:val="solid" w:color="000000" w:fill="000000"/>
                <w:fitText w:val="80" w:id="-694514165"/>
                <w14:textFill>
                  <w14:solidFill>
                    <w14:srgbClr w14:val="000000">
                      <w14:alpha w14:val="100000"/>
                    </w14:srgbClr>
                  </w14:solidFill>
                </w14:textFill>
              </w:rPr>
              <w:t xml:space="preserve">　</w:t>
            </w:r>
            <w:r w:rsidR="00595467" w:rsidRPr="0045306C">
              <w:rPr>
                <w:vertAlign w:val="superscript"/>
              </w:rPr>
              <w:t>3</w:t>
            </w:r>
          </w:p>
        </w:tc>
        <w:tc>
          <w:tcPr>
            <w:tcW w:w="585" w:type="pct"/>
          </w:tcPr>
          <w:p w14:paraId="2223EBD7" w14:textId="194071E0" w:rsidR="00A52567" w:rsidRPr="00E152ED" w:rsidRDefault="008B5A1C" w:rsidP="00A52567">
            <w:pPr>
              <w:pStyle w:val="TableText0"/>
              <w:jc w:val="center"/>
              <w:rPr>
                <w:highlight w:val="darkGray"/>
              </w:rPr>
            </w:pPr>
            <w:r w:rsidRPr="008B5A1C">
              <w:rPr>
                <w:rFonts w:hint="eastAsia"/>
                <w:color w:val="000000"/>
                <w:w w:val="18"/>
                <w:shd w:val="solid" w:color="000000" w:fill="000000"/>
                <w:fitText w:val="80" w:id="-694514164"/>
                <w14:textFill>
                  <w14:solidFill>
                    <w14:srgbClr w14:val="000000">
                      <w14:alpha w14:val="100000"/>
                    </w14:srgbClr>
                  </w14:solidFill>
                </w14:textFill>
              </w:rPr>
              <w:t xml:space="preserve">　</w:t>
            </w:r>
            <w:r w:rsidRPr="008B5A1C">
              <w:rPr>
                <w:color w:val="000000"/>
                <w:w w:val="18"/>
                <w:shd w:val="solid" w:color="000000" w:fill="000000"/>
                <w:fitText w:val="80" w:id="-694514164"/>
                <w14:textFill>
                  <w14:solidFill>
                    <w14:srgbClr w14:val="000000">
                      <w14:alpha w14:val="100000"/>
                    </w14:srgbClr>
                  </w14:solidFill>
                </w14:textFill>
              </w:rPr>
              <w:t>|</w:t>
            </w:r>
            <w:r w:rsidRPr="008B5A1C">
              <w:rPr>
                <w:rFonts w:hint="eastAsia"/>
                <w:color w:val="000000"/>
                <w:w w:val="18"/>
                <w:shd w:val="solid" w:color="000000" w:fill="000000"/>
                <w:fitText w:val="80" w:id="-694514164"/>
                <w14:textFill>
                  <w14:solidFill>
                    <w14:srgbClr w14:val="000000">
                      <w14:alpha w14:val="100000"/>
                    </w14:srgbClr>
                  </w14:solidFill>
                </w14:textFill>
              </w:rPr>
              <w:t xml:space="preserve">　</w:t>
            </w:r>
            <w:r w:rsidR="00595467" w:rsidRPr="0045306C">
              <w:rPr>
                <w:vertAlign w:val="superscript"/>
              </w:rPr>
              <w:t>3</w:t>
            </w:r>
          </w:p>
        </w:tc>
      </w:tr>
      <w:tr w:rsidR="00096BB2" w:rsidRPr="00BA46AD" w14:paraId="123830C0" w14:textId="77777777" w:rsidTr="000B6113">
        <w:tc>
          <w:tcPr>
            <w:tcW w:w="1491" w:type="pct"/>
            <w:shd w:val="clear" w:color="auto" w:fill="auto"/>
            <w:vAlign w:val="center"/>
          </w:tcPr>
          <w:p w14:paraId="50FCDA47" w14:textId="0328BDDC" w:rsidR="00096BB2" w:rsidRPr="00BA46AD" w:rsidRDefault="00096BB2" w:rsidP="00096BB2">
            <w:pPr>
              <w:pStyle w:val="TableText0"/>
              <w:rPr>
                <w:sz w:val="19"/>
                <w:szCs w:val="19"/>
              </w:rPr>
            </w:pPr>
            <w:r w:rsidRPr="00BA46AD">
              <w:rPr>
                <w:sz w:val="19"/>
                <w:szCs w:val="19"/>
              </w:rPr>
              <w:t>Net cost to PBS/RPBS/MBS</w:t>
            </w:r>
          </w:p>
        </w:tc>
        <w:tc>
          <w:tcPr>
            <w:tcW w:w="584" w:type="pct"/>
            <w:shd w:val="clear" w:color="auto" w:fill="auto"/>
          </w:tcPr>
          <w:p w14:paraId="0F4EB661" w14:textId="00A20046"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63"/>
                <w14:textFill>
                  <w14:solidFill>
                    <w14:srgbClr w14:val="000000">
                      <w14:alpha w14:val="100000"/>
                    </w14:srgbClr>
                  </w14:solidFill>
                </w14:textFill>
              </w:rPr>
              <w:t xml:space="preserve">　</w:t>
            </w:r>
            <w:r w:rsidRPr="008B5A1C">
              <w:rPr>
                <w:color w:val="000000"/>
                <w:w w:val="18"/>
                <w:shd w:val="solid" w:color="000000" w:fill="000000"/>
                <w:fitText w:val="80" w:id="-694514163"/>
                <w14:textFill>
                  <w14:solidFill>
                    <w14:srgbClr w14:val="000000">
                      <w14:alpha w14:val="100000"/>
                    </w14:srgbClr>
                  </w14:solidFill>
                </w14:textFill>
              </w:rPr>
              <w:t>|</w:t>
            </w:r>
            <w:r w:rsidRPr="008B5A1C">
              <w:rPr>
                <w:rFonts w:hint="eastAsia"/>
                <w:color w:val="000000"/>
                <w:w w:val="18"/>
                <w:shd w:val="solid" w:color="000000" w:fill="000000"/>
                <w:fitText w:val="80" w:id="-694514163"/>
                <w14:textFill>
                  <w14:solidFill>
                    <w14:srgbClr w14:val="000000">
                      <w14:alpha w14:val="100000"/>
                    </w14:srgbClr>
                  </w14:solidFill>
                </w14:textFill>
              </w:rPr>
              <w:t xml:space="preserve">　</w:t>
            </w:r>
            <w:r w:rsidR="00563F40">
              <w:rPr>
                <w:vertAlign w:val="superscript"/>
              </w:rPr>
              <w:t>4</w:t>
            </w:r>
          </w:p>
        </w:tc>
        <w:tc>
          <w:tcPr>
            <w:tcW w:w="585" w:type="pct"/>
            <w:shd w:val="clear" w:color="auto" w:fill="auto"/>
          </w:tcPr>
          <w:p w14:paraId="59B75FE2" w14:textId="7D5600CB"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62"/>
                <w14:textFill>
                  <w14:solidFill>
                    <w14:srgbClr w14:val="000000">
                      <w14:alpha w14:val="100000"/>
                    </w14:srgbClr>
                  </w14:solidFill>
                </w14:textFill>
              </w:rPr>
              <w:t xml:space="preserve">　</w:t>
            </w:r>
            <w:r w:rsidRPr="008B5A1C">
              <w:rPr>
                <w:color w:val="000000"/>
                <w:w w:val="18"/>
                <w:shd w:val="solid" w:color="000000" w:fill="000000"/>
                <w:fitText w:val="80" w:id="-694514162"/>
                <w14:textFill>
                  <w14:solidFill>
                    <w14:srgbClr w14:val="000000">
                      <w14:alpha w14:val="100000"/>
                    </w14:srgbClr>
                  </w14:solidFill>
                </w14:textFill>
              </w:rPr>
              <w:t>|</w:t>
            </w:r>
            <w:r w:rsidRPr="008B5A1C">
              <w:rPr>
                <w:rFonts w:hint="eastAsia"/>
                <w:color w:val="000000"/>
                <w:w w:val="18"/>
                <w:shd w:val="solid" w:color="000000" w:fill="000000"/>
                <w:fitText w:val="80" w:id="-694514162"/>
                <w14:textFill>
                  <w14:solidFill>
                    <w14:srgbClr w14:val="000000">
                      <w14:alpha w14:val="100000"/>
                    </w14:srgbClr>
                  </w14:solidFill>
                </w14:textFill>
              </w:rPr>
              <w:t xml:space="preserve">　</w:t>
            </w:r>
            <w:r w:rsidR="0045306C" w:rsidRPr="0045306C">
              <w:rPr>
                <w:vertAlign w:val="superscript"/>
              </w:rPr>
              <w:t>3</w:t>
            </w:r>
          </w:p>
        </w:tc>
        <w:tc>
          <w:tcPr>
            <w:tcW w:w="585" w:type="pct"/>
            <w:shd w:val="clear" w:color="auto" w:fill="auto"/>
          </w:tcPr>
          <w:p w14:paraId="6AE6473A" w14:textId="5160ED7E"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61"/>
                <w14:textFill>
                  <w14:solidFill>
                    <w14:srgbClr w14:val="000000">
                      <w14:alpha w14:val="100000"/>
                    </w14:srgbClr>
                  </w14:solidFill>
                </w14:textFill>
              </w:rPr>
              <w:t xml:space="preserve">　</w:t>
            </w:r>
            <w:r w:rsidRPr="008B5A1C">
              <w:rPr>
                <w:color w:val="000000"/>
                <w:w w:val="18"/>
                <w:shd w:val="solid" w:color="000000" w:fill="000000"/>
                <w:fitText w:val="80" w:id="-694514161"/>
                <w14:textFill>
                  <w14:solidFill>
                    <w14:srgbClr w14:val="000000">
                      <w14:alpha w14:val="100000"/>
                    </w14:srgbClr>
                  </w14:solidFill>
                </w14:textFill>
              </w:rPr>
              <w:t>|</w:t>
            </w:r>
            <w:r w:rsidRPr="008B5A1C">
              <w:rPr>
                <w:rFonts w:hint="eastAsia"/>
                <w:color w:val="000000"/>
                <w:w w:val="18"/>
                <w:shd w:val="solid" w:color="000000" w:fill="000000"/>
                <w:fitText w:val="80" w:id="-694514161"/>
                <w14:textFill>
                  <w14:solidFill>
                    <w14:srgbClr w14:val="000000">
                      <w14:alpha w14:val="100000"/>
                    </w14:srgbClr>
                  </w14:solidFill>
                </w14:textFill>
              </w:rPr>
              <w:t xml:space="preserve">　</w:t>
            </w:r>
            <w:r w:rsidR="001E5679" w:rsidRPr="0045306C">
              <w:rPr>
                <w:vertAlign w:val="superscript"/>
              </w:rPr>
              <w:t>3</w:t>
            </w:r>
          </w:p>
        </w:tc>
        <w:tc>
          <w:tcPr>
            <w:tcW w:w="585" w:type="pct"/>
            <w:shd w:val="clear" w:color="auto" w:fill="auto"/>
          </w:tcPr>
          <w:p w14:paraId="1F476C04" w14:textId="2440045C"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60"/>
                <w14:textFill>
                  <w14:solidFill>
                    <w14:srgbClr w14:val="000000">
                      <w14:alpha w14:val="100000"/>
                    </w14:srgbClr>
                  </w14:solidFill>
                </w14:textFill>
              </w:rPr>
              <w:t xml:space="preserve">　</w:t>
            </w:r>
            <w:r w:rsidRPr="008B5A1C">
              <w:rPr>
                <w:color w:val="000000"/>
                <w:w w:val="18"/>
                <w:shd w:val="solid" w:color="000000" w:fill="000000"/>
                <w:fitText w:val="80" w:id="-694514160"/>
                <w14:textFill>
                  <w14:solidFill>
                    <w14:srgbClr w14:val="000000">
                      <w14:alpha w14:val="100000"/>
                    </w14:srgbClr>
                  </w14:solidFill>
                </w14:textFill>
              </w:rPr>
              <w:t>|</w:t>
            </w:r>
            <w:r w:rsidRPr="008B5A1C">
              <w:rPr>
                <w:rFonts w:hint="eastAsia"/>
                <w:color w:val="000000"/>
                <w:w w:val="18"/>
                <w:shd w:val="solid" w:color="000000" w:fill="000000"/>
                <w:fitText w:val="80" w:id="-694514160"/>
                <w14:textFill>
                  <w14:solidFill>
                    <w14:srgbClr w14:val="000000">
                      <w14:alpha w14:val="100000"/>
                    </w14:srgbClr>
                  </w14:solidFill>
                </w14:textFill>
              </w:rPr>
              <w:t xml:space="preserve">　</w:t>
            </w:r>
            <w:r w:rsidR="00595467" w:rsidRPr="0045306C">
              <w:rPr>
                <w:vertAlign w:val="superscript"/>
              </w:rPr>
              <w:t>3</w:t>
            </w:r>
          </w:p>
        </w:tc>
        <w:tc>
          <w:tcPr>
            <w:tcW w:w="585" w:type="pct"/>
            <w:shd w:val="clear" w:color="auto" w:fill="auto"/>
          </w:tcPr>
          <w:p w14:paraId="12079751" w14:textId="05A344BF" w:rsidR="00096BB2" w:rsidRPr="00E152ED" w:rsidRDefault="008B5A1C" w:rsidP="00096BB2">
            <w:pPr>
              <w:pStyle w:val="TableText0"/>
              <w:jc w:val="center"/>
              <w:rPr>
                <w:highlight w:val="darkGray"/>
              </w:rPr>
            </w:pPr>
            <w:r w:rsidRPr="008B5A1C">
              <w:rPr>
                <w:rFonts w:hint="eastAsia"/>
                <w:color w:val="000000"/>
                <w:w w:val="18"/>
                <w:shd w:val="solid" w:color="000000" w:fill="000000"/>
                <w:fitText w:val="80" w:id="-694514176"/>
                <w14:textFill>
                  <w14:solidFill>
                    <w14:srgbClr w14:val="000000">
                      <w14:alpha w14:val="100000"/>
                    </w14:srgbClr>
                  </w14:solidFill>
                </w14:textFill>
              </w:rPr>
              <w:t xml:space="preserve">　</w:t>
            </w:r>
            <w:r w:rsidRPr="008B5A1C">
              <w:rPr>
                <w:color w:val="000000"/>
                <w:w w:val="18"/>
                <w:shd w:val="solid" w:color="000000" w:fill="000000"/>
                <w:fitText w:val="80" w:id="-694514176"/>
                <w14:textFill>
                  <w14:solidFill>
                    <w14:srgbClr w14:val="000000">
                      <w14:alpha w14:val="100000"/>
                    </w14:srgbClr>
                  </w14:solidFill>
                </w14:textFill>
              </w:rPr>
              <w:t>|</w:t>
            </w:r>
            <w:r w:rsidRPr="008B5A1C">
              <w:rPr>
                <w:rFonts w:hint="eastAsia"/>
                <w:color w:val="000000"/>
                <w:w w:val="18"/>
                <w:shd w:val="solid" w:color="000000" w:fill="000000"/>
                <w:fitText w:val="80" w:id="-694514176"/>
                <w14:textFill>
                  <w14:solidFill>
                    <w14:srgbClr w14:val="000000">
                      <w14:alpha w14:val="100000"/>
                    </w14:srgbClr>
                  </w14:solidFill>
                </w14:textFill>
              </w:rPr>
              <w:t xml:space="preserve">　</w:t>
            </w:r>
            <w:r w:rsidR="00595467" w:rsidRPr="0045306C">
              <w:rPr>
                <w:vertAlign w:val="superscript"/>
              </w:rPr>
              <w:t>3</w:t>
            </w:r>
          </w:p>
        </w:tc>
        <w:tc>
          <w:tcPr>
            <w:tcW w:w="585" w:type="pct"/>
          </w:tcPr>
          <w:p w14:paraId="4844CB4D" w14:textId="05BCED76" w:rsidR="00096BB2" w:rsidRPr="00E152ED" w:rsidRDefault="008B5A1C" w:rsidP="00096BB2">
            <w:pPr>
              <w:pStyle w:val="TableText0"/>
              <w:jc w:val="center"/>
              <w:rPr>
                <w:highlight w:val="darkGray"/>
              </w:rPr>
            </w:pPr>
            <w:r>
              <w:rPr>
                <w:rFonts w:hint="eastAsia"/>
                <w:color w:val="000000"/>
                <w:w w:val="18"/>
                <w:shd w:val="solid" w:color="000000" w:fill="000000"/>
                <w:fitText w:val="80" w:id="-694514175"/>
                <w14:textFill>
                  <w14:solidFill>
                    <w14:srgbClr w14:val="000000">
                      <w14:alpha w14:val="100000"/>
                    </w14:srgbClr>
                  </w14:solidFill>
                </w14:textFill>
              </w:rPr>
              <w:t xml:space="preserve">　</w:t>
            </w:r>
            <w:r>
              <w:rPr>
                <w:color w:val="000000"/>
                <w:w w:val="18"/>
                <w:shd w:val="solid" w:color="000000" w:fill="000000"/>
                <w:fitText w:val="80" w:id="-694514175"/>
                <w14:textFill>
                  <w14:solidFill>
                    <w14:srgbClr w14:val="000000">
                      <w14:alpha w14:val="100000"/>
                    </w14:srgbClr>
                  </w14:solidFill>
                </w14:textFill>
              </w:rPr>
              <w:t>|</w:t>
            </w:r>
            <w:r>
              <w:rPr>
                <w:rFonts w:hint="eastAsia"/>
                <w:color w:val="000000"/>
                <w:spacing w:val="1"/>
                <w:w w:val="18"/>
                <w:shd w:val="solid" w:color="000000" w:fill="000000"/>
                <w:fitText w:val="80" w:id="-694514175"/>
                <w14:textFill>
                  <w14:solidFill>
                    <w14:srgbClr w14:val="000000">
                      <w14:alpha w14:val="100000"/>
                    </w14:srgbClr>
                  </w14:solidFill>
                </w14:textFill>
              </w:rPr>
              <w:t xml:space="preserve">　</w:t>
            </w:r>
            <w:r w:rsidR="00595467" w:rsidRPr="0045306C">
              <w:rPr>
                <w:vertAlign w:val="superscript"/>
              </w:rPr>
              <w:t>3</w:t>
            </w:r>
          </w:p>
        </w:tc>
      </w:tr>
    </w:tbl>
    <w:p w14:paraId="484CF5B6" w14:textId="07909C22" w:rsidR="00620C25" w:rsidRPr="00BA46AD" w:rsidRDefault="00620C25" w:rsidP="00620C25">
      <w:pPr>
        <w:pStyle w:val="FooterTableFigure"/>
      </w:pPr>
      <w:r w:rsidRPr="00BA46AD">
        <w:t xml:space="preserve">Source: </w:t>
      </w:r>
      <w:r w:rsidR="001F2A19" w:rsidRPr="00BA46AD">
        <w:t>Prepared</w:t>
      </w:r>
      <w:r w:rsidR="00DD1C64" w:rsidRPr="00BA46AD">
        <w:t xml:space="preserve"> during evaluation using the </w:t>
      </w:r>
      <w:bookmarkStart w:id="100" w:name="_Hlk188283234"/>
      <w:r w:rsidR="00DD1C64" w:rsidRPr="00BA46AD">
        <w:t>‘</w:t>
      </w:r>
      <w:proofErr w:type="spellStart"/>
      <w:r w:rsidR="00DD1C64" w:rsidRPr="00BA46AD">
        <w:t>Mekinist</w:t>
      </w:r>
      <w:proofErr w:type="spellEnd"/>
      <w:r w:rsidR="00DD1C64" w:rsidRPr="00BA46AD">
        <w:t xml:space="preserve"> (trametinib) </w:t>
      </w:r>
      <w:proofErr w:type="spellStart"/>
      <w:r w:rsidR="00DD1C64" w:rsidRPr="00BA46AD">
        <w:t>Tafinlar</w:t>
      </w:r>
      <w:proofErr w:type="spellEnd"/>
      <w:r w:rsidR="00DD1C64" w:rsidRPr="00BA46AD">
        <w:t xml:space="preserve"> (dabrafenib) – NSCLC- </w:t>
      </w:r>
      <w:proofErr w:type="spellStart"/>
      <w:r w:rsidR="00DD1C64" w:rsidRPr="00BA46AD">
        <w:t>UCM.xslx</w:t>
      </w:r>
      <w:proofErr w:type="spellEnd"/>
      <w:r w:rsidR="00DD1C64" w:rsidRPr="00BA46AD">
        <w:t>’ workbook.</w:t>
      </w:r>
    </w:p>
    <w:bookmarkEnd w:id="100"/>
    <w:p w14:paraId="39A3A26C" w14:textId="2F993D83" w:rsidR="00476871" w:rsidRDefault="00476871" w:rsidP="00606FBA">
      <w:pPr>
        <w:pStyle w:val="FooterTableFigure"/>
        <w:rPr>
          <w:rStyle w:val="CommentReference"/>
          <w:b w:val="0"/>
          <w:sz w:val="18"/>
          <w:szCs w:val="22"/>
        </w:rPr>
      </w:pPr>
      <w:r w:rsidRPr="00476871">
        <w:rPr>
          <w:rStyle w:val="CommentReference"/>
          <w:b w:val="0"/>
          <w:sz w:val="18"/>
          <w:szCs w:val="22"/>
        </w:rPr>
        <w:t>D+T = Dabrafenib + Trametinib, ECOG PS = Eastern Cooperative Oncology Group Performance Status; MBS = Medicare Benefits Schedule; NSQ = Non-squamous; PBS = Pharmaceutical Benefits Scheme; RPBS = Repatriation Pharmaceutical Benefits Scheme; SQ = Squamous</w:t>
      </w:r>
      <w:r>
        <w:rPr>
          <w:rStyle w:val="CommentReference"/>
          <w:b w:val="0"/>
          <w:sz w:val="18"/>
          <w:szCs w:val="22"/>
        </w:rPr>
        <w:t>.</w:t>
      </w:r>
      <w:r w:rsidRPr="00476871">
        <w:rPr>
          <w:rStyle w:val="CommentReference"/>
          <w:b w:val="0"/>
          <w:sz w:val="18"/>
          <w:szCs w:val="22"/>
        </w:rPr>
        <w:t xml:space="preserve"> </w:t>
      </w:r>
    </w:p>
    <w:p w14:paraId="59FF2B21" w14:textId="108F20E7" w:rsidR="000276DE" w:rsidRDefault="00E466F3" w:rsidP="00606FBA">
      <w:pPr>
        <w:pStyle w:val="FooterTableFigure"/>
      </w:pPr>
      <w:r w:rsidRPr="003639A6">
        <w:rPr>
          <w:vertAlign w:val="superscript"/>
        </w:rPr>
        <w:t>a</w:t>
      </w:r>
      <w:r w:rsidR="00606FBA">
        <w:t xml:space="preserve"> </w:t>
      </w:r>
      <w:r w:rsidR="000276DE">
        <w:t>Includes</w:t>
      </w:r>
      <w:r w:rsidR="00D3004A">
        <w:t xml:space="preserve"> untreated patients for Stage IV NSCLC</w:t>
      </w:r>
      <w:r w:rsidR="00F3221C">
        <w:t xml:space="preserve"> from </w:t>
      </w:r>
      <w:r w:rsidR="000276DE">
        <w:t xml:space="preserve">both </w:t>
      </w:r>
      <w:r w:rsidR="00F3221C">
        <w:t>newly diagnosed patients</w:t>
      </w:r>
      <w:r w:rsidR="000276DE">
        <w:t xml:space="preserve"> and those progressing from ea</w:t>
      </w:r>
      <w:r w:rsidR="00067381">
        <w:t>rlier stage disease.</w:t>
      </w:r>
    </w:p>
    <w:p w14:paraId="6A26A283" w14:textId="15B279BD" w:rsidR="00F3246B" w:rsidRDefault="000276DE" w:rsidP="00F3246B">
      <w:pPr>
        <w:pStyle w:val="FooterTableFigure"/>
      </w:pPr>
      <w:r>
        <w:rPr>
          <w:vertAlign w:val="superscript"/>
        </w:rPr>
        <w:t xml:space="preserve">b </w:t>
      </w:r>
      <w:r w:rsidR="00E466F3" w:rsidRPr="003639A6">
        <w:t xml:space="preserve">Assuming </w:t>
      </w:r>
      <w:r w:rsidR="00F3246B" w:rsidRPr="00F3246B">
        <w:t>10.11 scripts for dabrafenib and 10.96 for trametinib per year as estimated by the submission</w:t>
      </w:r>
      <w:r w:rsidR="00F52FB3">
        <w:t>.</w:t>
      </w:r>
    </w:p>
    <w:p w14:paraId="2B7299A6" w14:textId="01DB0947" w:rsidR="00F52FB3" w:rsidRPr="00BA46AD" w:rsidRDefault="00CE1709" w:rsidP="00F3246B">
      <w:pPr>
        <w:pStyle w:val="FooterTableFigure"/>
      </w:pPr>
      <w:r w:rsidRPr="00BA46AD">
        <w:rPr>
          <w:vertAlign w:val="superscript"/>
        </w:rPr>
        <w:t>c</w:t>
      </w:r>
      <w:r w:rsidRPr="00BA46AD">
        <w:t xml:space="preserve"> Recalculated during the evaluation using the cost-minimised </w:t>
      </w:r>
      <w:r w:rsidR="006A195A" w:rsidRPr="00BA46AD">
        <w:t xml:space="preserve">DPMQ </w:t>
      </w:r>
      <w:r w:rsidRPr="00BA46AD">
        <w:t>for both dabrafenib (AEMP per pack of $3,</w:t>
      </w:r>
      <w:r w:rsidR="00CB3253" w:rsidRPr="00BA46AD">
        <w:t>206.48</w:t>
      </w:r>
      <w:r w:rsidRPr="00BA46AD">
        <w:t>) and trametinib (AEMP per pack of $3,</w:t>
      </w:r>
      <w:r w:rsidR="00CB3253" w:rsidRPr="00BA46AD">
        <w:t>375.24</w:t>
      </w:r>
      <w:r w:rsidRPr="00BA46AD">
        <w:t xml:space="preserve">) instead of the </w:t>
      </w:r>
      <w:r w:rsidR="006A195A" w:rsidRPr="00BA46AD">
        <w:t xml:space="preserve">DPMQ </w:t>
      </w:r>
      <w:r w:rsidR="003C63F6" w:rsidRPr="00BA46AD">
        <w:t xml:space="preserve">for dabrafenib (AEMP per pack of $6,995.23) and trametinib (AEMP per pack of $7,363.40) </w:t>
      </w:r>
      <w:r w:rsidRPr="00BA46AD">
        <w:t xml:space="preserve">used by the submission </w:t>
      </w:r>
      <w:r w:rsidR="00A81CF1" w:rsidRPr="00BA46AD">
        <w:t>based on price listed for</w:t>
      </w:r>
      <w:r w:rsidRPr="00BA46AD">
        <w:t xml:space="preserve"> melanoma</w:t>
      </w:r>
      <w:r w:rsidR="006A195A" w:rsidRPr="00BA46AD">
        <w:t xml:space="preserve"> on the </w:t>
      </w:r>
      <w:r w:rsidR="00C85857" w:rsidRPr="00BA46AD">
        <w:t>Schedule of Pharmaceutical Benefits, October 2024</w:t>
      </w:r>
      <w:r w:rsidR="00A81CF1" w:rsidRPr="00BA46AD">
        <w:t>.</w:t>
      </w:r>
      <w:r w:rsidR="00C85857" w:rsidRPr="00BA46AD">
        <w:t xml:space="preserve"> </w:t>
      </w:r>
    </w:p>
    <w:p w14:paraId="36E63158" w14:textId="2D027076" w:rsidR="00070643" w:rsidRPr="00BA46AD" w:rsidRDefault="00070643" w:rsidP="00F3246B">
      <w:pPr>
        <w:pStyle w:val="FooterTableFigure"/>
        <w:rPr>
          <w:b/>
          <w:sz w:val="20"/>
          <w:szCs w:val="16"/>
        </w:rPr>
      </w:pPr>
      <w:r w:rsidRPr="00BA46AD">
        <w:rPr>
          <w:vertAlign w:val="superscript"/>
        </w:rPr>
        <w:t>d</w:t>
      </w:r>
      <w:r w:rsidRPr="00BA46AD">
        <w:t> </w:t>
      </w:r>
      <w:r w:rsidR="00DC0F56" w:rsidRPr="00BA46AD">
        <w:t>Calculated during evaluation given t</w:t>
      </w:r>
      <w:r w:rsidRPr="00BA46AD">
        <w:t xml:space="preserve">he cost of pemetrexed in the financial worksheet was zero due to </w:t>
      </w:r>
      <w:r w:rsidR="000F006A" w:rsidRPr="00BA46AD">
        <w:t xml:space="preserve">error in selecting DTG in the </w:t>
      </w:r>
      <w:r w:rsidR="007E6F66" w:rsidRPr="00BA46AD">
        <w:t>‘S108’ cell in the ‘4a. Scripts-affected’ worksheet in the</w:t>
      </w:r>
      <w:r w:rsidR="00DC0F56" w:rsidRPr="00BA46AD">
        <w:t xml:space="preserve"> ‘</w:t>
      </w:r>
      <w:proofErr w:type="spellStart"/>
      <w:r w:rsidR="00DC0F56" w:rsidRPr="00BA46AD">
        <w:t>Mekinist</w:t>
      </w:r>
      <w:proofErr w:type="spellEnd"/>
      <w:r w:rsidR="00DC0F56" w:rsidRPr="00BA46AD">
        <w:t xml:space="preserve"> (trametinib) </w:t>
      </w:r>
      <w:proofErr w:type="spellStart"/>
      <w:r w:rsidR="00DC0F56" w:rsidRPr="00BA46AD">
        <w:t>Tafinlar</w:t>
      </w:r>
      <w:proofErr w:type="spellEnd"/>
      <w:r w:rsidR="00DC0F56" w:rsidRPr="00BA46AD">
        <w:t xml:space="preserve"> (dabrafenib) – NSCLC- </w:t>
      </w:r>
      <w:proofErr w:type="spellStart"/>
      <w:r w:rsidR="00DC0F56" w:rsidRPr="00BA46AD">
        <w:t>UCM.xslx</w:t>
      </w:r>
      <w:proofErr w:type="spellEnd"/>
      <w:r w:rsidR="00DC0F56" w:rsidRPr="00BA46AD">
        <w:t>’ workbook.</w:t>
      </w:r>
    </w:p>
    <w:p w14:paraId="38345893" w14:textId="77777777" w:rsidR="004D4D81" w:rsidRDefault="00F52FB3" w:rsidP="004D4D81">
      <w:pPr>
        <w:pStyle w:val="FooterTableFigure"/>
      </w:pPr>
      <w:r w:rsidRPr="00BA46AD">
        <w:t>Italics corrected during evaluation</w:t>
      </w:r>
      <w:r w:rsidR="00070643" w:rsidRPr="00BA46AD">
        <w:t xml:space="preserve"> to account for correct AEMP for D+T and patient numbers for pemetrexed. </w:t>
      </w:r>
    </w:p>
    <w:p w14:paraId="13BDB614" w14:textId="2954E079" w:rsidR="004D4D81" w:rsidRPr="009031CE" w:rsidRDefault="004D4D81" w:rsidP="004D4D81">
      <w:pPr>
        <w:pStyle w:val="FooterTableFigure"/>
      </w:pPr>
      <w:r w:rsidRPr="009031CE">
        <w:t xml:space="preserve">The redacted values correspond to the following ranges </w:t>
      </w:r>
    </w:p>
    <w:p w14:paraId="3E2383EF" w14:textId="77777777" w:rsidR="0045306C" w:rsidRPr="009031CE" w:rsidRDefault="004D4D81" w:rsidP="004D4D81">
      <w:pPr>
        <w:pStyle w:val="FooterTableFigure"/>
      </w:pPr>
      <w:r w:rsidRPr="009031CE">
        <w:rPr>
          <w:vertAlign w:val="superscript"/>
        </w:rPr>
        <w:t xml:space="preserve">1 </w:t>
      </w:r>
      <w:r w:rsidRPr="009031CE">
        <w:t>&lt; 500</w:t>
      </w:r>
      <w:r w:rsidR="0045306C" w:rsidRPr="009031CE">
        <w:t xml:space="preserve"> </w:t>
      </w:r>
    </w:p>
    <w:p w14:paraId="23F300BC" w14:textId="77777777" w:rsidR="00CF5BCC" w:rsidRPr="009031CE" w:rsidRDefault="0045306C" w:rsidP="00CF5BCC">
      <w:pPr>
        <w:pStyle w:val="FooterTableFigure"/>
      </w:pPr>
      <w:r w:rsidRPr="009031CE">
        <w:rPr>
          <w:vertAlign w:val="superscript"/>
        </w:rPr>
        <w:t xml:space="preserve">2 </w:t>
      </w:r>
      <w:r w:rsidRPr="009031CE">
        <w:t>500 to &lt; 5,000</w:t>
      </w:r>
      <w:r w:rsidR="00CF5BCC" w:rsidRPr="009031CE">
        <w:t xml:space="preserve"> </w:t>
      </w:r>
    </w:p>
    <w:p w14:paraId="1285400C" w14:textId="32F8CD80" w:rsidR="00E92B56" w:rsidRPr="009031CE" w:rsidRDefault="00E92B56" w:rsidP="00CF5BCC">
      <w:pPr>
        <w:pStyle w:val="FooterTableFigure"/>
      </w:pPr>
      <w:r w:rsidRPr="009031CE">
        <w:rPr>
          <w:vertAlign w:val="superscript"/>
        </w:rPr>
        <w:t>3</w:t>
      </w:r>
      <w:r w:rsidRPr="009031CE">
        <w:t xml:space="preserve"> </w:t>
      </w:r>
      <w:r w:rsidR="00CF5BCC" w:rsidRPr="009031CE">
        <w:t xml:space="preserve">$0 to &lt; $10 million </w:t>
      </w:r>
    </w:p>
    <w:p w14:paraId="05741F1E" w14:textId="2DA75576" w:rsidR="00F3246B" w:rsidRPr="009031CE" w:rsidRDefault="00E92B56" w:rsidP="00F3246B">
      <w:pPr>
        <w:pStyle w:val="FooterTableFigure"/>
      </w:pPr>
      <w:r w:rsidRPr="009031CE">
        <w:rPr>
          <w:vertAlign w:val="superscript"/>
        </w:rPr>
        <w:t>4</w:t>
      </w:r>
      <w:r w:rsidRPr="009031CE">
        <w:t xml:space="preserve"> </w:t>
      </w:r>
      <w:r w:rsidR="00CF5BCC" w:rsidRPr="009031CE">
        <w:t>net cost saving</w:t>
      </w:r>
    </w:p>
    <w:p w14:paraId="75586731" w14:textId="423EC234" w:rsidR="000902D9" w:rsidRPr="00BA46AD" w:rsidRDefault="000902D9" w:rsidP="00F3246B">
      <w:pPr>
        <w:pStyle w:val="3-BodyText"/>
      </w:pPr>
      <w:r w:rsidRPr="00BA46AD">
        <w:t xml:space="preserve">The total </w:t>
      </w:r>
      <w:r w:rsidR="00F87BDD" w:rsidRPr="00BA46AD">
        <w:t xml:space="preserve">net </w:t>
      </w:r>
      <w:r w:rsidRPr="00BA46AD">
        <w:t>cost to the PBS/RPBS</w:t>
      </w:r>
      <w:r w:rsidR="00740A2A" w:rsidRPr="00BA46AD">
        <w:t>/MBS</w:t>
      </w:r>
      <w:r w:rsidRPr="00BA46AD">
        <w:t xml:space="preserve"> of listing </w:t>
      </w:r>
      <w:r w:rsidR="00502D99" w:rsidRPr="00BA46AD">
        <w:t>D+T</w:t>
      </w:r>
      <w:r w:rsidRPr="00BA46AD">
        <w:t xml:space="preserve"> was estimated </w:t>
      </w:r>
      <w:r w:rsidR="00A05C32" w:rsidRPr="00BA46AD">
        <w:t>to be</w:t>
      </w:r>
      <w:r w:rsidR="00924ED8">
        <w:t xml:space="preserve"> </w:t>
      </w:r>
      <w:r w:rsidR="001E71F2" w:rsidRPr="001E71F2">
        <w:t>$0 to &lt;</w:t>
      </w:r>
      <w:r w:rsidR="00563F40">
        <w:t> </w:t>
      </w:r>
      <w:r w:rsidR="001E71F2" w:rsidRPr="001E71F2">
        <w:t>$10</w:t>
      </w:r>
      <w:r w:rsidR="00563F40">
        <w:t> </w:t>
      </w:r>
      <w:r w:rsidR="001E71F2" w:rsidRPr="001E71F2">
        <w:t>million</w:t>
      </w:r>
      <w:r w:rsidR="00563F40">
        <w:t xml:space="preserve"> </w:t>
      </w:r>
      <w:r w:rsidRPr="00BA46AD">
        <w:t xml:space="preserve">in Year 6, and a total of </w:t>
      </w:r>
      <w:r w:rsidR="006641D1" w:rsidRPr="006641D1">
        <w:t>$10 million to &lt; $20 million</w:t>
      </w:r>
      <w:r w:rsidR="00563F40">
        <w:t xml:space="preserve"> </w:t>
      </w:r>
      <w:r w:rsidRPr="00BA46AD">
        <w:t xml:space="preserve">in the first 6 years of listing. </w:t>
      </w:r>
      <w:r w:rsidR="00D56088" w:rsidRPr="00BA46AD">
        <w:t xml:space="preserve">This was based on the cost-minimised price of D+T calculated using the published price of the comparator. </w:t>
      </w:r>
    </w:p>
    <w:p w14:paraId="620903CF" w14:textId="1907D788" w:rsidR="00663A04" w:rsidRPr="00BA46AD" w:rsidRDefault="00663A04" w:rsidP="000B6113">
      <w:pPr>
        <w:pStyle w:val="3-BodyText"/>
      </w:pPr>
      <w:bookmarkStart w:id="101" w:name="_Ref187319966"/>
      <w:r w:rsidRPr="00BA46AD">
        <w:t xml:space="preserve">Although D+T was cost-minimised to </w:t>
      </w:r>
      <w:proofErr w:type="spellStart"/>
      <w:r w:rsidRPr="00BA46AD">
        <w:t>pembrolizumab+PBC</w:t>
      </w:r>
      <w:proofErr w:type="spellEnd"/>
      <w:r w:rsidRPr="00BA46AD">
        <w:t xml:space="preserve">, it resulted in a net cost to the PBS/RPBS due to the </w:t>
      </w:r>
      <w:r w:rsidR="00E76D1A">
        <w:t xml:space="preserve">replacement </w:t>
      </w:r>
      <w:r w:rsidR="00552A2D" w:rsidRPr="00BA46AD">
        <w:t>of pembrolizumab monotherapy</w:t>
      </w:r>
      <w:r w:rsidR="00CA7E37" w:rsidRPr="00BA46AD">
        <w:t xml:space="preserve"> and PBC alone</w:t>
      </w:r>
      <w:r w:rsidR="00552A2D" w:rsidRPr="00BA46AD">
        <w:t xml:space="preserve"> </w:t>
      </w:r>
      <w:r w:rsidR="00CA7E37" w:rsidRPr="00BA46AD">
        <w:t xml:space="preserve">along with </w:t>
      </w:r>
      <w:proofErr w:type="spellStart"/>
      <w:r w:rsidR="00CA7E37" w:rsidRPr="00BA46AD">
        <w:t>pembrolizumab+PBC</w:t>
      </w:r>
      <w:proofErr w:type="spellEnd"/>
      <w:r w:rsidR="00E5575A" w:rsidRPr="00BA46AD">
        <w:t xml:space="preserve">. While the inclusion of pembrolizumab monotherapy does not significantly impact the net cost to the PBS/RPBS, a total of </w:t>
      </w:r>
      <w:r w:rsidR="00DA3F93">
        <w:t>&lt;500</w:t>
      </w:r>
      <w:r w:rsidR="00DA3F93" w:rsidRPr="00BA46AD">
        <w:t xml:space="preserve"> </w:t>
      </w:r>
      <w:r w:rsidR="00E5575A" w:rsidRPr="00BA46AD">
        <w:t xml:space="preserve">patients in Year 1 increasing to </w:t>
      </w:r>
      <w:r w:rsidR="00DA3F93">
        <w:t>&lt;500</w:t>
      </w:r>
      <w:r w:rsidR="00563F40">
        <w:t xml:space="preserve"> </w:t>
      </w:r>
      <w:r w:rsidR="00E5575A" w:rsidRPr="00BA46AD">
        <w:t>patients were assumed to receive treatment with PBC alone. Furthermore, the financial estimates were based on DPMQ/DPMA (the CMA was based on AEMP) and</w:t>
      </w:r>
      <w:r w:rsidR="00AE3D31">
        <w:t xml:space="preserve"> accounted for</w:t>
      </w:r>
      <w:r w:rsidR="00542DE1" w:rsidRPr="00BA46AD">
        <w:t xml:space="preserve"> patient co-payments (the CMA did not include any co-payments)</w:t>
      </w:r>
      <w:r w:rsidR="00A529AF" w:rsidRPr="00BA46AD">
        <w:t>.</w:t>
      </w:r>
    </w:p>
    <w:bookmarkEnd w:id="101"/>
    <w:p w14:paraId="2F76A49F" w14:textId="41FC3D45" w:rsidR="002223CF" w:rsidRPr="00BA46AD" w:rsidRDefault="00502D99" w:rsidP="000B6113">
      <w:pPr>
        <w:pStyle w:val="3-BodyText"/>
      </w:pPr>
      <w:r w:rsidRPr="00F33959">
        <w:rPr>
          <w:color w:val="0066FF"/>
        </w:rPr>
        <w:lastRenderedPageBreak/>
        <w:t xml:space="preserve"> </w:t>
      </w:r>
      <w:r w:rsidR="002223CF" w:rsidRPr="00BA46AD">
        <w:t>The absence of Kaplan-Meier TTD data from the pembrolizumab trials introduces uncertainty regarding the mean duration of treatment with pembrolizuma</w:t>
      </w:r>
      <w:r w:rsidR="000A3369" w:rsidRPr="00BA46AD">
        <w:t xml:space="preserve">b with or without PBC. </w:t>
      </w:r>
      <w:r w:rsidR="00536C1B" w:rsidRPr="001871A4">
        <w:t>The ESC noted that, unlike pembrolizumab, D+T is not limited to a maximum of 24 months of therapy.</w:t>
      </w:r>
      <w:r w:rsidR="00536C1B">
        <w:t xml:space="preserve">  </w:t>
      </w:r>
    </w:p>
    <w:p w14:paraId="2A2E3838" w14:textId="77777777" w:rsidR="00504B2A" w:rsidRDefault="00D56088" w:rsidP="000B6113">
      <w:pPr>
        <w:pStyle w:val="3-BodyText"/>
      </w:pPr>
      <w:r w:rsidRPr="00BA46AD">
        <w:t>Given the submission requested a line-agnostic listing for D+T, some patients</w:t>
      </w:r>
      <w:r w:rsidR="00122F82" w:rsidRPr="00BA46AD">
        <w:t xml:space="preserve"> treated with </w:t>
      </w:r>
      <w:proofErr w:type="spellStart"/>
      <w:r w:rsidR="00122F82" w:rsidRPr="00BA46AD">
        <w:t>pembrolizumab+PBC</w:t>
      </w:r>
      <w:proofErr w:type="spellEnd"/>
      <w:r w:rsidR="00122F82" w:rsidRPr="00BA46AD">
        <w:t xml:space="preserve"> in the first-line setting</w:t>
      </w:r>
      <w:r w:rsidRPr="00BA46AD">
        <w:t xml:space="preserve"> may receive </w:t>
      </w:r>
      <w:r w:rsidR="00122F82" w:rsidRPr="00BA46AD">
        <w:t xml:space="preserve">treatment with D+T in </w:t>
      </w:r>
      <w:r w:rsidR="00280C4B" w:rsidRPr="00BA46AD">
        <w:t>latter settin</w:t>
      </w:r>
      <w:r w:rsidR="004D42AD" w:rsidRPr="00BA46AD">
        <w:t>g</w:t>
      </w:r>
      <w:r w:rsidR="00122F82" w:rsidRPr="00BA46AD">
        <w:t>. This was not considered in the financial estimates</w:t>
      </w:r>
      <w:r w:rsidR="00C93989" w:rsidRPr="00BA46AD">
        <w:t xml:space="preserve"> and may underestimate the impact the financial impact of listing D+T</w:t>
      </w:r>
      <w:r w:rsidR="008D5FEC" w:rsidRPr="00BA46AD">
        <w:t>.</w:t>
      </w:r>
      <w:r w:rsidR="004E639F">
        <w:t xml:space="preserve"> </w:t>
      </w:r>
      <w:bookmarkStart w:id="102" w:name="_Ref187454487"/>
    </w:p>
    <w:bookmarkEnd w:id="102"/>
    <w:p w14:paraId="3053B2FE" w14:textId="46718CFB" w:rsidR="002C623C" w:rsidRDefault="002C623C" w:rsidP="002C623C">
      <w:pPr>
        <w:pStyle w:val="3-BodyText"/>
      </w:pPr>
      <w:r w:rsidRPr="00BA46AD">
        <w:t xml:space="preserve">Although the submission included a grandfathered restriction and </w:t>
      </w:r>
      <w:r w:rsidR="00755943" w:rsidRPr="00BA46AD">
        <w:t>identified</w:t>
      </w:r>
      <w:r w:rsidRPr="00BA46AD">
        <w:t xml:space="preserve"> that one patient is currently enrolled in a compassionate access scheme, this was not </w:t>
      </w:r>
      <w:r w:rsidR="00E65791" w:rsidRPr="00BA46AD">
        <w:t>reflected in the financial estimates.</w:t>
      </w:r>
      <w:r w:rsidR="00437871" w:rsidRPr="00BA46AD">
        <w:t xml:space="preserve"> </w:t>
      </w:r>
    </w:p>
    <w:p w14:paraId="58290C70" w14:textId="3AD35368" w:rsidR="00504B2A" w:rsidRPr="007C7E27" w:rsidRDefault="00504B2A" w:rsidP="002C623C">
      <w:pPr>
        <w:pStyle w:val="3-BodyText"/>
      </w:pPr>
      <w:r>
        <w:t xml:space="preserve">The evaluation noted that if </w:t>
      </w:r>
      <w:r w:rsidRPr="03CF4CC7">
        <w:t xml:space="preserve">D+T is listed on the PBS, standard systemic therapies, such as </w:t>
      </w:r>
      <w:proofErr w:type="spellStart"/>
      <w:r w:rsidRPr="03CF4CC7">
        <w:t>pembrolizumab+PBC</w:t>
      </w:r>
      <w:proofErr w:type="spellEnd"/>
      <w:r w:rsidRPr="03CF4CC7">
        <w:t xml:space="preserve"> or PBC alone, are likely to be displaced to later lines rather than replaced.</w:t>
      </w:r>
      <w:r w:rsidR="0051386E">
        <w:t xml:space="preserve"> </w:t>
      </w:r>
      <w:r w:rsidR="0051386E" w:rsidRPr="001871A4">
        <w:t>The PSCR stated this assumption may be reasonable if PD-(L1) therapies are allowed post-progression with D+T.</w:t>
      </w:r>
      <w:r w:rsidR="0051386E">
        <w:rPr>
          <w:i/>
          <w:iCs/>
        </w:rPr>
        <w:t xml:space="preserve"> </w:t>
      </w:r>
      <w:r w:rsidR="0051386E" w:rsidRPr="0051386E">
        <w:rPr>
          <w:i/>
          <w:iCs/>
        </w:rPr>
        <w:t xml:space="preserve"> </w:t>
      </w:r>
    </w:p>
    <w:p w14:paraId="1BD0EA9B" w14:textId="77777777" w:rsidR="007C7E27" w:rsidRPr="0090150D" w:rsidRDefault="007C7E27" w:rsidP="007C7E27">
      <w:pPr>
        <w:pStyle w:val="2-SectionHeading"/>
        <w:numPr>
          <w:ilvl w:val="0"/>
          <w:numId w:val="2"/>
        </w:numPr>
      </w:pPr>
      <w:r w:rsidRPr="0090150D">
        <w:t>PBAC Outcome</w:t>
      </w:r>
    </w:p>
    <w:p w14:paraId="26B28B68" w14:textId="250ED067" w:rsidR="00655635" w:rsidRPr="00C36BF8" w:rsidRDefault="00655635" w:rsidP="00C36BF8">
      <w:pPr>
        <w:pStyle w:val="3-BodyText"/>
      </w:pPr>
      <w:r w:rsidRPr="00655635">
        <w:rPr>
          <w:lang w:val="en-GB"/>
        </w:rPr>
        <w:t xml:space="preserve">The </w:t>
      </w:r>
      <w:r>
        <w:rPr>
          <w:lang w:val="en-GB"/>
        </w:rPr>
        <w:t xml:space="preserve">PBAC </w:t>
      </w:r>
      <w:r w:rsidRPr="00655635">
        <w:rPr>
          <w:lang w:val="en-GB"/>
        </w:rPr>
        <w:t>recommend</w:t>
      </w:r>
      <w:r>
        <w:rPr>
          <w:lang w:val="en-GB"/>
        </w:rPr>
        <w:t xml:space="preserve">ed </w:t>
      </w:r>
      <w:r w:rsidR="003679A5">
        <w:rPr>
          <w:lang w:val="en-GB"/>
        </w:rPr>
        <w:t xml:space="preserve">an </w:t>
      </w:r>
      <w:r w:rsidR="00923DDB">
        <w:rPr>
          <w:lang w:val="en-GB"/>
        </w:rPr>
        <w:t>Authority Required</w:t>
      </w:r>
      <w:r w:rsidR="00FD78E4">
        <w:rPr>
          <w:lang w:val="en-GB"/>
        </w:rPr>
        <w:t xml:space="preserve"> (</w:t>
      </w:r>
      <w:r w:rsidR="00923DDB">
        <w:rPr>
          <w:lang w:val="en-GB"/>
        </w:rPr>
        <w:t>STREAMLINED</w:t>
      </w:r>
      <w:r w:rsidR="00FD78E4">
        <w:rPr>
          <w:lang w:val="en-GB"/>
        </w:rPr>
        <w:t>)</w:t>
      </w:r>
      <w:r>
        <w:rPr>
          <w:lang w:val="en-GB"/>
        </w:rPr>
        <w:t xml:space="preserve"> </w:t>
      </w:r>
      <w:r w:rsidRPr="00655635">
        <w:rPr>
          <w:lang w:val="en-GB"/>
        </w:rPr>
        <w:t>list</w:t>
      </w:r>
      <w:r>
        <w:rPr>
          <w:lang w:val="en-GB"/>
        </w:rPr>
        <w:t xml:space="preserve">ing of </w:t>
      </w:r>
      <w:r w:rsidRPr="009F000C">
        <w:t>dabrafenib in combination with trametinib (D+T) for the treatment of adult patients with BRAF V600E mutation positive metastatic (Stage IV) non-small cell lung cancer (NSCLC).</w:t>
      </w:r>
      <w:r w:rsidR="00C36BF8">
        <w:t xml:space="preserve"> </w:t>
      </w:r>
      <w:r w:rsidRPr="00C36BF8">
        <w:rPr>
          <w:lang w:val="en-GB"/>
        </w:rPr>
        <w:t xml:space="preserve">The PBAC considered that, despite the uncertainties associated with the indirect comparisons presented in the submission, on balance, it was likely </w:t>
      </w:r>
      <w:r w:rsidR="00C36BF8">
        <w:rPr>
          <w:lang w:val="en-GB"/>
        </w:rPr>
        <w:t xml:space="preserve">D+T </w:t>
      </w:r>
      <w:r w:rsidRPr="00C36BF8">
        <w:rPr>
          <w:lang w:val="en-GB"/>
        </w:rPr>
        <w:t>provided similar health outcomes to pembrolizumab in combination with chemotherapy in the proposed population. The PBAC considered that</w:t>
      </w:r>
      <w:r w:rsidR="00C36BF8">
        <w:rPr>
          <w:lang w:val="en-GB"/>
        </w:rPr>
        <w:t xml:space="preserve"> D+T</w:t>
      </w:r>
      <w:r w:rsidRPr="00C36BF8">
        <w:rPr>
          <w:lang w:val="en-GB"/>
        </w:rPr>
        <w:t xml:space="preserve"> would be acceptably cost effective if it were cost-minimised against pembrolizumab in combination with chemotherapy. </w:t>
      </w:r>
    </w:p>
    <w:p w14:paraId="666FDA7F" w14:textId="079203A3" w:rsidR="001A6DB6" w:rsidRDefault="001A6DB6" w:rsidP="00987E92">
      <w:pPr>
        <w:pStyle w:val="3-BodyText"/>
      </w:pPr>
      <w:r>
        <w:t>T</w:t>
      </w:r>
      <w:r w:rsidRPr="002F5704">
        <w:t xml:space="preserve">he PBAC noted the small population of patients with </w:t>
      </w:r>
      <w:r w:rsidR="00C71E44">
        <w:t>BRAF V600E</w:t>
      </w:r>
      <w:r w:rsidR="00987E92">
        <w:t xml:space="preserve"> mutations</w:t>
      </w:r>
      <w:r w:rsidR="00C71E44">
        <w:t xml:space="preserve"> </w:t>
      </w:r>
      <w:r w:rsidRPr="002F5704">
        <w:t xml:space="preserve">and the </w:t>
      </w:r>
      <w:r w:rsidR="00FE2D49">
        <w:t xml:space="preserve">moderate </w:t>
      </w:r>
      <w:r w:rsidRPr="002F5704">
        <w:t>cl</w:t>
      </w:r>
      <w:r>
        <w:t>i</w:t>
      </w:r>
      <w:r w:rsidRPr="002F5704">
        <w:t>nical need for additional therapies</w:t>
      </w:r>
      <w:r>
        <w:t xml:space="preserve"> for NSCLC, which was supported by the consumer comments received</w:t>
      </w:r>
      <w:r w:rsidRPr="002F5704">
        <w:t>.</w:t>
      </w:r>
    </w:p>
    <w:p w14:paraId="55B3ACB7" w14:textId="4C54B803" w:rsidR="009F6F25" w:rsidRPr="009F6F25" w:rsidRDefault="005E4F03" w:rsidP="009F6F25">
      <w:pPr>
        <w:pStyle w:val="3-BodyText"/>
      </w:pPr>
      <w:bookmarkStart w:id="103" w:name="_Ref194998369"/>
      <w:r>
        <w:t>The PBAC</w:t>
      </w:r>
      <w:r w:rsidR="008A0137">
        <w:t xml:space="preserve"> advised</w:t>
      </w:r>
      <w:r w:rsidR="00B76A09">
        <w:t xml:space="preserve"> a</w:t>
      </w:r>
      <w:r w:rsidR="008D439B" w:rsidRPr="006C3259">
        <w:rPr>
          <w:rFonts w:eastAsia="Aptos"/>
          <w:lang w:val="en-US" w:eastAsia="en-US"/>
        </w:rPr>
        <w:t xml:space="preserve"> single, line agnostic restriction criteria </w:t>
      </w:r>
      <w:r w:rsidR="00FA71AA" w:rsidRPr="006C3259">
        <w:rPr>
          <w:rFonts w:eastAsia="Aptos"/>
          <w:lang w:val="en-US" w:eastAsia="en-US"/>
        </w:rPr>
        <w:t>for initial</w:t>
      </w:r>
      <w:r w:rsidR="001669FB">
        <w:rPr>
          <w:rFonts w:eastAsia="Aptos"/>
          <w:lang w:val="en-US" w:eastAsia="en-US"/>
        </w:rPr>
        <w:t>,</w:t>
      </w:r>
      <w:r w:rsidR="00FA71AA" w:rsidRPr="006C3259">
        <w:rPr>
          <w:rFonts w:eastAsia="Aptos"/>
          <w:lang w:val="en-US" w:eastAsia="en-US"/>
        </w:rPr>
        <w:t xml:space="preserve"> continuing </w:t>
      </w:r>
      <w:r w:rsidR="001669FB">
        <w:rPr>
          <w:rFonts w:eastAsia="Aptos"/>
          <w:lang w:val="en-US" w:eastAsia="en-US"/>
        </w:rPr>
        <w:t>and grandfather</w:t>
      </w:r>
      <w:r w:rsidR="00FA71AA" w:rsidRPr="006C3259">
        <w:rPr>
          <w:rFonts w:eastAsia="Aptos"/>
          <w:lang w:val="en-US" w:eastAsia="en-US"/>
        </w:rPr>
        <w:t xml:space="preserve"> treatment </w:t>
      </w:r>
      <w:r w:rsidR="003F6451" w:rsidRPr="006C3259">
        <w:rPr>
          <w:rFonts w:eastAsia="Aptos"/>
          <w:lang w:val="en-US" w:eastAsia="en-US"/>
        </w:rPr>
        <w:t xml:space="preserve">that allows patients to transition from non-PBS </w:t>
      </w:r>
      <w:proofErr w:type="spellStart"/>
      <w:r w:rsidR="003F6451" w:rsidRPr="006C3259">
        <w:rPr>
          <w:rFonts w:eastAsia="Aptos"/>
          <w:lang w:val="en-US" w:eastAsia="en-US"/>
        </w:rPr>
        <w:t>subsidised</w:t>
      </w:r>
      <w:proofErr w:type="spellEnd"/>
      <w:r w:rsidR="003F6451" w:rsidRPr="006C3259">
        <w:rPr>
          <w:rFonts w:eastAsia="Aptos"/>
          <w:lang w:val="en-US" w:eastAsia="en-US"/>
        </w:rPr>
        <w:t xml:space="preserve"> treatment </w:t>
      </w:r>
      <w:r w:rsidR="008D439B" w:rsidRPr="006C3259">
        <w:rPr>
          <w:rFonts w:eastAsia="Aptos"/>
          <w:lang w:val="en-US" w:eastAsia="en-US"/>
        </w:rPr>
        <w:t>would be appropriate</w:t>
      </w:r>
      <w:r w:rsidR="006F3671" w:rsidRPr="006C3259">
        <w:rPr>
          <w:rFonts w:eastAsia="Aptos"/>
          <w:lang w:val="en-US" w:eastAsia="en-US"/>
        </w:rPr>
        <w:t xml:space="preserve"> as proposed by the Secretariat in Section </w:t>
      </w:r>
      <w:r w:rsidR="006F3671" w:rsidRPr="006C3259">
        <w:rPr>
          <w:rFonts w:eastAsia="Aptos"/>
        </w:rPr>
        <w:t>3</w:t>
      </w:r>
      <w:r w:rsidR="00B76A09" w:rsidRPr="006C3259">
        <w:rPr>
          <w:rFonts w:eastAsia="Aptos"/>
        </w:rPr>
        <w:t>.</w:t>
      </w:r>
      <w:r w:rsidR="0078613E" w:rsidRPr="006C3259">
        <w:rPr>
          <w:rFonts w:eastAsia="Aptos"/>
        </w:rPr>
        <w:t xml:space="preserve"> </w:t>
      </w:r>
      <w:r w:rsidR="006C3259">
        <w:rPr>
          <w:rFonts w:eastAsia="Aptos"/>
        </w:rPr>
        <w:t xml:space="preserve">The PBAC considered it was appropriate for </w:t>
      </w:r>
      <w:r w:rsidR="00051073">
        <w:rPr>
          <w:rFonts w:eastAsia="Aptos"/>
        </w:rPr>
        <w:t xml:space="preserve">D+T to be listed only for patients with </w:t>
      </w:r>
      <w:r w:rsidR="006C3259">
        <w:rPr>
          <w:rFonts w:eastAsia="Aptos"/>
        </w:rPr>
        <w:t xml:space="preserve">BRAF V600E </w:t>
      </w:r>
      <w:r w:rsidR="00051073">
        <w:rPr>
          <w:rFonts w:eastAsia="Aptos"/>
        </w:rPr>
        <w:t>mutations, consistent with clinical guidelines</w:t>
      </w:r>
      <w:r w:rsidR="00C343FC">
        <w:rPr>
          <w:rFonts w:eastAsia="Aptos"/>
        </w:rPr>
        <w:t xml:space="preserve"> including NCCN</w:t>
      </w:r>
      <w:r w:rsidR="0056773F">
        <w:rPr>
          <w:rStyle w:val="FootnoteReference"/>
          <w:rFonts w:eastAsia="Aptos"/>
        </w:rPr>
        <w:footnoteReference w:id="17"/>
      </w:r>
      <w:r w:rsidR="00051073">
        <w:rPr>
          <w:rFonts w:eastAsia="Aptos"/>
        </w:rPr>
        <w:t xml:space="preserve">.  </w:t>
      </w:r>
      <w:bookmarkEnd w:id="103"/>
    </w:p>
    <w:p w14:paraId="53770222" w14:textId="4686F40F" w:rsidR="009F6F25" w:rsidRPr="009A045E" w:rsidRDefault="009F6F25" w:rsidP="009F6F25">
      <w:pPr>
        <w:pStyle w:val="3-BodyText"/>
      </w:pPr>
      <w:r>
        <w:t xml:space="preserve">The PBAC noted the submission nominated </w:t>
      </w:r>
      <w:r w:rsidRPr="00435291">
        <w:t>pembrolizumab in combination with chemotherapy as the main comparator</w:t>
      </w:r>
      <w:r>
        <w:t xml:space="preserve"> and considered this was reasonable. The PBAC </w:t>
      </w:r>
      <w:r>
        <w:lastRenderedPageBreak/>
        <w:t>noted that, to a lesser extent,</w:t>
      </w:r>
      <w:r w:rsidR="00857696">
        <w:t xml:space="preserve"> D+T</w:t>
      </w:r>
      <w:r>
        <w:t xml:space="preserve"> may also substitute for pembrolizumab monotherapy or chemotherapy alone. The PBAC noted that while</w:t>
      </w:r>
      <w:r w:rsidR="00506A05">
        <w:t xml:space="preserve"> D+T</w:t>
      </w:r>
      <w:r>
        <w:t xml:space="preserve"> would replace pembrolizumab in combination with chemotherapy in the first line setting, it is likely immunotherapy would be displaced to second line treatment. However, the PBAC noted the current PBS restrictions for immunotherapies would preclude their use second line to</w:t>
      </w:r>
      <w:r w:rsidR="00C70106">
        <w:t xml:space="preserve"> D+T</w:t>
      </w:r>
      <w:r>
        <w:t>; therefore, flow on changes will be required</w:t>
      </w:r>
      <w:r w:rsidR="009204C0">
        <w:t xml:space="preserve"> (see paragraph </w:t>
      </w:r>
      <w:r w:rsidR="009204C0">
        <w:fldChar w:fldCharType="begin"/>
      </w:r>
      <w:r w:rsidR="009204C0">
        <w:instrText xml:space="preserve"> REF _Ref194995507 \r \h </w:instrText>
      </w:r>
      <w:r w:rsidR="009204C0">
        <w:fldChar w:fldCharType="separate"/>
      </w:r>
      <w:r w:rsidR="00EF4998">
        <w:t>7.10</w:t>
      </w:r>
      <w:r w:rsidR="009204C0">
        <w:fldChar w:fldCharType="end"/>
      </w:r>
      <w:r w:rsidR="00AC0A6E">
        <w:t>)</w:t>
      </w:r>
      <w:r>
        <w:t>.</w:t>
      </w:r>
    </w:p>
    <w:p w14:paraId="202B0AA7" w14:textId="3552880B" w:rsidR="001B7D60" w:rsidRDefault="001B7D60" w:rsidP="007C7E27">
      <w:pPr>
        <w:pStyle w:val="3-BodyText"/>
      </w:pPr>
      <w:r>
        <w:t xml:space="preserve">The PBAC noted the clinical evidence for D+T was from one </w:t>
      </w:r>
      <w:r w:rsidR="00D47E07">
        <w:t xml:space="preserve">single arm study </w:t>
      </w:r>
      <w:r w:rsidR="00695C73">
        <w:t>in patients</w:t>
      </w:r>
      <w:r w:rsidR="008B10F6">
        <w:t xml:space="preserve"> with BRAF V600E positive metastatic NSCLC </w:t>
      </w:r>
      <w:r w:rsidR="00695C73">
        <w:t>receiv</w:t>
      </w:r>
      <w:r w:rsidR="00D858E6">
        <w:t>ing</w:t>
      </w:r>
      <w:r w:rsidR="00695C73">
        <w:t xml:space="preserve"> </w:t>
      </w:r>
      <w:r w:rsidR="008B10F6">
        <w:t xml:space="preserve">either </w:t>
      </w:r>
      <w:r w:rsidR="00695C73">
        <w:t>first line treatment (N=36</w:t>
      </w:r>
      <w:r w:rsidR="00D858E6">
        <w:t xml:space="preserve">) or </w:t>
      </w:r>
      <w:r w:rsidR="00695C73">
        <w:t xml:space="preserve">second and subsequent line treatment (N=57). </w:t>
      </w:r>
      <w:r w:rsidR="00482069">
        <w:t>The PB</w:t>
      </w:r>
      <w:r w:rsidR="00A879F8">
        <w:t>A</w:t>
      </w:r>
      <w:r w:rsidR="00482069">
        <w:t xml:space="preserve">C noted the objective response rate </w:t>
      </w:r>
      <w:r w:rsidR="006B1C2B">
        <w:t xml:space="preserve">(ORR) </w:t>
      </w:r>
      <w:r w:rsidR="00482069">
        <w:t>was 63.9%</w:t>
      </w:r>
      <w:r w:rsidR="00F93CBC">
        <w:t xml:space="preserve">, </w:t>
      </w:r>
      <w:r w:rsidR="006B1C2B">
        <w:t>median progression free survival (PFS) was 10.8</w:t>
      </w:r>
      <w:r w:rsidR="00295CE0">
        <w:t> </w:t>
      </w:r>
      <w:r w:rsidR="006B1C2B">
        <w:t xml:space="preserve">months </w:t>
      </w:r>
      <w:r w:rsidR="00F93CBC">
        <w:t xml:space="preserve">and median overall survival (OS) was 17.3 months </w:t>
      </w:r>
      <w:r w:rsidR="00475C04">
        <w:t>in the first line treatment setting</w:t>
      </w:r>
      <w:r w:rsidR="006B1C2B">
        <w:t xml:space="preserve">. The </w:t>
      </w:r>
      <w:r w:rsidR="00F93CBC">
        <w:t xml:space="preserve">ORR </w:t>
      </w:r>
      <w:r w:rsidR="006B1C2B">
        <w:t>was 68.4%</w:t>
      </w:r>
      <w:r w:rsidR="00F93CBC">
        <w:t xml:space="preserve">, </w:t>
      </w:r>
      <w:r w:rsidR="006B1C2B">
        <w:t>median PFS was 10.2 months</w:t>
      </w:r>
      <w:r w:rsidR="00F93CBC">
        <w:t xml:space="preserve"> and median OS was 18.2 months</w:t>
      </w:r>
      <w:r w:rsidR="00DE45FC">
        <w:t xml:space="preserve"> in</w:t>
      </w:r>
      <w:r w:rsidR="00F93CBC">
        <w:t xml:space="preserve"> the second and subsequent line treatment setting. </w:t>
      </w:r>
    </w:p>
    <w:p w14:paraId="307137A9" w14:textId="3D5D7ACB" w:rsidR="00973E62" w:rsidRPr="00C03606" w:rsidRDefault="00AE28C8" w:rsidP="007C7E27">
      <w:pPr>
        <w:pStyle w:val="3-BodyText"/>
      </w:pPr>
      <w:r>
        <w:t xml:space="preserve">The PBAC noted </w:t>
      </w:r>
      <w:r w:rsidR="00204164">
        <w:t xml:space="preserve">the </w:t>
      </w:r>
      <w:r>
        <w:t xml:space="preserve">submission claimed D+T was non-inferior </w:t>
      </w:r>
      <w:r w:rsidR="009D2B06">
        <w:t xml:space="preserve">to pembrolizumab </w:t>
      </w:r>
      <w:r w:rsidR="00204164">
        <w:t>in combination with chemotherapy</w:t>
      </w:r>
      <w:r w:rsidR="009D2B06">
        <w:t xml:space="preserve"> </w:t>
      </w:r>
      <w:r>
        <w:t>in terms of comparative effectiveness</w:t>
      </w:r>
      <w:r w:rsidR="00204164">
        <w:t>.</w:t>
      </w:r>
      <w:r>
        <w:t xml:space="preserve"> </w:t>
      </w:r>
      <w:r w:rsidR="007958BF">
        <w:t xml:space="preserve">The PBAC noted the submission </w:t>
      </w:r>
      <w:r w:rsidR="00D03953">
        <w:t xml:space="preserve">presented an unanchored and unadjusted </w:t>
      </w:r>
      <w:r w:rsidR="00A1211F">
        <w:t>indirect treatment comparison (ITC)</w:t>
      </w:r>
      <w:r w:rsidR="00191650">
        <w:t xml:space="preserve"> of </w:t>
      </w:r>
      <w:r w:rsidR="001B7D60">
        <w:t xml:space="preserve">the </w:t>
      </w:r>
      <w:r w:rsidR="00191650">
        <w:t>D+T study (E2201</w:t>
      </w:r>
      <w:r w:rsidR="000654A9">
        <w:t>, first line patients only</w:t>
      </w:r>
      <w:r w:rsidR="00191650">
        <w:t xml:space="preserve">) and </w:t>
      </w:r>
      <w:r w:rsidR="003721BB">
        <w:t>the pooled results of two pembrolizumab studies (KN-189 and KN-407</w:t>
      </w:r>
      <w:r w:rsidR="00FB59BC">
        <w:t>)</w:t>
      </w:r>
      <w:r>
        <w:t xml:space="preserve"> to support the clinical claim</w:t>
      </w:r>
      <w:r w:rsidR="00191650">
        <w:t>.</w:t>
      </w:r>
      <w:r w:rsidR="00FB59BC">
        <w:t xml:space="preserve"> </w:t>
      </w:r>
      <w:r w:rsidR="00B02754">
        <w:t xml:space="preserve">The PBAC </w:t>
      </w:r>
      <w:r w:rsidR="00282A08">
        <w:t xml:space="preserve">noted </w:t>
      </w:r>
      <w:r w:rsidR="005E2C39">
        <w:t xml:space="preserve">the </w:t>
      </w:r>
      <w:r w:rsidR="001900DD">
        <w:t xml:space="preserve">ORR, median PFS and median OS were </w:t>
      </w:r>
      <w:r w:rsidR="006E092E">
        <w:t xml:space="preserve">broadly </w:t>
      </w:r>
      <w:r w:rsidR="00312F45">
        <w:t xml:space="preserve">similar </w:t>
      </w:r>
      <w:r w:rsidR="00942C45">
        <w:t xml:space="preserve">for D+T and pembrolizumab + PBC </w:t>
      </w:r>
      <w:r w:rsidR="001900DD">
        <w:t>and there was no statistically significant difference</w:t>
      </w:r>
      <w:r w:rsidR="000715F5">
        <w:t xml:space="preserve">s for </w:t>
      </w:r>
      <w:r w:rsidR="00D85CC7">
        <w:t>any outcome</w:t>
      </w:r>
      <w:r w:rsidR="003156FA">
        <w:t xml:space="preserve">. </w:t>
      </w:r>
      <w:r w:rsidR="000715F5" w:rsidRPr="00AE28C8">
        <w:t>The PB</w:t>
      </w:r>
      <w:r w:rsidR="002D6292" w:rsidRPr="00AE28C8">
        <w:t>A</w:t>
      </w:r>
      <w:r w:rsidR="000715F5" w:rsidRPr="00AE28C8">
        <w:t>C</w:t>
      </w:r>
      <w:r w:rsidR="002D6292">
        <w:t xml:space="preserve"> </w:t>
      </w:r>
      <w:r>
        <w:t xml:space="preserve">agreed with the ESC that </w:t>
      </w:r>
      <w:r w:rsidR="00DE6DE7">
        <w:t xml:space="preserve">there were uncertainties </w:t>
      </w:r>
      <w:r w:rsidR="00DF61CC">
        <w:t xml:space="preserve">associated with the </w:t>
      </w:r>
      <w:r>
        <w:t>ITC</w:t>
      </w:r>
      <w:r w:rsidR="00732B47">
        <w:t xml:space="preserve"> </w:t>
      </w:r>
      <w:r w:rsidR="005476E8">
        <w:t xml:space="preserve">(as outlined in paragraph </w:t>
      </w:r>
      <w:r w:rsidR="00DF61CC">
        <w:fldChar w:fldCharType="begin"/>
      </w:r>
      <w:r w:rsidR="00DF61CC">
        <w:instrText xml:space="preserve"> REF _Ref194993629 \r \h </w:instrText>
      </w:r>
      <w:r w:rsidR="00DF61CC">
        <w:fldChar w:fldCharType="separate"/>
      </w:r>
      <w:r w:rsidR="00EF4998">
        <w:t>6.45</w:t>
      </w:r>
      <w:r w:rsidR="00DF61CC">
        <w:fldChar w:fldCharType="end"/>
      </w:r>
      <w:r w:rsidR="005476E8">
        <w:t xml:space="preserve">) </w:t>
      </w:r>
      <w:r w:rsidR="008438A3">
        <w:t xml:space="preserve">but considered that, on </w:t>
      </w:r>
      <w:r w:rsidR="008438A3" w:rsidRPr="00C03606">
        <w:t xml:space="preserve">balance, the claim that D+T is non-inferior in terms of </w:t>
      </w:r>
      <w:r w:rsidRPr="00C03606">
        <w:t xml:space="preserve">comparative effectiveness was reasonable.  </w:t>
      </w:r>
    </w:p>
    <w:p w14:paraId="5E49B6B1" w14:textId="3A1462B6" w:rsidR="00732B47" w:rsidRPr="00C03606" w:rsidRDefault="00CB4CD9" w:rsidP="00B37AEA">
      <w:pPr>
        <w:pStyle w:val="3-BodyText"/>
      </w:pPr>
      <w:r w:rsidRPr="00C03606">
        <w:t xml:space="preserve">The PBAC considered it was difficult to assess the comparative safety, given the unanchored and unadjusted ITC, and considerable differences in the safety profiles between D+T and pembrolizumab in combination with chemotherapy. </w:t>
      </w:r>
      <w:r w:rsidR="00C03606" w:rsidRPr="00C03606">
        <w:t>However, t</w:t>
      </w:r>
      <w:r w:rsidR="00330555" w:rsidRPr="00C03606">
        <w:t xml:space="preserve">he </w:t>
      </w:r>
      <w:r w:rsidR="009E6B4D" w:rsidRPr="00C03606">
        <w:t xml:space="preserve">PBAC considered the claim that D+T had a different but non-inferior safety profile compared to pembrolizumab </w:t>
      </w:r>
      <w:r w:rsidR="000930AF" w:rsidRPr="00C03606">
        <w:t>in combination with chemotherapy was reasonable</w:t>
      </w:r>
      <w:r w:rsidRPr="00C03606">
        <w:t>.</w:t>
      </w:r>
    </w:p>
    <w:p w14:paraId="4EE75375" w14:textId="56C89E54" w:rsidR="00B37AEA" w:rsidRDefault="00B37AEA" w:rsidP="00B37AEA">
      <w:pPr>
        <w:pStyle w:val="3-BodyText"/>
      </w:pPr>
      <w:r>
        <w:t>The PBAC considered the cost minimisation approach presented in the submission was reasonable</w:t>
      </w:r>
      <w:r w:rsidR="00DD6864">
        <w:t xml:space="preserve"> and should use </w:t>
      </w:r>
      <w:r w:rsidR="0025212B">
        <w:t xml:space="preserve">the effective price of pembrolizumab. The PBAC </w:t>
      </w:r>
      <w:r>
        <w:t>advised the following equi-effective doses</w:t>
      </w:r>
      <w:r w:rsidR="0025212B">
        <w:t xml:space="preserve"> were appropriate</w:t>
      </w:r>
      <w:r>
        <w:t>:</w:t>
      </w:r>
    </w:p>
    <w:p w14:paraId="5F919F33" w14:textId="6AE364FE" w:rsidR="00B37AEA" w:rsidRDefault="00B37AEA" w:rsidP="0025212B">
      <w:pPr>
        <w:pStyle w:val="3-BodyText"/>
        <w:numPr>
          <w:ilvl w:val="0"/>
          <w:numId w:val="45"/>
        </w:numPr>
      </w:pPr>
      <w:r>
        <w:t xml:space="preserve">For non-squamous </w:t>
      </w:r>
      <w:r w:rsidR="0025212B">
        <w:t>NSCLC:</w:t>
      </w:r>
      <w:r>
        <w:t xml:space="preserve"> Dabrafenib 249 mg/day for 18.91 months + trametinib 1.8 mg/day for 17.72 months = Pembrolizumab 200 mg Q3W for 14.13 cycles in combination with cisplatin 137 mg Q3W or carboplatin 530 mg Q3W for 3.60 cycles and pemetrexed 911 mg Q3W for 13.58 cycles.</w:t>
      </w:r>
    </w:p>
    <w:p w14:paraId="0611E71C" w14:textId="5A01541A" w:rsidR="00B37AEA" w:rsidRPr="00F846F5" w:rsidRDefault="00B37AEA" w:rsidP="0025212B">
      <w:pPr>
        <w:pStyle w:val="3-BodyText"/>
        <w:numPr>
          <w:ilvl w:val="0"/>
          <w:numId w:val="0"/>
        </w:numPr>
        <w:ind w:left="1080" w:hanging="360"/>
      </w:pPr>
      <w:r>
        <w:t>•</w:t>
      </w:r>
      <w:r>
        <w:tab/>
      </w:r>
      <w:r w:rsidR="0025212B">
        <w:t>For squamous NSCLC</w:t>
      </w:r>
      <w:r>
        <w:t>: Dabrafenib 249 mg/day for 18.91 months + trametinib 1.8</w:t>
      </w:r>
      <w:r w:rsidR="00295CE0">
        <w:t> </w:t>
      </w:r>
      <w:r>
        <w:t>mg/day for 17.72 months = Pembrolizumab 200 mg Q3W for 14.02 cycles in combination with carboplatin 636 mg Q3W for 3.62 cycles and paclitaxel 364</w:t>
      </w:r>
      <w:r w:rsidR="00295CE0">
        <w:t> </w:t>
      </w:r>
      <w:r>
        <w:t xml:space="preserve">mg </w:t>
      </w:r>
      <w:r w:rsidRPr="00F846F5">
        <w:t>Q3W for 3.60 cycles.</w:t>
      </w:r>
    </w:p>
    <w:p w14:paraId="418E082E" w14:textId="67E697ED" w:rsidR="00CC1960" w:rsidRPr="008857CD" w:rsidRDefault="00B63642" w:rsidP="00CC1960">
      <w:pPr>
        <w:pStyle w:val="3-BodyText"/>
      </w:pPr>
      <w:r w:rsidRPr="00F846F5">
        <w:lastRenderedPageBreak/>
        <w:t>The</w:t>
      </w:r>
      <w:r w:rsidR="00311A55" w:rsidRPr="00F846F5">
        <w:t xml:space="preserve"> PBAC considered the </w:t>
      </w:r>
      <w:r w:rsidR="00000298" w:rsidRPr="00F846F5">
        <w:t xml:space="preserve">estimated utilisation of D+T </w:t>
      </w:r>
      <w:r w:rsidR="00D24C52" w:rsidRPr="00F846F5">
        <w:t xml:space="preserve">provided in the submission was </w:t>
      </w:r>
      <w:r w:rsidR="00000298" w:rsidRPr="00F846F5">
        <w:t>reasonable</w:t>
      </w:r>
      <w:r w:rsidR="00D24C52" w:rsidRPr="00F846F5">
        <w:t xml:space="preserve">; however, the PBAC considered the offsets from reduced utilisation of pembrolizumab and chemotherapy were unlikely to be realised as use of these agents </w:t>
      </w:r>
      <w:r w:rsidR="00D24C52" w:rsidRPr="008857CD">
        <w:t>will be displaced rather than replaced.</w:t>
      </w:r>
      <w:r w:rsidR="00933A28" w:rsidRPr="008857CD">
        <w:t xml:space="preserve"> </w:t>
      </w:r>
    </w:p>
    <w:p w14:paraId="0070D2B4" w14:textId="47F00117" w:rsidR="00CC1960" w:rsidRPr="008857CD" w:rsidRDefault="00CC1960" w:rsidP="00CC1960">
      <w:pPr>
        <w:pStyle w:val="3-BodyText"/>
      </w:pPr>
      <w:bookmarkStart w:id="104" w:name="_Ref194995507"/>
      <w:r w:rsidRPr="008857CD">
        <w:t xml:space="preserve">The PBAC </w:t>
      </w:r>
      <w:r w:rsidR="007B4325" w:rsidRPr="008857CD">
        <w:t xml:space="preserve">noted </w:t>
      </w:r>
      <w:r w:rsidRPr="008857CD">
        <w:t xml:space="preserve">that flow-on changes to the immunotherapy listings </w:t>
      </w:r>
      <w:r w:rsidR="007C6EAE">
        <w:t xml:space="preserve">including pembrolizumab </w:t>
      </w:r>
      <w:r w:rsidRPr="008857CD">
        <w:t xml:space="preserve">would be required to ensure patients treated with D+T can access second line </w:t>
      </w:r>
      <w:r w:rsidR="00FA743B">
        <w:t xml:space="preserve">immunotherapy </w:t>
      </w:r>
      <w:r w:rsidRPr="008857CD">
        <w:t>treatment (as discussed in paragraph</w:t>
      </w:r>
      <w:r w:rsidR="009D1081">
        <w:t xml:space="preserve"> </w:t>
      </w:r>
      <w:r w:rsidR="007B4325" w:rsidRPr="008857CD">
        <w:fldChar w:fldCharType="begin"/>
      </w:r>
      <w:r w:rsidR="007B4325" w:rsidRPr="008857CD">
        <w:instrText xml:space="preserve"> REF _Ref194998369 \r \h </w:instrText>
      </w:r>
      <w:r w:rsidR="008857CD">
        <w:instrText xml:space="preserve"> \* MERGEFORMAT </w:instrText>
      </w:r>
      <w:r w:rsidR="007B4325" w:rsidRPr="008857CD">
        <w:fldChar w:fldCharType="separate"/>
      </w:r>
      <w:r w:rsidR="00EF4998">
        <w:t>7.3</w:t>
      </w:r>
      <w:r w:rsidR="007B4325" w:rsidRPr="008857CD">
        <w:fldChar w:fldCharType="end"/>
      </w:r>
      <w:r w:rsidRPr="008857CD">
        <w:t>) and advised the following changes to the relevant items:</w:t>
      </w:r>
      <w:bookmarkEnd w:id="104"/>
    </w:p>
    <w:p w14:paraId="034FF047" w14:textId="3EC4D712" w:rsidR="00CC1960" w:rsidRPr="008857CD" w:rsidRDefault="005C5D78" w:rsidP="00CC1960">
      <w:pPr>
        <w:pStyle w:val="ListParagraph"/>
        <w:numPr>
          <w:ilvl w:val="0"/>
          <w:numId w:val="46"/>
        </w:numPr>
        <w:spacing w:before="120" w:after="160"/>
        <w:ind w:left="1134"/>
      </w:pPr>
      <w:r w:rsidRPr="008857CD">
        <w:t>A</w:t>
      </w:r>
      <w:r w:rsidR="00CC1960" w:rsidRPr="008857CD">
        <w:t>mend</w:t>
      </w:r>
      <w:r>
        <w:t xml:space="preserve"> the following criterion in</w:t>
      </w:r>
      <w:r w:rsidR="00CC1960" w:rsidRPr="008857CD">
        <w:t xml:space="preserve"> </w:t>
      </w:r>
      <w:r>
        <w:t xml:space="preserve">the </w:t>
      </w:r>
      <w:r w:rsidR="00CC1960" w:rsidRPr="008857CD">
        <w:t>first line immunotherapy listings</w:t>
      </w:r>
      <w:r w:rsidR="00347AE1">
        <w:t xml:space="preserve"> f</w:t>
      </w:r>
      <w:r w:rsidR="00726741">
        <w:t>or s</w:t>
      </w:r>
      <w:r w:rsidR="00726741" w:rsidRPr="00726741">
        <w:t>tage IV (metastatic) non-small cell lung cancer (NSCLC)</w:t>
      </w:r>
      <w:r w:rsidR="00CC1960" w:rsidRPr="008857CD">
        <w:t xml:space="preserve">: </w:t>
      </w:r>
      <w:r w:rsidR="00A312B7" w:rsidRPr="008857CD">
        <w:t xml:space="preserve">to “Patient must not have previously been treated for this condition in the metastatic setting OR The condition must have progressed after treatment with </w:t>
      </w:r>
      <w:r w:rsidR="00A312B7" w:rsidRPr="00407609">
        <w:rPr>
          <w:i/>
          <w:iCs/>
        </w:rPr>
        <w:t>only one of (</w:t>
      </w:r>
      <w:proofErr w:type="spellStart"/>
      <w:r w:rsidR="00A312B7" w:rsidRPr="00407609">
        <w:rPr>
          <w:i/>
          <w:iCs/>
        </w:rPr>
        <w:t>i</w:t>
      </w:r>
      <w:proofErr w:type="spellEnd"/>
      <w:r w:rsidR="00A312B7" w:rsidRPr="00407609">
        <w:rPr>
          <w:i/>
          <w:iCs/>
        </w:rPr>
        <w:t xml:space="preserve">) </w:t>
      </w:r>
      <w:proofErr w:type="spellStart"/>
      <w:r w:rsidR="00A312B7" w:rsidRPr="00407609">
        <w:rPr>
          <w:i/>
          <w:iCs/>
        </w:rPr>
        <w:t>tepotinib</w:t>
      </w:r>
      <w:proofErr w:type="spellEnd"/>
      <w:r w:rsidR="00A312B7" w:rsidRPr="00407609">
        <w:rPr>
          <w:i/>
          <w:iCs/>
        </w:rPr>
        <w:t xml:space="preserve">, (ii) </w:t>
      </w:r>
      <w:proofErr w:type="spellStart"/>
      <w:r w:rsidR="00A312B7" w:rsidRPr="00407609">
        <w:rPr>
          <w:i/>
          <w:iCs/>
        </w:rPr>
        <w:t>selpercatinib</w:t>
      </w:r>
      <w:proofErr w:type="spellEnd"/>
      <w:r w:rsidR="00A312B7" w:rsidRPr="00407609">
        <w:rPr>
          <w:i/>
          <w:iCs/>
        </w:rPr>
        <w:t>, (iii)</w:t>
      </w:r>
      <w:r w:rsidR="00A312B7" w:rsidRPr="005C5D78">
        <w:rPr>
          <w:i/>
          <w:iCs/>
        </w:rPr>
        <w:t xml:space="preserve"> </w:t>
      </w:r>
      <w:r w:rsidR="000D50D1" w:rsidRPr="005C5D78">
        <w:rPr>
          <w:i/>
          <w:iCs/>
        </w:rPr>
        <w:t>dabrafenib in combination with trametinib</w:t>
      </w:r>
      <w:r w:rsidR="000D50D1" w:rsidRPr="008857CD">
        <w:t>”</w:t>
      </w:r>
      <w:r w:rsidR="00A312B7" w:rsidRPr="008857CD">
        <w:t>.</w:t>
      </w:r>
    </w:p>
    <w:p w14:paraId="5F2E93D1" w14:textId="4E66DE7E" w:rsidR="00672357" w:rsidRDefault="00672357" w:rsidP="00CC1960">
      <w:pPr>
        <w:pStyle w:val="3-BodyText"/>
      </w:pPr>
      <w:r w:rsidRPr="001756F5">
        <w:t>The PBAC noted that its recommendation was on a cost-minimisation basis and advised that, because</w:t>
      </w:r>
      <w:r>
        <w:t xml:space="preserve"> D+T</w:t>
      </w:r>
      <w:r w:rsidRPr="001756F5">
        <w:t xml:space="preserve"> is not expected to provide a substantial and clinically relevant improvement in efficacy, or reduction of toxicity, over</w:t>
      </w:r>
      <w:r>
        <w:t xml:space="preserve"> pembrolizumab in combination with chemotherapy</w:t>
      </w:r>
      <w:r w:rsidRPr="001756F5">
        <w:t>, or not expected to address a high and urgent unmet clinical need given the presence of an alternative therapy, the criteria prescribed by the National Health (Pharmaceuticals and Vaccines – Cost Recovery) Regulations 2009 for Pricing Pathway A were not met.</w:t>
      </w:r>
    </w:p>
    <w:p w14:paraId="0CD2C287" w14:textId="77777777" w:rsidR="00672357" w:rsidRDefault="00672357" w:rsidP="00CC1960">
      <w:pPr>
        <w:pStyle w:val="3-BodyText"/>
      </w:pPr>
      <w:r>
        <w:t xml:space="preserve">The </w:t>
      </w:r>
      <w:r w:rsidRPr="003C1D6A">
        <w:t>PBAC noted that this submission is not eligible for an Independent Review as it received a positive recommendation.</w:t>
      </w:r>
    </w:p>
    <w:p w14:paraId="7B709809" w14:textId="77777777" w:rsidR="00973E62" w:rsidRPr="00525B39" w:rsidRDefault="00973E62" w:rsidP="00973E62">
      <w:pPr>
        <w:spacing w:before="240"/>
        <w:rPr>
          <w:rFonts w:asciiTheme="minorHAnsi" w:hAnsiTheme="minorHAnsi"/>
          <w:b/>
          <w:bCs/>
          <w:snapToGrid w:val="0"/>
          <w:lang w:val="en-GB"/>
        </w:rPr>
      </w:pPr>
      <w:bookmarkStart w:id="105" w:name="_Toc186369249"/>
      <w:bookmarkStart w:id="106" w:name="_Toc188347787"/>
      <w:r w:rsidRPr="00525B39">
        <w:rPr>
          <w:rFonts w:asciiTheme="minorHAnsi" w:hAnsiTheme="minorHAnsi"/>
          <w:b/>
          <w:bCs/>
          <w:snapToGrid w:val="0"/>
          <w:lang w:val="en-GB"/>
        </w:rPr>
        <w:t>Outcome:</w:t>
      </w:r>
    </w:p>
    <w:p w14:paraId="298582DD" w14:textId="3B927BCC" w:rsidR="00973E62" w:rsidRPr="00525B39" w:rsidRDefault="00973E62" w:rsidP="00973E62">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01FA19DA" w14:textId="77777777" w:rsidR="00973E62" w:rsidRPr="00525B39" w:rsidRDefault="00973E62" w:rsidP="00973E62">
      <w:pPr>
        <w:widowControl w:val="0"/>
        <w:rPr>
          <w:rFonts w:asciiTheme="minorHAnsi" w:hAnsiTheme="minorHAnsi"/>
          <w:b/>
          <w:bCs/>
          <w:snapToGrid w:val="0"/>
        </w:rPr>
      </w:pPr>
    </w:p>
    <w:p w14:paraId="59549709" w14:textId="77777777" w:rsidR="00B9695E" w:rsidRPr="00907671" w:rsidRDefault="00B9695E" w:rsidP="00B9695E">
      <w:pPr>
        <w:pStyle w:val="2-SectionHeading"/>
        <w:numPr>
          <w:ilvl w:val="0"/>
          <w:numId w:val="2"/>
        </w:numPr>
      </w:pPr>
      <w:r w:rsidRPr="00907671">
        <w:t>Recommended listing</w:t>
      </w:r>
    </w:p>
    <w:p w14:paraId="4BFE8AD7" w14:textId="60325662" w:rsidR="00B9695E" w:rsidRPr="00525B39" w:rsidRDefault="00B9695E" w:rsidP="00B9695E">
      <w:pPr>
        <w:pStyle w:val="3-BodyText"/>
      </w:pPr>
      <w:r w:rsidRPr="00525B39">
        <w:t>Add new item</w:t>
      </w:r>
      <w:r>
        <w:t>s</w:t>
      </w:r>
      <w:r w:rsidRPr="00525B39">
        <w:t>:</w:t>
      </w:r>
    </w:p>
    <w:p w14:paraId="5EFD972D" w14:textId="4789BD6C" w:rsidR="00C960EA" w:rsidRPr="00525B39" w:rsidRDefault="00C960EA" w:rsidP="00C960EA">
      <w:pPr>
        <w:pStyle w:val="3-BodyText"/>
        <w:numPr>
          <w:ilvl w:val="0"/>
          <w:numId w:val="0"/>
        </w:numPr>
      </w:pPr>
      <w:r>
        <w:rPr>
          <w:rFonts w:cs="Calibri"/>
          <w:b/>
          <w:bCs/>
        </w:rPr>
        <w:t>Dabrafenib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851"/>
        <w:gridCol w:w="2081"/>
        <w:gridCol w:w="895"/>
        <w:gridCol w:w="851"/>
        <w:gridCol w:w="850"/>
        <w:gridCol w:w="709"/>
        <w:gridCol w:w="2075"/>
      </w:tblGrid>
      <w:tr w:rsidR="009B6C30" w:rsidRPr="001428E9" w14:paraId="10E389E6" w14:textId="77777777" w:rsidTr="009B6C30">
        <w:trPr>
          <w:cantSplit/>
          <w:trHeight w:val="20"/>
        </w:trPr>
        <w:tc>
          <w:tcPr>
            <w:tcW w:w="3637" w:type="dxa"/>
            <w:gridSpan w:val="3"/>
            <w:vAlign w:val="center"/>
          </w:tcPr>
          <w:p w14:paraId="6FDF5846" w14:textId="77777777" w:rsidR="009B6C30" w:rsidRPr="009B6C30" w:rsidRDefault="009B6C30" w:rsidP="009B6C30">
            <w:pPr>
              <w:rPr>
                <w:snapToGrid w:val="0"/>
              </w:rPr>
            </w:pPr>
            <w:r w:rsidRPr="009B6C30">
              <w:rPr>
                <w:snapToGrid w:val="0"/>
              </w:rPr>
              <w:t>MEDICINAL PRODUCT</w:t>
            </w:r>
          </w:p>
          <w:p w14:paraId="664A6AEA" w14:textId="6C8D796B" w:rsidR="009B6C30" w:rsidRPr="001428E9" w:rsidRDefault="009B6C30" w:rsidP="009B6C30">
            <w:r>
              <w:rPr>
                <w:snapToGrid w:val="0"/>
              </w:rPr>
              <w:t>M</w:t>
            </w:r>
            <w:r w:rsidRPr="009B6C30">
              <w:rPr>
                <w:snapToGrid w:val="0"/>
              </w:rPr>
              <w:t>edicinal product pack</w:t>
            </w:r>
          </w:p>
        </w:tc>
        <w:tc>
          <w:tcPr>
            <w:tcW w:w="895" w:type="dxa"/>
            <w:vAlign w:val="center"/>
          </w:tcPr>
          <w:p w14:paraId="4FF48C04"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PBS item code</w:t>
            </w:r>
          </w:p>
        </w:tc>
        <w:tc>
          <w:tcPr>
            <w:tcW w:w="851" w:type="dxa"/>
            <w:vAlign w:val="center"/>
          </w:tcPr>
          <w:p w14:paraId="73AC5CB4"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Max. qty packs</w:t>
            </w:r>
          </w:p>
        </w:tc>
        <w:tc>
          <w:tcPr>
            <w:tcW w:w="850" w:type="dxa"/>
            <w:vAlign w:val="center"/>
          </w:tcPr>
          <w:p w14:paraId="366D4AC5"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Max. qty units</w:t>
            </w:r>
          </w:p>
        </w:tc>
        <w:tc>
          <w:tcPr>
            <w:tcW w:w="709" w:type="dxa"/>
            <w:vAlign w:val="center"/>
          </w:tcPr>
          <w:p w14:paraId="19DA3844"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№.of</w:t>
            </w:r>
          </w:p>
          <w:p w14:paraId="63AD543B"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Rpts</w:t>
            </w:r>
          </w:p>
        </w:tc>
        <w:tc>
          <w:tcPr>
            <w:tcW w:w="2075" w:type="dxa"/>
            <w:vAlign w:val="center"/>
          </w:tcPr>
          <w:p w14:paraId="0B8538DF" w14:textId="77777777" w:rsidR="009B6C30" w:rsidRPr="001428E9" w:rsidRDefault="009B6C30" w:rsidP="000B6113">
            <w:pPr>
              <w:keepLines/>
              <w:rPr>
                <w:rFonts w:ascii="Arial Narrow" w:hAnsi="Arial Narrow"/>
                <w:b/>
                <w:sz w:val="20"/>
                <w:szCs w:val="20"/>
                <w:lang w:val="fr-FR"/>
              </w:rPr>
            </w:pPr>
            <w:r w:rsidRPr="001428E9">
              <w:rPr>
                <w:rFonts w:ascii="Arial Narrow" w:hAnsi="Arial Narrow"/>
                <w:b/>
                <w:sz w:val="20"/>
                <w:szCs w:val="20"/>
              </w:rPr>
              <w:t>Available brands</w:t>
            </w:r>
          </w:p>
        </w:tc>
      </w:tr>
      <w:tr w:rsidR="009B6C30" w:rsidRPr="001428E9" w14:paraId="7066FFB3" w14:textId="77777777" w:rsidTr="009B6C30">
        <w:trPr>
          <w:cantSplit/>
          <w:trHeight w:val="20"/>
        </w:trPr>
        <w:tc>
          <w:tcPr>
            <w:tcW w:w="9017" w:type="dxa"/>
            <w:gridSpan w:val="8"/>
            <w:vAlign w:val="center"/>
          </w:tcPr>
          <w:p w14:paraId="042DE997" w14:textId="77777777" w:rsidR="009B6C30" w:rsidRPr="001428E9" w:rsidRDefault="009B6C30" w:rsidP="000B6113">
            <w:pPr>
              <w:keepLines/>
              <w:rPr>
                <w:rFonts w:ascii="Arial Narrow" w:hAnsi="Arial Narrow"/>
                <w:sz w:val="20"/>
                <w:szCs w:val="20"/>
              </w:rPr>
            </w:pPr>
            <w:r>
              <w:rPr>
                <w:rFonts w:ascii="Arial Narrow" w:hAnsi="Arial Narrow"/>
                <w:sz w:val="20"/>
                <w:szCs w:val="20"/>
              </w:rPr>
              <w:t>DABRAFENIB</w:t>
            </w:r>
          </w:p>
        </w:tc>
      </w:tr>
      <w:tr w:rsidR="009B6C30" w:rsidRPr="001428E9" w14:paraId="0CA75801" w14:textId="77777777" w:rsidTr="009B6C30">
        <w:trPr>
          <w:cantSplit/>
          <w:trHeight w:val="20"/>
        </w:trPr>
        <w:tc>
          <w:tcPr>
            <w:tcW w:w="3637" w:type="dxa"/>
            <w:gridSpan w:val="3"/>
            <w:vAlign w:val="center"/>
          </w:tcPr>
          <w:p w14:paraId="698E3A64" w14:textId="573CF2D3" w:rsidR="009B6C30" w:rsidRPr="009B6C30" w:rsidRDefault="009B6C30" w:rsidP="000B6113">
            <w:pPr>
              <w:keepLines/>
              <w:rPr>
                <w:rFonts w:ascii="Arial Narrow" w:hAnsi="Arial Narrow"/>
                <w:sz w:val="20"/>
                <w:szCs w:val="20"/>
              </w:rPr>
            </w:pPr>
            <w:r w:rsidRPr="009B6C30">
              <w:rPr>
                <w:rFonts w:ascii="Arial Narrow" w:hAnsi="Arial Narrow"/>
                <w:sz w:val="20"/>
                <w:szCs w:val="20"/>
              </w:rPr>
              <w:t>Dabrafenib 75 mg capsule, 120</w:t>
            </w:r>
          </w:p>
        </w:tc>
        <w:tc>
          <w:tcPr>
            <w:tcW w:w="895" w:type="dxa"/>
            <w:vAlign w:val="center"/>
          </w:tcPr>
          <w:p w14:paraId="1063035F" w14:textId="77777777" w:rsidR="009B6C30" w:rsidRPr="009B6C30" w:rsidRDefault="009B6C30" w:rsidP="000B6113">
            <w:pPr>
              <w:keepLines/>
              <w:jc w:val="center"/>
              <w:rPr>
                <w:rFonts w:ascii="Arial Narrow" w:hAnsi="Arial Narrow"/>
                <w:sz w:val="20"/>
                <w:szCs w:val="20"/>
              </w:rPr>
            </w:pPr>
            <w:r w:rsidRPr="009B6C30">
              <w:rPr>
                <w:rFonts w:ascii="Arial Narrow" w:hAnsi="Arial Narrow"/>
                <w:sz w:val="20"/>
                <w:szCs w:val="20"/>
              </w:rPr>
              <w:t>NEW</w:t>
            </w:r>
          </w:p>
        </w:tc>
        <w:tc>
          <w:tcPr>
            <w:tcW w:w="851" w:type="dxa"/>
            <w:vAlign w:val="center"/>
          </w:tcPr>
          <w:p w14:paraId="4184FC59" w14:textId="77777777" w:rsidR="009B6C30" w:rsidRPr="009B6C30" w:rsidRDefault="009B6C30" w:rsidP="000B6113">
            <w:pPr>
              <w:keepLines/>
              <w:jc w:val="center"/>
              <w:rPr>
                <w:rFonts w:ascii="Arial Narrow" w:hAnsi="Arial Narrow"/>
                <w:sz w:val="20"/>
                <w:szCs w:val="20"/>
              </w:rPr>
            </w:pPr>
            <w:r w:rsidRPr="009B6C30">
              <w:rPr>
                <w:rFonts w:ascii="Arial Narrow" w:hAnsi="Arial Narrow"/>
                <w:sz w:val="20"/>
                <w:szCs w:val="20"/>
              </w:rPr>
              <w:t>1</w:t>
            </w:r>
          </w:p>
        </w:tc>
        <w:tc>
          <w:tcPr>
            <w:tcW w:w="850" w:type="dxa"/>
            <w:vAlign w:val="center"/>
          </w:tcPr>
          <w:p w14:paraId="25D1BBF3" w14:textId="77777777" w:rsidR="009B6C30" w:rsidRPr="009B6C30" w:rsidRDefault="009B6C30" w:rsidP="000B6113">
            <w:pPr>
              <w:keepLines/>
              <w:jc w:val="center"/>
              <w:rPr>
                <w:rFonts w:ascii="Arial Narrow" w:hAnsi="Arial Narrow"/>
                <w:sz w:val="20"/>
                <w:szCs w:val="20"/>
              </w:rPr>
            </w:pPr>
            <w:r w:rsidRPr="009B6C30">
              <w:rPr>
                <w:rFonts w:ascii="Arial Narrow" w:hAnsi="Arial Narrow"/>
                <w:sz w:val="20"/>
                <w:szCs w:val="20"/>
              </w:rPr>
              <w:t>120</w:t>
            </w:r>
          </w:p>
        </w:tc>
        <w:tc>
          <w:tcPr>
            <w:tcW w:w="709" w:type="dxa"/>
            <w:vAlign w:val="center"/>
          </w:tcPr>
          <w:p w14:paraId="7A24160A" w14:textId="77777777" w:rsidR="009B6C30" w:rsidRPr="009B6C30" w:rsidRDefault="009B6C30" w:rsidP="000B6113">
            <w:pPr>
              <w:keepLines/>
              <w:jc w:val="center"/>
              <w:rPr>
                <w:rFonts w:ascii="Arial Narrow" w:hAnsi="Arial Narrow"/>
                <w:sz w:val="20"/>
                <w:szCs w:val="20"/>
              </w:rPr>
            </w:pPr>
            <w:r w:rsidRPr="009B6C30">
              <w:rPr>
                <w:rFonts w:ascii="Arial Narrow" w:hAnsi="Arial Narrow"/>
                <w:sz w:val="20"/>
                <w:szCs w:val="20"/>
              </w:rPr>
              <w:t>5</w:t>
            </w:r>
          </w:p>
        </w:tc>
        <w:tc>
          <w:tcPr>
            <w:tcW w:w="2075" w:type="dxa"/>
            <w:vAlign w:val="center"/>
          </w:tcPr>
          <w:p w14:paraId="556E89BF" w14:textId="77777777" w:rsidR="009B6C30" w:rsidRPr="009B6C30" w:rsidRDefault="009B6C30" w:rsidP="000B6113">
            <w:pPr>
              <w:keepLines/>
              <w:rPr>
                <w:rFonts w:ascii="Arial Narrow" w:hAnsi="Arial Narrow"/>
                <w:sz w:val="20"/>
                <w:szCs w:val="20"/>
              </w:rPr>
            </w:pPr>
            <w:proofErr w:type="spellStart"/>
            <w:r w:rsidRPr="009B6C30">
              <w:rPr>
                <w:rFonts w:ascii="Arial Narrow" w:hAnsi="Arial Narrow"/>
                <w:sz w:val="20"/>
                <w:szCs w:val="20"/>
              </w:rPr>
              <w:t>Tafinlar</w:t>
            </w:r>
            <w:proofErr w:type="spellEnd"/>
          </w:p>
        </w:tc>
      </w:tr>
      <w:tr w:rsidR="009B6C30" w:rsidRPr="001428E9" w14:paraId="41457523" w14:textId="77777777" w:rsidTr="009B6C30">
        <w:trPr>
          <w:cantSplit/>
          <w:trHeight w:val="20"/>
        </w:trPr>
        <w:tc>
          <w:tcPr>
            <w:tcW w:w="3637" w:type="dxa"/>
            <w:gridSpan w:val="3"/>
            <w:vAlign w:val="center"/>
          </w:tcPr>
          <w:p w14:paraId="7BF984CC" w14:textId="3EE110C5" w:rsidR="009B6C30" w:rsidRPr="009B6C30" w:rsidRDefault="009B6C30" w:rsidP="000B6113">
            <w:pPr>
              <w:keepLines/>
              <w:rPr>
                <w:rFonts w:ascii="Arial Narrow" w:hAnsi="Arial Narrow"/>
                <w:sz w:val="20"/>
                <w:szCs w:val="20"/>
              </w:rPr>
            </w:pPr>
            <w:r w:rsidRPr="009B6C30">
              <w:rPr>
                <w:rFonts w:ascii="Arial Narrow" w:hAnsi="Arial Narrow"/>
                <w:sz w:val="20"/>
                <w:szCs w:val="20"/>
              </w:rPr>
              <w:t>Dabrafenib 50 mg capsule, 120</w:t>
            </w:r>
          </w:p>
        </w:tc>
        <w:tc>
          <w:tcPr>
            <w:tcW w:w="895" w:type="dxa"/>
            <w:vAlign w:val="center"/>
          </w:tcPr>
          <w:p w14:paraId="2E68887C" w14:textId="77777777" w:rsidR="009B6C30" w:rsidRPr="009B6C30" w:rsidRDefault="009B6C30" w:rsidP="000B6113">
            <w:pPr>
              <w:keepLines/>
              <w:jc w:val="center"/>
              <w:rPr>
                <w:rFonts w:ascii="Arial Narrow" w:hAnsi="Arial Narrow"/>
                <w:sz w:val="20"/>
                <w:szCs w:val="20"/>
              </w:rPr>
            </w:pPr>
            <w:r w:rsidRPr="009B6C30">
              <w:rPr>
                <w:rFonts w:ascii="Arial Narrow" w:hAnsi="Arial Narrow"/>
                <w:sz w:val="20"/>
                <w:szCs w:val="20"/>
              </w:rPr>
              <w:t>NEW</w:t>
            </w:r>
          </w:p>
        </w:tc>
        <w:tc>
          <w:tcPr>
            <w:tcW w:w="851" w:type="dxa"/>
            <w:vAlign w:val="center"/>
          </w:tcPr>
          <w:p w14:paraId="7B48D8FB" w14:textId="037359F8" w:rsidR="009B6C30" w:rsidRPr="009B6C30" w:rsidRDefault="009B6C30" w:rsidP="000B6113">
            <w:pPr>
              <w:keepLines/>
              <w:jc w:val="center"/>
              <w:rPr>
                <w:rFonts w:ascii="Arial Narrow" w:hAnsi="Arial Narrow"/>
                <w:strike/>
                <w:sz w:val="20"/>
                <w:szCs w:val="20"/>
              </w:rPr>
            </w:pPr>
            <w:r w:rsidRPr="009B6C30">
              <w:rPr>
                <w:rFonts w:ascii="Arial Narrow" w:hAnsi="Arial Narrow"/>
                <w:sz w:val="20"/>
                <w:szCs w:val="20"/>
              </w:rPr>
              <w:t>1</w:t>
            </w:r>
          </w:p>
        </w:tc>
        <w:tc>
          <w:tcPr>
            <w:tcW w:w="850" w:type="dxa"/>
            <w:vAlign w:val="center"/>
          </w:tcPr>
          <w:p w14:paraId="34B91084" w14:textId="754CE9AF" w:rsidR="009B6C30" w:rsidRPr="009B6C30" w:rsidRDefault="009B6C30" w:rsidP="000B6113">
            <w:pPr>
              <w:keepLines/>
              <w:jc w:val="center"/>
              <w:rPr>
                <w:rFonts w:ascii="Arial Narrow" w:hAnsi="Arial Narrow"/>
                <w:strike/>
                <w:sz w:val="20"/>
                <w:szCs w:val="20"/>
              </w:rPr>
            </w:pPr>
            <w:r w:rsidRPr="009B6C30">
              <w:rPr>
                <w:rFonts w:ascii="Arial Narrow" w:hAnsi="Arial Narrow"/>
                <w:sz w:val="20"/>
                <w:szCs w:val="20"/>
              </w:rPr>
              <w:t>120</w:t>
            </w:r>
          </w:p>
        </w:tc>
        <w:tc>
          <w:tcPr>
            <w:tcW w:w="709" w:type="dxa"/>
            <w:vAlign w:val="center"/>
          </w:tcPr>
          <w:p w14:paraId="3ABB7132" w14:textId="77777777" w:rsidR="009B6C30" w:rsidRPr="009B6C30" w:rsidRDefault="009B6C30" w:rsidP="000B6113">
            <w:pPr>
              <w:keepLines/>
              <w:jc w:val="center"/>
              <w:rPr>
                <w:rFonts w:ascii="Arial Narrow" w:hAnsi="Arial Narrow"/>
                <w:sz w:val="20"/>
                <w:szCs w:val="20"/>
              </w:rPr>
            </w:pPr>
            <w:r w:rsidRPr="009B6C30">
              <w:rPr>
                <w:rFonts w:ascii="Arial Narrow" w:hAnsi="Arial Narrow"/>
                <w:sz w:val="20"/>
                <w:szCs w:val="20"/>
              </w:rPr>
              <w:t>5</w:t>
            </w:r>
          </w:p>
        </w:tc>
        <w:tc>
          <w:tcPr>
            <w:tcW w:w="2075" w:type="dxa"/>
            <w:vAlign w:val="center"/>
          </w:tcPr>
          <w:p w14:paraId="43F24B74" w14:textId="77777777" w:rsidR="009B6C30" w:rsidRPr="009B6C30" w:rsidRDefault="009B6C30" w:rsidP="000B6113">
            <w:pPr>
              <w:keepLines/>
              <w:rPr>
                <w:rFonts w:ascii="Arial Narrow" w:hAnsi="Arial Narrow"/>
                <w:sz w:val="20"/>
                <w:szCs w:val="20"/>
              </w:rPr>
            </w:pPr>
            <w:proofErr w:type="spellStart"/>
            <w:r w:rsidRPr="009B6C30">
              <w:rPr>
                <w:rFonts w:ascii="Arial Narrow" w:hAnsi="Arial Narrow"/>
                <w:sz w:val="20"/>
                <w:szCs w:val="20"/>
              </w:rPr>
              <w:t>Tafinlar</w:t>
            </w:r>
            <w:proofErr w:type="spellEnd"/>
          </w:p>
        </w:tc>
      </w:tr>
      <w:tr w:rsidR="009B6C30" w:rsidRPr="001428E9" w14:paraId="6FFE2779" w14:textId="77777777" w:rsidTr="009B6C30">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20AB8AF2" w14:textId="77777777" w:rsidR="009B6C30" w:rsidRPr="001428E9" w:rsidRDefault="009B6C30" w:rsidP="000B6113">
            <w:pPr>
              <w:rPr>
                <w:rFonts w:ascii="Arial Narrow" w:hAnsi="Arial Narrow"/>
                <w:sz w:val="20"/>
                <w:szCs w:val="20"/>
              </w:rPr>
            </w:pPr>
          </w:p>
        </w:tc>
      </w:tr>
      <w:tr w:rsidR="009B6C30" w:rsidRPr="001428E9" w14:paraId="3E6713FC" w14:textId="77777777" w:rsidTr="009B6C30">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043D4AB1" w14:textId="77777777" w:rsidR="009B6C30" w:rsidRPr="001428E9" w:rsidRDefault="009B6C30" w:rsidP="000B6113">
            <w:pPr>
              <w:keepLines/>
              <w:rPr>
                <w:rFonts w:ascii="Arial Narrow" w:hAnsi="Arial Narrow"/>
                <w:b/>
                <w:sz w:val="20"/>
                <w:szCs w:val="20"/>
              </w:rPr>
            </w:pPr>
            <w:r w:rsidRPr="001428E9">
              <w:rPr>
                <w:rFonts w:ascii="Arial Narrow" w:hAnsi="Arial Narrow"/>
                <w:b/>
                <w:sz w:val="20"/>
                <w:szCs w:val="20"/>
              </w:rPr>
              <w:t>Restriction Summary [new</w:t>
            </w:r>
            <w:r>
              <w:rPr>
                <w:rFonts w:ascii="Arial Narrow" w:hAnsi="Arial Narrow"/>
                <w:b/>
                <w:sz w:val="20"/>
                <w:szCs w:val="20"/>
              </w:rPr>
              <w:t>1</w:t>
            </w:r>
            <w:r w:rsidRPr="001428E9">
              <w:rPr>
                <w:rFonts w:ascii="Arial Narrow" w:hAnsi="Arial Narrow"/>
                <w:b/>
                <w:sz w:val="20"/>
                <w:szCs w:val="20"/>
              </w:rPr>
              <w:t>]</w:t>
            </w:r>
            <w:r w:rsidRPr="001428E9">
              <w:rPr>
                <w:rFonts w:ascii="Arial Narrow" w:hAnsi="Arial Narrow"/>
                <w:b/>
                <w:color w:val="FF0000"/>
                <w:sz w:val="20"/>
                <w:szCs w:val="20"/>
              </w:rPr>
              <w:t xml:space="preserve"> </w:t>
            </w:r>
            <w:r w:rsidRPr="001428E9">
              <w:rPr>
                <w:rFonts w:ascii="Arial Narrow" w:hAnsi="Arial Narrow"/>
                <w:b/>
                <w:sz w:val="20"/>
                <w:szCs w:val="20"/>
              </w:rPr>
              <w:t>/ Treatment of Concept: [new</w:t>
            </w:r>
            <w:r>
              <w:rPr>
                <w:rFonts w:ascii="Arial Narrow" w:hAnsi="Arial Narrow"/>
                <w:b/>
                <w:sz w:val="20"/>
                <w:szCs w:val="20"/>
              </w:rPr>
              <w:t>1A</w:t>
            </w:r>
            <w:r w:rsidRPr="001428E9">
              <w:rPr>
                <w:rFonts w:ascii="Arial Narrow" w:hAnsi="Arial Narrow"/>
                <w:b/>
                <w:sz w:val="20"/>
                <w:szCs w:val="20"/>
              </w:rPr>
              <w:t>]</w:t>
            </w:r>
          </w:p>
        </w:tc>
      </w:tr>
      <w:tr w:rsidR="009B6C30" w:rsidRPr="001428E9" w14:paraId="7DE8A965" w14:textId="77777777" w:rsidTr="009B6C30">
        <w:tblPrEx>
          <w:tblCellMar>
            <w:top w:w="15" w:type="dxa"/>
            <w:bottom w:w="15" w:type="dxa"/>
          </w:tblCellMar>
          <w:tblLook w:val="04A0" w:firstRow="1" w:lastRow="0" w:firstColumn="1" w:lastColumn="0" w:noHBand="0" w:noVBand="1"/>
        </w:tblPrEx>
        <w:trPr>
          <w:trHeight w:val="20"/>
        </w:trPr>
        <w:tc>
          <w:tcPr>
            <w:tcW w:w="1556" w:type="dxa"/>
            <w:gridSpan w:val="2"/>
            <w:vMerge w:val="restart"/>
            <w:tcBorders>
              <w:top w:val="single" w:sz="4" w:space="0" w:color="auto"/>
              <w:left w:val="single" w:sz="4" w:space="0" w:color="auto"/>
              <w:right w:val="single" w:sz="4" w:space="0" w:color="auto"/>
            </w:tcBorders>
          </w:tcPr>
          <w:p w14:paraId="1376806B" w14:textId="77777777" w:rsidR="009B6C30" w:rsidRPr="001428E9" w:rsidRDefault="009B6C30" w:rsidP="000B6113">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461" w:type="dxa"/>
            <w:gridSpan w:val="6"/>
            <w:tcBorders>
              <w:top w:val="single" w:sz="4" w:space="0" w:color="auto"/>
              <w:left w:val="single" w:sz="4" w:space="0" w:color="auto"/>
              <w:bottom w:val="single" w:sz="4" w:space="0" w:color="auto"/>
              <w:right w:val="single" w:sz="4" w:space="0" w:color="auto"/>
            </w:tcBorders>
            <w:vAlign w:val="center"/>
          </w:tcPr>
          <w:p w14:paraId="4429427E" w14:textId="77777777" w:rsidR="009B6C30" w:rsidRPr="001428E9" w:rsidRDefault="009B6C30" w:rsidP="000B6113">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t xml:space="preserve">GENERAL - General Schedule (Code GE) </w:t>
            </w:r>
          </w:p>
        </w:tc>
      </w:tr>
      <w:tr w:rsidR="009B6C30" w:rsidRPr="001428E9" w14:paraId="0C6E3E7D" w14:textId="77777777" w:rsidTr="009B6C30">
        <w:tblPrEx>
          <w:tblCellMar>
            <w:top w:w="15" w:type="dxa"/>
            <w:bottom w:w="15" w:type="dxa"/>
          </w:tblCellMar>
          <w:tblLook w:val="04A0" w:firstRow="1" w:lastRow="0" w:firstColumn="1" w:lastColumn="0" w:noHBand="0" w:noVBand="1"/>
        </w:tblPrEx>
        <w:trPr>
          <w:trHeight w:val="20"/>
        </w:trPr>
        <w:tc>
          <w:tcPr>
            <w:tcW w:w="1556" w:type="dxa"/>
            <w:gridSpan w:val="2"/>
            <w:vMerge/>
          </w:tcPr>
          <w:p w14:paraId="61B78EC9" w14:textId="77777777" w:rsidR="009B6C30" w:rsidRPr="001428E9" w:rsidRDefault="009B6C30" w:rsidP="000B6113">
            <w:pPr>
              <w:rPr>
                <w:rFonts w:ascii="Arial Narrow" w:hAnsi="Arial Narrow"/>
                <w:sz w:val="20"/>
                <w:szCs w:val="20"/>
              </w:rPr>
            </w:pPr>
          </w:p>
        </w:tc>
        <w:tc>
          <w:tcPr>
            <w:tcW w:w="7461" w:type="dxa"/>
            <w:gridSpan w:val="6"/>
            <w:tcBorders>
              <w:top w:val="single" w:sz="4" w:space="0" w:color="auto"/>
              <w:left w:val="single" w:sz="4" w:space="0" w:color="auto"/>
              <w:bottom w:val="single" w:sz="4" w:space="0" w:color="auto"/>
              <w:right w:val="single" w:sz="4" w:space="0" w:color="auto"/>
            </w:tcBorders>
            <w:vAlign w:val="center"/>
          </w:tcPr>
          <w:p w14:paraId="59EDA20A" w14:textId="77777777" w:rsidR="009B6C30" w:rsidRPr="001428E9" w:rsidRDefault="009B6C30" w:rsidP="000B6113">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sidRPr="001428E9">
              <w:rPr>
                <w:rFonts w:ascii="Arial Narrow" w:hAnsi="Arial Narrow"/>
                <w:sz w:val="20"/>
                <w:szCs w:val="20"/>
              </w:rPr>
              <w:t xml:space="preserve">Medical Practitioners </w:t>
            </w:r>
          </w:p>
        </w:tc>
      </w:tr>
      <w:tr w:rsidR="009B6C30" w:rsidRPr="00D56F94" w14:paraId="2A17D2C6" w14:textId="77777777" w:rsidTr="009B6C30">
        <w:tblPrEx>
          <w:tblCellMar>
            <w:top w:w="15" w:type="dxa"/>
            <w:bottom w:w="15" w:type="dxa"/>
          </w:tblCellMar>
          <w:tblLook w:val="04A0" w:firstRow="1" w:lastRow="0" w:firstColumn="1" w:lastColumn="0" w:noHBand="0" w:noVBand="1"/>
        </w:tblPrEx>
        <w:trPr>
          <w:trHeight w:val="20"/>
        </w:trPr>
        <w:tc>
          <w:tcPr>
            <w:tcW w:w="1556" w:type="dxa"/>
            <w:gridSpan w:val="2"/>
            <w:vMerge/>
          </w:tcPr>
          <w:p w14:paraId="7C60079D" w14:textId="77777777" w:rsidR="009B6C30" w:rsidRPr="001428E9" w:rsidRDefault="009B6C30" w:rsidP="000B6113">
            <w:pPr>
              <w:rPr>
                <w:rFonts w:ascii="Arial Narrow" w:hAnsi="Arial Narrow"/>
                <w:sz w:val="20"/>
                <w:szCs w:val="20"/>
              </w:rPr>
            </w:pPr>
          </w:p>
        </w:tc>
        <w:tc>
          <w:tcPr>
            <w:tcW w:w="7461" w:type="dxa"/>
            <w:gridSpan w:val="6"/>
            <w:tcBorders>
              <w:top w:val="single" w:sz="4" w:space="0" w:color="auto"/>
              <w:left w:val="single" w:sz="4" w:space="0" w:color="auto"/>
              <w:bottom w:val="single" w:sz="4" w:space="0" w:color="auto"/>
              <w:right w:val="single" w:sz="4" w:space="0" w:color="auto"/>
            </w:tcBorders>
            <w:vAlign w:val="center"/>
          </w:tcPr>
          <w:p w14:paraId="0B1119CF" w14:textId="77777777" w:rsidR="009B6C30" w:rsidRPr="000B76DD" w:rsidRDefault="009B6C30" w:rsidP="000B6113">
            <w:pPr>
              <w:keepLines/>
              <w:rPr>
                <w:rFonts w:ascii="Arial Narrow" w:hAnsi="Arial Narrow"/>
                <w:b/>
                <w:sz w:val="20"/>
                <w:szCs w:val="20"/>
              </w:rPr>
            </w:pPr>
            <w:r w:rsidRPr="001428E9">
              <w:rPr>
                <w:rFonts w:ascii="Arial Narrow" w:hAnsi="Arial Narrow"/>
                <w:b/>
                <w:sz w:val="20"/>
                <w:szCs w:val="20"/>
              </w:rPr>
              <w:t xml:space="preserve">Restriction type: </w:t>
            </w:r>
            <w:r w:rsidRPr="001428E9">
              <w:rPr>
                <w:rFonts w:ascii="Arial Narrow" w:eastAsia="Calibri" w:hAnsi="Arial Narrow"/>
                <w:sz w:val="20"/>
                <w:szCs w:val="20"/>
              </w:rPr>
              <w:t>Authority Required (Streamlined) [new</w:t>
            </w:r>
            <w:r>
              <w:rPr>
                <w:rFonts w:ascii="Arial Narrow" w:eastAsia="Calibri" w:hAnsi="Arial Narrow"/>
                <w:sz w:val="20"/>
                <w:szCs w:val="20"/>
              </w:rPr>
              <w:t xml:space="preserve"> </w:t>
            </w:r>
            <w:r w:rsidRPr="001428E9">
              <w:rPr>
                <w:rFonts w:ascii="Arial Narrow" w:eastAsia="Calibri" w:hAnsi="Arial Narrow"/>
                <w:sz w:val="20"/>
                <w:szCs w:val="20"/>
              </w:rPr>
              <w:t xml:space="preserve">code] </w:t>
            </w:r>
          </w:p>
        </w:tc>
      </w:tr>
      <w:tr w:rsidR="009B6C30" w:rsidRPr="001428E9" w14:paraId="327699B2" w14:textId="77777777" w:rsidTr="009B6C30">
        <w:tblPrEx>
          <w:tblCellMar>
            <w:top w:w="15" w:type="dxa"/>
            <w:bottom w:w="15" w:type="dxa"/>
          </w:tblCellMar>
          <w:tblLook w:val="04A0" w:firstRow="1" w:lastRow="0" w:firstColumn="1" w:lastColumn="0" w:noHBand="0" w:noVBand="1"/>
        </w:tblPrEx>
        <w:trPr>
          <w:trHeight w:val="20"/>
        </w:trPr>
        <w:tc>
          <w:tcPr>
            <w:tcW w:w="705" w:type="dxa"/>
            <w:vMerge w:val="restart"/>
            <w:tcBorders>
              <w:left w:val="single" w:sz="4" w:space="0" w:color="auto"/>
              <w:right w:val="single" w:sz="4" w:space="0" w:color="auto"/>
            </w:tcBorders>
            <w:textDirection w:val="btLr"/>
            <w:vAlign w:val="center"/>
          </w:tcPr>
          <w:p w14:paraId="6EFDAEB9" w14:textId="77777777" w:rsidR="009B6C30" w:rsidRPr="001428E9" w:rsidRDefault="009B6C30" w:rsidP="000B6113">
            <w:pPr>
              <w:jc w:val="center"/>
              <w:rPr>
                <w:rFonts w:ascii="Arial Narrow" w:hAnsi="Arial Narrow"/>
                <w:sz w:val="20"/>
                <w:szCs w:val="20"/>
              </w:rPr>
            </w:pPr>
            <w:r w:rsidRPr="001428E9">
              <w:rPr>
                <w:rFonts w:ascii="Arial Narrow" w:hAnsi="Arial Narrow"/>
                <w:sz w:val="20"/>
                <w:szCs w:val="20"/>
              </w:rPr>
              <w:t>Prescribing rule level</w:t>
            </w:r>
          </w:p>
        </w:tc>
        <w:tc>
          <w:tcPr>
            <w:tcW w:w="851" w:type="dxa"/>
            <w:vAlign w:val="center"/>
          </w:tcPr>
          <w:p w14:paraId="1524E346" w14:textId="00045EB6" w:rsidR="009B6C30" w:rsidRPr="001428E9" w:rsidRDefault="009B6C30" w:rsidP="000B6113">
            <w:pPr>
              <w:jc w:val="center"/>
              <w:rPr>
                <w:rFonts w:ascii="Arial Narrow" w:hAnsi="Arial Narrow"/>
                <w:color w:val="333333"/>
                <w:sz w:val="20"/>
                <w:szCs w:val="20"/>
              </w:rPr>
            </w:pPr>
          </w:p>
        </w:tc>
        <w:tc>
          <w:tcPr>
            <w:tcW w:w="7461" w:type="dxa"/>
            <w:gridSpan w:val="6"/>
            <w:vAlign w:val="center"/>
          </w:tcPr>
          <w:p w14:paraId="432FB5D8" w14:textId="77777777" w:rsidR="009B6C30" w:rsidRPr="00AB6723" w:rsidRDefault="009B6C30" w:rsidP="000B6113">
            <w:pPr>
              <w:rPr>
                <w:rFonts w:ascii="Arial Narrow" w:hAnsi="Arial Narrow"/>
                <w:sz w:val="20"/>
                <w:szCs w:val="20"/>
              </w:rPr>
            </w:pPr>
            <w:r w:rsidRPr="00AB6723">
              <w:rPr>
                <w:rFonts w:ascii="Arial Narrow" w:hAnsi="Arial Narrow"/>
                <w:b/>
                <w:bCs/>
                <w:sz w:val="20"/>
                <w:szCs w:val="20"/>
              </w:rPr>
              <w:t>Administrative Advice:</w:t>
            </w:r>
          </w:p>
          <w:p w14:paraId="185FE8E7" w14:textId="77777777" w:rsidR="009B6C30" w:rsidRPr="00AB6723" w:rsidRDefault="009B6C30" w:rsidP="000B6113">
            <w:pPr>
              <w:rPr>
                <w:rFonts w:ascii="Arial Narrow" w:hAnsi="Arial Narrow"/>
                <w:sz w:val="20"/>
                <w:szCs w:val="20"/>
              </w:rPr>
            </w:pPr>
            <w:r w:rsidRPr="00AB6723">
              <w:rPr>
                <w:rFonts w:ascii="Arial Narrow" w:hAnsi="Arial Narrow"/>
                <w:sz w:val="20"/>
                <w:szCs w:val="20"/>
              </w:rPr>
              <w:lastRenderedPageBreak/>
              <w:t>No increase in the maximum quantity or number of units may be authorised.</w:t>
            </w:r>
          </w:p>
        </w:tc>
      </w:tr>
      <w:tr w:rsidR="009B6C30" w:rsidRPr="001428E9" w14:paraId="370D2F23" w14:textId="77777777" w:rsidTr="009B6C30">
        <w:tblPrEx>
          <w:tblCellMar>
            <w:top w:w="15" w:type="dxa"/>
            <w:bottom w:w="15" w:type="dxa"/>
          </w:tblCellMar>
          <w:tblLook w:val="04A0" w:firstRow="1" w:lastRow="0" w:firstColumn="1" w:lastColumn="0" w:noHBand="0" w:noVBand="1"/>
        </w:tblPrEx>
        <w:trPr>
          <w:trHeight w:val="20"/>
        </w:trPr>
        <w:tc>
          <w:tcPr>
            <w:tcW w:w="705" w:type="dxa"/>
            <w:vMerge/>
          </w:tcPr>
          <w:p w14:paraId="0AF308D9" w14:textId="77777777" w:rsidR="009B6C30" w:rsidRPr="001428E9" w:rsidRDefault="009B6C30" w:rsidP="000B6113">
            <w:pPr>
              <w:rPr>
                <w:rFonts w:ascii="Arial Narrow" w:hAnsi="Arial Narrow"/>
                <w:sz w:val="20"/>
                <w:szCs w:val="20"/>
              </w:rPr>
            </w:pPr>
          </w:p>
        </w:tc>
        <w:tc>
          <w:tcPr>
            <w:tcW w:w="851" w:type="dxa"/>
            <w:vAlign w:val="center"/>
          </w:tcPr>
          <w:p w14:paraId="28A735BD" w14:textId="42B229DC" w:rsidR="009B6C30" w:rsidRPr="001428E9" w:rsidRDefault="009B6C30" w:rsidP="000B6113">
            <w:pPr>
              <w:jc w:val="center"/>
              <w:rPr>
                <w:rFonts w:ascii="Arial Narrow" w:hAnsi="Arial Narrow"/>
                <w:color w:val="333333"/>
                <w:sz w:val="20"/>
                <w:szCs w:val="20"/>
              </w:rPr>
            </w:pPr>
          </w:p>
        </w:tc>
        <w:tc>
          <w:tcPr>
            <w:tcW w:w="7461" w:type="dxa"/>
            <w:gridSpan w:val="6"/>
            <w:vAlign w:val="center"/>
          </w:tcPr>
          <w:p w14:paraId="31C56363" w14:textId="77777777" w:rsidR="009B6C30" w:rsidRPr="00AB6723" w:rsidRDefault="009B6C30" w:rsidP="000B6113">
            <w:pPr>
              <w:rPr>
                <w:rFonts w:ascii="Arial Narrow" w:hAnsi="Arial Narrow"/>
                <w:b/>
                <w:bCs/>
                <w:sz w:val="20"/>
                <w:szCs w:val="20"/>
              </w:rPr>
            </w:pPr>
            <w:r w:rsidRPr="00AB6723">
              <w:rPr>
                <w:rFonts w:ascii="Arial Narrow" w:hAnsi="Arial Narrow"/>
                <w:b/>
                <w:bCs/>
                <w:sz w:val="20"/>
                <w:szCs w:val="20"/>
              </w:rPr>
              <w:t>Administrative Advice:</w:t>
            </w:r>
          </w:p>
          <w:p w14:paraId="7C828AA1" w14:textId="77777777" w:rsidR="009B6C30" w:rsidRPr="00AB6723" w:rsidRDefault="009B6C30" w:rsidP="000B6113">
            <w:pPr>
              <w:rPr>
                <w:rFonts w:ascii="Arial Narrow" w:hAnsi="Arial Narrow"/>
                <w:sz w:val="20"/>
                <w:szCs w:val="20"/>
              </w:rPr>
            </w:pPr>
            <w:r w:rsidRPr="00AB6723">
              <w:rPr>
                <w:rFonts w:ascii="Arial Narrow" w:hAnsi="Arial Narrow"/>
                <w:sz w:val="20"/>
                <w:szCs w:val="20"/>
              </w:rPr>
              <w:t>No increase in the maximum number of repeats may be authorised.</w:t>
            </w:r>
          </w:p>
        </w:tc>
      </w:tr>
      <w:tr w:rsidR="009B6C30" w:rsidRPr="001428E9" w14:paraId="024328ED" w14:textId="77777777" w:rsidTr="00D30A12">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7E785A26" w14:textId="47FCAA2D" w:rsidR="009B6C30" w:rsidRPr="001428E9" w:rsidRDefault="009B6C30" w:rsidP="000B6113">
            <w:pPr>
              <w:keepLines/>
              <w:jc w:val="center"/>
              <w:rPr>
                <w:rFonts w:ascii="Arial Narrow" w:hAnsi="Arial Narrow"/>
                <w:color w:val="333333"/>
                <w:sz w:val="20"/>
                <w:szCs w:val="20"/>
              </w:rPr>
            </w:pPr>
          </w:p>
        </w:tc>
        <w:tc>
          <w:tcPr>
            <w:tcW w:w="7461" w:type="dxa"/>
            <w:gridSpan w:val="6"/>
            <w:vAlign w:val="center"/>
            <w:hideMark/>
          </w:tcPr>
          <w:p w14:paraId="6A27570B" w14:textId="77777777" w:rsidR="009B6C30" w:rsidRPr="001428E9" w:rsidRDefault="009B6C30" w:rsidP="000B6113">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Stage IV (metastatic) non-small cell lung cancer (NSCLC)</w:t>
            </w:r>
          </w:p>
        </w:tc>
      </w:tr>
      <w:tr w:rsidR="009B6C30" w:rsidRPr="001428E9" w14:paraId="2F1C2596"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4FB6FB11" w14:textId="43194C1A" w:rsidR="009B6C30" w:rsidRPr="001428E9" w:rsidRDefault="009B6C30" w:rsidP="000B6113">
            <w:pPr>
              <w:jc w:val="center"/>
              <w:rPr>
                <w:rFonts w:ascii="Arial Narrow" w:hAnsi="Arial Narrow"/>
                <w:color w:val="333333"/>
                <w:sz w:val="20"/>
                <w:szCs w:val="20"/>
              </w:rPr>
            </w:pPr>
          </w:p>
        </w:tc>
        <w:tc>
          <w:tcPr>
            <w:tcW w:w="7461" w:type="dxa"/>
            <w:gridSpan w:val="6"/>
            <w:vAlign w:val="center"/>
            <w:hideMark/>
          </w:tcPr>
          <w:p w14:paraId="39CAAB58" w14:textId="77777777" w:rsidR="009B6C30" w:rsidRPr="001428E9" w:rsidRDefault="009B6C30" w:rsidP="000B6113">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9B6C30" w:rsidRPr="001428E9" w14:paraId="3718BBD4"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65DAC46E" w14:textId="3C894D6C" w:rsidR="009B6C30" w:rsidRPr="001428E9" w:rsidRDefault="009B6C30" w:rsidP="000B6113">
            <w:pPr>
              <w:jc w:val="center"/>
              <w:rPr>
                <w:rFonts w:ascii="Arial Narrow" w:hAnsi="Arial Narrow"/>
                <w:color w:val="333333"/>
                <w:sz w:val="20"/>
                <w:szCs w:val="20"/>
              </w:rPr>
            </w:pPr>
          </w:p>
        </w:tc>
        <w:tc>
          <w:tcPr>
            <w:tcW w:w="7461" w:type="dxa"/>
            <w:gridSpan w:val="6"/>
            <w:vAlign w:val="center"/>
            <w:hideMark/>
          </w:tcPr>
          <w:p w14:paraId="0A6746EE" w14:textId="77777777" w:rsidR="009B6C30" w:rsidRPr="00D1203A" w:rsidRDefault="009B6C30" w:rsidP="000B6113">
            <w:pPr>
              <w:rPr>
                <w:rFonts w:ascii="Arial Narrow" w:hAnsi="Arial Narrow"/>
                <w:i/>
                <w:iCs/>
                <w:sz w:val="20"/>
                <w:szCs w:val="20"/>
              </w:rPr>
            </w:pPr>
            <w:r w:rsidRPr="009B6C30">
              <w:rPr>
                <w:rFonts w:ascii="Arial Narrow" w:hAnsi="Arial Narrow"/>
                <w:sz w:val="20"/>
                <w:szCs w:val="20"/>
              </w:rPr>
              <w:t>Patient must have/have had a WHO performance status of no greater than 2 at treatment initiation with this drug for this condition</w:t>
            </w:r>
            <w:r w:rsidRPr="5E37D525">
              <w:rPr>
                <w:rFonts w:ascii="Arial Narrow" w:hAnsi="Arial Narrow"/>
                <w:i/>
                <w:iCs/>
                <w:sz w:val="20"/>
                <w:szCs w:val="20"/>
              </w:rPr>
              <w:t>.</w:t>
            </w:r>
          </w:p>
        </w:tc>
      </w:tr>
      <w:tr w:rsidR="009B6C30" w:rsidRPr="001428E9" w14:paraId="5AB55BB1"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4AEA83AA" w14:textId="77777777" w:rsidR="009B6C30" w:rsidRPr="001428E9" w:rsidRDefault="009B6C30" w:rsidP="000B6113">
            <w:pPr>
              <w:jc w:val="center"/>
              <w:rPr>
                <w:rFonts w:ascii="Arial Narrow" w:hAnsi="Arial Narrow"/>
                <w:color w:val="333333"/>
                <w:sz w:val="20"/>
                <w:szCs w:val="20"/>
              </w:rPr>
            </w:pPr>
          </w:p>
        </w:tc>
        <w:tc>
          <w:tcPr>
            <w:tcW w:w="7461" w:type="dxa"/>
            <w:gridSpan w:val="6"/>
            <w:vAlign w:val="center"/>
            <w:hideMark/>
          </w:tcPr>
          <w:p w14:paraId="21C9EDD2" w14:textId="77777777" w:rsidR="009B6C30" w:rsidRPr="001428E9" w:rsidRDefault="009B6C30" w:rsidP="000B6113">
            <w:pPr>
              <w:rPr>
                <w:rFonts w:ascii="Arial Narrow" w:hAnsi="Arial Narrow"/>
                <w:color w:val="333333"/>
                <w:sz w:val="20"/>
                <w:szCs w:val="20"/>
              </w:rPr>
            </w:pPr>
            <w:r w:rsidRPr="001428E9">
              <w:rPr>
                <w:rFonts w:ascii="Arial Narrow" w:hAnsi="Arial Narrow"/>
                <w:b/>
                <w:bCs/>
                <w:color w:val="333333"/>
                <w:sz w:val="20"/>
                <w:szCs w:val="20"/>
              </w:rPr>
              <w:t>AND</w:t>
            </w:r>
          </w:p>
        </w:tc>
      </w:tr>
      <w:tr w:rsidR="009B6C30" w:rsidRPr="001428E9" w14:paraId="0834918E"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7A8B7D4C" w14:textId="7A6C091D" w:rsidR="009B6C30" w:rsidRPr="001428E9" w:rsidRDefault="009B6C30" w:rsidP="000B6113">
            <w:pPr>
              <w:jc w:val="center"/>
              <w:rPr>
                <w:rFonts w:ascii="Arial Narrow" w:hAnsi="Arial Narrow"/>
                <w:color w:val="333333"/>
                <w:sz w:val="20"/>
                <w:szCs w:val="20"/>
              </w:rPr>
            </w:pPr>
          </w:p>
        </w:tc>
        <w:tc>
          <w:tcPr>
            <w:tcW w:w="7461" w:type="dxa"/>
            <w:gridSpan w:val="6"/>
            <w:vAlign w:val="center"/>
            <w:hideMark/>
          </w:tcPr>
          <w:p w14:paraId="5452D14E" w14:textId="77777777" w:rsidR="009B6C30" w:rsidRPr="001428E9" w:rsidRDefault="009B6C30" w:rsidP="000B6113">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9B6C30" w:rsidRPr="001428E9" w14:paraId="4064D753"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63C09D7F" w14:textId="1DA6986C" w:rsidR="009B6C30" w:rsidRPr="001428E9" w:rsidRDefault="009B6C30" w:rsidP="000B6113">
            <w:pPr>
              <w:jc w:val="center"/>
              <w:rPr>
                <w:rFonts w:ascii="Arial Narrow" w:hAnsi="Arial Narrow"/>
                <w:color w:val="333333"/>
                <w:sz w:val="20"/>
                <w:szCs w:val="20"/>
              </w:rPr>
            </w:pPr>
          </w:p>
        </w:tc>
        <w:tc>
          <w:tcPr>
            <w:tcW w:w="7461" w:type="dxa"/>
            <w:gridSpan w:val="6"/>
            <w:vAlign w:val="center"/>
            <w:hideMark/>
          </w:tcPr>
          <w:p w14:paraId="5B53FEDA" w14:textId="78BBA34F" w:rsidR="009B6C30" w:rsidRPr="009B6C30" w:rsidRDefault="009B6C30" w:rsidP="000B6113">
            <w:r w:rsidRPr="009B6C30">
              <w:rPr>
                <w:rFonts w:ascii="Arial Narrow" w:hAnsi="Arial Narrow"/>
                <w:color w:val="333333"/>
                <w:sz w:val="20"/>
                <w:szCs w:val="20"/>
              </w:rPr>
              <w:t xml:space="preserve">The condition must be positive for a BRAF V600E mutation </w:t>
            </w:r>
          </w:p>
        </w:tc>
      </w:tr>
      <w:tr w:rsidR="009B6C30" w:rsidRPr="001428E9" w14:paraId="38129C1B"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77A554BB" w14:textId="77777777" w:rsidR="009B6C30" w:rsidRDefault="009B6C30" w:rsidP="000B6113">
            <w:pPr>
              <w:jc w:val="center"/>
              <w:rPr>
                <w:rFonts w:ascii="Arial Narrow" w:hAnsi="Arial Narrow"/>
                <w:color w:val="333333"/>
                <w:sz w:val="20"/>
                <w:szCs w:val="20"/>
              </w:rPr>
            </w:pPr>
          </w:p>
        </w:tc>
        <w:tc>
          <w:tcPr>
            <w:tcW w:w="7461" w:type="dxa"/>
            <w:gridSpan w:val="6"/>
            <w:vAlign w:val="center"/>
          </w:tcPr>
          <w:p w14:paraId="1CB07203" w14:textId="77777777" w:rsidR="009B6C30" w:rsidRPr="00341B46" w:rsidRDefault="009B6C30" w:rsidP="000B6113">
            <w:pPr>
              <w:rPr>
                <w:rFonts w:ascii="Arial Narrow" w:hAnsi="Arial Narrow"/>
                <w:strike/>
                <w:color w:val="333333"/>
                <w:sz w:val="20"/>
                <w:szCs w:val="20"/>
              </w:rPr>
            </w:pPr>
            <w:r w:rsidRPr="00CC2A01">
              <w:rPr>
                <w:rFonts w:ascii="Arial Narrow" w:hAnsi="Arial Narrow"/>
                <w:b/>
                <w:bCs/>
                <w:color w:val="333333"/>
                <w:sz w:val="20"/>
                <w:szCs w:val="20"/>
              </w:rPr>
              <w:t>AND</w:t>
            </w:r>
          </w:p>
        </w:tc>
      </w:tr>
      <w:tr w:rsidR="009B6C30" w:rsidRPr="001428E9" w14:paraId="5EE695A8"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3CFB886F" w14:textId="1B321684" w:rsidR="009B6C30" w:rsidRPr="009B6C30" w:rsidRDefault="009B6C30" w:rsidP="000B6113">
            <w:pPr>
              <w:jc w:val="center"/>
              <w:rPr>
                <w:rFonts w:ascii="Arial Narrow" w:hAnsi="Arial Narrow"/>
                <w:color w:val="333333"/>
                <w:sz w:val="20"/>
                <w:szCs w:val="20"/>
              </w:rPr>
            </w:pPr>
          </w:p>
        </w:tc>
        <w:tc>
          <w:tcPr>
            <w:tcW w:w="7461" w:type="dxa"/>
            <w:gridSpan w:val="6"/>
            <w:vAlign w:val="center"/>
          </w:tcPr>
          <w:p w14:paraId="18ADCEE3" w14:textId="12949A84" w:rsidR="009B6C30" w:rsidRPr="00341B46" w:rsidRDefault="009B6C30" w:rsidP="000B6113">
            <w:pPr>
              <w:rPr>
                <w:rFonts w:ascii="Arial Narrow" w:hAnsi="Arial Narrow"/>
                <w:strike/>
                <w:color w:val="333333"/>
                <w:sz w:val="20"/>
                <w:szCs w:val="20"/>
              </w:rPr>
            </w:pPr>
            <w:r>
              <w:rPr>
                <w:rFonts w:ascii="Arial Narrow" w:hAnsi="Arial Narrow"/>
                <w:b/>
                <w:bCs/>
                <w:color w:val="333333"/>
                <w:sz w:val="20"/>
                <w:szCs w:val="20"/>
              </w:rPr>
              <w:t>Clinical criteria:</w:t>
            </w:r>
          </w:p>
        </w:tc>
      </w:tr>
      <w:tr w:rsidR="009B6C30" w:rsidRPr="001428E9" w14:paraId="5700CE75"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4F083AE7" w14:textId="6B969107" w:rsidR="009B6C30" w:rsidRPr="009B6C30" w:rsidRDefault="009B6C30" w:rsidP="000B6113">
            <w:pPr>
              <w:jc w:val="center"/>
              <w:rPr>
                <w:rFonts w:ascii="Arial Narrow" w:hAnsi="Arial Narrow"/>
                <w:color w:val="333333"/>
                <w:sz w:val="20"/>
                <w:szCs w:val="20"/>
              </w:rPr>
            </w:pPr>
          </w:p>
        </w:tc>
        <w:tc>
          <w:tcPr>
            <w:tcW w:w="7461" w:type="dxa"/>
            <w:gridSpan w:val="6"/>
            <w:vAlign w:val="center"/>
          </w:tcPr>
          <w:p w14:paraId="6CE98E31" w14:textId="77777777" w:rsidR="009B6C30" w:rsidRPr="009B6C30" w:rsidRDefault="009B6C30" w:rsidP="000B6113">
            <w:pPr>
              <w:rPr>
                <w:rFonts w:ascii="Arial Narrow" w:hAnsi="Arial Narrow"/>
                <w:strike/>
                <w:color w:val="333333"/>
                <w:sz w:val="20"/>
                <w:szCs w:val="20"/>
              </w:rPr>
            </w:pPr>
            <w:r w:rsidRPr="009B6C30">
              <w:rPr>
                <w:rFonts w:ascii="Arial Narrow" w:hAnsi="Arial Narrow" w:cs="Arial Narrow"/>
                <w:sz w:val="20"/>
                <w:szCs w:val="20"/>
              </w:rPr>
              <w:t>Patient must be receiving trametinib and dabrafenib concomitantly for this condition</w:t>
            </w:r>
          </w:p>
        </w:tc>
      </w:tr>
      <w:tr w:rsidR="009B6C30" w:rsidRPr="001428E9" w14:paraId="6A029809"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54FD44A1" w14:textId="77777777" w:rsidR="009B6C30" w:rsidRPr="009B6C30" w:rsidRDefault="009B6C30" w:rsidP="000B6113">
            <w:pPr>
              <w:jc w:val="center"/>
              <w:rPr>
                <w:rFonts w:ascii="Arial Narrow" w:hAnsi="Arial Narrow"/>
                <w:color w:val="333333"/>
                <w:sz w:val="20"/>
                <w:szCs w:val="20"/>
              </w:rPr>
            </w:pPr>
          </w:p>
        </w:tc>
        <w:tc>
          <w:tcPr>
            <w:tcW w:w="7461" w:type="dxa"/>
            <w:gridSpan w:val="6"/>
            <w:vAlign w:val="center"/>
          </w:tcPr>
          <w:p w14:paraId="133EC46F" w14:textId="77777777" w:rsidR="009B6C30" w:rsidRPr="00FB39F5" w:rsidRDefault="009B6C30" w:rsidP="000B6113">
            <w:pPr>
              <w:rPr>
                <w:rFonts w:ascii="Arial Narrow" w:hAnsi="Arial Narrow"/>
                <w:color w:val="333333"/>
                <w:sz w:val="20"/>
                <w:szCs w:val="20"/>
              </w:rPr>
            </w:pPr>
            <w:r w:rsidRPr="00FB39F5">
              <w:rPr>
                <w:rFonts w:ascii="Arial Narrow" w:hAnsi="Arial Narrow"/>
                <w:b/>
                <w:bCs/>
                <w:color w:val="333333"/>
                <w:sz w:val="20"/>
                <w:szCs w:val="20"/>
              </w:rPr>
              <w:t>AND</w:t>
            </w:r>
          </w:p>
        </w:tc>
      </w:tr>
      <w:tr w:rsidR="009B6C30" w:rsidRPr="001428E9" w14:paraId="25D57557"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00119CAD" w14:textId="0A46B9E6" w:rsidR="009B6C30" w:rsidRPr="009B6C30" w:rsidRDefault="009B6C30" w:rsidP="000B6113">
            <w:pPr>
              <w:jc w:val="center"/>
              <w:rPr>
                <w:rFonts w:ascii="Arial Narrow" w:hAnsi="Arial Narrow"/>
                <w:color w:val="333333"/>
                <w:sz w:val="20"/>
                <w:szCs w:val="20"/>
              </w:rPr>
            </w:pPr>
          </w:p>
        </w:tc>
        <w:tc>
          <w:tcPr>
            <w:tcW w:w="7461" w:type="dxa"/>
            <w:gridSpan w:val="6"/>
            <w:vAlign w:val="center"/>
          </w:tcPr>
          <w:p w14:paraId="3EB44C07" w14:textId="77777777" w:rsidR="009B6C30" w:rsidRPr="00DA4FD1" w:rsidRDefault="009B6C30" w:rsidP="000B6113">
            <w:pPr>
              <w:rPr>
                <w:rFonts w:ascii="Arial Narrow" w:hAnsi="Arial Narrow"/>
                <w:strike/>
                <w:color w:val="333333"/>
                <w:sz w:val="20"/>
                <w:szCs w:val="20"/>
              </w:rPr>
            </w:pPr>
            <w:r w:rsidRPr="00CA640D">
              <w:rPr>
                <w:rFonts w:ascii="Arial Narrow" w:hAnsi="Arial Narrow"/>
                <w:b/>
                <w:bCs/>
                <w:color w:val="333333"/>
                <w:sz w:val="20"/>
                <w:szCs w:val="20"/>
              </w:rPr>
              <w:t>Treatment</w:t>
            </w:r>
            <w:r w:rsidRPr="095D7C59">
              <w:rPr>
                <w:rFonts w:ascii="Arial Narrow" w:hAnsi="Arial Narrow" w:cs="Arial Narrow"/>
                <w:b/>
                <w:bCs/>
                <w:i/>
                <w:iCs/>
                <w:sz w:val="20"/>
                <w:szCs w:val="20"/>
              </w:rPr>
              <w:t xml:space="preserve"> </w:t>
            </w:r>
            <w:r w:rsidRPr="009B6C30">
              <w:rPr>
                <w:rFonts w:ascii="Arial Narrow" w:hAnsi="Arial Narrow" w:cs="Arial Narrow"/>
                <w:b/>
                <w:bCs/>
                <w:sz w:val="20"/>
                <w:szCs w:val="20"/>
              </w:rPr>
              <w:t>criteria:</w:t>
            </w:r>
          </w:p>
        </w:tc>
      </w:tr>
      <w:tr w:rsidR="009B6C30" w:rsidRPr="001428E9" w14:paraId="4B1F90EC"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tcPr>
          <w:p w14:paraId="09035A7C" w14:textId="565665E0" w:rsidR="009B6C30" w:rsidRPr="001428E9" w:rsidRDefault="009B6C30" w:rsidP="000B6113">
            <w:pPr>
              <w:jc w:val="center"/>
              <w:rPr>
                <w:rFonts w:ascii="Arial Narrow" w:hAnsi="Arial Narrow"/>
                <w:color w:val="333333"/>
                <w:sz w:val="20"/>
                <w:szCs w:val="20"/>
              </w:rPr>
            </w:pPr>
          </w:p>
        </w:tc>
        <w:tc>
          <w:tcPr>
            <w:tcW w:w="7461" w:type="dxa"/>
            <w:gridSpan w:val="6"/>
          </w:tcPr>
          <w:p w14:paraId="60B2EC49" w14:textId="77777777" w:rsidR="009B6C30" w:rsidRPr="00DA4FD1" w:rsidRDefault="009B6C30" w:rsidP="000B6113">
            <w:pPr>
              <w:rPr>
                <w:rFonts w:ascii="Arial Narrow" w:hAnsi="Arial Narrow"/>
                <w:strike/>
                <w:color w:val="333333"/>
                <w:sz w:val="20"/>
                <w:szCs w:val="20"/>
              </w:rPr>
            </w:pPr>
            <w:r w:rsidRPr="001A6C6A">
              <w:rPr>
                <w:rFonts w:ascii="Arial Narrow" w:hAnsi="Arial Narrow" w:cs="Open Sans"/>
                <w:color w:val="333333"/>
                <w:sz w:val="20"/>
                <w:szCs w:val="20"/>
              </w:rPr>
              <w:t>Patient must be</w:t>
            </w:r>
            <w:r>
              <w:rPr>
                <w:rFonts w:ascii="Arial Narrow" w:hAnsi="Arial Narrow" w:cs="Open Sans"/>
                <w:color w:val="333333"/>
                <w:sz w:val="20"/>
                <w:szCs w:val="20"/>
              </w:rPr>
              <w:t xml:space="preserve"> undergoing initial</w:t>
            </w:r>
            <w:r w:rsidRPr="001A6C6A">
              <w:rPr>
                <w:rFonts w:ascii="Arial Narrow" w:hAnsi="Arial Narrow" w:cs="Open Sans"/>
                <w:color w:val="333333"/>
                <w:sz w:val="20"/>
                <w:szCs w:val="20"/>
              </w:rPr>
              <w:t> treatment with this drug; or</w:t>
            </w:r>
          </w:p>
        </w:tc>
      </w:tr>
      <w:tr w:rsidR="009B6C30" w:rsidRPr="001428E9" w14:paraId="6436A2D5"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tcPr>
          <w:p w14:paraId="5F3349B1" w14:textId="08BBCB93" w:rsidR="009B6C30" w:rsidRPr="001428E9" w:rsidRDefault="009B6C30" w:rsidP="000B6113">
            <w:pPr>
              <w:jc w:val="center"/>
              <w:rPr>
                <w:rFonts w:ascii="Arial Narrow" w:hAnsi="Arial Narrow"/>
                <w:color w:val="333333"/>
                <w:sz w:val="20"/>
                <w:szCs w:val="20"/>
              </w:rPr>
            </w:pPr>
          </w:p>
        </w:tc>
        <w:tc>
          <w:tcPr>
            <w:tcW w:w="7461" w:type="dxa"/>
            <w:gridSpan w:val="6"/>
          </w:tcPr>
          <w:p w14:paraId="4D9EE7FD" w14:textId="77777777" w:rsidR="009B6C30" w:rsidRPr="00DA4FD1" w:rsidRDefault="009B6C30" w:rsidP="000B6113">
            <w:pPr>
              <w:rPr>
                <w:rFonts w:ascii="Arial Narrow" w:hAnsi="Arial Narrow"/>
                <w:strike/>
                <w:color w:val="333333"/>
                <w:sz w:val="20"/>
                <w:szCs w:val="20"/>
              </w:rPr>
            </w:pPr>
            <w:r w:rsidRPr="001A6C6A">
              <w:rPr>
                <w:rFonts w:ascii="Arial Narrow" w:hAnsi="Arial Narrow" w:cs="Open Sans"/>
                <w:color w:val="333333"/>
                <w:sz w:val="20"/>
                <w:szCs w:val="20"/>
              </w:rPr>
              <w:t>Patient must be</w:t>
            </w:r>
            <w:r>
              <w:rPr>
                <w:rFonts w:ascii="Arial Narrow" w:hAnsi="Arial Narrow" w:cs="Open Sans"/>
                <w:color w:val="333333"/>
                <w:sz w:val="20"/>
                <w:szCs w:val="20"/>
              </w:rPr>
              <w:t xml:space="preserve"> undergoing</w:t>
            </w:r>
            <w:r w:rsidRPr="001A6C6A">
              <w:rPr>
                <w:rFonts w:ascii="Arial Narrow" w:hAnsi="Arial Narrow" w:cs="Open Sans"/>
                <w:color w:val="333333"/>
                <w:sz w:val="20"/>
                <w:szCs w:val="20"/>
              </w:rPr>
              <w:t xml:space="preserve"> continuing treatment with this drug, with an absence of further disease progression while being treated with this drug</w:t>
            </w:r>
            <w:r>
              <w:rPr>
                <w:rFonts w:ascii="Arial Narrow" w:hAnsi="Arial Narrow" w:cs="Open Sans"/>
                <w:color w:val="333333"/>
                <w:sz w:val="20"/>
                <w:szCs w:val="20"/>
              </w:rPr>
              <w:t>; or</w:t>
            </w:r>
          </w:p>
        </w:tc>
      </w:tr>
      <w:tr w:rsidR="009B6C30" w:rsidRPr="001428E9" w14:paraId="7F9ED51B" w14:textId="77777777" w:rsidTr="009B6C30">
        <w:tblPrEx>
          <w:tblCellMar>
            <w:top w:w="15" w:type="dxa"/>
            <w:bottom w:w="15" w:type="dxa"/>
          </w:tblCellMar>
          <w:tblLook w:val="04A0" w:firstRow="1" w:lastRow="0" w:firstColumn="1" w:lastColumn="0" w:noHBand="0" w:noVBand="1"/>
        </w:tblPrEx>
        <w:trPr>
          <w:cantSplit/>
          <w:trHeight w:val="20"/>
        </w:trPr>
        <w:tc>
          <w:tcPr>
            <w:tcW w:w="1556" w:type="dxa"/>
            <w:gridSpan w:val="2"/>
            <w:vAlign w:val="center"/>
          </w:tcPr>
          <w:p w14:paraId="1F11C1FD" w14:textId="277D8C03" w:rsidR="009B6C30" w:rsidRPr="009B6C30" w:rsidRDefault="009B6C30" w:rsidP="000B6113">
            <w:pPr>
              <w:jc w:val="center"/>
              <w:rPr>
                <w:rFonts w:ascii="Arial Narrow" w:hAnsi="Arial Narrow"/>
                <w:color w:val="333333"/>
                <w:sz w:val="20"/>
                <w:szCs w:val="20"/>
              </w:rPr>
            </w:pPr>
          </w:p>
        </w:tc>
        <w:tc>
          <w:tcPr>
            <w:tcW w:w="7461" w:type="dxa"/>
            <w:gridSpan w:val="6"/>
            <w:vAlign w:val="center"/>
          </w:tcPr>
          <w:p w14:paraId="074BBD03" w14:textId="77777777" w:rsidR="009B6C30" w:rsidRPr="23AFD9B6" w:rsidRDefault="009B6C30" w:rsidP="000B6113">
            <w:pPr>
              <w:rPr>
                <w:rFonts w:ascii="Arial Narrow" w:hAnsi="Arial Narrow"/>
                <w:color w:val="333333"/>
                <w:sz w:val="20"/>
                <w:szCs w:val="20"/>
              </w:rPr>
            </w:pPr>
            <w:r w:rsidRPr="00D665D6">
              <w:rPr>
                <w:rFonts w:ascii="Arial Narrow" w:hAnsi="Arial Narrow"/>
                <w:color w:val="333333"/>
                <w:sz w:val="20"/>
                <w:szCs w:val="20"/>
              </w:rPr>
              <w:t xml:space="preserve">Patient must be </w:t>
            </w:r>
            <w:r>
              <w:rPr>
                <w:rFonts w:ascii="Arial Narrow" w:hAnsi="Arial Narrow" w:cs="Open Sans"/>
                <w:color w:val="333333"/>
                <w:sz w:val="20"/>
                <w:szCs w:val="20"/>
              </w:rPr>
              <w:t>undergoing</w:t>
            </w:r>
            <w:r w:rsidRPr="00D665D6">
              <w:rPr>
                <w:rFonts w:ascii="Arial Narrow" w:hAnsi="Arial Narrow"/>
                <w:color w:val="333333"/>
                <w:sz w:val="20"/>
                <w:szCs w:val="20"/>
              </w:rPr>
              <w:t xml:space="preserve"> non-PBS subsidised </w:t>
            </w:r>
            <w:r>
              <w:rPr>
                <w:rFonts w:ascii="Arial Narrow" w:hAnsi="Arial Narrow"/>
                <w:color w:val="333333"/>
                <w:sz w:val="20"/>
                <w:szCs w:val="20"/>
              </w:rPr>
              <w:t>treatment</w:t>
            </w:r>
            <w:r w:rsidRPr="00D665D6">
              <w:rPr>
                <w:rFonts w:ascii="Arial Narrow" w:hAnsi="Arial Narrow"/>
                <w:color w:val="333333"/>
                <w:sz w:val="20"/>
                <w:szCs w:val="20"/>
              </w:rPr>
              <w:t xml:space="preserve"> </w:t>
            </w:r>
            <w:r>
              <w:rPr>
                <w:rFonts w:ascii="Arial Narrow" w:hAnsi="Arial Narrow"/>
                <w:color w:val="333333"/>
                <w:sz w:val="20"/>
                <w:szCs w:val="20"/>
              </w:rPr>
              <w:t>with</w:t>
            </w:r>
            <w:r w:rsidRPr="00D665D6">
              <w:rPr>
                <w:rFonts w:ascii="Arial Narrow" w:hAnsi="Arial Narrow"/>
                <w:color w:val="333333"/>
                <w:sz w:val="20"/>
                <w:szCs w:val="20"/>
              </w:rPr>
              <w:t xml:space="preserve"> this drug for this PBS indication, </w:t>
            </w:r>
            <w:r w:rsidRPr="001A6C6A">
              <w:rPr>
                <w:rFonts w:ascii="Arial Narrow" w:hAnsi="Arial Narrow" w:cs="Open Sans"/>
                <w:color w:val="333333"/>
                <w:sz w:val="20"/>
                <w:szCs w:val="20"/>
              </w:rPr>
              <w:t xml:space="preserve">with an absence of further disease progression </w:t>
            </w:r>
            <w:r w:rsidRPr="00D665D6">
              <w:rPr>
                <w:rFonts w:ascii="Arial Narrow" w:hAnsi="Arial Narrow"/>
                <w:color w:val="333333"/>
                <w:sz w:val="20"/>
                <w:szCs w:val="20"/>
              </w:rPr>
              <w:t>since commencing non-PBS subsidised supply</w:t>
            </w:r>
            <w:r>
              <w:rPr>
                <w:rFonts w:ascii="Arial Narrow" w:hAnsi="Arial Narrow"/>
                <w:color w:val="333333"/>
                <w:sz w:val="20"/>
                <w:szCs w:val="20"/>
              </w:rPr>
              <w:t>.</w:t>
            </w:r>
          </w:p>
        </w:tc>
      </w:tr>
    </w:tbl>
    <w:p w14:paraId="3B02C070" w14:textId="77777777" w:rsidR="009B6C30" w:rsidRDefault="009B6C30" w:rsidP="009B6C30">
      <w:pPr>
        <w:rPr>
          <w:rFonts w:cs="Calibri"/>
          <w:b/>
          <w:bCs/>
        </w:rPr>
      </w:pPr>
    </w:p>
    <w:p w14:paraId="739D5C61" w14:textId="7DC60890" w:rsidR="009B6C30" w:rsidRPr="00FB2D50" w:rsidRDefault="009B6C30" w:rsidP="009B6C30">
      <w:pPr>
        <w:rPr>
          <w:rFonts w:cs="Calibri"/>
          <w:b/>
          <w:bCs/>
        </w:rPr>
      </w:pPr>
      <w:r w:rsidRPr="5E37D525">
        <w:rPr>
          <w:rFonts w:cs="Calibri"/>
          <w:b/>
          <w:bCs/>
        </w:rPr>
        <w:t xml:space="preserve">Trametinib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9"/>
        <w:gridCol w:w="1843"/>
        <w:gridCol w:w="999"/>
        <w:gridCol w:w="844"/>
        <w:gridCol w:w="992"/>
        <w:gridCol w:w="993"/>
        <w:gridCol w:w="1791"/>
      </w:tblGrid>
      <w:tr w:rsidR="009B6C30" w:rsidRPr="001428E9" w14:paraId="34C493DC" w14:textId="77777777" w:rsidTr="009B6C30">
        <w:trPr>
          <w:cantSplit/>
          <w:trHeight w:val="20"/>
        </w:trPr>
        <w:tc>
          <w:tcPr>
            <w:tcW w:w="3398" w:type="dxa"/>
            <w:gridSpan w:val="3"/>
            <w:vAlign w:val="center"/>
          </w:tcPr>
          <w:p w14:paraId="76EDF151" w14:textId="77777777" w:rsidR="009B6C30" w:rsidRPr="001428E9" w:rsidRDefault="009B6C30" w:rsidP="000B6113">
            <w:pPr>
              <w:keepLines/>
              <w:rPr>
                <w:rFonts w:ascii="Arial Narrow" w:hAnsi="Arial Narrow"/>
                <w:b/>
                <w:bCs/>
                <w:sz w:val="20"/>
                <w:szCs w:val="20"/>
              </w:rPr>
            </w:pPr>
            <w:r w:rsidRPr="001428E9">
              <w:rPr>
                <w:rFonts w:ascii="Arial Narrow" w:hAnsi="Arial Narrow"/>
                <w:b/>
                <w:bCs/>
                <w:sz w:val="20"/>
                <w:szCs w:val="20"/>
              </w:rPr>
              <w:t>MEDICINAL PRODUCT</w:t>
            </w:r>
          </w:p>
          <w:p w14:paraId="214FA8D6" w14:textId="77777777" w:rsidR="009B6C30" w:rsidRPr="001428E9" w:rsidRDefault="009B6C30" w:rsidP="000B6113">
            <w:pPr>
              <w:keepLines/>
              <w:rPr>
                <w:rFonts w:ascii="Arial Narrow" w:hAnsi="Arial Narrow"/>
                <w:b/>
                <w:sz w:val="20"/>
                <w:szCs w:val="20"/>
              </w:rPr>
            </w:pPr>
            <w:r w:rsidRPr="001428E9">
              <w:rPr>
                <w:rFonts w:ascii="Arial Narrow" w:hAnsi="Arial Narrow"/>
                <w:b/>
                <w:bCs/>
                <w:sz w:val="20"/>
                <w:szCs w:val="20"/>
              </w:rPr>
              <w:t>medicinal product pack</w:t>
            </w:r>
          </w:p>
        </w:tc>
        <w:tc>
          <w:tcPr>
            <w:tcW w:w="999" w:type="dxa"/>
            <w:vAlign w:val="center"/>
          </w:tcPr>
          <w:p w14:paraId="080CEFB0"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PBS item code</w:t>
            </w:r>
          </w:p>
        </w:tc>
        <w:tc>
          <w:tcPr>
            <w:tcW w:w="844" w:type="dxa"/>
            <w:vAlign w:val="center"/>
          </w:tcPr>
          <w:p w14:paraId="7353F386"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Max. qty packs</w:t>
            </w:r>
          </w:p>
        </w:tc>
        <w:tc>
          <w:tcPr>
            <w:tcW w:w="992" w:type="dxa"/>
            <w:vAlign w:val="center"/>
          </w:tcPr>
          <w:p w14:paraId="76B24B8B"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Max. qty units</w:t>
            </w:r>
          </w:p>
        </w:tc>
        <w:tc>
          <w:tcPr>
            <w:tcW w:w="993" w:type="dxa"/>
            <w:vAlign w:val="center"/>
          </w:tcPr>
          <w:p w14:paraId="31091B0B"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№.of</w:t>
            </w:r>
          </w:p>
          <w:p w14:paraId="455F3F1A" w14:textId="77777777" w:rsidR="009B6C30" w:rsidRPr="001428E9" w:rsidRDefault="009B6C30" w:rsidP="000B6113">
            <w:pPr>
              <w:keepLines/>
              <w:jc w:val="center"/>
              <w:rPr>
                <w:rFonts w:ascii="Arial Narrow" w:hAnsi="Arial Narrow"/>
                <w:b/>
                <w:sz w:val="20"/>
                <w:szCs w:val="20"/>
              </w:rPr>
            </w:pPr>
            <w:r w:rsidRPr="001428E9">
              <w:rPr>
                <w:rFonts w:ascii="Arial Narrow" w:hAnsi="Arial Narrow"/>
                <w:b/>
                <w:sz w:val="20"/>
                <w:szCs w:val="20"/>
              </w:rPr>
              <w:t>Rpts</w:t>
            </w:r>
          </w:p>
        </w:tc>
        <w:tc>
          <w:tcPr>
            <w:tcW w:w="1791" w:type="dxa"/>
            <w:vAlign w:val="center"/>
          </w:tcPr>
          <w:p w14:paraId="72049492" w14:textId="77777777" w:rsidR="009B6C30" w:rsidRPr="001428E9" w:rsidRDefault="009B6C30" w:rsidP="000B6113">
            <w:pPr>
              <w:keepLines/>
              <w:rPr>
                <w:rFonts w:ascii="Arial Narrow" w:hAnsi="Arial Narrow"/>
                <w:b/>
                <w:sz w:val="20"/>
                <w:szCs w:val="20"/>
                <w:lang w:val="fr-FR"/>
              </w:rPr>
            </w:pPr>
            <w:r w:rsidRPr="001428E9">
              <w:rPr>
                <w:rFonts w:ascii="Arial Narrow" w:hAnsi="Arial Narrow"/>
                <w:b/>
                <w:sz w:val="20"/>
                <w:szCs w:val="20"/>
              </w:rPr>
              <w:t>Available brands</w:t>
            </w:r>
          </w:p>
        </w:tc>
      </w:tr>
      <w:tr w:rsidR="009B6C30" w:rsidRPr="001428E9" w14:paraId="01ADF9CB" w14:textId="77777777" w:rsidTr="009B6C30">
        <w:trPr>
          <w:cantSplit/>
          <w:trHeight w:val="20"/>
        </w:trPr>
        <w:tc>
          <w:tcPr>
            <w:tcW w:w="9017" w:type="dxa"/>
            <w:gridSpan w:val="8"/>
            <w:vAlign w:val="center"/>
          </w:tcPr>
          <w:p w14:paraId="74692B45" w14:textId="77777777" w:rsidR="009B6C30" w:rsidRPr="001428E9" w:rsidRDefault="009B6C30" w:rsidP="000B6113">
            <w:pPr>
              <w:keepLines/>
              <w:rPr>
                <w:rFonts w:ascii="Arial Narrow" w:hAnsi="Arial Narrow"/>
                <w:sz w:val="20"/>
                <w:szCs w:val="20"/>
              </w:rPr>
            </w:pPr>
            <w:r>
              <w:rPr>
                <w:rFonts w:ascii="Arial Narrow" w:hAnsi="Arial Narrow"/>
                <w:sz w:val="20"/>
                <w:szCs w:val="20"/>
              </w:rPr>
              <w:t>TRAMETINIB</w:t>
            </w:r>
          </w:p>
        </w:tc>
      </w:tr>
      <w:tr w:rsidR="009B6C30" w:rsidRPr="001428E9" w14:paraId="640E8A41" w14:textId="77777777" w:rsidTr="009B6C30">
        <w:trPr>
          <w:cantSplit/>
          <w:trHeight w:val="20"/>
        </w:trPr>
        <w:tc>
          <w:tcPr>
            <w:tcW w:w="3398" w:type="dxa"/>
            <w:gridSpan w:val="3"/>
            <w:vAlign w:val="center"/>
          </w:tcPr>
          <w:p w14:paraId="6BAA0AA7" w14:textId="77777777" w:rsidR="009B6C30" w:rsidRPr="00A3354D" w:rsidRDefault="009B6C30" w:rsidP="000B6113">
            <w:pPr>
              <w:keepLines/>
              <w:rPr>
                <w:rFonts w:ascii="Arial Narrow" w:hAnsi="Arial Narrow"/>
                <w:sz w:val="20"/>
                <w:szCs w:val="20"/>
              </w:rPr>
            </w:pPr>
            <w:r w:rsidRPr="00A3354D">
              <w:rPr>
                <w:rFonts w:ascii="Arial Narrow" w:hAnsi="Arial Narrow"/>
                <w:sz w:val="20"/>
                <w:szCs w:val="20"/>
              </w:rPr>
              <w:t>trametinib 2 mg tablet, 30</w:t>
            </w:r>
          </w:p>
        </w:tc>
        <w:tc>
          <w:tcPr>
            <w:tcW w:w="999" w:type="dxa"/>
            <w:vAlign w:val="center"/>
          </w:tcPr>
          <w:p w14:paraId="75679740" w14:textId="77777777" w:rsidR="009B6C30" w:rsidRPr="00A3354D" w:rsidRDefault="009B6C30" w:rsidP="000B6113">
            <w:pPr>
              <w:keepLines/>
              <w:jc w:val="center"/>
              <w:rPr>
                <w:rFonts w:ascii="Arial Narrow" w:hAnsi="Arial Narrow"/>
                <w:sz w:val="20"/>
                <w:szCs w:val="20"/>
              </w:rPr>
            </w:pPr>
            <w:r w:rsidRPr="00A3354D">
              <w:rPr>
                <w:rFonts w:ascii="Arial Narrow" w:hAnsi="Arial Narrow"/>
                <w:sz w:val="20"/>
                <w:szCs w:val="20"/>
              </w:rPr>
              <w:t>NEW</w:t>
            </w:r>
          </w:p>
        </w:tc>
        <w:tc>
          <w:tcPr>
            <w:tcW w:w="844" w:type="dxa"/>
            <w:vAlign w:val="center"/>
          </w:tcPr>
          <w:p w14:paraId="22226737" w14:textId="77777777" w:rsidR="009B6C30" w:rsidRPr="00A3354D" w:rsidRDefault="009B6C30" w:rsidP="000B6113">
            <w:pPr>
              <w:keepLines/>
              <w:jc w:val="center"/>
              <w:rPr>
                <w:rFonts w:ascii="Arial Narrow" w:hAnsi="Arial Narrow"/>
                <w:sz w:val="20"/>
                <w:szCs w:val="20"/>
              </w:rPr>
            </w:pPr>
            <w:r w:rsidRPr="00A3354D">
              <w:rPr>
                <w:rFonts w:ascii="Arial Narrow" w:hAnsi="Arial Narrow"/>
                <w:sz w:val="20"/>
                <w:szCs w:val="20"/>
              </w:rPr>
              <w:t>1</w:t>
            </w:r>
          </w:p>
        </w:tc>
        <w:tc>
          <w:tcPr>
            <w:tcW w:w="992" w:type="dxa"/>
            <w:vAlign w:val="center"/>
          </w:tcPr>
          <w:p w14:paraId="1CDE714A" w14:textId="77777777" w:rsidR="009B6C30" w:rsidRPr="00A3354D" w:rsidRDefault="009B6C30" w:rsidP="000B6113">
            <w:pPr>
              <w:keepLines/>
              <w:jc w:val="center"/>
              <w:rPr>
                <w:rFonts w:ascii="Arial Narrow" w:hAnsi="Arial Narrow"/>
                <w:sz w:val="20"/>
                <w:szCs w:val="20"/>
              </w:rPr>
            </w:pPr>
            <w:r w:rsidRPr="00A3354D">
              <w:rPr>
                <w:rFonts w:ascii="Arial Narrow" w:hAnsi="Arial Narrow"/>
                <w:sz w:val="20"/>
                <w:szCs w:val="20"/>
              </w:rPr>
              <w:t>30</w:t>
            </w:r>
          </w:p>
        </w:tc>
        <w:tc>
          <w:tcPr>
            <w:tcW w:w="993" w:type="dxa"/>
            <w:vAlign w:val="center"/>
          </w:tcPr>
          <w:p w14:paraId="1CACE23A" w14:textId="77777777" w:rsidR="009B6C30" w:rsidRPr="00A3354D" w:rsidRDefault="009B6C30" w:rsidP="000B6113">
            <w:pPr>
              <w:keepLines/>
              <w:jc w:val="center"/>
              <w:rPr>
                <w:rFonts w:ascii="Arial Narrow" w:hAnsi="Arial Narrow"/>
                <w:sz w:val="20"/>
                <w:szCs w:val="20"/>
              </w:rPr>
            </w:pPr>
            <w:r w:rsidRPr="00A3354D">
              <w:rPr>
                <w:rFonts w:ascii="Arial Narrow" w:hAnsi="Arial Narrow"/>
                <w:sz w:val="20"/>
                <w:szCs w:val="20"/>
              </w:rPr>
              <w:t>5</w:t>
            </w:r>
          </w:p>
        </w:tc>
        <w:tc>
          <w:tcPr>
            <w:tcW w:w="1791" w:type="dxa"/>
            <w:vAlign w:val="center"/>
          </w:tcPr>
          <w:p w14:paraId="2F6F8358" w14:textId="77777777" w:rsidR="009B6C30" w:rsidRPr="00A3354D" w:rsidRDefault="009B6C30" w:rsidP="000B6113">
            <w:pPr>
              <w:keepLines/>
              <w:rPr>
                <w:rFonts w:ascii="Arial Narrow" w:hAnsi="Arial Narrow"/>
                <w:sz w:val="20"/>
                <w:szCs w:val="20"/>
              </w:rPr>
            </w:pPr>
            <w:proofErr w:type="spellStart"/>
            <w:r w:rsidRPr="00A3354D">
              <w:rPr>
                <w:rFonts w:ascii="Arial Narrow" w:hAnsi="Arial Narrow"/>
                <w:sz w:val="20"/>
                <w:szCs w:val="20"/>
              </w:rPr>
              <w:t>Mekinist</w:t>
            </w:r>
            <w:proofErr w:type="spellEnd"/>
          </w:p>
        </w:tc>
      </w:tr>
      <w:tr w:rsidR="009B6C30" w:rsidRPr="001428E9" w14:paraId="06A95D77" w14:textId="77777777" w:rsidTr="009B6C30">
        <w:trPr>
          <w:cantSplit/>
          <w:trHeight w:val="20"/>
        </w:trPr>
        <w:tc>
          <w:tcPr>
            <w:tcW w:w="3398" w:type="dxa"/>
            <w:gridSpan w:val="3"/>
            <w:vAlign w:val="center"/>
          </w:tcPr>
          <w:p w14:paraId="0EB02151" w14:textId="77777777" w:rsidR="009B6C30" w:rsidRPr="00A3354D" w:rsidRDefault="009B6C30" w:rsidP="000B6113">
            <w:pPr>
              <w:keepLines/>
              <w:rPr>
                <w:rFonts w:ascii="Arial Narrow" w:hAnsi="Arial Narrow"/>
                <w:sz w:val="20"/>
                <w:szCs w:val="20"/>
              </w:rPr>
            </w:pPr>
            <w:r w:rsidRPr="00A3354D">
              <w:rPr>
                <w:rFonts w:ascii="Arial Narrow" w:hAnsi="Arial Narrow"/>
                <w:sz w:val="20"/>
                <w:szCs w:val="20"/>
              </w:rPr>
              <w:t>trametinib 500 mcg tablet, 30</w:t>
            </w:r>
          </w:p>
        </w:tc>
        <w:tc>
          <w:tcPr>
            <w:tcW w:w="999" w:type="dxa"/>
            <w:vAlign w:val="center"/>
          </w:tcPr>
          <w:p w14:paraId="15FACA9D" w14:textId="77777777" w:rsidR="009B6C30" w:rsidRPr="00A3354D" w:rsidRDefault="009B6C30" w:rsidP="000B6113">
            <w:pPr>
              <w:keepLines/>
              <w:jc w:val="center"/>
              <w:rPr>
                <w:rFonts w:ascii="Arial Narrow" w:hAnsi="Arial Narrow"/>
                <w:sz w:val="20"/>
                <w:szCs w:val="20"/>
              </w:rPr>
            </w:pPr>
            <w:r w:rsidRPr="00A3354D">
              <w:rPr>
                <w:rFonts w:ascii="Arial Narrow" w:hAnsi="Arial Narrow"/>
                <w:sz w:val="20"/>
                <w:szCs w:val="20"/>
              </w:rPr>
              <w:t>NEW</w:t>
            </w:r>
          </w:p>
        </w:tc>
        <w:tc>
          <w:tcPr>
            <w:tcW w:w="844" w:type="dxa"/>
            <w:vAlign w:val="center"/>
          </w:tcPr>
          <w:p w14:paraId="513BA6A0" w14:textId="10DB57D9" w:rsidR="009B6C30" w:rsidRPr="00A3354D" w:rsidRDefault="009B6C30" w:rsidP="000B6113">
            <w:pPr>
              <w:keepLines/>
              <w:jc w:val="center"/>
              <w:rPr>
                <w:rFonts w:ascii="Arial Narrow" w:hAnsi="Arial Narrow"/>
                <w:strike/>
                <w:sz w:val="20"/>
                <w:szCs w:val="20"/>
              </w:rPr>
            </w:pPr>
            <w:r w:rsidRPr="00A3354D">
              <w:rPr>
                <w:rFonts w:ascii="Arial Narrow" w:hAnsi="Arial Narrow"/>
                <w:sz w:val="20"/>
                <w:szCs w:val="20"/>
              </w:rPr>
              <w:t>3</w:t>
            </w:r>
          </w:p>
        </w:tc>
        <w:tc>
          <w:tcPr>
            <w:tcW w:w="992" w:type="dxa"/>
            <w:vAlign w:val="center"/>
          </w:tcPr>
          <w:p w14:paraId="78742DCD" w14:textId="5A4B27B6" w:rsidR="009B6C30" w:rsidRPr="00A3354D" w:rsidRDefault="009B6C30" w:rsidP="000B6113">
            <w:pPr>
              <w:keepLines/>
              <w:jc w:val="center"/>
              <w:rPr>
                <w:rFonts w:ascii="Arial Narrow" w:hAnsi="Arial Narrow"/>
                <w:strike/>
                <w:sz w:val="20"/>
                <w:szCs w:val="20"/>
              </w:rPr>
            </w:pPr>
            <w:r w:rsidRPr="00A3354D">
              <w:rPr>
                <w:rFonts w:ascii="Arial Narrow" w:hAnsi="Arial Narrow"/>
                <w:sz w:val="20"/>
                <w:szCs w:val="20"/>
              </w:rPr>
              <w:t>90</w:t>
            </w:r>
          </w:p>
        </w:tc>
        <w:tc>
          <w:tcPr>
            <w:tcW w:w="993" w:type="dxa"/>
            <w:vAlign w:val="center"/>
          </w:tcPr>
          <w:p w14:paraId="1C0DFDF9" w14:textId="77777777" w:rsidR="009B6C30" w:rsidRPr="00A3354D" w:rsidRDefault="009B6C30" w:rsidP="000B6113">
            <w:pPr>
              <w:keepLines/>
              <w:jc w:val="center"/>
              <w:rPr>
                <w:rFonts w:ascii="Arial Narrow" w:hAnsi="Arial Narrow"/>
                <w:sz w:val="20"/>
                <w:szCs w:val="20"/>
              </w:rPr>
            </w:pPr>
            <w:r w:rsidRPr="00A3354D">
              <w:rPr>
                <w:rFonts w:ascii="Arial Narrow" w:hAnsi="Arial Narrow"/>
                <w:sz w:val="20"/>
                <w:szCs w:val="20"/>
              </w:rPr>
              <w:t>5</w:t>
            </w:r>
          </w:p>
        </w:tc>
        <w:tc>
          <w:tcPr>
            <w:tcW w:w="1791" w:type="dxa"/>
            <w:vAlign w:val="center"/>
          </w:tcPr>
          <w:p w14:paraId="5FD4ED88" w14:textId="77777777" w:rsidR="009B6C30" w:rsidRPr="00A3354D" w:rsidRDefault="009B6C30" w:rsidP="000B6113">
            <w:pPr>
              <w:keepLines/>
              <w:rPr>
                <w:rFonts w:ascii="Arial Narrow" w:hAnsi="Arial Narrow"/>
                <w:sz w:val="20"/>
                <w:szCs w:val="20"/>
              </w:rPr>
            </w:pPr>
            <w:proofErr w:type="spellStart"/>
            <w:r w:rsidRPr="00A3354D">
              <w:rPr>
                <w:rFonts w:ascii="Arial Narrow" w:hAnsi="Arial Narrow"/>
                <w:sz w:val="20"/>
                <w:szCs w:val="20"/>
              </w:rPr>
              <w:t>Mekinist</w:t>
            </w:r>
            <w:proofErr w:type="spellEnd"/>
          </w:p>
        </w:tc>
      </w:tr>
      <w:tr w:rsidR="009B6C30" w:rsidRPr="001428E9" w14:paraId="25D015E4" w14:textId="77777777" w:rsidTr="009B6C30">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2A7356A7" w14:textId="77777777" w:rsidR="009B6C30" w:rsidRPr="001428E9" w:rsidRDefault="009B6C30" w:rsidP="000B6113">
            <w:pPr>
              <w:rPr>
                <w:rFonts w:ascii="Arial Narrow" w:hAnsi="Arial Narrow"/>
                <w:sz w:val="20"/>
                <w:szCs w:val="20"/>
              </w:rPr>
            </w:pPr>
          </w:p>
        </w:tc>
      </w:tr>
      <w:tr w:rsidR="009B6C30" w:rsidRPr="001428E9" w14:paraId="701EE984" w14:textId="77777777" w:rsidTr="009B6C30">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3AE4A1C6" w14:textId="77777777" w:rsidR="009B6C30" w:rsidRPr="001428E9" w:rsidRDefault="009B6C30" w:rsidP="000B6113">
            <w:pPr>
              <w:keepLines/>
              <w:rPr>
                <w:rFonts w:ascii="Arial Narrow" w:hAnsi="Arial Narrow"/>
                <w:b/>
                <w:bCs/>
                <w:sz w:val="20"/>
                <w:szCs w:val="20"/>
              </w:rPr>
            </w:pPr>
            <w:r w:rsidRPr="0FB95259">
              <w:rPr>
                <w:rFonts w:ascii="Arial Narrow" w:hAnsi="Arial Narrow"/>
                <w:b/>
                <w:bCs/>
                <w:sz w:val="20"/>
                <w:szCs w:val="20"/>
              </w:rPr>
              <w:t>Restriction Summary [</w:t>
            </w:r>
            <w:r w:rsidRPr="4531BE82">
              <w:rPr>
                <w:rFonts w:ascii="Arial Narrow" w:hAnsi="Arial Narrow"/>
                <w:b/>
                <w:bCs/>
                <w:sz w:val="20"/>
                <w:szCs w:val="20"/>
              </w:rPr>
              <w:t>new</w:t>
            </w:r>
            <w:r>
              <w:rPr>
                <w:rFonts w:ascii="Arial Narrow" w:hAnsi="Arial Narrow"/>
                <w:b/>
                <w:bCs/>
                <w:sz w:val="20"/>
                <w:szCs w:val="20"/>
              </w:rPr>
              <w:t>2</w:t>
            </w:r>
            <w:r w:rsidRPr="0FB95259">
              <w:rPr>
                <w:rFonts w:ascii="Arial Narrow" w:hAnsi="Arial Narrow"/>
                <w:b/>
                <w:bCs/>
                <w:sz w:val="20"/>
                <w:szCs w:val="20"/>
              </w:rPr>
              <w:t>]</w:t>
            </w:r>
            <w:r w:rsidRPr="0FB95259">
              <w:rPr>
                <w:rFonts w:ascii="Arial Narrow" w:hAnsi="Arial Narrow"/>
                <w:b/>
                <w:bCs/>
                <w:color w:val="FF0000"/>
                <w:sz w:val="20"/>
                <w:szCs w:val="20"/>
              </w:rPr>
              <w:t xml:space="preserve"> </w:t>
            </w:r>
            <w:r w:rsidRPr="0FB95259">
              <w:rPr>
                <w:rFonts w:ascii="Arial Narrow" w:hAnsi="Arial Narrow"/>
                <w:b/>
                <w:bCs/>
                <w:sz w:val="20"/>
                <w:szCs w:val="20"/>
              </w:rPr>
              <w:t>/ Treatment of Concept: [</w:t>
            </w:r>
            <w:r w:rsidRPr="7E7A805A">
              <w:rPr>
                <w:rFonts w:ascii="Arial Narrow" w:hAnsi="Arial Narrow"/>
                <w:b/>
                <w:bCs/>
                <w:sz w:val="20"/>
                <w:szCs w:val="20"/>
              </w:rPr>
              <w:t>new</w:t>
            </w:r>
            <w:r>
              <w:rPr>
                <w:rFonts w:ascii="Arial Narrow" w:hAnsi="Arial Narrow"/>
                <w:b/>
                <w:bCs/>
                <w:sz w:val="20"/>
                <w:szCs w:val="20"/>
              </w:rPr>
              <w:t>2</w:t>
            </w:r>
            <w:r w:rsidRPr="7E7A805A">
              <w:rPr>
                <w:rFonts w:ascii="Arial Narrow" w:hAnsi="Arial Narrow"/>
                <w:b/>
                <w:bCs/>
                <w:sz w:val="20"/>
                <w:szCs w:val="20"/>
              </w:rPr>
              <w:t>A</w:t>
            </w:r>
            <w:r w:rsidRPr="0FB95259">
              <w:rPr>
                <w:rFonts w:ascii="Arial Narrow" w:hAnsi="Arial Narrow"/>
                <w:b/>
                <w:bCs/>
                <w:sz w:val="20"/>
                <w:szCs w:val="20"/>
              </w:rPr>
              <w:t>]</w:t>
            </w:r>
          </w:p>
        </w:tc>
      </w:tr>
      <w:tr w:rsidR="009B6C30" w:rsidRPr="001428E9" w14:paraId="6DDE7D0F" w14:textId="77777777" w:rsidTr="0084361C">
        <w:tblPrEx>
          <w:tblCellMar>
            <w:top w:w="15" w:type="dxa"/>
            <w:bottom w:w="15" w:type="dxa"/>
          </w:tblCellMar>
          <w:tblLook w:val="04A0" w:firstRow="1" w:lastRow="0" w:firstColumn="1" w:lastColumn="0" w:noHBand="0" w:noVBand="1"/>
        </w:tblPrEx>
        <w:trPr>
          <w:trHeight w:val="20"/>
        </w:trPr>
        <w:tc>
          <w:tcPr>
            <w:tcW w:w="1555" w:type="dxa"/>
            <w:gridSpan w:val="2"/>
            <w:vMerge w:val="restart"/>
            <w:tcBorders>
              <w:top w:val="single" w:sz="4" w:space="0" w:color="auto"/>
              <w:left w:val="single" w:sz="4" w:space="0" w:color="auto"/>
              <w:right w:val="single" w:sz="4" w:space="0" w:color="auto"/>
            </w:tcBorders>
          </w:tcPr>
          <w:p w14:paraId="6CF15CD2" w14:textId="77777777" w:rsidR="009B6C30" w:rsidRPr="001428E9" w:rsidRDefault="009B6C30" w:rsidP="000B6113">
            <w:pPr>
              <w:jc w:val="center"/>
              <w:rPr>
                <w:rFonts w:ascii="Arial Narrow" w:hAnsi="Arial Narrow"/>
                <w:b/>
                <w:sz w:val="20"/>
                <w:szCs w:val="20"/>
              </w:rPr>
            </w:pPr>
            <w:r w:rsidRPr="001428E9">
              <w:rPr>
                <w:rFonts w:ascii="Arial Narrow" w:hAnsi="Arial Narrow"/>
                <w:b/>
                <w:sz w:val="20"/>
                <w:szCs w:val="20"/>
              </w:rPr>
              <w:t>Concept ID</w:t>
            </w:r>
            <w:r>
              <w:rPr>
                <w:rFonts w:ascii="Arial Narrow" w:hAnsi="Arial Narrow"/>
                <w:b/>
                <w:sz w:val="20"/>
                <w:szCs w:val="20"/>
              </w:rPr>
              <w:t xml:space="preserve"> </w:t>
            </w:r>
            <w:r w:rsidRPr="001428E9">
              <w:rPr>
                <w:rFonts w:ascii="Arial Narrow" w:hAnsi="Arial Narrow"/>
                <w:sz w:val="20"/>
                <w:szCs w:val="20"/>
              </w:rPr>
              <w:t>(for internal Dept. use)</w:t>
            </w:r>
          </w:p>
        </w:tc>
        <w:tc>
          <w:tcPr>
            <w:tcW w:w="7462" w:type="dxa"/>
            <w:gridSpan w:val="6"/>
            <w:tcBorders>
              <w:top w:val="single" w:sz="4" w:space="0" w:color="auto"/>
              <w:left w:val="single" w:sz="4" w:space="0" w:color="auto"/>
              <w:bottom w:val="single" w:sz="4" w:space="0" w:color="auto"/>
              <w:right w:val="single" w:sz="4" w:space="0" w:color="auto"/>
            </w:tcBorders>
            <w:vAlign w:val="center"/>
          </w:tcPr>
          <w:p w14:paraId="0282C57A" w14:textId="77777777" w:rsidR="009B6C30" w:rsidRPr="001428E9" w:rsidRDefault="009B6C30" w:rsidP="000B6113">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t xml:space="preserve">GENERAL - General Schedule (Code GE) </w:t>
            </w:r>
          </w:p>
        </w:tc>
      </w:tr>
      <w:tr w:rsidR="009B6C30" w:rsidRPr="001428E9" w14:paraId="4484E92C" w14:textId="77777777" w:rsidTr="0084361C">
        <w:tblPrEx>
          <w:tblCellMar>
            <w:top w:w="15" w:type="dxa"/>
            <w:bottom w:w="15" w:type="dxa"/>
          </w:tblCellMar>
          <w:tblLook w:val="04A0" w:firstRow="1" w:lastRow="0" w:firstColumn="1" w:lastColumn="0" w:noHBand="0" w:noVBand="1"/>
        </w:tblPrEx>
        <w:trPr>
          <w:trHeight w:val="20"/>
        </w:trPr>
        <w:tc>
          <w:tcPr>
            <w:tcW w:w="1555" w:type="dxa"/>
            <w:gridSpan w:val="2"/>
            <w:vMerge/>
          </w:tcPr>
          <w:p w14:paraId="0B709AF2" w14:textId="77777777" w:rsidR="009B6C30" w:rsidRPr="001428E9" w:rsidRDefault="009B6C30" w:rsidP="000B6113">
            <w:pPr>
              <w:rPr>
                <w:rFonts w:ascii="Arial Narrow" w:hAnsi="Arial Narrow"/>
                <w:sz w:val="20"/>
                <w:szCs w:val="20"/>
              </w:rPr>
            </w:pPr>
          </w:p>
        </w:tc>
        <w:tc>
          <w:tcPr>
            <w:tcW w:w="7462" w:type="dxa"/>
            <w:gridSpan w:val="6"/>
            <w:tcBorders>
              <w:top w:val="single" w:sz="4" w:space="0" w:color="auto"/>
              <w:left w:val="single" w:sz="4" w:space="0" w:color="auto"/>
              <w:bottom w:val="single" w:sz="4" w:space="0" w:color="auto"/>
              <w:right w:val="single" w:sz="4" w:space="0" w:color="auto"/>
            </w:tcBorders>
            <w:vAlign w:val="center"/>
          </w:tcPr>
          <w:p w14:paraId="79F4EF15" w14:textId="77777777" w:rsidR="009B6C30" w:rsidRPr="001428E9" w:rsidRDefault="009B6C30" w:rsidP="000B6113">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sidRPr="001428E9">
              <w:rPr>
                <w:rFonts w:ascii="Arial Narrow" w:hAnsi="Arial Narrow"/>
                <w:sz w:val="20"/>
                <w:szCs w:val="20"/>
              </w:rPr>
              <w:t xml:space="preserve">Medical Practitioners </w:t>
            </w:r>
          </w:p>
        </w:tc>
      </w:tr>
      <w:tr w:rsidR="009B6C30" w:rsidRPr="00D56F94" w14:paraId="4DFAD92A" w14:textId="77777777" w:rsidTr="0084361C">
        <w:tblPrEx>
          <w:tblCellMar>
            <w:top w:w="15" w:type="dxa"/>
            <w:bottom w:w="15" w:type="dxa"/>
          </w:tblCellMar>
          <w:tblLook w:val="04A0" w:firstRow="1" w:lastRow="0" w:firstColumn="1" w:lastColumn="0" w:noHBand="0" w:noVBand="1"/>
        </w:tblPrEx>
        <w:trPr>
          <w:trHeight w:val="20"/>
        </w:trPr>
        <w:tc>
          <w:tcPr>
            <w:tcW w:w="1555" w:type="dxa"/>
            <w:gridSpan w:val="2"/>
            <w:vMerge/>
          </w:tcPr>
          <w:p w14:paraId="39F2103B" w14:textId="77777777" w:rsidR="009B6C30" w:rsidRPr="001428E9" w:rsidRDefault="009B6C30" w:rsidP="000B6113">
            <w:pPr>
              <w:rPr>
                <w:rFonts w:ascii="Arial Narrow" w:hAnsi="Arial Narrow"/>
                <w:sz w:val="20"/>
                <w:szCs w:val="20"/>
              </w:rPr>
            </w:pPr>
          </w:p>
        </w:tc>
        <w:tc>
          <w:tcPr>
            <w:tcW w:w="7462" w:type="dxa"/>
            <w:gridSpan w:val="6"/>
            <w:tcBorders>
              <w:top w:val="single" w:sz="4" w:space="0" w:color="auto"/>
              <w:left w:val="single" w:sz="4" w:space="0" w:color="auto"/>
              <w:bottom w:val="single" w:sz="4" w:space="0" w:color="auto"/>
              <w:right w:val="single" w:sz="4" w:space="0" w:color="auto"/>
            </w:tcBorders>
            <w:vAlign w:val="center"/>
          </w:tcPr>
          <w:p w14:paraId="166579B5" w14:textId="77777777" w:rsidR="009B6C30" w:rsidRPr="000B76DD" w:rsidRDefault="009B6C30" w:rsidP="000B6113">
            <w:pPr>
              <w:keepLines/>
              <w:rPr>
                <w:rFonts w:ascii="Arial Narrow" w:hAnsi="Arial Narrow"/>
                <w:b/>
                <w:sz w:val="20"/>
                <w:szCs w:val="20"/>
              </w:rPr>
            </w:pPr>
            <w:r w:rsidRPr="001428E9">
              <w:rPr>
                <w:rFonts w:ascii="Arial Narrow" w:hAnsi="Arial Narrow"/>
                <w:b/>
                <w:sz w:val="20"/>
                <w:szCs w:val="20"/>
              </w:rPr>
              <w:t xml:space="preserve">Restriction type: </w:t>
            </w:r>
            <w:r w:rsidRPr="001428E9">
              <w:rPr>
                <w:rFonts w:ascii="Arial Narrow" w:eastAsia="Calibri" w:hAnsi="Arial Narrow"/>
                <w:sz w:val="20"/>
                <w:szCs w:val="20"/>
              </w:rPr>
              <w:t>Authority Required (Streamlined) [new</w:t>
            </w:r>
            <w:r>
              <w:rPr>
                <w:rFonts w:ascii="Arial Narrow" w:eastAsia="Calibri" w:hAnsi="Arial Narrow"/>
                <w:sz w:val="20"/>
                <w:szCs w:val="20"/>
              </w:rPr>
              <w:t xml:space="preserve"> </w:t>
            </w:r>
            <w:r w:rsidRPr="001428E9">
              <w:rPr>
                <w:rFonts w:ascii="Arial Narrow" w:eastAsia="Calibri" w:hAnsi="Arial Narrow"/>
                <w:sz w:val="20"/>
                <w:szCs w:val="20"/>
              </w:rPr>
              <w:t xml:space="preserve">code] </w:t>
            </w:r>
          </w:p>
        </w:tc>
      </w:tr>
      <w:tr w:rsidR="009B6C30" w:rsidRPr="001428E9" w14:paraId="36F3B88F" w14:textId="77777777" w:rsidTr="0084361C">
        <w:tblPrEx>
          <w:tblCellMar>
            <w:top w:w="15" w:type="dxa"/>
            <w:bottom w:w="15" w:type="dxa"/>
          </w:tblCellMar>
          <w:tblLook w:val="04A0" w:firstRow="1" w:lastRow="0" w:firstColumn="1" w:lastColumn="0" w:noHBand="0" w:noVBand="1"/>
        </w:tblPrEx>
        <w:trPr>
          <w:trHeight w:val="20"/>
        </w:trPr>
        <w:tc>
          <w:tcPr>
            <w:tcW w:w="846" w:type="dxa"/>
            <w:vMerge w:val="restart"/>
            <w:tcBorders>
              <w:left w:val="single" w:sz="4" w:space="0" w:color="auto"/>
              <w:right w:val="single" w:sz="4" w:space="0" w:color="auto"/>
            </w:tcBorders>
            <w:textDirection w:val="btLr"/>
            <w:vAlign w:val="center"/>
          </w:tcPr>
          <w:p w14:paraId="2B69F3E1" w14:textId="77777777" w:rsidR="009B6C30" w:rsidRPr="001428E9" w:rsidRDefault="009B6C30" w:rsidP="000B6113">
            <w:pPr>
              <w:jc w:val="center"/>
              <w:rPr>
                <w:rFonts w:ascii="Arial Narrow" w:hAnsi="Arial Narrow"/>
                <w:sz w:val="20"/>
                <w:szCs w:val="20"/>
              </w:rPr>
            </w:pPr>
            <w:r w:rsidRPr="001428E9">
              <w:rPr>
                <w:rFonts w:ascii="Arial Narrow" w:hAnsi="Arial Narrow"/>
                <w:sz w:val="20"/>
                <w:szCs w:val="20"/>
              </w:rPr>
              <w:t>Prescribing rule level</w:t>
            </w:r>
          </w:p>
        </w:tc>
        <w:tc>
          <w:tcPr>
            <w:tcW w:w="709" w:type="dxa"/>
            <w:vAlign w:val="center"/>
          </w:tcPr>
          <w:p w14:paraId="1ABDCD7E" w14:textId="16711F1E" w:rsidR="009B6C30" w:rsidRPr="001428E9" w:rsidRDefault="009B6C30" w:rsidP="000B6113">
            <w:pPr>
              <w:jc w:val="center"/>
              <w:rPr>
                <w:rFonts w:ascii="Arial Narrow" w:hAnsi="Arial Narrow"/>
                <w:color w:val="333333"/>
                <w:sz w:val="20"/>
                <w:szCs w:val="20"/>
              </w:rPr>
            </w:pPr>
          </w:p>
        </w:tc>
        <w:tc>
          <w:tcPr>
            <w:tcW w:w="7462" w:type="dxa"/>
            <w:gridSpan w:val="6"/>
            <w:vAlign w:val="center"/>
          </w:tcPr>
          <w:p w14:paraId="7E810A93" w14:textId="77777777" w:rsidR="009B6C30" w:rsidRPr="00AB6723" w:rsidRDefault="009B6C30" w:rsidP="000B6113">
            <w:pPr>
              <w:rPr>
                <w:rFonts w:ascii="Arial Narrow" w:hAnsi="Arial Narrow"/>
                <w:sz w:val="20"/>
                <w:szCs w:val="20"/>
              </w:rPr>
            </w:pPr>
            <w:r w:rsidRPr="00AB6723">
              <w:rPr>
                <w:rFonts w:ascii="Arial Narrow" w:hAnsi="Arial Narrow"/>
                <w:b/>
                <w:bCs/>
                <w:sz w:val="20"/>
                <w:szCs w:val="20"/>
              </w:rPr>
              <w:t>Administrative Advice:</w:t>
            </w:r>
          </w:p>
          <w:p w14:paraId="377FA542" w14:textId="77777777" w:rsidR="009B6C30" w:rsidRPr="00AB6723" w:rsidRDefault="009B6C30" w:rsidP="000B6113">
            <w:pPr>
              <w:rPr>
                <w:rFonts w:ascii="Arial Narrow" w:hAnsi="Arial Narrow"/>
                <w:sz w:val="20"/>
                <w:szCs w:val="20"/>
              </w:rPr>
            </w:pPr>
            <w:r w:rsidRPr="00AB6723">
              <w:rPr>
                <w:rFonts w:ascii="Arial Narrow" w:hAnsi="Arial Narrow"/>
                <w:sz w:val="20"/>
                <w:szCs w:val="20"/>
              </w:rPr>
              <w:t>No increase in the maximum quantity or number of units may be authorised.</w:t>
            </w:r>
          </w:p>
        </w:tc>
      </w:tr>
      <w:tr w:rsidR="009B6C30" w:rsidRPr="001428E9" w14:paraId="58524254" w14:textId="77777777" w:rsidTr="0084361C">
        <w:tblPrEx>
          <w:tblCellMar>
            <w:top w:w="15" w:type="dxa"/>
            <w:bottom w:w="15" w:type="dxa"/>
          </w:tblCellMar>
          <w:tblLook w:val="04A0" w:firstRow="1" w:lastRow="0" w:firstColumn="1" w:lastColumn="0" w:noHBand="0" w:noVBand="1"/>
        </w:tblPrEx>
        <w:trPr>
          <w:trHeight w:val="20"/>
        </w:trPr>
        <w:tc>
          <w:tcPr>
            <w:tcW w:w="846" w:type="dxa"/>
            <w:vMerge/>
          </w:tcPr>
          <w:p w14:paraId="3EFC08C9" w14:textId="77777777" w:rsidR="009B6C30" w:rsidRPr="001428E9" w:rsidRDefault="009B6C30" w:rsidP="000B6113">
            <w:pPr>
              <w:rPr>
                <w:rFonts w:ascii="Arial Narrow" w:hAnsi="Arial Narrow"/>
                <w:sz w:val="20"/>
                <w:szCs w:val="20"/>
              </w:rPr>
            </w:pPr>
          </w:p>
        </w:tc>
        <w:tc>
          <w:tcPr>
            <w:tcW w:w="709" w:type="dxa"/>
            <w:vAlign w:val="center"/>
          </w:tcPr>
          <w:p w14:paraId="65E9E1C1" w14:textId="0CC37514" w:rsidR="009B6C30" w:rsidRPr="001428E9" w:rsidRDefault="009B6C30" w:rsidP="000B6113">
            <w:pPr>
              <w:jc w:val="center"/>
              <w:rPr>
                <w:rFonts w:ascii="Arial Narrow" w:hAnsi="Arial Narrow"/>
                <w:color w:val="333333"/>
                <w:sz w:val="20"/>
                <w:szCs w:val="20"/>
              </w:rPr>
            </w:pPr>
          </w:p>
        </w:tc>
        <w:tc>
          <w:tcPr>
            <w:tcW w:w="7462" w:type="dxa"/>
            <w:gridSpan w:val="6"/>
            <w:vAlign w:val="center"/>
          </w:tcPr>
          <w:p w14:paraId="5886A80A" w14:textId="77777777" w:rsidR="009B6C30" w:rsidRPr="00AB6723" w:rsidRDefault="009B6C30" w:rsidP="000B6113">
            <w:pPr>
              <w:rPr>
                <w:rFonts w:ascii="Arial Narrow" w:hAnsi="Arial Narrow"/>
                <w:b/>
                <w:bCs/>
                <w:sz w:val="20"/>
                <w:szCs w:val="20"/>
              </w:rPr>
            </w:pPr>
            <w:r w:rsidRPr="00AB6723">
              <w:rPr>
                <w:rFonts w:ascii="Arial Narrow" w:hAnsi="Arial Narrow"/>
                <w:b/>
                <w:bCs/>
                <w:sz w:val="20"/>
                <w:szCs w:val="20"/>
              </w:rPr>
              <w:t>Administrative Advice:</w:t>
            </w:r>
          </w:p>
          <w:p w14:paraId="40E97C4C" w14:textId="77777777" w:rsidR="009B6C30" w:rsidRPr="00AB6723" w:rsidRDefault="009B6C30" w:rsidP="000B6113">
            <w:pPr>
              <w:rPr>
                <w:rFonts w:ascii="Arial Narrow" w:hAnsi="Arial Narrow"/>
                <w:sz w:val="20"/>
                <w:szCs w:val="20"/>
              </w:rPr>
            </w:pPr>
            <w:r w:rsidRPr="00AB6723">
              <w:rPr>
                <w:rFonts w:ascii="Arial Narrow" w:hAnsi="Arial Narrow"/>
                <w:sz w:val="20"/>
                <w:szCs w:val="20"/>
              </w:rPr>
              <w:t>No increase in the maximum number of repeats may be authorised.</w:t>
            </w:r>
          </w:p>
        </w:tc>
      </w:tr>
      <w:tr w:rsidR="009B6C30" w:rsidRPr="001428E9" w14:paraId="113CA9E1" w14:textId="77777777" w:rsidTr="00D30A12">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77558C6B" w14:textId="416F3610" w:rsidR="009B6C30" w:rsidRPr="001428E9" w:rsidRDefault="009B6C30" w:rsidP="000B6113">
            <w:pPr>
              <w:keepLines/>
              <w:jc w:val="center"/>
              <w:rPr>
                <w:rFonts w:ascii="Arial Narrow" w:hAnsi="Arial Narrow"/>
                <w:color w:val="333333"/>
                <w:sz w:val="20"/>
                <w:szCs w:val="20"/>
              </w:rPr>
            </w:pPr>
          </w:p>
        </w:tc>
        <w:tc>
          <w:tcPr>
            <w:tcW w:w="7462" w:type="dxa"/>
            <w:gridSpan w:val="6"/>
            <w:vAlign w:val="center"/>
            <w:hideMark/>
          </w:tcPr>
          <w:p w14:paraId="27F8DCD5" w14:textId="77777777" w:rsidR="009B6C30" w:rsidRPr="001428E9" w:rsidRDefault="009B6C30" w:rsidP="000B6113">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Stage IV (metastatic) non-small cell lung cancer (NSCLC)</w:t>
            </w:r>
          </w:p>
        </w:tc>
      </w:tr>
      <w:tr w:rsidR="009B6C30" w:rsidRPr="001428E9" w14:paraId="10207FDB"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1C2B925A" w14:textId="6279EDAF" w:rsidR="009B6C30" w:rsidRPr="004E72F1" w:rsidRDefault="009B6C30" w:rsidP="000B6113">
            <w:pPr>
              <w:jc w:val="center"/>
              <w:rPr>
                <w:rFonts w:ascii="Arial Narrow" w:hAnsi="Arial Narrow"/>
                <w:color w:val="333333"/>
                <w:sz w:val="20"/>
                <w:szCs w:val="20"/>
              </w:rPr>
            </w:pPr>
          </w:p>
        </w:tc>
        <w:tc>
          <w:tcPr>
            <w:tcW w:w="7462" w:type="dxa"/>
            <w:gridSpan w:val="6"/>
            <w:vAlign w:val="center"/>
            <w:hideMark/>
          </w:tcPr>
          <w:p w14:paraId="4E9A4A48" w14:textId="77777777" w:rsidR="009B6C30" w:rsidRPr="004E72F1" w:rsidRDefault="009B6C30" w:rsidP="000B6113">
            <w:pPr>
              <w:rPr>
                <w:rFonts w:ascii="Arial Narrow" w:hAnsi="Arial Narrow"/>
                <w:color w:val="333333"/>
                <w:sz w:val="20"/>
                <w:szCs w:val="20"/>
              </w:rPr>
            </w:pPr>
            <w:r w:rsidRPr="5E37D525">
              <w:rPr>
                <w:rFonts w:ascii="Arial Narrow" w:hAnsi="Arial Narrow"/>
                <w:b/>
                <w:bCs/>
                <w:color w:val="333333"/>
                <w:sz w:val="20"/>
                <w:szCs w:val="20"/>
              </w:rPr>
              <w:t>Clinical criteria:</w:t>
            </w:r>
          </w:p>
        </w:tc>
      </w:tr>
      <w:tr w:rsidR="009B6C30" w:rsidRPr="001428E9" w14:paraId="68A6509F"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49D5A3EA" w14:textId="7AA045A9" w:rsidR="009B6C30" w:rsidRPr="004E72F1" w:rsidRDefault="009B6C30" w:rsidP="000B6113">
            <w:pPr>
              <w:jc w:val="center"/>
              <w:rPr>
                <w:rFonts w:ascii="Arial Narrow" w:hAnsi="Arial Narrow"/>
                <w:color w:val="333333"/>
                <w:sz w:val="20"/>
                <w:szCs w:val="20"/>
              </w:rPr>
            </w:pPr>
          </w:p>
        </w:tc>
        <w:tc>
          <w:tcPr>
            <w:tcW w:w="7462" w:type="dxa"/>
            <w:gridSpan w:val="6"/>
            <w:vAlign w:val="center"/>
            <w:hideMark/>
          </w:tcPr>
          <w:p w14:paraId="663A60F4" w14:textId="77777777" w:rsidR="009B6C30" w:rsidRPr="009B6C30" w:rsidRDefault="009B6C30" w:rsidP="000B6113">
            <w:pPr>
              <w:rPr>
                <w:rFonts w:ascii="Arial Narrow" w:hAnsi="Arial Narrow"/>
                <w:sz w:val="20"/>
                <w:szCs w:val="20"/>
              </w:rPr>
            </w:pPr>
            <w:r w:rsidRPr="009B6C30">
              <w:rPr>
                <w:rFonts w:ascii="Arial Narrow" w:hAnsi="Arial Narrow"/>
                <w:sz w:val="20"/>
                <w:szCs w:val="20"/>
              </w:rPr>
              <w:t>Patient must have/have had a WHO performance status of no greater than 2 at treatment initiation with this drug for this condition.</w:t>
            </w:r>
          </w:p>
        </w:tc>
      </w:tr>
      <w:tr w:rsidR="009B6C30" w:rsidRPr="001428E9" w14:paraId="016F78A2"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4F6FD7C0" w14:textId="77777777" w:rsidR="009B6C30" w:rsidRPr="5E37D525" w:rsidRDefault="009B6C30" w:rsidP="000B6113">
            <w:pPr>
              <w:jc w:val="center"/>
              <w:rPr>
                <w:rFonts w:ascii="Arial Narrow" w:hAnsi="Arial Narrow"/>
                <w:color w:val="333333"/>
                <w:sz w:val="20"/>
                <w:szCs w:val="20"/>
              </w:rPr>
            </w:pPr>
          </w:p>
        </w:tc>
        <w:tc>
          <w:tcPr>
            <w:tcW w:w="7462" w:type="dxa"/>
            <w:gridSpan w:val="6"/>
            <w:vAlign w:val="center"/>
          </w:tcPr>
          <w:p w14:paraId="10B4C17C" w14:textId="77777777" w:rsidR="009B6C30" w:rsidRPr="5E37D525" w:rsidRDefault="009B6C30" w:rsidP="000B6113">
            <w:pPr>
              <w:rPr>
                <w:rFonts w:ascii="Arial Narrow" w:hAnsi="Arial Narrow"/>
                <w:strike/>
                <w:sz w:val="20"/>
                <w:szCs w:val="20"/>
              </w:rPr>
            </w:pPr>
            <w:r w:rsidRPr="001428E9">
              <w:rPr>
                <w:rFonts w:ascii="Arial Narrow" w:hAnsi="Arial Narrow"/>
                <w:b/>
                <w:bCs/>
                <w:color w:val="333333"/>
                <w:sz w:val="20"/>
                <w:szCs w:val="20"/>
              </w:rPr>
              <w:t>AND</w:t>
            </w:r>
          </w:p>
        </w:tc>
      </w:tr>
      <w:tr w:rsidR="009B6C30" w:rsidRPr="001428E9" w14:paraId="2320D66D"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2C739660" w14:textId="719D6498" w:rsidR="009B6C30" w:rsidRPr="5E37D525" w:rsidRDefault="009B6C30" w:rsidP="000B6113">
            <w:pPr>
              <w:jc w:val="center"/>
              <w:rPr>
                <w:rFonts w:ascii="Arial Narrow" w:hAnsi="Arial Narrow"/>
                <w:color w:val="333333"/>
                <w:sz w:val="20"/>
                <w:szCs w:val="20"/>
              </w:rPr>
            </w:pPr>
          </w:p>
        </w:tc>
        <w:tc>
          <w:tcPr>
            <w:tcW w:w="7462" w:type="dxa"/>
            <w:gridSpan w:val="6"/>
            <w:vAlign w:val="center"/>
          </w:tcPr>
          <w:p w14:paraId="695CAB34" w14:textId="77777777" w:rsidR="009B6C30" w:rsidRPr="5E37D525" w:rsidRDefault="009B6C30" w:rsidP="000B6113">
            <w:pPr>
              <w:rPr>
                <w:rFonts w:ascii="Arial Narrow" w:hAnsi="Arial Narrow"/>
                <w:strike/>
                <w:sz w:val="20"/>
                <w:szCs w:val="20"/>
              </w:rPr>
            </w:pPr>
            <w:r w:rsidRPr="001428E9">
              <w:rPr>
                <w:rFonts w:ascii="Arial Narrow" w:hAnsi="Arial Narrow"/>
                <w:b/>
                <w:bCs/>
                <w:color w:val="333333"/>
                <w:sz w:val="20"/>
                <w:szCs w:val="20"/>
              </w:rPr>
              <w:t>Clinical criteria:</w:t>
            </w:r>
          </w:p>
        </w:tc>
      </w:tr>
      <w:tr w:rsidR="009B6C30" w:rsidRPr="001428E9" w14:paraId="111C6609"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3DCEDE60" w14:textId="3E291354" w:rsidR="009B6C30" w:rsidRPr="5E37D525" w:rsidRDefault="009B6C30" w:rsidP="000B6113">
            <w:pPr>
              <w:jc w:val="center"/>
              <w:rPr>
                <w:rFonts w:ascii="Arial Narrow" w:hAnsi="Arial Narrow"/>
                <w:color w:val="333333"/>
                <w:sz w:val="20"/>
                <w:szCs w:val="20"/>
              </w:rPr>
            </w:pPr>
          </w:p>
        </w:tc>
        <w:tc>
          <w:tcPr>
            <w:tcW w:w="7462" w:type="dxa"/>
            <w:gridSpan w:val="6"/>
            <w:vAlign w:val="center"/>
          </w:tcPr>
          <w:p w14:paraId="63DF85C9" w14:textId="2A37B3D1" w:rsidR="009B6C30" w:rsidRPr="009B6C30" w:rsidRDefault="009B6C30" w:rsidP="000B6113">
            <w:pPr>
              <w:rPr>
                <w:rFonts w:ascii="Arial Narrow" w:hAnsi="Arial Narrow"/>
                <w:strike/>
                <w:sz w:val="20"/>
                <w:szCs w:val="20"/>
              </w:rPr>
            </w:pPr>
            <w:r w:rsidRPr="009B6C30">
              <w:rPr>
                <w:rFonts w:ascii="Arial Narrow" w:hAnsi="Arial Narrow"/>
                <w:color w:val="333333"/>
                <w:sz w:val="20"/>
                <w:szCs w:val="20"/>
              </w:rPr>
              <w:t xml:space="preserve">The condition must be positive for a BRAF V600E mutation </w:t>
            </w:r>
          </w:p>
        </w:tc>
      </w:tr>
      <w:tr w:rsidR="009B6C30" w:rsidRPr="001428E9" w14:paraId="4DD85923"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09831DF9" w14:textId="77777777" w:rsidR="009B6C30" w:rsidRPr="004E72F1" w:rsidRDefault="009B6C30" w:rsidP="000B6113">
            <w:pPr>
              <w:jc w:val="center"/>
              <w:rPr>
                <w:rFonts w:ascii="Arial Narrow" w:hAnsi="Arial Narrow"/>
                <w:color w:val="333333"/>
                <w:sz w:val="20"/>
                <w:szCs w:val="20"/>
              </w:rPr>
            </w:pPr>
          </w:p>
        </w:tc>
        <w:tc>
          <w:tcPr>
            <w:tcW w:w="7462" w:type="dxa"/>
            <w:gridSpan w:val="6"/>
            <w:vAlign w:val="center"/>
            <w:hideMark/>
          </w:tcPr>
          <w:p w14:paraId="06217D80" w14:textId="77777777" w:rsidR="009B6C30" w:rsidRPr="004E72F1" w:rsidRDefault="009B6C30" w:rsidP="000B6113">
            <w:pPr>
              <w:rPr>
                <w:rFonts w:ascii="Arial Narrow" w:hAnsi="Arial Narrow"/>
                <w:color w:val="333333"/>
                <w:sz w:val="20"/>
                <w:szCs w:val="20"/>
              </w:rPr>
            </w:pPr>
            <w:r w:rsidRPr="00CC2A01">
              <w:rPr>
                <w:rFonts w:ascii="Arial Narrow" w:hAnsi="Arial Narrow"/>
                <w:b/>
                <w:bCs/>
                <w:color w:val="333333"/>
                <w:sz w:val="20"/>
                <w:szCs w:val="20"/>
              </w:rPr>
              <w:t>AND</w:t>
            </w:r>
          </w:p>
        </w:tc>
      </w:tr>
      <w:tr w:rsidR="009B6C30" w:rsidRPr="001428E9" w14:paraId="495F38F5"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7FE0720C" w14:textId="48D75DF3" w:rsidR="009B6C30" w:rsidRPr="004E72F1" w:rsidRDefault="009B6C30" w:rsidP="000B6113">
            <w:pPr>
              <w:jc w:val="center"/>
              <w:rPr>
                <w:rFonts w:ascii="Arial Narrow" w:hAnsi="Arial Narrow"/>
                <w:color w:val="333333"/>
                <w:sz w:val="20"/>
                <w:szCs w:val="20"/>
              </w:rPr>
            </w:pPr>
          </w:p>
        </w:tc>
        <w:tc>
          <w:tcPr>
            <w:tcW w:w="7462" w:type="dxa"/>
            <w:gridSpan w:val="6"/>
            <w:vAlign w:val="center"/>
            <w:hideMark/>
          </w:tcPr>
          <w:p w14:paraId="60842A7F" w14:textId="33FE2BA5" w:rsidR="009B6C30" w:rsidRPr="004E72F1" w:rsidRDefault="009B6C30" w:rsidP="000B6113">
            <w:pPr>
              <w:rPr>
                <w:rFonts w:ascii="Arial Narrow" w:hAnsi="Arial Narrow"/>
                <w:color w:val="333333"/>
                <w:sz w:val="20"/>
                <w:szCs w:val="20"/>
              </w:rPr>
            </w:pPr>
            <w:r>
              <w:rPr>
                <w:rFonts w:ascii="Arial Narrow" w:hAnsi="Arial Narrow"/>
                <w:b/>
                <w:bCs/>
                <w:color w:val="333333"/>
                <w:sz w:val="20"/>
                <w:szCs w:val="20"/>
              </w:rPr>
              <w:t>Clinical criteria:</w:t>
            </w:r>
          </w:p>
        </w:tc>
      </w:tr>
      <w:tr w:rsidR="009B6C30" w:rsidRPr="001428E9" w14:paraId="7AA5D31D"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6518DB47" w14:textId="093C045A" w:rsidR="009B6C30" w:rsidRPr="004E72F1" w:rsidRDefault="009B6C30" w:rsidP="000B6113">
            <w:pPr>
              <w:jc w:val="center"/>
              <w:rPr>
                <w:rFonts w:ascii="Arial Narrow" w:hAnsi="Arial Narrow"/>
                <w:color w:val="333333"/>
                <w:sz w:val="20"/>
                <w:szCs w:val="20"/>
              </w:rPr>
            </w:pPr>
          </w:p>
        </w:tc>
        <w:tc>
          <w:tcPr>
            <w:tcW w:w="7462" w:type="dxa"/>
            <w:gridSpan w:val="6"/>
            <w:vAlign w:val="center"/>
            <w:hideMark/>
          </w:tcPr>
          <w:p w14:paraId="13A9F843" w14:textId="77777777" w:rsidR="009B6C30" w:rsidRPr="009B6C30" w:rsidRDefault="009B6C30" w:rsidP="000B6113">
            <w:r w:rsidRPr="009B6C30">
              <w:rPr>
                <w:rFonts w:ascii="Arial Narrow" w:hAnsi="Arial Narrow" w:cs="Arial Narrow"/>
                <w:sz w:val="20"/>
                <w:szCs w:val="20"/>
              </w:rPr>
              <w:t>Patient must be receiving trametinib and dabrafenib concomitantly for this condition</w:t>
            </w:r>
          </w:p>
        </w:tc>
      </w:tr>
      <w:tr w:rsidR="009B6C30" w14:paraId="6679AD48"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2088B7E1" w14:textId="5E7FB8B3" w:rsidR="009B6C30" w:rsidRDefault="009B6C30" w:rsidP="000B6113">
            <w:pPr>
              <w:jc w:val="center"/>
              <w:rPr>
                <w:rFonts w:ascii="Arial Narrow" w:hAnsi="Arial Narrow"/>
                <w:color w:val="333333"/>
                <w:sz w:val="20"/>
                <w:szCs w:val="20"/>
              </w:rPr>
            </w:pPr>
          </w:p>
        </w:tc>
        <w:tc>
          <w:tcPr>
            <w:tcW w:w="7462" w:type="dxa"/>
            <w:gridSpan w:val="6"/>
            <w:vAlign w:val="center"/>
          </w:tcPr>
          <w:p w14:paraId="3803023D" w14:textId="77777777" w:rsidR="009B6C30" w:rsidRDefault="009B6C30" w:rsidP="000B6113">
            <w:pPr>
              <w:rPr>
                <w:rFonts w:ascii="Arial Narrow" w:hAnsi="Arial Narrow"/>
                <w:b/>
                <w:bCs/>
                <w:i/>
                <w:iCs/>
                <w:color w:val="333333"/>
                <w:sz w:val="20"/>
                <w:szCs w:val="20"/>
              </w:rPr>
            </w:pPr>
            <w:r w:rsidRPr="00CA640D">
              <w:rPr>
                <w:rFonts w:ascii="Arial Narrow" w:hAnsi="Arial Narrow"/>
                <w:b/>
                <w:bCs/>
                <w:color w:val="333333"/>
                <w:sz w:val="20"/>
                <w:szCs w:val="20"/>
              </w:rPr>
              <w:t>Treatment</w:t>
            </w:r>
            <w:r w:rsidRPr="095D7C59">
              <w:rPr>
                <w:rFonts w:ascii="Arial Narrow" w:hAnsi="Arial Narrow" w:cs="Arial Narrow"/>
                <w:b/>
                <w:bCs/>
                <w:i/>
                <w:iCs/>
                <w:sz w:val="20"/>
                <w:szCs w:val="20"/>
              </w:rPr>
              <w:t xml:space="preserve"> </w:t>
            </w:r>
            <w:r w:rsidRPr="009B6C30">
              <w:rPr>
                <w:rFonts w:ascii="Arial Narrow" w:hAnsi="Arial Narrow" w:cs="Arial Narrow"/>
                <w:b/>
                <w:bCs/>
                <w:sz w:val="20"/>
                <w:szCs w:val="20"/>
              </w:rPr>
              <w:t>criteria:</w:t>
            </w:r>
          </w:p>
        </w:tc>
      </w:tr>
      <w:tr w:rsidR="009B6C30" w:rsidRPr="001428E9" w14:paraId="3EAD069B"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tcPr>
          <w:p w14:paraId="64F99C2A" w14:textId="64DD9A38" w:rsidR="009B6C30" w:rsidRPr="00173A69" w:rsidRDefault="009B6C30" w:rsidP="000B6113">
            <w:pPr>
              <w:keepNext/>
              <w:jc w:val="center"/>
              <w:rPr>
                <w:rFonts w:ascii="Arial Narrow" w:hAnsi="Arial Narrow"/>
                <w:color w:val="333333"/>
                <w:sz w:val="20"/>
                <w:szCs w:val="20"/>
              </w:rPr>
            </w:pPr>
          </w:p>
        </w:tc>
        <w:tc>
          <w:tcPr>
            <w:tcW w:w="7462" w:type="dxa"/>
            <w:gridSpan w:val="6"/>
            <w:hideMark/>
          </w:tcPr>
          <w:p w14:paraId="56E8DE82" w14:textId="77777777" w:rsidR="009B6C30" w:rsidRPr="004E72F1" w:rsidRDefault="009B6C30" w:rsidP="000B6113">
            <w:pPr>
              <w:keepNext/>
              <w:rPr>
                <w:rFonts w:ascii="Arial Narrow" w:hAnsi="Arial Narrow"/>
                <w:i/>
                <w:iCs/>
                <w:color w:val="333333"/>
                <w:sz w:val="20"/>
                <w:szCs w:val="20"/>
              </w:rPr>
            </w:pPr>
            <w:r w:rsidRPr="001A6C6A">
              <w:rPr>
                <w:rFonts w:ascii="Arial Narrow" w:hAnsi="Arial Narrow" w:cs="Open Sans"/>
                <w:color w:val="333333"/>
                <w:sz w:val="20"/>
                <w:szCs w:val="20"/>
              </w:rPr>
              <w:t>Patient must be</w:t>
            </w:r>
            <w:r>
              <w:rPr>
                <w:rFonts w:ascii="Arial Narrow" w:hAnsi="Arial Narrow" w:cs="Open Sans"/>
                <w:color w:val="333333"/>
                <w:sz w:val="20"/>
                <w:szCs w:val="20"/>
              </w:rPr>
              <w:t xml:space="preserve"> undergoing initial</w:t>
            </w:r>
            <w:r w:rsidRPr="001A6C6A">
              <w:rPr>
                <w:rFonts w:ascii="Arial Narrow" w:hAnsi="Arial Narrow" w:cs="Open Sans"/>
                <w:color w:val="333333"/>
                <w:sz w:val="20"/>
                <w:szCs w:val="20"/>
              </w:rPr>
              <w:t> treatment with this drug; or</w:t>
            </w:r>
          </w:p>
        </w:tc>
      </w:tr>
      <w:tr w:rsidR="009B6C30" w:rsidRPr="001428E9" w14:paraId="63F2AD66"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tcPr>
          <w:p w14:paraId="3E0BED62" w14:textId="753D8DB9" w:rsidR="009B6C30" w:rsidRPr="00173A69" w:rsidRDefault="009B6C30" w:rsidP="000B6113">
            <w:pPr>
              <w:jc w:val="center"/>
              <w:rPr>
                <w:rFonts w:ascii="Arial Narrow" w:hAnsi="Arial Narrow"/>
                <w:color w:val="333333"/>
                <w:sz w:val="20"/>
                <w:szCs w:val="20"/>
              </w:rPr>
            </w:pPr>
          </w:p>
        </w:tc>
        <w:tc>
          <w:tcPr>
            <w:tcW w:w="7462" w:type="dxa"/>
            <w:gridSpan w:val="6"/>
            <w:hideMark/>
          </w:tcPr>
          <w:p w14:paraId="6A9EAA28" w14:textId="77777777" w:rsidR="009B6C30" w:rsidRPr="004E72F1" w:rsidRDefault="009B6C30" w:rsidP="000B6113">
            <w:pPr>
              <w:autoSpaceDE w:val="0"/>
              <w:autoSpaceDN w:val="0"/>
              <w:adjustRightInd w:val="0"/>
              <w:rPr>
                <w:rFonts w:ascii="Arial Narrow" w:hAnsi="Arial Narrow" w:cs="Arial Narrow"/>
                <w:i/>
                <w:iCs/>
                <w:sz w:val="20"/>
                <w:szCs w:val="20"/>
              </w:rPr>
            </w:pPr>
            <w:r w:rsidRPr="001A6C6A">
              <w:rPr>
                <w:rFonts w:ascii="Arial Narrow" w:hAnsi="Arial Narrow" w:cs="Open Sans"/>
                <w:color w:val="333333"/>
                <w:sz w:val="20"/>
                <w:szCs w:val="20"/>
              </w:rPr>
              <w:t>Patient must be</w:t>
            </w:r>
            <w:r>
              <w:rPr>
                <w:rFonts w:ascii="Arial Narrow" w:hAnsi="Arial Narrow" w:cs="Open Sans"/>
                <w:color w:val="333333"/>
                <w:sz w:val="20"/>
                <w:szCs w:val="20"/>
              </w:rPr>
              <w:t xml:space="preserve"> undergoing</w:t>
            </w:r>
            <w:r w:rsidRPr="001A6C6A">
              <w:rPr>
                <w:rFonts w:ascii="Arial Narrow" w:hAnsi="Arial Narrow" w:cs="Open Sans"/>
                <w:color w:val="333333"/>
                <w:sz w:val="20"/>
                <w:szCs w:val="20"/>
              </w:rPr>
              <w:t xml:space="preserve"> continuing treatment with this drug, with an absence of further disease progression while being treated with this drug</w:t>
            </w:r>
            <w:r>
              <w:rPr>
                <w:rFonts w:ascii="Arial Narrow" w:hAnsi="Arial Narrow" w:cs="Open Sans"/>
                <w:color w:val="333333"/>
                <w:sz w:val="20"/>
                <w:szCs w:val="20"/>
              </w:rPr>
              <w:t>; or</w:t>
            </w:r>
          </w:p>
        </w:tc>
      </w:tr>
      <w:tr w:rsidR="009B6C30" w:rsidRPr="001428E9" w14:paraId="48890B08" w14:textId="77777777" w:rsidTr="0084361C">
        <w:tblPrEx>
          <w:tblCellMar>
            <w:top w:w="15" w:type="dxa"/>
            <w:bottom w:w="15" w:type="dxa"/>
          </w:tblCellMar>
          <w:tblLook w:val="04A0" w:firstRow="1" w:lastRow="0" w:firstColumn="1" w:lastColumn="0" w:noHBand="0" w:noVBand="1"/>
        </w:tblPrEx>
        <w:trPr>
          <w:cantSplit/>
          <w:trHeight w:val="20"/>
        </w:trPr>
        <w:tc>
          <w:tcPr>
            <w:tcW w:w="1555" w:type="dxa"/>
            <w:gridSpan w:val="2"/>
            <w:vAlign w:val="center"/>
          </w:tcPr>
          <w:p w14:paraId="6FF31F55" w14:textId="5572DE1A" w:rsidR="009B6C30" w:rsidRPr="00173A69" w:rsidRDefault="009B6C30" w:rsidP="000B6113">
            <w:pPr>
              <w:jc w:val="center"/>
              <w:rPr>
                <w:rFonts w:ascii="Arial Narrow" w:hAnsi="Arial Narrow"/>
                <w:color w:val="333333"/>
                <w:sz w:val="20"/>
                <w:szCs w:val="20"/>
              </w:rPr>
            </w:pPr>
          </w:p>
        </w:tc>
        <w:tc>
          <w:tcPr>
            <w:tcW w:w="7462" w:type="dxa"/>
            <w:gridSpan w:val="6"/>
            <w:vAlign w:val="center"/>
          </w:tcPr>
          <w:p w14:paraId="5D05F4B1" w14:textId="77777777" w:rsidR="009B6C30" w:rsidRPr="5E37D525" w:rsidRDefault="009B6C30" w:rsidP="000B6113">
            <w:pPr>
              <w:autoSpaceDE w:val="0"/>
              <w:autoSpaceDN w:val="0"/>
              <w:adjustRightInd w:val="0"/>
              <w:rPr>
                <w:rFonts w:ascii="Arial Narrow" w:hAnsi="Arial Narrow" w:cs="Arial Narrow"/>
                <w:strike/>
                <w:sz w:val="20"/>
                <w:szCs w:val="20"/>
              </w:rPr>
            </w:pPr>
            <w:r w:rsidRPr="00D665D6">
              <w:rPr>
                <w:rFonts w:ascii="Arial Narrow" w:hAnsi="Arial Narrow"/>
                <w:color w:val="333333"/>
                <w:sz w:val="20"/>
                <w:szCs w:val="20"/>
              </w:rPr>
              <w:t xml:space="preserve">Patient must be </w:t>
            </w:r>
            <w:r>
              <w:rPr>
                <w:rFonts w:ascii="Arial Narrow" w:hAnsi="Arial Narrow" w:cs="Open Sans"/>
                <w:color w:val="333333"/>
                <w:sz w:val="20"/>
                <w:szCs w:val="20"/>
              </w:rPr>
              <w:t>undergoing</w:t>
            </w:r>
            <w:r w:rsidRPr="00D665D6">
              <w:rPr>
                <w:rFonts w:ascii="Arial Narrow" w:hAnsi="Arial Narrow"/>
                <w:color w:val="333333"/>
                <w:sz w:val="20"/>
                <w:szCs w:val="20"/>
              </w:rPr>
              <w:t xml:space="preserve"> non-PBS subsidised </w:t>
            </w:r>
            <w:r>
              <w:rPr>
                <w:rFonts w:ascii="Arial Narrow" w:hAnsi="Arial Narrow"/>
                <w:color w:val="333333"/>
                <w:sz w:val="20"/>
                <w:szCs w:val="20"/>
              </w:rPr>
              <w:t>treatment</w:t>
            </w:r>
            <w:r w:rsidRPr="00D665D6">
              <w:rPr>
                <w:rFonts w:ascii="Arial Narrow" w:hAnsi="Arial Narrow"/>
                <w:color w:val="333333"/>
                <w:sz w:val="20"/>
                <w:szCs w:val="20"/>
              </w:rPr>
              <w:t xml:space="preserve"> </w:t>
            </w:r>
            <w:r>
              <w:rPr>
                <w:rFonts w:ascii="Arial Narrow" w:hAnsi="Arial Narrow"/>
                <w:color w:val="333333"/>
                <w:sz w:val="20"/>
                <w:szCs w:val="20"/>
              </w:rPr>
              <w:t>with</w:t>
            </w:r>
            <w:r w:rsidRPr="00D665D6">
              <w:rPr>
                <w:rFonts w:ascii="Arial Narrow" w:hAnsi="Arial Narrow"/>
                <w:color w:val="333333"/>
                <w:sz w:val="20"/>
                <w:szCs w:val="20"/>
              </w:rPr>
              <w:t xml:space="preserve"> this drug for this PBS indication, </w:t>
            </w:r>
            <w:r w:rsidRPr="001A6C6A">
              <w:rPr>
                <w:rFonts w:ascii="Arial Narrow" w:hAnsi="Arial Narrow" w:cs="Open Sans"/>
                <w:color w:val="333333"/>
                <w:sz w:val="20"/>
                <w:szCs w:val="20"/>
              </w:rPr>
              <w:t xml:space="preserve">with an absence of further disease progression </w:t>
            </w:r>
            <w:r w:rsidRPr="00D665D6">
              <w:rPr>
                <w:rFonts w:ascii="Arial Narrow" w:hAnsi="Arial Narrow"/>
                <w:color w:val="333333"/>
                <w:sz w:val="20"/>
                <w:szCs w:val="20"/>
              </w:rPr>
              <w:t>since commencing non-PBS subsidised supply</w:t>
            </w:r>
            <w:r>
              <w:rPr>
                <w:rFonts w:ascii="Arial Narrow" w:hAnsi="Arial Narrow"/>
                <w:color w:val="333333"/>
                <w:sz w:val="20"/>
                <w:szCs w:val="20"/>
              </w:rPr>
              <w:t>.</w:t>
            </w:r>
          </w:p>
        </w:tc>
      </w:tr>
    </w:tbl>
    <w:p w14:paraId="4C791EDA" w14:textId="77777777" w:rsidR="009B6C30" w:rsidRDefault="009B6C30" w:rsidP="009B6C30"/>
    <w:p w14:paraId="516FA641" w14:textId="02786118" w:rsidR="00897E04" w:rsidRPr="009F0BCF" w:rsidRDefault="003558E0" w:rsidP="009B6C30">
      <w:pPr>
        <w:jc w:val="left"/>
        <w:rPr>
          <w:rFonts w:asciiTheme="minorHAnsi" w:hAnsiTheme="minorHAnsi"/>
          <w:snapToGrid w:val="0"/>
        </w:rPr>
      </w:pPr>
      <w:r w:rsidRPr="009F0BCF">
        <w:rPr>
          <w:rFonts w:asciiTheme="minorHAnsi" w:hAnsiTheme="minorHAnsi"/>
          <w:bCs/>
          <w:snapToGrid w:val="0"/>
        </w:rPr>
        <w:t xml:space="preserve">8.2 </w:t>
      </w:r>
      <w:r w:rsidR="00897E04" w:rsidRPr="009F0BCF">
        <w:rPr>
          <w:rFonts w:asciiTheme="minorHAnsi" w:hAnsiTheme="minorHAnsi"/>
          <w:bCs/>
          <w:snapToGrid w:val="0"/>
        </w:rPr>
        <w:t xml:space="preserve">Flow-on </w:t>
      </w:r>
      <w:r w:rsidRPr="009F0BCF">
        <w:rPr>
          <w:rFonts w:asciiTheme="minorHAnsi" w:hAnsiTheme="minorHAnsi"/>
          <w:bCs/>
          <w:snapToGrid w:val="0"/>
        </w:rPr>
        <w:t>to</w:t>
      </w:r>
      <w:r w:rsidR="009F0BCF" w:rsidRPr="009F0BCF">
        <w:rPr>
          <w:rFonts w:asciiTheme="minorHAnsi" w:hAnsiTheme="minorHAnsi"/>
          <w:bCs/>
          <w:snapToGrid w:val="0"/>
        </w:rPr>
        <w:t xml:space="preserve"> the </w:t>
      </w:r>
      <w:r w:rsidR="00127C10">
        <w:rPr>
          <w:rFonts w:asciiTheme="minorHAnsi" w:hAnsiTheme="minorHAnsi"/>
          <w:bCs/>
          <w:snapToGrid w:val="0"/>
        </w:rPr>
        <w:t xml:space="preserve">immunotherapy </w:t>
      </w:r>
      <w:r w:rsidR="009F0BCF" w:rsidRPr="009F0BCF">
        <w:rPr>
          <w:rFonts w:asciiTheme="minorHAnsi" w:hAnsiTheme="minorHAnsi"/>
          <w:bCs/>
          <w:snapToGrid w:val="0"/>
        </w:rPr>
        <w:t xml:space="preserve">PBS listings for </w:t>
      </w:r>
      <w:r w:rsidR="009F0BCF">
        <w:rPr>
          <w:rFonts w:asciiTheme="minorHAnsi" w:hAnsiTheme="minorHAnsi"/>
          <w:bCs/>
          <w:snapToGrid w:val="0"/>
        </w:rPr>
        <w:t xml:space="preserve">Stage IV (metastatic) non-small cell lung cancer: </w:t>
      </w:r>
    </w:p>
    <w:p w14:paraId="6034A388" w14:textId="1CAA08BF" w:rsidR="00607336" w:rsidRDefault="009F0BCF" w:rsidP="009B6C30">
      <w:pPr>
        <w:jc w:val="left"/>
        <w:rPr>
          <w:rFonts w:asciiTheme="minorHAnsi" w:hAnsiTheme="minorHAnsi"/>
          <w:bCs/>
          <w:snapToGrid w:val="0"/>
        </w:rPr>
      </w:pPr>
      <w:r>
        <w:rPr>
          <w:rFonts w:asciiTheme="minorHAnsi" w:hAnsiTheme="minorHAnsi"/>
          <w:bCs/>
          <w:snapToGrid w:val="0"/>
        </w:rPr>
        <w:t xml:space="preserve">- </w:t>
      </w:r>
      <w:r w:rsidR="00E604C4" w:rsidRPr="00DD5437">
        <w:rPr>
          <w:rFonts w:asciiTheme="minorHAnsi" w:hAnsiTheme="minorHAnsi"/>
          <w:bCs/>
          <w:snapToGrid w:val="0"/>
        </w:rPr>
        <w:t xml:space="preserve">Amend </w:t>
      </w:r>
      <w:r w:rsidR="008B1B41">
        <w:rPr>
          <w:rFonts w:asciiTheme="minorHAnsi" w:hAnsiTheme="minorHAnsi"/>
          <w:bCs/>
          <w:snapToGrid w:val="0"/>
        </w:rPr>
        <w:t>the</w:t>
      </w:r>
      <w:r w:rsidR="00C03545">
        <w:rPr>
          <w:rFonts w:asciiTheme="minorHAnsi" w:hAnsiTheme="minorHAnsi"/>
          <w:bCs/>
          <w:snapToGrid w:val="0"/>
        </w:rPr>
        <w:t xml:space="preserve"> clinical criterion</w:t>
      </w:r>
      <w:r w:rsidR="00DC6FD9">
        <w:rPr>
          <w:rFonts w:asciiTheme="minorHAnsi" w:hAnsiTheme="minorHAnsi"/>
          <w:bCs/>
          <w:snapToGrid w:val="0"/>
        </w:rPr>
        <w:t xml:space="preserve"> </w:t>
      </w:r>
      <w:r w:rsidR="00C06DB1">
        <w:rPr>
          <w:rFonts w:asciiTheme="minorHAnsi" w:hAnsiTheme="minorHAnsi"/>
          <w:bCs/>
          <w:snapToGrid w:val="0"/>
        </w:rPr>
        <w:t xml:space="preserve">that currently exists </w:t>
      </w:r>
      <w:r w:rsidR="00B115E9">
        <w:rPr>
          <w:rFonts w:asciiTheme="minorHAnsi" w:hAnsiTheme="minorHAnsi"/>
          <w:bCs/>
          <w:snapToGrid w:val="0"/>
        </w:rPr>
        <w:t xml:space="preserve">in </w:t>
      </w:r>
      <w:r w:rsidR="004D0A95">
        <w:rPr>
          <w:rFonts w:asciiTheme="minorHAnsi" w:hAnsiTheme="minorHAnsi"/>
          <w:bCs/>
          <w:snapToGrid w:val="0"/>
        </w:rPr>
        <w:t>atezolizumab (</w:t>
      </w:r>
      <w:r w:rsidR="00B003FD" w:rsidRPr="00B003FD">
        <w:rPr>
          <w:rFonts w:asciiTheme="minorHAnsi" w:hAnsiTheme="minorHAnsi"/>
          <w:bCs/>
          <w:snapToGrid w:val="0"/>
        </w:rPr>
        <w:t>11792P,11807K, 14266W,14298M</w:t>
      </w:r>
      <w:r w:rsidR="004D0A95">
        <w:rPr>
          <w:rFonts w:asciiTheme="minorHAnsi" w:hAnsiTheme="minorHAnsi"/>
          <w:bCs/>
          <w:snapToGrid w:val="0"/>
        </w:rPr>
        <w:t xml:space="preserve">), </w:t>
      </w:r>
      <w:proofErr w:type="spellStart"/>
      <w:r w:rsidR="00982073">
        <w:rPr>
          <w:rFonts w:asciiTheme="minorHAnsi" w:hAnsiTheme="minorHAnsi"/>
          <w:bCs/>
          <w:snapToGrid w:val="0"/>
        </w:rPr>
        <w:t>cemiplimab</w:t>
      </w:r>
      <w:proofErr w:type="spellEnd"/>
      <w:r w:rsidR="00982073">
        <w:rPr>
          <w:rFonts w:asciiTheme="minorHAnsi" w:hAnsiTheme="minorHAnsi"/>
          <w:bCs/>
          <w:snapToGrid w:val="0"/>
        </w:rPr>
        <w:t xml:space="preserve"> (</w:t>
      </w:r>
      <w:r w:rsidR="00FF3E49" w:rsidRPr="00FF3E49">
        <w:rPr>
          <w:rFonts w:asciiTheme="minorHAnsi" w:hAnsiTheme="minorHAnsi"/>
          <w:bCs/>
          <w:snapToGrid w:val="0"/>
        </w:rPr>
        <w:t>13160P, 13169D</w:t>
      </w:r>
      <w:r w:rsidR="00982073">
        <w:rPr>
          <w:rFonts w:asciiTheme="minorHAnsi" w:hAnsiTheme="minorHAnsi"/>
          <w:bCs/>
          <w:snapToGrid w:val="0"/>
        </w:rPr>
        <w:t xml:space="preserve">), </w:t>
      </w:r>
      <w:r w:rsidR="00C1237D">
        <w:rPr>
          <w:rFonts w:asciiTheme="minorHAnsi" w:hAnsiTheme="minorHAnsi"/>
          <w:bCs/>
          <w:snapToGrid w:val="0"/>
        </w:rPr>
        <w:t>nivolumab in combination with ipilimumab (</w:t>
      </w:r>
      <w:r w:rsidR="00D66B8D" w:rsidRPr="00D66B8D">
        <w:rPr>
          <w:rFonts w:asciiTheme="minorHAnsi" w:hAnsiTheme="minorHAnsi"/>
          <w:bCs/>
          <w:snapToGrid w:val="0"/>
        </w:rPr>
        <w:t>12315E, 12323N</w:t>
      </w:r>
      <w:r w:rsidR="00C1237D">
        <w:rPr>
          <w:rFonts w:asciiTheme="minorHAnsi" w:hAnsiTheme="minorHAnsi"/>
          <w:bCs/>
          <w:snapToGrid w:val="0"/>
        </w:rPr>
        <w:t>) and pembrolizumab (</w:t>
      </w:r>
      <w:r w:rsidR="002F7F88" w:rsidRPr="002F7F88">
        <w:rPr>
          <w:rFonts w:asciiTheme="minorHAnsi" w:hAnsiTheme="minorHAnsi"/>
          <w:bCs/>
          <w:snapToGrid w:val="0"/>
        </w:rPr>
        <w:t>11492W,11494Y,12121Y,12119W</w:t>
      </w:r>
      <w:r w:rsidR="00C1237D">
        <w:rPr>
          <w:rFonts w:asciiTheme="minorHAnsi" w:hAnsiTheme="minorHAnsi"/>
          <w:bCs/>
          <w:snapToGrid w:val="0"/>
        </w:rPr>
        <w:t>)</w:t>
      </w:r>
      <w:r w:rsidR="004300ED">
        <w:rPr>
          <w:rFonts w:asciiTheme="minorHAnsi" w:hAnsiTheme="minorHAnsi"/>
          <w:bCs/>
          <w:snapToGrid w:val="0"/>
        </w:rPr>
        <w:t xml:space="preserve"> listings to </w:t>
      </w:r>
      <w:r w:rsidR="00FE680C">
        <w:rPr>
          <w:rFonts w:asciiTheme="minorHAnsi" w:hAnsiTheme="minorHAnsi"/>
          <w:bCs/>
          <w:snapToGrid w:val="0"/>
        </w:rPr>
        <w:t>allow them to be used after D+T.</w:t>
      </w:r>
    </w:p>
    <w:p w14:paraId="47A9C1AF" w14:textId="77777777" w:rsidR="00607336" w:rsidRDefault="00607336" w:rsidP="009B6C30">
      <w:pPr>
        <w:jc w:val="left"/>
        <w:rPr>
          <w:rFonts w:asciiTheme="minorHAnsi" w:hAnsiTheme="minorHAnsi"/>
          <w:bCs/>
          <w:snapToGrid w:val="0"/>
        </w:rPr>
      </w:pPr>
    </w:p>
    <w:tbl>
      <w:tblPr>
        <w:tblStyle w:val="TableGrid"/>
        <w:tblW w:w="0" w:type="auto"/>
        <w:tblLook w:val="04A0" w:firstRow="1" w:lastRow="0" w:firstColumn="1" w:lastColumn="0" w:noHBand="0" w:noVBand="1"/>
      </w:tblPr>
      <w:tblGrid>
        <w:gridCol w:w="1413"/>
        <w:gridCol w:w="7604"/>
      </w:tblGrid>
      <w:tr w:rsidR="00511CC0" w14:paraId="74905FD6" w14:textId="77777777" w:rsidTr="00511CC0">
        <w:tc>
          <w:tcPr>
            <w:tcW w:w="1413" w:type="dxa"/>
          </w:tcPr>
          <w:p w14:paraId="6502E33A" w14:textId="5EB28066" w:rsidR="00511CC0" w:rsidRDefault="0005010E" w:rsidP="00511CC0">
            <w:pPr>
              <w:jc w:val="center"/>
              <w:rPr>
                <w:rFonts w:asciiTheme="minorHAnsi" w:hAnsiTheme="minorHAnsi"/>
                <w:bCs/>
                <w:snapToGrid w:val="0"/>
              </w:rPr>
            </w:pPr>
            <w:r>
              <w:rPr>
                <w:rFonts w:asciiTheme="minorHAnsi" w:hAnsiTheme="minorHAnsi"/>
                <w:bCs/>
                <w:snapToGrid w:val="0"/>
              </w:rPr>
              <w:t>Amend</w:t>
            </w:r>
            <w:r w:rsidR="00127C10">
              <w:rPr>
                <w:rFonts w:asciiTheme="minorHAnsi" w:hAnsiTheme="minorHAnsi"/>
                <w:bCs/>
                <w:snapToGrid w:val="0"/>
              </w:rPr>
              <w:t xml:space="preserve"> CC</w:t>
            </w:r>
          </w:p>
        </w:tc>
        <w:tc>
          <w:tcPr>
            <w:tcW w:w="7604" w:type="dxa"/>
          </w:tcPr>
          <w:p w14:paraId="0DD6FC60" w14:textId="24ACC7A0" w:rsidR="00127C10" w:rsidRPr="009444CF" w:rsidRDefault="00511CC0" w:rsidP="009B6C30">
            <w:pPr>
              <w:jc w:val="left"/>
              <w:rPr>
                <w:rFonts w:asciiTheme="minorHAnsi" w:hAnsiTheme="minorHAnsi"/>
                <w:bCs/>
                <w:snapToGrid w:val="0"/>
              </w:rPr>
            </w:pPr>
            <w:r w:rsidRPr="009444CF">
              <w:rPr>
                <w:rFonts w:asciiTheme="minorHAnsi" w:hAnsiTheme="minorHAnsi"/>
                <w:bCs/>
                <w:snapToGrid w:val="0"/>
              </w:rPr>
              <w:t xml:space="preserve">Patient must not have previously been treated for this condition in the metastatic setting, OR  </w:t>
            </w:r>
          </w:p>
          <w:p w14:paraId="613DE682" w14:textId="77777777" w:rsidR="00127C10" w:rsidRDefault="00127C10" w:rsidP="009B6C30">
            <w:pPr>
              <w:jc w:val="left"/>
              <w:rPr>
                <w:rFonts w:asciiTheme="minorHAnsi" w:hAnsiTheme="minorHAnsi"/>
                <w:bCs/>
                <w:i/>
                <w:iCs/>
                <w:snapToGrid w:val="0"/>
              </w:rPr>
            </w:pPr>
          </w:p>
          <w:p w14:paraId="3AD410AC" w14:textId="04410C8F" w:rsidR="00511CC0" w:rsidRPr="00511CC0" w:rsidRDefault="00511CC0" w:rsidP="009B6C30">
            <w:pPr>
              <w:jc w:val="left"/>
              <w:rPr>
                <w:rFonts w:asciiTheme="minorHAnsi" w:hAnsiTheme="minorHAnsi"/>
                <w:bCs/>
                <w:i/>
                <w:iCs/>
                <w:snapToGrid w:val="0"/>
              </w:rPr>
            </w:pPr>
            <w:r>
              <w:rPr>
                <w:rFonts w:asciiTheme="minorHAnsi" w:hAnsiTheme="minorHAnsi"/>
                <w:bCs/>
                <w:i/>
                <w:iCs/>
                <w:snapToGrid w:val="0"/>
              </w:rPr>
              <w:t>The condition must have progressed after treatment with only one of: (</w:t>
            </w:r>
            <w:proofErr w:type="spellStart"/>
            <w:r>
              <w:rPr>
                <w:rFonts w:asciiTheme="minorHAnsi" w:hAnsiTheme="minorHAnsi"/>
                <w:bCs/>
                <w:i/>
                <w:iCs/>
                <w:snapToGrid w:val="0"/>
              </w:rPr>
              <w:t>i</w:t>
            </w:r>
            <w:proofErr w:type="spellEnd"/>
            <w:r>
              <w:rPr>
                <w:rFonts w:asciiTheme="minorHAnsi" w:hAnsiTheme="minorHAnsi"/>
                <w:bCs/>
                <w:i/>
                <w:iCs/>
                <w:snapToGrid w:val="0"/>
              </w:rPr>
              <w:t xml:space="preserve">) </w:t>
            </w:r>
            <w:proofErr w:type="spellStart"/>
            <w:r>
              <w:rPr>
                <w:rFonts w:asciiTheme="minorHAnsi" w:hAnsiTheme="minorHAnsi"/>
                <w:bCs/>
                <w:i/>
                <w:iCs/>
                <w:snapToGrid w:val="0"/>
              </w:rPr>
              <w:t>tepotinib</w:t>
            </w:r>
            <w:proofErr w:type="spellEnd"/>
            <w:r>
              <w:rPr>
                <w:rFonts w:asciiTheme="minorHAnsi" w:hAnsiTheme="minorHAnsi"/>
                <w:bCs/>
                <w:i/>
                <w:iCs/>
                <w:snapToGrid w:val="0"/>
              </w:rPr>
              <w:t xml:space="preserve">, (ii) </w:t>
            </w:r>
            <w:proofErr w:type="spellStart"/>
            <w:r>
              <w:rPr>
                <w:rFonts w:asciiTheme="minorHAnsi" w:hAnsiTheme="minorHAnsi"/>
                <w:bCs/>
                <w:i/>
                <w:iCs/>
                <w:snapToGrid w:val="0"/>
              </w:rPr>
              <w:t>selpercatinib</w:t>
            </w:r>
            <w:proofErr w:type="spellEnd"/>
            <w:r>
              <w:rPr>
                <w:rFonts w:asciiTheme="minorHAnsi" w:hAnsiTheme="minorHAnsi"/>
                <w:bCs/>
                <w:i/>
                <w:iCs/>
                <w:snapToGrid w:val="0"/>
              </w:rPr>
              <w:t>, (iii) dabrafenib in combination with trametinib.</w:t>
            </w:r>
          </w:p>
        </w:tc>
      </w:tr>
    </w:tbl>
    <w:p w14:paraId="13C192E3" w14:textId="77777777" w:rsidR="00A85C0F" w:rsidRPr="00A85C0F" w:rsidRDefault="00A85C0F" w:rsidP="000D14F3"/>
    <w:p w14:paraId="7297EB8C" w14:textId="77777777" w:rsidR="00A85C0F" w:rsidRDefault="00A85C0F" w:rsidP="00A85C0F">
      <w:pPr>
        <w:spacing w:before="120"/>
        <w:rPr>
          <w:rFonts w:asciiTheme="minorHAnsi" w:hAnsiTheme="minorHAnsi"/>
          <w:b/>
          <w:i/>
          <w:iCs/>
          <w:snapToGrid w:val="0"/>
          <w:lang w:val="en-GB"/>
        </w:rPr>
      </w:pPr>
      <w:bookmarkStart w:id="107" w:name="_Toc186369251"/>
      <w:bookmarkEnd w:id="105"/>
      <w:bookmarkEnd w:id="106"/>
      <w:r w:rsidRPr="00907671">
        <w:rPr>
          <w:rFonts w:asciiTheme="minorHAnsi" w:hAnsiTheme="minorHAnsi"/>
          <w:b/>
          <w:i/>
          <w:iCs/>
          <w:snapToGrid w:val="0"/>
          <w:lang w:val="en-GB"/>
        </w:rPr>
        <w:t>These restrictions may be subject to further review. Should there be any changes made to the restriction the sponsor will be informed.</w:t>
      </w:r>
    </w:p>
    <w:bookmarkEnd w:id="107"/>
    <w:p w14:paraId="36197037" w14:textId="77777777" w:rsidR="00A047DE" w:rsidRPr="00E32AF5" w:rsidRDefault="00A047DE" w:rsidP="00A047DE">
      <w:pPr>
        <w:keepNext/>
        <w:numPr>
          <w:ilvl w:val="0"/>
          <w:numId w:val="2"/>
        </w:numPr>
        <w:spacing w:before="240" w:after="120"/>
        <w:jc w:val="left"/>
        <w:outlineLvl w:val="0"/>
        <w:rPr>
          <w:rFonts w:asciiTheme="minorHAnsi" w:hAnsiTheme="minorHAnsi"/>
          <w:b/>
          <w:snapToGrid w:val="0"/>
          <w:sz w:val="32"/>
          <w:szCs w:val="32"/>
        </w:rPr>
      </w:pPr>
      <w:r w:rsidRPr="00E32AF5">
        <w:rPr>
          <w:rFonts w:asciiTheme="minorHAnsi" w:hAnsiTheme="minorHAnsi"/>
          <w:b/>
          <w:snapToGrid w:val="0"/>
          <w:sz w:val="32"/>
          <w:szCs w:val="32"/>
        </w:rPr>
        <w:t>Context for Decision</w:t>
      </w:r>
    </w:p>
    <w:p w14:paraId="08F2C3C7" w14:textId="77777777" w:rsidR="00A047DE" w:rsidRPr="00E32AF5" w:rsidRDefault="00A047DE" w:rsidP="00A047DE">
      <w:pPr>
        <w:spacing w:after="120"/>
        <w:ind w:left="720"/>
        <w:rPr>
          <w:bCs/>
          <w:lang w:val="en-GB"/>
        </w:rPr>
      </w:pPr>
      <w:r w:rsidRPr="00E32AF5">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4D5BF1" w14:textId="77777777" w:rsidR="00A047DE" w:rsidRPr="00E32AF5" w:rsidRDefault="00A047DE" w:rsidP="00A047DE">
      <w:pPr>
        <w:keepNext/>
        <w:numPr>
          <w:ilvl w:val="0"/>
          <w:numId w:val="2"/>
        </w:numPr>
        <w:spacing w:before="240" w:after="120"/>
        <w:jc w:val="left"/>
        <w:outlineLvl w:val="0"/>
        <w:rPr>
          <w:rFonts w:asciiTheme="minorHAnsi" w:hAnsiTheme="minorHAnsi"/>
          <w:b/>
          <w:snapToGrid w:val="0"/>
          <w:sz w:val="32"/>
          <w:szCs w:val="32"/>
        </w:rPr>
      </w:pPr>
      <w:r w:rsidRPr="00E32AF5">
        <w:rPr>
          <w:rFonts w:asciiTheme="minorHAnsi" w:hAnsiTheme="minorHAnsi"/>
          <w:b/>
          <w:snapToGrid w:val="0"/>
          <w:sz w:val="32"/>
          <w:szCs w:val="32"/>
        </w:rPr>
        <w:t>Sponsor’s Comment</w:t>
      </w:r>
    </w:p>
    <w:p w14:paraId="070447C2" w14:textId="77777777" w:rsidR="00A047DE" w:rsidRPr="00E32AF5" w:rsidRDefault="00A047DE" w:rsidP="00A047DE">
      <w:pPr>
        <w:spacing w:after="120" w:line="276" w:lineRule="auto"/>
        <w:ind w:left="720"/>
        <w:rPr>
          <w:rFonts w:eastAsia="Calibri"/>
          <w:bCs/>
          <w:szCs w:val="22"/>
          <w:lang w:eastAsia="en-US"/>
        </w:rPr>
      </w:pPr>
      <w:r w:rsidRPr="00E32AF5">
        <w:rPr>
          <w:rFonts w:eastAsia="Calibri"/>
          <w:bCs/>
          <w:szCs w:val="22"/>
          <w:lang w:eastAsia="en-US"/>
        </w:rPr>
        <w:t>The sponsor had no comment.</w:t>
      </w:r>
    </w:p>
    <w:p w14:paraId="46EF28A2" w14:textId="43301852" w:rsidR="00753B29" w:rsidRDefault="00753B29">
      <w:pPr>
        <w:jc w:val="left"/>
        <w:rPr>
          <w:rFonts w:asciiTheme="minorHAnsi" w:hAnsiTheme="minorHAnsi"/>
          <w:b/>
          <w:snapToGrid w:val="0"/>
          <w:sz w:val="32"/>
          <w:szCs w:val="32"/>
        </w:rPr>
      </w:pPr>
    </w:p>
    <w:sectPr w:rsidR="00753B29" w:rsidSect="00217AB8">
      <w:headerReference w:type="even" r:id="rId19"/>
      <w:headerReference w:type="default" r:id="rId20"/>
      <w:footerReference w:type="even" r:id="rId21"/>
      <w:footerReference w:type="default" r:id="rId22"/>
      <w:headerReference w:type="first" r:id="rId23"/>
      <w:footerReference w:type="first" r:id="rId2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B68AE" w14:textId="77777777" w:rsidR="00CA0BB5" w:rsidRDefault="00CA0BB5" w:rsidP="00124A51">
      <w:r>
        <w:separator/>
      </w:r>
    </w:p>
    <w:p w14:paraId="3E4BAD7C" w14:textId="77777777" w:rsidR="00CA0BB5" w:rsidRDefault="00CA0BB5"/>
  </w:endnote>
  <w:endnote w:type="continuationSeparator" w:id="0">
    <w:p w14:paraId="77DB861F" w14:textId="77777777" w:rsidR="00CA0BB5" w:rsidRDefault="00CA0BB5" w:rsidP="00124A51">
      <w:r>
        <w:continuationSeparator/>
      </w:r>
    </w:p>
    <w:p w14:paraId="3BB54860" w14:textId="77777777" w:rsidR="00CA0BB5" w:rsidRDefault="00CA0BB5"/>
  </w:endnote>
  <w:endnote w:type="continuationNotice" w:id="1">
    <w:p w14:paraId="6DE8985C" w14:textId="77777777" w:rsidR="00CA0BB5" w:rsidRDefault="00CA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86B9" w14:textId="77777777" w:rsidR="008B5A1C" w:rsidRDefault="008B5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32C6C2B5" w:rsidR="00D843F2" w:rsidRPr="007C1CD9" w:rsidRDefault="00000000" w:rsidP="00753B29">
    <w:pPr>
      <w:pStyle w:val="Footer"/>
      <w:jc w:val="cen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88A2" w14:textId="77777777" w:rsidR="008B5A1C" w:rsidRDefault="008B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887F" w14:textId="77777777" w:rsidR="00CA0BB5" w:rsidRDefault="00CA0BB5" w:rsidP="00124A51">
      <w:r>
        <w:separator/>
      </w:r>
    </w:p>
    <w:p w14:paraId="7D75446D" w14:textId="77777777" w:rsidR="00CA0BB5" w:rsidRDefault="00CA0BB5"/>
  </w:footnote>
  <w:footnote w:type="continuationSeparator" w:id="0">
    <w:p w14:paraId="21B49842" w14:textId="77777777" w:rsidR="00CA0BB5" w:rsidRDefault="00CA0BB5" w:rsidP="00124A51">
      <w:r>
        <w:continuationSeparator/>
      </w:r>
    </w:p>
    <w:p w14:paraId="2841CE7B" w14:textId="77777777" w:rsidR="00CA0BB5" w:rsidRDefault="00CA0BB5"/>
  </w:footnote>
  <w:footnote w:type="continuationNotice" w:id="1">
    <w:p w14:paraId="79A1B25F" w14:textId="77777777" w:rsidR="00CA0BB5" w:rsidRDefault="00CA0BB5"/>
  </w:footnote>
  <w:footnote w:id="2">
    <w:p w14:paraId="41672D67" w14:textId="77777777" w:rsidR="000F0B46" w:rsidRDefault="000F0B46" w:rsidP="000F0B46">
      <w:pPr>
        <w:pStyle w:val="FootnoteText"/>
      </w:pPr>
      <w:r>
        <w:rPr>
          <w:rStyle w:val="FootnoteReference"/>
        </w:rPr>
        <w:footnoteRef/>
      </w:r>
      <w:r>
        <w:t xml:space="preserve"> </w:t>
      </w:r>
      <w:r w:rsidRPr="009A135D">
        <w:t xml:space="preserve">Cancer Australia, (2022), Lung cancer in Australia statistics. Available at: </w:t>
      </w:r>
      <w:hyperlink r:id="rId1" w:history="1">
        <w:r w:rsidRPr="002E55AD">
          <w:rPr>
            <w:rStyle w:val="Hyperlink"/>
          </w:rPr>
          <w:t>https://www.canceraustralia.gov.au/cancer-types/lung-cancer/statistics</w:t>
        </w:r>
      </w:hyperlink>
      <w:r w:rsidRPr="009A135D">
        <w:t>.</w:t>
      </w:r>
      <w:r>
        <w:t xml:space="preserve"> </w:t>
      </w:r>
    </w:p>
  </w:footnote>
  <w:footnote w:id="3">
    <w:p w14:paraId="31690AAC" w14:textId="77777777" w:rsidR="00745F7D" w:rsidRDefault="00745F7D" w:rsidP="00745F7D">
      <w:pPr>
        <w:pStyle w:val="FootnoteText"/>
      </w:pPr>
      <w:r>
        <w:rPr>
          <w:rStyle w:val="FootnoteReference"/>
        </w:rPr>
        <w:footnoteRef/>
      </w:r>
      <w:r>
        <w:t xml:space="preserve"> </w:t>
      </w:r>
      <w:r w:rsidRPr="006C5509">
        <w:t xml:space="preserve">Cancer Australia, (2022), Types of lung cancer. Available at: </w:t>
      </w:r>
      <w:hyperlink r:id="rId2" w:history="1">
        <w:r w:rsidRPr="002E55AD">
          <w:rPr>
            <w:rStyle w:val="Hyperlink"/>
          </w:rPr>
          <w:t>https://www.canceraustralia.gov.au/cancer-types/lung-cancer/types</w:t>
        </w:r>
      </w:hyperlink>
      <w:r w:rsidRPr="006C5509">
        <w:t>.</w:t>
      </w:r>
      <w:r>
        <w:t xml:space="preserve"> </w:t>
      </w:r>
    </w:p>
  </w:footnote>
  <w:footnote w:id="4">
    <w:p w14:paraId="25CB324A" w14:textId="655D2863" w:rsidR="00745F7D" w:rsidRDefault="00745F7D" w:rsidP="00745F7D">
      <w:pPr>
        <w:pStyle w:val="FootnoteText"/>
      </w:pPr>
      <w:r>
        <w:rPr>
          <w:rStyle w:val="FootnoteReference"/>
        </w:rPr>
        <w:footnoteRef/>
      </w:r>
      <w:r>
        <w:t xml:space="preserve"> </w:t>
      </w:r>
      <w:r w:rsidRPr="002316EE">
        <w:t>Li, J</w:t>
      </w:r>
      <w:r>
        <w:t xml:space="preserve">. </w:t>
      </w:r>
      <w:r w:rsidRPr="002316EE">
        <w:t xml:space="preserve">et al., (2019), ‘Prognostic value of site-specific metastases in lung cancer: A </w:t>
      </w:r>
      <w:r w:rsidR="009F230F" w:rsidRPr="002316EE">
        <w:t>population-based</w:t>
      </w:r>
      <w:r w:rsidRPr="002316EE">
        <w:t xml:space="preserve"> study’. </w:t>
      </w:r>
      <w:r w:rsidRPr="00AA1355">
        <w:rPr>
          <w:i/>
          <w:iCs/>
        </w:rPr>
        <w:t>Journal of Cancer</w:t>
      </w:r>
      <w:r w:rsidRPr="002316EE">
        <w:t>, 10, 3079-3086.</w:t>
      </w:r>
    </w:p>
  </w:footnote>
  <w:footnote w:id="5">
    <w:p w14:paraId="590E01ED" w14:textId="17F4566A" w:rsidR="00AC5549" w:rsidRDefault="00AC5549">
      <w:pPr>
        <w:pStyle w:val="FootnoteText"/>
      </w:pPr>
      <w:r>
        <w:rPr>
          <w:rStyle w:val="FootnoteReference"/>
        </w:rPr>
        <w:footnoteRef/>
      </w:r>
      <w:r>
        <w:t xml:space="preserve"> </w:t>
      </w:r>
      <w:r w:rsidR="00AA1355" w:rsidRPr="00AA1355">
        <w:t xml:space="preserve">Marchetti, A. et al., (2011), ‘Clinical features and outcome of patients with non-small-cell lung cancer harbouring BRAF mutations’, </w:t>
      </w:r>
      <w:r w:rsidR="00AA1355" w:rsidRPr="00AA1355">
        <w:rPr>
          <w:i/>
          <w:iCs/>
        </w:rPr>
        <w:t>J Clin Oncol</w:t>
      </w:r>
      <w:r w:rsidR="00AA1355" w:rsidRPr="00AA1355">
        <w:t xml:space="preserve">, 29 (26):3574-9, </w:t>
      </w:r>
      <w:hyperlink r:id="rId3" w:history="1">
        <w:r w:rsidR="00AA1355" w:rsidRPr="00E371FF">
          <w:rPr>
            <w:rStyle w:val="Hyperlink"/>
          </w:rPr>
          <w:t>https://ascopubs.org/doi/10.1200/JCO.2011.35.9638</w:t>
        </w:r>
      </w:hyperlink>
      <w:r w:rsidR="00AA1355">
        <w:t xml:space="preserve"> </w:t>
      </w:r>
    </w:p>
  </w:footnote>
  <w:footnote w:id="6">
    <w:p w14:paraId="2F84EAD6" w14:textId="13A3CF1E" w:rsidR="005C7A07" w:rsidRDefault="005C7A07">
      <w:pPr>
        <w:pStyle w:val="FootnoteText"/>
      </w:pPr>
      <w:r>
        <w:rPr>
          <w:rStyle w:val="FootnoteReference"/>
        </w:rPr>
        <w:footnoteRef/>
      </w:r>
      <w:r>
        <w:t xml:space="preserve"> </w:t>
      </w:r>
      <w:r w:rsidR="006D356A" w:rsidRPr="006D356A">
        <w:t xml:space="preserve">Luk, P. et al., (2015) ‘BRAF mutations in non-small cell lung cancer’, </w:t>
      </w:r>
      <w:r w:rsidR="006D356A" w:rsidRPr="006D356A">
        <w:rPr>
          <w:i/>
          <w:iCs/>
        </w:rPr>
        <w:t>Translational Lung Cancer Res</w:t>
      </w:r>
      <w:r w:rsidR="006D356A" w:rsidRPr="006D356A">
        <w:t xml:space="preserve">, 4(2):142-8, </w:t>
      </w:r>
      <w:hyperlink r:id="rId4" w:history="1">
        <w:r w:rsidR="006D356A" w:rsidRPr="00E371FF">
          <w:rPr>
            <w:rStyle w:val="Hyperlink"/>
          </w:rPr>
          <w:t>https://doi.org/10.3978/j.issn.2218-6751.2014.08.08</w:t>
        </w:r>
      </w:hyperlink>
      <w:r w:rsidR="006D356A">
        <w:t xml:space="preserve"> </w:t>
      </w:r>
    </w:p>
  </w:footnote>
  <w:footnote w:id="7">
    <w:p w14:paraId="73089313" w14:textId="77777777" w:rsidR="009C6D39" w:rsidRDefault="009C6D39" w:rsidP="009C6D39">
      <w:pPr>
        <w:pStyle w:val="FootnoteText"/>
      </w:pPr>
      <w:r>
        <w:rPr>
          <w:rStyle w:val="FootnoteReference"/>
        </w:rPr>
        <w:footnoteRef/>
      </w:r>
      <w:r>
        <w:t xml:space="preserve"> NCCN Clinical Practice Guidelines in Oncology (NCCN Guidelines</w:t>
      </w:r>
      <w:r>
        <w:rPr>
          <w:rFonts w:cs="Calibri"/>
        </w:rPr>
        <w:t>®</w:t>
      </w:r>
      <w:r>
        <w:t xml:space="preserve">) Non-Small Cell Lung Cancer, Version 1.2025, Available at: </w:t>
      </w:r>
      <w:hyperlink r:id="rId5" w:history="1">
        <w:r w:rsidRPr="00E371FF">
          <w:rPr>
            <w:rStyle w:val="Hyperlink"/>
          </w:rPr>
          <w:t>https://www.nccn.org/professionals/physician_gls/pdf/nscl.pdf</w:t>
        </w:r>
      </w:hyperlink>
      <w:r>
        <w:t xml:space="preserve"> </w:t>
      </w:r>
    </w:p>
  </w:footnote>
  <w:footnote w:id="8">
    <w:p w14:paraId="2FA93BBD" w14:textId="6F27FCEA" w:rsidR="00637298" w:rsidRDefault="00637298">
      <w:pPr>
        <w:pStyle w:val="FootnoteText"/>
      </w:pPr>
      <w:r w:rsidRPr="0070417B">
        <w:rPr>
          <w:rStyle w:val="FootnoteReference"/>
        </w:rPr>
        <w:footnoteRef/>
      </w:r>
      <w:r w:rsidRPr="0070417B">
        <w:t xml:space="preserve"> </w:t>
      </w:r>
      <w:r w:rsidRPr="0070417B">
        <w:rPr>
          <w:bCs/>
        </w:rPr>
        <w:t>Cherny NI, Dafni U, Bogaerts J, et al: ESMO-Magnitude of Clinical Benefit Scale version 1.1. Annals of Oncology 28:2340-2366, 2017</w:t>
      </w:r>
    </w:p>
  </w:footnote>
  <w:footnote w:id="9">
    <w:p w14:paraId="5A8D7D06" w14:textId="77777777" w:rsidR="004B2927" w:rsidRDefault="004B2927" w:rsidP="004B2927">
      <w:pPr>
        <w:pStyle w:val="FootnoteText"/>
      </w:pPr>
      <w:r>
        <w:rPr>
          <w:rStyle w:val="FootnoteReference"/>
        </w:rPr>
        <w:footnoteRef/>
      </w:r>
      <w:r>
        <w:t xml:space="preserve"> Perrone, F. et al., (2022), ‘</w:t>
      </w:r>
      <w:proofErr w:type="spellStart"/>
      <w:r w:rsidRPr="0049191A">
        <w:t>Multicenter</w:t>
      </w:r>
      <w:proofErr w:type="spellEnd"/>
      <w:r w:rsidRPr="0049191A">
        <w:t xml:space="preserve"> Observational Study on Metastatic Non-Small Cell Lung Cancer Harbouring BRAF Mutations: Focus on Clinical Characteristics and Treatment Outcome of V600E and Non-V600E Subgroups</w:t>
      </w:r>
      <w:r>
        <w:t>’,</w:t>
      </w:r>
      <w:r w:rsidRPr="0049191A">
        <w:t xml:space="preserve"> </w:t>
      </w:r>
      <w:r w:rsidRPr="0049191A">
        <w:rPr>
          <w:i/>
          <w:iCs/>
        </w:rPr>
        <w:t>Cancers</w:t>
      </w:r>
      <w:r>
        <w:t>,</w:t>
      </w:r>
      <w:r w:rsidRPr="0049191A">
        <w:t xml:space="preserve"> 14</w:t>
      </w:r>
      <w:r>
        <w:t>(8):</w:t>
      </w:r>
      <w:r w:rsidRPr="0049191A">
        <w:t>2019</w:t>
      </w:r>
      <w:r>
        <w:t>,</w:t>
      </w:r>
      <w:r w:rsidRPr="0049191A">
        <w:t xml:space="preserve"> </w:t>
      </w:r>
      <w:hyperlink r:id="rId6" w:history="1">
        <w:r w:rsidRPr="00002640">
          <w:rPr>
            <w:rStyle w:val="Hyperlink"/>
          </w:rPr>
          <w:t>https://doi.org/10.3390/cancers14082019</w:t>
        </w:r>
      </w:hyperlink>
      <w:r>
        <w:t xml:space="preserve">. </w:t>
      </w:r>
    </w:p>
  </w:footnote>
  <w:footnote w:id="10">
    <w:p w14:paraId="5444A2E9" w14:textId="729B6E43" w:rsidR="001F535E" w:rsidRPr="003B62D7" w:rsidRDefault="001F535E">
      <w:pPr>
        <w:pStyle w:val="FootnoteText"/>
      </w:pPr>
      <w:r>
        <w:rPr>
          <w:rStyle w:val="FootnoteReference"/>
        </w:rPr>
        <w:footnoteRef/>
      </w:r>
      <w:r>
        <w:t xml:space="preserve"> Tan, I. et al., (2019), ‘</w:t>
      </w:r>
      <w:r w:rsidR="003B62D7" w:rsidRPr="003B62D7">
        <w:t>Therapeutic outcomes in non-small cell lung cancer with BRAF mutations: a single institution, retrospective cohort study</w:t>
      </w:r>
      <w:r w:rsidR="003B62D7">
        <w:t xml:space="preserve">’, </w:t>
      </w:r>
      <w:proofErr w:type="spellStart"/>
      <w:r w:rsidR="003B62D7">
        <w:rPr>
          <w:i/>
          <w:iCs/>
        </w:rPr>
        <w:t>Transl</w:t>
      </w:r>
      <w:proofErr w:type="spellEnd"/>
      <w:r w:rsidR="003B62D7">
        <w:rPr>
          <w:i/>
          <w:iCs/>
        </w:rPr>
        <w:t xml:space="preserve"> Lung Cancer Res, </w:t>
      </w:r>
      <w:r w:rsidR="003B62D7">
        <w:t xml:space="preserve">8(3): 258-267, </w:t>
      </w:r>
      <w:hyperlink r:id="rId7" w:history="1">
        <w:r w:rsidR="00E36958" w:rsidRPr="001732F3">
          <w:rPr>
            <w:rStyle w:val="Hyperlink"/>
          </w:rPr>
          <w:t>https://doi.org/10.21037/tlcr.2019.04.03</w:t>
        </w:r>
      </w:hyperlink>
      <w:r w:rsidR="00E36958">
        <w:t xml:space="preserve"> </w:t>
      </w:r>
    </w:p>
  </w:footnote>
  <w:footnote w:id="11">
    <w:p w14:paraId="7A180751" w14:textId="77777777" w:rsidR="00FB54A9" w:rsidRPr="000D5D0B" w:rsidRDefault="00FB54A9" w:rsidP="00FB54A9">
      <w:pPr>
        <w:pStyle w:val="FootnoteText"/>
        <w:rPr>
          <w:i/>
          <w:iCs/>
        </w:rPr>
      </w:pPr>
      <w:r>
        <w:rPr>
          <w:rStyle w:val="FootnoteReference"/>
        </w:rPr>
        <w:footnoteRef/>
      </w:r>
      <w:r>
        <w:t xml:space="preserve"> Litvak, A. et al., (2014), ‘Clinical Characteristics and Course of 63 Patients with BRAF Mutant Lung Cancers’, </w:t>
      </w:r>
      <w:r>
        <w:rPr>
          <w:i/>
          <w:iCs/>
        </w:rPr>
        <w:t xml:space="preserve">J </w:t>
      </w:r>
      <w:proofErr w:type="spellStart"/>
      <w:r>
        <w:rPr>
          <w:i/>
          <w:iCs/>
        </w:rPr>
        <w:t>Thorac</w:t>
      </w:r>
      <w:proofErr w:type="spellEnd"/>
      <w:r>
        <w:rPr>
          <w:i/>
          <w:iCs/>
        </w:rPr>
        <w:t xml:space="preserve"> Oncol</w:t>
      </w:r>
      <w:r w:rsidRPr="000D5D0B">
        <w:t xml:space="preserve">, 9: 1669-1674, </w:t>
      </w:r>
      <w:hyperlink r:id="rId8" w:history="1">
        <w:r w:rsidRPr="00002640">
          <w:rPr>
            <w:rStyle w:val="Hyperlink"/>
          </w:rPr>
          <w:t>https://www.jto.org/article/S1556-0864(15)30735-8/pdf</w:t>
        </w:r>
      </w:hyperlink>
      <w:r>
        <w:t xml:space="preserve"> </w:t>
      </w:r>
    </w:p>
  </w:footnote>
  <w:footnote w:id="12">
    <w:p w14:paraId="622759F9" w14:textId="6E8E9E54" w:rsidR="00E2430D" w:rsidRDefault="00E2430D">
      <w:pPr>
        <w:pStyle w:val="FootnoteText"/>
      </w:pPr>
      <w:r>
        <w:rPr>
          <w:rStyle w:val="FootnoteReference"/>
        </w:rPr>
        <w:footnoteRef/>
      </w:r>
      <w:r>
        <w:t xml:space="preserve"> </w:t>
      </w:r>
      <w:r w:rsidR="00B867EE">
        <w:t>EMA Assessment report (2017), Dabrafenib and Trametinib</w:t>
      </w:r>
      <w:r w:rsidR="008C2758">
        <w:t xml:space="preserve">. Available at: </w:t>
      </w:r>
      <w:hyperlink r:id="rId9" w:history="1">
        <w:r w:rsidR="00DB1485" w:rsidRPr="001732F3">
          <w:rPr>
            <w:rStyle w:val="Hyperlink"/>
          </w:rPr>
          <w:t>https://www.ema.europa.eu/en/documents/assessment-report/tafinlar-epar-public-assessment-report_en.pdf</w:t>
        </w:r>
      </w:hyperlink>
      <w:r w:rsidR="00DB1485">
        <w:t xml:space="preserve"> </w:t>
      </w:r>
    </w:p>
  </w:footnote>
  <w:footnote w:id="13">
    <w:p w14:paraId="05FAF16F" w14:textId="77777777" w:rsidR="00FB54A9" w:rsidRPr="00936495" w:rsidRDefault="00FB54A9" w:rsidP="00FB54A9">
      <w:pPr>
        <w:pStyle w:val="FootnoteText"/>
      </w:pPr>
      <w:r>
        <w:rPr>
          <w:rStyle w:val="FootnoteReference"/>
        </w:rPr>
        <w:footnoteRef/>
      </w:r>
      <w:r>
        <w:t xml:space="preserve"> Marchetti, A., et al. (2011), ‘C</w:t>
      </w:r>
      <w:r w:rsidRPr="00936495">
        <w:t xml:space="preserve">linical features and outcome of patients with non-small-cell lung cancer </w:t>
      </w:r>
      <w:proofErr w:type="spellStart"/>
      <w:r w:rsidRPr="00936495">
        <w:t>harboring</w:t>
      </w:r>
      <w:proofErr w:type="spellEnd"/>
      <w:r w:rsidRPr="00936495">
        <w:t xml:space="preserve"> BRAF mutations</w:t>
      </w:r>
      <w:r>
        <w:t>’,</w:t>
      </w:r>
      <w:r w:rsidRPr="00936495">
        <w:rPr>
          <w:i/>
          <w:iCs/>
        </w:rPr>
        <w:t xml:space="preserve"> J Clin Oncol</w:t>
      </w:r>
      <w:r>
        <w:t xml:space="preserve">, 29(26):3574-9. </w:t>
      </w:r>
      <w:hyperlink r:id="rId10" w:history="1">
        <w:r w:rsidRPr="00002640">
          <w:rPr>
            <w:rStyle w:val="Hyperlink"/>
          </w:rPr>
          <w:t>https://doi.org/10.1200/jco.2011.35.9638</w:t>
        </w:r>
      </w:hyperlink>
      <w:r>
        <w:t xml:space="preserve"> </w:t>
      </w:r>
    </w:p>
  </w:footnote>
  <w:footnote w:id="14">
    <w:p w14:paraId="29243DB0" w14:textId="24DCD231" w:rsidR="00005B5A" w:rsidRPr="00286091" w:rsidRDefault="00005B5A">
      <w:pPr>
        <w:pStyle w:val="FootnoteText"/>
      </w:pPr>
      <w:r>
        <w:rPr>
          <w:rStyle w:val="FootnoteReference"/>
        </w:rPr>
        <w:footnoteRef/>
      </w:r>
      <w:r>
        <w:t xml:space="preserve"> </w:t>
      </w:r>
      <w:r w:rsidR="00794878">
        <w:t>Cardella, S. et al., (2013), ‘</w:t>
      </w:r>
      <w:r w:rsidR="00794878" w:rsidRPr="00794878">
        <w:t>Clinical, pathologic, and biologic features associated with BRAF mutations in non-small cell lung cancer</w:t>
      </w:r>
      <w:r w:rsidR="00286091">
        <w:t xml:space="preserve">’, </w:t>
      </w:r>
      <w:r w:rsidR="00286091">
        <w:rPr>
          <w:i/>
          <w:iCs/>
        </w:rPr>
        <w:t>Cli Cancer Res</w:t>
      </w:r>
      <w:r w:rsidR="00286091">
        <w:t>, 19:4532-4540</w:t>
      </w:r>
      <w:r w:rsidR="00B77EB9">
        <w:t xml:space="preserve">, </w:t>
      </w:r>
      <w:hyperlink r:id="rId11" w:history="1">
        <w:r w:rsidR="00B77EB9" w:rsidRPr="001732F3">
          <w:rPr>
            <w:rStyle w:val="Hyperlink"/>
          </w:rPr>
          <w:t>https://pubmed.ncbi.nlm.nih.gov/23833300/</w:t>
        </w:r>
      </w:hyperlink>
      <w:r w:rsidR="00B77EB9">
        <w:t xml:space="preserve"> </w:t>
      </w:r>
    </w:p>
  </w:footnote>
  <w:footnote w:id="15">
    <w:p w14:paraId="21D5BC29" w14:textId="508EA906" w:rsidR="001F6910" w:rsidRDefault="001F6910">
      <w:pPr>
        <w:pStyle w:val="FootnoteText"/>
      </w:pPr>
      <w:r>
        <w:rPr>
          <w:rStyle w:val="FootnoteReference"/>
        </w:rPr>
        <w:footnoteRef/>
      </w:r>
      <w:r>
        <w:t xml:space="preserve"> </w:t>
      </w:r>
      <w:r w:rsidR="0024637C" w:rsidRPr="0024637C">
        <w:t>Liu, R., Rizzo, S., Wang, L. </w:t>
      </w:r>
      <w:r w:rsidR="0024637C" w:rsidRPr="0024637C">
        <w:rPr>
          <w:i/>
          <w:iCs/>
        </w:rPr>
        <w:t>et al.</w:t>
      </w:r>
      <w:r w:rsidR="0024637C" w:rsidRPr="0024637C">
        <w:t xml:space="preserve"> Characterizing mutation-treatment effects using </w:t>
      </w:r>
      <w:proofErr w:type="spellStart"/>
      <w:r w:rsidR="0024637C" w:rsidRPr="0024637C">
        <w:t>clinico</w:t>
      </w:r>
      <w:proofErr w:type="spellEnd"/>
      <w:r w:rsidR="0024637C" w:rsidRPr="0024637C">
        <w:t>-genomics data of 78,287 patients with 20 types of cancers. </w:t>
      </w:r>
      <w:r w:rsidR="0024637C" w:rsidRPr="0024637C">
        <w:rPr>
          <w:i/>
          <w:iCs/>
        </w:rPr>
        <w:t>Nat Commun</w:t>
      </w:r>
      <w:r w:rsidR="0024637C" w:rsidRPr="0024637C">
        <w:t> 15, 10884 (2024). https://doi.org/10.1038/s41467-024-55251-5</w:t>
      </w:r>
      <w:r w:rsidR="0024637C">
        <w:t>.</w:t>
      </w:r>
    </w:p>
  </w:footnote>
  <w:footnote w:id="16">
    <w:p w14:paraId="6BC64922" w14:textId="77777777" w:rsidR="00F75889" w:rsidRDefault="00F75889" w:rsidP="00F75889">
      <w:pPr>
        <w:pStyle w:val="FootnoteText"/>
      </w:pPr>
      <w:r>
        <w:rPr>
          <w:rStyle w:val="FootnoteReference"/>
        </w:rPr>
        <w:footnoteRef/>
      </w:r>
      <w:r>
        <w:t xml:space="preserve"> Drug utilisation sub-committee (DUSC), ‘</w:t>
      </w:r>
      <w:r w:rsidRPr="00C971D9">
        <w:t>Erlotinib and Gefitinib: 24 month predicted versus actual analysis</w:t>
      </w:r>
      <w:r>
        <w:t xml:space="preserve">’, Available at: </w:t>
      </w:r>
      <w:hyperlink r:id="rId12" w:history="1">
        <w:r w:rsidRPr="00B72F3B">
          <w:rPr>
            <w:rStyle w:val="Hyperlink"/>
          </w:rPr>
          <w:t>https://m.pbs.gov.au/industry/listing/participants/public-release-docs/2017-02/tkis-nsclc-24-month-review-dusc-prd-2017-02.docx</w:t>
        </w:r>
      </w:hyperlink>
      <w:r>
        <w:t xml:space="preserve"> </w:t>
      </w:r>
    </w:p>
  </w:footnote>
  <w:footnote w:id="17">
    <w:p w14:paraId="692425C0" w14:textId="568628C3" w:rsidR="0056773F" w:rsidRDefault="0056773F">
      <w:pPr>
        <w:pStyle w:val="FootnoteText"/>
      </w:pPr>
      <w:r>
        <w:rPr>
          <w:rStyle w:val="FootnoteReference"/>
        </w:rPr>
        <w:footnoteRef/>
      </w:r>
      <w:r>
        <w:t xml:space="preserve"> NCCN Clinical Practice Guidelines in Oncology (NCCN Guidelines</w:t>
      </w:r>
      <w:r>
        <w:rPr>
          <w:rFonts w:cs="Calibri"/>
        </w:rPr>
        <w:t>®</w:t>
      </w:r>
      <w:r>
        <w:t xml:space="preserve">) Non-Small Cell Lung Cancer, Version 1.2025, Available at: </w:t>
      </w:r>
      <w:hyperlink r:id="rId13" w:history="1">
        <w:r w:rsidRPr="00E371FF">
          <w:rPr>
            <w:rStyle w:val="Hyperlink"/>
          </w:rPr>
          <w:t>https://www.nccn.org/professionals/physician_gls/pdf/nscl.pdf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D33F" w14:textId="77777777" w:rsidR="008B5A1C" w:rsidRDefault="008B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06F96C21" w:rsidR="00D843F2" w:rsidRPr="00195452" w:rsidRDefault="00903093" w:rsidP="00D822E2">
    <w:pPr>
      <w:pStyle w:val="Header"/>
      <w:rPr>
        <w:rFonts w:asciiTheme="minorHAnsi" w:hAnsiTheme="minorHAnsi"/>
        <w:i/>
        <w:color w:val="808080"/>
      </w:rPr>
    </w:pPr>
    <w:r w:rsidRPr="00903093">
      <w:rPr>
        <w:rFonts w:asciiTheme="minorHAnsi" w:hAnsiTheme="minorHAnsi"/>
        <w:i/>
        <w:color w:val="808080"/>
      </w:rPr>
      <w:t xml:space="preserve">Public Summary Document </w:t>
    </w:r>
    <w:r w:rsidR="00971808">
      <w:rPr>
        <w:rFonts w:asciiTheme="minorHAnsi" w:hAnsiTheme="minorHAnsi"/>
        <w:i/>
        <w:color w:val="808080"/>
      </w:rPr>
      <w:t xml:space="preserve">- </w:t>
    </w:r>
    <w:r w:rsidR="001B3EBC">
      <w:rPr>
        <w:rFonts w:asciiTheme="minorHAnsi" w:hAnsiTheme="minorHAnsi"/>
        <w:i/>
        <w:color w:val="808080"/>
      </w:rPr>
      <w:t>March 2025</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34C4" w14:textId="77777777" w:rsidR="008B5A1C" w:rsidRDefault="008B5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8A20A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C7B64"/>
    <w:multiLevelType w:val="hybridMultilevel"/>
    <w:tmpl w:val="095425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610A62"/>
    <w:multiLevelType w:val="hybridMultilevel"/>
    <w:tmpl w:val="928C9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FC3852"/>
    <w:multiLevelType w:val="hybridMultilevel"/>
    <w:tmpl w:val="E6001C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528AB"/>
    <w:multiLevelType w:val="multilevel"/>
    <w:tmpl w:val="E7D8F56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15711"/>
    <w:multiLevelType w:val="hybridMultilevel"/>
    <w:tmpl w:val="7B888FF6"/>
    <w:lvl w:ilvl="0" w:tplc="63D423D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30A8C"/>
    <w:multiLevelType w:val="hybridMultilevel"/>
    <w:tmpl w:val="1D02603C"/>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D702D1"/>
    <w:multiLevelType w:val="multilevel"/>
    <w:tmpl w:val="7D6AEE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00C86"/>
    <w:multiLevelType w:val="hybridMultilevel"/>
    <w:tmpl w:val="40962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F319AB"/>
    <w:multiLevelType w:val="multilevel"/>
    <w:tmpl w:val="2B583A9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5C79E1"/>
    <w:multiLevelType w:val="hybridMultilevel"/>
    <w:tmpl w:val="78189FA6"/>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C76B6"/>
    <w:multiLevelType w:val="multilevel"/>
    <w:tmpl w:val="006EC3C4"/>
    <w:lvl w:ilvl="0">
      <w:start w:val="1"/>
      <w:numFmt w:val="decimal"/>
      <w:lvlText w:val="%1."/>
      <w:lvlJc w:val="left"/>
      <w:pPr>
        <w:tabs>
          <w:tab w:val="num" w:pos="720"/>
        </w:tabs>
        <w:ind w:left="720" w:hanging="360"/>
      </w:pPr>
      <w:rPr>
        <w:color w:val="auto"/>
      </w:rPr>
    </w:lvl>
    <w:lvl w:ilvl="1">
      <w:start w:val="1"/>
      <w:numFmt w:val="lowerLetter"/>
      <w:lvlText w:val="%2."/>
      <w:lvlJc w:val="left"/>
      <w:pPr>
        <w:ind w:left="1069"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51CA1480"/>
    <w:lvl w:ilvl="0" w:tplc="04090001">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05F91"/>
    <w:multiLevelType w:val="hybridMultilevel"/>
    <w:tmpl w:val="2FD45AA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A640082"/>
    <w:multiLevelType w:val="hybridMultilevel"/>
    <w:tmpl w:val="67186F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A720CD3"/>
    <w:multiLevelType w:val="multilevel"/>
    <w:tmpl w:val="4E1AA058"/>
    <w:lvl w:ilvl="0">
      <w:start w:val="1"/>
      <w:numFmt w:val="low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5B9C4741"/>
    <w:multiLevelType w:val="hybridMultilevel"/>
    <w:tmpl w:val="AA2A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86385C"/>
    <w:multiLevelType w:val="multilevel"/>
    <w:tmpl w:val="DB7019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80D0CB2"/>
    <w:multiLevelType w:val="hybridMultilevel"/>
    <w:tmpl w:val="9508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87EE5"/>
    <w:multiLevelType w:val="hybridMultilevel"/>
    <w:tmpl w:val="381854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24872">
    <w:abstractNumId w:val="16"/>
  </w:num>
  <w:num w:numId="2" w16cid:durableId="1528980418">
    <w:abstractNumId w:val="38"/>
  </w:num>
  <w:num w:numId="3" w16cid:durableId="3948033">
    <w:abstractNumId w:val="20"/>
  </w:num>
  <w:num w:numId="4" w16cid:durableId="1706633718">
    <w:abstractNumId w:val="21"/>
  </w:num>
  <w:num w:numId="5" w16cid:durableId="1313952192">
    <w:abstractNumId w:val="13"/>
  </w:num>
  <w:num w:numId="6" w16cid:durableId="384062448">
    <w:abstractNumId w:val="0"/>
  </w:num>
  <w:num w:numId="7" w16cid:durableId="78067493">
    <w:abstractNumId w:val="38"/>
  </w:num>
  <w:num w:numId="8" w16cid:durableId="1835603657">
    <w:abstractNumId w:val="37"/>
  </w:num>
  <w:num w:numId="9" w16cid:durableId="111536463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936629">
    <w:abstractNumId w:val="8"/>
  </w:num>
  <w:num w:numId="11" w16cid:durableId="42488769">
    <w:abstractNumId w:val="15"/>
  </w:num>
  <w:num w:numId="12" w16cid:durableId="753402702">
    <w:abstractNumId w:val="25"/>
  </w:num>
  <w:num w:numId="13" w16cid:durableId="1160730764">
    <w:abstractNumId w:val="6"/>
  </w:num>
  <w:num w:numId="14" w16cid:durableId="1057358629">
    <w:abstractNumId w:val="39"/>
  </w:num>
  <w:num w:numId="15" w16cid:durableId="1185897543">
    <w:abstractNumId w:val="32"/>
  </w:num>
  <w:num w:numId="16" w16cid:durableId="483014289">
    <w:abstractNumId w:val="24"/>
  </w:num>
  <w:num w:numId="17" w16cid:durableId="1362588337">
    <w:abstractNumId w:val="19"/>
  </w:num>
  <w:num w:numId="18" w16cid:durableId="1122774068">
    <w:abstractNumId w:val="33"/>
  </w:num>
  <w:num w:numId="19" w16cid:durableId="778139654">
    <w:abstractNumId w:val="3"/>
  </w:num>
  <w:num w:numId="20" w16cid:durableId="1052927421">
    <w:abstractNumId w:val="2"/>
  </w:num>
  <w:num w:numId="21" w16cid:durableId="1249540878">
    <w:abstractNumId w:val="3"/>
  </w:num>
  <w:num w:numId="22" w16cid:durableId="1862544409">
    <w:abstractNumId w:val="12"/>
  </w:num>
  <w:num w:numId="23" w16cid:durableId="1999579248">
    <w:abstractNumId w:val="4"/>
  </w:num>
  <w:num w:numId="24" w16cid:durableId="997002281">
    <w:abstractNumId w:val="14"/>
  </w:num>
  <w:num w:numId="25" w16cid:durableId="1813328993">
    <w:abstractNumId w:val="9"/>
  </w:num>
  <w:num w:numId="26" w16cid:durableId="2076925837">
    <w:abstractNumId w:val="21"/>
  </w:num>
  <w:num w:numId="27" w16cid:durableId="1617180684">
    <w:abstractNumId w:val="34"/>
  </w:num>
  <w:num w:numId="28" w16cid:durableId="446660311">
    <w:abstractNumId w:val="30"/>
  </w:num>
  <w:num w:numId="29" w16cid:durableId="673529894">
    <w:abstractNumId w:val="17"/>
  </w:num>
  <w:num w:numId="30" w16cid:durableId="1951662890">
    <w:abstractNumId w:val="26"/>
  </w:num>
  <w:num w:numId="31" w16cid:durableId="1696999769">
    <w:abstractNumId w:val="38"/>
  </w:num>
  <w:num w:numId="32" w16cid:durableId="705757471">
    <w:abstractNumId w:val="38"/>
  </w:num>
  <w:num w:numId="33" w16cid:durableId="664288966">
    <w:abstractNumId w:val="18"/>
  </w:num>
  <w:num w:numId="34" w16cid:durableId="902108248">
    <w:abstractNumId w:val="11"/>
  </w:num>
  <w:num w:numId="35" w16cid:durableId="1869759126">
    <w:abstractNumId w:val="31"/>
  </w:num>
  <w:num w:numId="36" w16cid:durableId="135993904">
    <w:abstractNumId w:val="7"/>
  </w:num>
  <w:num w:numId="37" w16cid:durableId="734355039">
    <w:abstractNumId w:val="29"/>
  </w:num>
  <w:num w:numId="38" w16cid:durableId="141392481">
    <w:abstractNumId w:val="23"/>
  </w:num>
  <w:num w:numId="39" w16cid:durableId="126240624">
    <w:abstractNumId w:val="35"/>
  </w:num>
  <w:num w:numId="40" w16cid:durableId="815075632">
    <w:abstractNumId w:val="10"/>
  </w:num>
  <w:num w:numId="41" w16cid:durableId="1442803483">
    <w:abstractNumId w:val="22"/>
  </w:num>
  <w:num w:numId="42" w16cid:durableId="1573005167">
    <w:abstractNumId w:val="27"/>
  </w:num>
  <w:num w:numId="43" w16cid:durableId="1718434259">
    <w:abstractNumId w:val="1"/>
  </w:num>
  <w:num w:numId="44" w16cid:durableId="1635285961">
    <w:abstractNumId w:val="5"/>
  </w:num>
  <w:num w:numId="45" w16cid:durableId="255986950">
    <w:abstractNumId w:val="28"/>
  </w:num>
  <w:num w:numId="46" w16cid:durableId="1163622247">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124"/>
    <w:rsid w:val="00000298"/>
    <w:rsid w:val="000005B4"/>
    <w:rsid w:val="00000790"/>
    <w:rsid w:val="0000110B"/>
    <w:rsid w:val="00002085"/>
    <w:rsid w:val="00002A17"/>
    <w:rsid w:val="00002FD4"/>
    <w:rsid w:val="00003499"/>
    <w:rsid w:val="00003534"/>
    <w:rsid w:val="000039B7"/>
    <w:rsid w:val="00003A37"/>
    <w:rsid w:val="000040DA"/>
    <w:rsid w:val="000042E1"/>
    <w:rsid w:val="000056B9"/>
    <w:rsid w:val="00005996"/>
    <w:rsid w:val="00005B5A"/>
    <w:rsid w:val="0000639A"/>
    <w:rsid w:val="00006A73"/>
    <w:rsid w:val="00006CC4"/>
    <w:rsid w:val="00007043"/>
    <w:rsid w:val="00007984"/>
    <w:rsid w:val="0001000D"/>
    <w:rsid w:val="00010042"/>
    <w:rsid w:val="000101C9"/>
    <w:rsid w:val="000101CB"/>
    <w:rsid w:val="00010D67"/>
    <w:rsid w:val="0001161B"/>
    <w:rsid w:val="000116D0"/>
    <w:rsid w:val="00011757"/>
    <w:rsid w:val="00011EE2"/>
    <w:rsid w:val="000121ED"/>
    <w:rsid w:val="000124C9"/>
    <w:rsid w:val="00012559"/>
    <w:rsid w:val="000129C7"/>
    <w:rsid w:val="00012D0D"/>
    <w:rsid w:val="00013247"/>
    <w:rsid w:val="00013654"/>
    <w:rsid w:val="00013C94"/>
    <w:rsid w:val="00014491"/>
    <w:rsid w:val="00014DD3"/>
    <w:rsid w:val="00015886"/>
    <w:rsid w:val="00015B25"/>
    <w:rsid w:val="000162EF"/>
    <w:rsid w:val="00016AB4"/>
    <w:rsid w:val="00016F81"/>
    <w:rsid w:val="000176A1"/>
    <w:rsid w:val="00017B0F"/>
    <w:rsid w:val="000203FB"/>
    <w:rsid w:val="000207C9"/>
    <w:rsid w:val="00020E84"/>
    <w:rsid w:val="0002181D"/>
    <w:rsid w:val="000218E8"/>
    <w:rsid w:val="00021B91"/>
    <w:rsid w:val="00021EF1"/>
    <w:rsid w:val="0002225F"/>
    <w:rsid w:val="00023419"/>
    <w:rsid w:val="00023763"/>
    <w:rsid w:val="000237C4"/>
    <w:rsid w:val="00023A8B"/>
    <w:rsid w:val="000241F0"/>
    <w:rsid w:val="0002421C"/>
    <w:rsid w:val="00024EB5"/>
    <w:rsid w:val="000253E6"/>
    <w:rsid w:val="00027165"/>
    <w:rsid w:val="000274B8"/>
    <w:rsid w:val="000276DE"/>
    <w:rsid w:val="000276E0"/>
    <w:rsid w:val="00027866"/>
    <w:rsid w:val="0003071B"/>
    <w:rsid w:val="00030A50"/>
    <w:rsid w:val="00030FA4"/>
    <w:rsid w:val="000317E3"/>
    <w:rsid w:val="000321AB"/>
    <w:rsid w:val="000335AA"/>
    <w:rsid w:val="000336E5"/>
    <w:rsid w:val="00033863"/>
    <w:rsid w:val="0003386F"/>
    <w:rsid w:val="00033953"/>
    <w:rsid w:val="00033B15"/>
    <w:rsid w:val="000344CA"/>
    <w:rsid w:val="00034D5A"/>
    <w:rsid w:val="000351EA"/>
    <w:rsid w:val="000353F8"/>
    <w:rsid w:val="00035AB5"/>
    <w:rsid w:val="00035DC0"/>
    <w:rsid w:val="00035E2F"/>
    <w:rsid w:val="00035F74"/>
    <w:rsid w:val="00036780"/>
    <w:rsid w:val="00036829"/>
    <w:rsid w:val="00036886"/>
    <w:rsid w:val="00036B2B"/>
    <w:rsid w:val="00037356"/>
    <w:rsid w:val="00037617"/>
    <w:rsid w:val="0003776A"/>
    <w:rsid w:val="00037ABB"/>
    <w:rsid w:val="00037E83"/>
    <w:rsid w:val="0004012B"/>
    <w:rsid w:val="000403CE"/>
    <w:rsid w:val="00040895"/>
    <w:rsid w:val="00040DE9"/>
    <w:rsid w:val="00040E61"/>
    <w:rsid w:val="000410A0"/>
    <w:rsid w:val="00042119"/>
    <w:rsid w:val="0004226E"/>
    <w:rsid w:val="000423C9"/>
    <w:rsid w:val="000435EE"/>
    <w:rsid w:val="000436B5"/>
    <w:rsid w:val="00043BEF"/>
    <w:rsid w:val="00043C37"/>
    <w:rsid w:val="00044500"/>
    <w:rsid w:val="0004487E"/>
    <w:rsid w:val="00044FF5"/>
    <w:rsid w:val="00045017"/>
    <w:rsid w:val="0004507F"/>
    <w:rsid w:val="00045931"/>
    <w:rsid w:val="00045A2B"/>
    <w:rsid w:val="0004698F"/>
    <w:rsid w:val="00046A0F"/>
    <w:rsid w:val="00046B69"/>
    <w:rsid w:val="00046D64"/>
    <w:rsid w:val="00046FDA"/>
    <w:rsid w:val="0005010E"/>
    <w:rsid w:val="0005052E"/>
    <w:rsid w:val="00050535"/>
    <w:rsid w:val="000508C2"/>
    <w:rsid w:val="00051073"/>
    <w:rsid w:val="00051C7C"/>
    <w:rsid w:val="000529B9"/>
    <w:rsid w:val="00052B05"/>
    <w:rsid w:val="0005302C"/>
    <w:rsid w:val="0005376E"/>
    <w:rsid w:val="00053899"/>
    <w:rsid w:val="000539D0"/>
    <w:rsid w:val="00054621"/>
    <w:rsid w:val="000546D7"/>
    <w:rsid w:val="00054A8D"/>
    <w:rsid w:val="00054FED"/>
    <w:rsid w:val="000554AE"/>
    <w:rsid w:val="00055E18"/>
    <w:rsid w:val="000560C4"/>
    <w:rsid w:val="000569C9"/>
    <w:rsid w:val="00056ECF"/>
    <w:rsid w:val="00057219"/>
    <w:rsid w:val="00060414"/>
    <w:rsid w:val="000604DF"/>
    <w:rsid w:val="000606D1"/>
    <w:rsid w:val="00060767"/>
    <w:rsid w:val="00060871"/>
    <w:rsid w:val="000608BC"/>
    <w:rsid w:val="000608ED"/>
    <w:rsid w:val="00060ACB"/>
    <w:rsid w:val="00060D22"/>
    <w:rsid w:val="00061326"/>
    <w:rsid w:val="000615E7"/>
    <w:rsid w:val="00061A6C"/>
    <w:rsid w:val="00061C10"/>
    <w:rsid w:val="00061C35"/>
    <w:rsid w:val="00062324"/>
    <w:rsid w:val="00063D24"/>
    <w:rsid w:val="00063EF0"/>
    <w:rsid w:val="000642A5"/>
    <w:rsid w:val="00064958"/>
    <w:rsid w:val="00065203"/>
    <w:rsid w:val="000653B5"/>
    <w:rsid w:val="000654A9"/>
    <w:rsid w:val="00065618"/>
    <w:rsid w:val="000662AC"/>
    <w:rsid w:val="00066360"/>
    <w:rsid w:val="00066AF8"/>
    <w:rsid w:val="00066D0C"/>
    <w:rsid w:val="00067381"/>
    <w:rsid w:val="00067B8C"/>
    <w:rsid w:val="00067CB1"/>
    <w:rsid w:val="0007036C"/>
    <w:rsid w:val="00070643"/>
    <w:rsid w:val="000709C9"/>
    <w:rsid w:val="00070C4C"/>
    <w:rsid w:val="00071248"/>
    <w:rsid w:val="000715F5"/>
    <w:rsid w:val="00071770"/>
    <w:rsid w:val="00071AEB"/>
    <w:rsid w:val="000720B9"/>
    <w:rsid w:val="00072288"/>
    <w:rsid w:val="000724DD"/>
    <w:rsid w:val="00072CEB"/>
    <w:rsid w:val="000733DE"/>
    <w:rsid w:val="000737F7"/>
    <w:rsid w:val="00074DB6"/>
    <w:rsid w:val="000752C6"/>
    <w:rsid w:val="000757B8"/>
    <w:rsid w:val="00075C0A"/>
    <w:rsid w:val="00075DB7"/>
    <w:rsid w:val="00075F65"/>
    <w:rsid w:val="000761CC"/>
    <w:rsid w:val="0007672F"/>
    <w:rsid w:val="00076B54"/>
    <w:rsid w:val="000774F0"/>
    <w:rsid w:val="00077670"/>
    <w:rsid w:val="000776ED"/>
    <w:rsid w:val="00077BAE"/>
    <w:rsid w:val="00077C7B"/>
    <w:rsid w:val="00077F0C"/>
    <w:rsid w:val="0008064C"/>
    <w:rsid w:val="00080909"/>
    <w:rsid w:val="000812CA"/>
    <w:rsid w:val="00081629"/>
    <w:rsid w:val="0008197F"/>
    <w:rsid w:val="00081E63"/>
    <w:rsid w:val="00082034"/>
    <w:rsid w:val="0008258D"/>
    <w:rsid w:val="0008273D"/>
    <w:rsid w:val="00082A53"/>
    <w:rsid w:val="00082EB1"/>
    <w:rsid w:val="00083E95"/>
    <w:rsid w:val="00083E99"/>
    <w:rsid w:val="000849B0"/>
    <w:rsid w:val="00084BE9"/>
    <w:rsid w:val="00084E11"/>
    <w:rsid w:val="00084FA8"/>
    <w:rsid w:val="000852EF"/>
    <w:rsid w:val="0008545E"/>
    <w:rsid w:val="00085504"/>
    <w:rsid w:val="000856C5"/>
    <w:rsid w:val="000858F6"/>
    <w:rsid w:val="00085A55"/>
    <w:rsid w:val="00085C31"/>
    <w:rsid w:val="00086240"/>
    <w:rsid w:val="000867C0"/>
    <w:rsid w:val="00086834"/>
    <w:rsid w:val="00086C0B"/>
    <w:rsid w:val="00086E65"/>
    <w:rsid w:val="00086EC1"/>
    <w:rsid w:val="000878F2"/>
    <w:rsid w:val="00087E23"/>
    <w:rsid w:val="000900E2"/>
    <w:rsid w:val="000902D9"/>
    <w:rsid w:val="00090C7E"/>
    <w:rsid w:val="00090E6E"/>
    <w:rsid w:val="000911AC"/>
    <w:rsid w:val="000912F4"/>
    <w:rsid w:val="00091909"/>
    <w:rsid w:val="0009230D"/>
    <w:rsid w:val="00092600"/>
    <w:rsid w:val="0009262B"/>
    <w:rsid w:val="000930AF"/>
    <w:rsid w:val="000932D2"/>
    <w:rsid w:val="00093310"/>
    <w:rsid w:val="00093FE3"/>
    <w:rsid w:val="000940C3"/>
    <w:rsid w:val="0009445C"/>
    <w:rsid w:val="00094E6C"/>
    <w:rsid w:val="00095200"/>
    <w:rsid w:val="00095221"/>
    <w:rsid w:val="0009534D"/>
    <w:rsid w:val="00095FE5"/>
    <w:rsid w:val="00096284"/>
    <w:rsid w:val="000963A3"/>
    <w:rsid w:val="00096521"/>
    <w:rsid w:val="00096732"/>
    <w:rsid w:val="00096AAF"/>
    <w:rsid w:val="00096BB2"/>
    <w:rsid w:val="00096CE0"/>
    <w:rsid w:val="00096D6C"/>
    <w:rsid w:val="000970E2"/>
    <w:rsid w:val="000A069F"/>
    <w:rsid w:val="000A0B8D"/>
    <w:rsid w:val="000A0BA0"/>
    <w:rsid w:val="000A0CB1"/>
    <w:rsid w:val="000A0F58"/>
    <w:rsid w:val="000A1197"/>
    <w:rsid w:val="000A12FB"/>
    <w:rsid w:val="000A1BC0"/>
    <w:rsid w:val="000A2069"/>
    <w:rsid w:val="000A20BC"/>
    <w:rsid w:val="000A26B4"/>
    <w:rsid w:val="000A2BAD"/>
    <w:rsid w:val="000A2C15"/>
    <w:rsid w:val="000A2F12"/>
    <w:rsid w:val="000A2F9E"/>
    <w:rsid w:val="000A3369"/>
    <w:rsid w:val="000A3475"/>
    <w:rsid w:val="000A3E47"/>
    <w:rsid w:val="000A522B"/>
    <w:rsid w:val="000A58CB"/>
    <w:rsid w:val="000A5FC7"/>
    <w:rsid w:val="000A6039"/>
    <w:rsid w:val="000A62D3"/>
    <w:rsid w:val="000A6471"/>
    <w:rsid w:val="000A6EBB"/>
    <w:rsid w:val="000A7348"/>
    <w:rsid w:val="000A7453"/>
    <w:rsid w:val="000A7D08"/>
    <w:rsid w:val="000A7D69"/>
    <w:rsid w:val="000A7DE2"/>
    <w:rsid w:val="000B0121"/>
    <w:rsid w:val="000B025B"/>
    <w:rsid w:val="000B0670"/>
    <w:rsid w:val="000B0959"/>
    <w:rsid w:val="000B0E75"/>
    <w:rsid w:val="000B0F5C"/>
    <w:rsid w:val="000B122E"/>
    <w:rsid w:val="000B168A"/>
    <w:rsid w:val="000B174F"/>
    <w:rsid w:val="000B19B1"/>
    <w:rsid w:val="000B1C1A"/>
    <w:rsid w:val="000B24EA"/>
    <w:rsid w:val="000B2DCB"/>
    <w:rsid w:val="000B3838"/>
    <w:rsid w:val="000B444E"/>
    <w:rsid w:val="000B4595"/>
    <w:rsid w:val="000B486C"/>
    <w:rsid w:val="000B48C6"/>
    <w:rsid w:val="000B4E96"/>
    <w:rsid w:val="000B5475"/>
    <w:rsid w:val="000B5562"/>
    <w:rsid w:val="000B5CE0"/>
    <w:rsid w:val="000B5F70"/>
    <w:rsid w:val="000B6113"/>
    <w:rsid w:val="000B6315"/>
    <w:rsid w:val="000B63BE"/>
    <w:rsid w:val="000B6B79"/>
    <w:rsid w:val="000B6CAC"/>
    <w:rsid w:val="000B712D"/>
    <w:rsid w:val="000B7612"/>
    <w:rsid w:val="000B78AE"/>
    <w:rsid w:val="000B7B70"/>
    <w:rsid w:val="000B7CD7"/>
    <w:rsid w:val="000C09D1"/>
    <w:rsid w:val="000C0BF1"/>
    <w:rsid w:val="000C0E4F"/>
    <w:rsid w:val="000C105A"/>
    <w:rsid w:val="000C111E"/>
    <w:rsid w:val="000C12E4"/>
    <w:rsid w:val="000C151F"/>
    <w:rsid w:val="000C217D"/>
    <w:rsid w:val="000C2238"/>
    <w:rsid w:val="000C329F"/>
    <w:rsid w:val="000C33BC"/>
    <w:rsid w:val="000C3BF2"/>
    <w:rsid w:val="000C3DF9"/>
    <w:rsid w:val="000C43F0"/>
    <w:rsid w:val="000C4CF2"/>
    <w:rsid w:val="000C4DE2"/>
    <w:rsid w:val="000C5151"/>
    <w:rsid w:val="000C52F5"/>
    <w:rsid w:val="000C5AA8"/>
    <w:rsid w:val="000C5AB1"/>
    <w:rsid w:val="000C6190"/>
    <w:rsid w:val="000C6713"/>
    <w:rsid w:val="000C67BC"/>
    <w:rsid w:val="000C69F7"/>
    <w:rsid w:val="000C6CF1"/>
    <w:rsid w:val="000C732F"/>
    <w:rsid w:val="000C7510"/>
    <w:rsid w:val="000C7DE8"/>
    <w:rsid w:val="000D1125"/>
    <w:rsid w:val="000D14F3"/>
    <w:rsid w:val="000D19AE"/>
    <w:rsid w:val="000D1B56"/>
    <w:rsid w:val="000D1BFC"/>
    <w:rsid w:val="000D1D5D"/>
    <w:rsid w:val="000D1F30"/>
    <w:rsid w:val="000D2424"/>
    <w:rsid w:val="000D281A"/>
    <w:rsid w:val="000D2848"/>
    <w:rsid w:val="000D2D8C"/>
    <w:rsid w:val="000D326A"/>
    <w:rsid w:val="000D38F6"/>
    <w:rsid w:val="000D4DE5"/>
    <w:rsid w:val="000D50D1"/>
    <w:rsid w:val="000D51FB"/>
    <w:rsid w:val="000D5DF2"/>
    <w:rsid w:val="000D641D"/>
    <w:rsid w:val="000D6729"/>
    <w:rsid w:val="000D747A"/>
    <w:rsid w:val="000D7C75"/>
    <w:rsid w:val="000E03A9"/>
    <w:rsid w:val="000E0640"/>
    <w:rsid w:val="000E0E91"/>
    <w:rsid w:val="000E101F"/>
    <w:rsid w:val="000E135D"/>
    <w:rsid w:val="000E24F0"/>
    <w:rsid w:val="000E26AB"/>
    <w:rsid w:val="000E2A95"/>
    <w:rsid w:val="000E32C8"/>
    <w:rsid w:val="000E3723"/>
    <w:rsid w:val="000E3BA4"/>
    <w:rsid w:val="000E542F"/>
    <w:rsid w:val="000E57D0"/>
    <w:rsid w:val="000E5A31"/>
    <w:rsid w:val="000E6335"/>
    <w:rsid w:val="000E66A8"/>
    <w:rsid w:val="000E66D8"/>
    <w:rsid w:val="000E67DB"/>
    <w:rsid w:val="000E6DBE"/>
    <w:rsid w:val="000E70D9"/>
    <w:rsid w:val="000E748D"/>
    <w:rsid w:val="000E756F"/>
    <w:rsid w:val="000F006A"/>
    <w:rsid w:val="000F00BA"/>
    <w:rsid w:val="000F0B46"/>
    <w:rsid w:val="000F0EB8"/>
    <w:rsid w:val="000F222E"/>
    <w:rsid w:val="000F2288"/>
    <w:rsid w:val="000F286F"/>
    <w:rsid w:val="000F2EEF"/>
    <w:rsid w:val="000F2F33"/>
    <w:rsid w:val="000F316A"/>
    <w:rsid w:val="000F32A8"/>
    <w:rsid w:val="000F3C74"/>
    <w:rsid w:val="000F47CA"/>
    <w:rsid w:val="000F4AC5"/>
    <w:rsid w:val="000F4BA2"/>
    <w:rsid w:val="000F4BB8"/>
    <w:rsid w:val="000F4FA9"/>
    <w:rsid w:val="000F5103"/>
    <w:rsid w:val="000F53FB"/>
    <w:rsid w:val="000F54C8"/>
    <w:rsid w:val="000F591B"/>
    <w:rsid w:val="000F5D57"/>
    <w:rsid w:val="000F5F34"/>
    <w:rsid w:val="000F6792"/>
    <w:rsid w:val="000F7127"/>
    <w:rsid w:val="000F72DD"/>
    <w:rsid w:val="000F7B54"/>
    <w:rsid w:val="0010009C"/>
    <w:rsid w:val="001000B3"/>
    <w:rsid w:val="00100DD8"/>
    <w:rsid w:val="00100F8A"/>
    <w:rsid w:val="00101655"/>
    <w:rsid w:val="001016E5"/>
    <w:rsid w:val="0010198B"/>
    <w:rsid w:val="00101FA9"/>
    <w:rsid w:val="001021D7"/>
    <w:rsid w:val="00102AB0"/>
    <w:rsid w:val="00103BF7"/>
    <w:rsid w:val="0010452E"/>
    <w:rsid w:val="00104B7F"/>
    <w:rsid w:val="00104F3D"/>
    <w:rsid w:val="00104F40"/>
    <w:rsid w:val="00104FA2"/>
    <w:rsid w:val="00105384"/>
    <w:rsid w:val="001057CA"/>
    <w:rsid w:val="00105AE2"/>
    <w:rsid w:val="00105D89"/>
    <w:rsid w:val="001060C6"/>
    <w:rsid w:val="00106413"/>
    <w:rsid w:val="00106971"/>
    <w:rsid w:val="00106B80"/>
    <w:rsid w:val="001074CE"/>
    <w:rsid w:val="00107657"/>
    <w:rsid w:val="00107F2E"/>
    <w:rsid w:val="00110017"/>
    <w:rsid w:val="0011032E"/>
    <w:rsid w:val="001105B3"/>
    <w:rsid w:val="0011123C"/>
    <w:rsid w:val="0011170B"/>
    <w:rsid w:val="00111FD8"/>
    <w:rsid w:val="001120D2"/>
    <w:rsid w:val="001120D8"/>
    <w:rsid w:val="00112114"/>
    <w:rsid w:val="00113248"/>
    <w:rsid w:val="0011348B"/>
    <w:rsid w:val="00113680"/>
    <w:rsid w:val="00113C67"/>
    <w:rsid w:val="00114A89"/>
    <w:rsid w:val="00114DD1"/>
    <w:rsid w:val="00115982"/>
    <w:rsid w:val="00115F04"/>
    <w:rsid w:val="00116AD9"/>
    <w:rsid w:val="00116C53"/>
    <w:rsid w:val="00117AC9"/>
    <w:rsid w:val="00117D03"/>
    <w:rsid w:val="0012137C"/>
    <w:rsid w:val="0012144A"/>
    <w:rsid w:val="00121799"/>
    <w:rsid w:val="001218DB"/>
    <w:rsid w:val="0012210C"/>
    <w:rsid w:val="0012214C"/>
    <w:rsid w:val="001222FC"/>
    <w:rsid w:val="00122F82"/>
    <w:rsid w:val="00123785"/>
    <w:rsid w:val="00123902"/>
    <w:rsid w:val="00123BEC"/>
    <w:rsid w:val="0012423C"/>
    <w:rsid w:val="00124398"/>
    <w:rsid w:val="00124A51"/>
    <w:rsid w:val="00124A59"/>
    <w:rsid w:val="00125160"/>
    <w:rsid w:val="001252F6"/>
    <w:rsid w:val="00125B59"/>
    <w:rsid w:val="0012615D"/>
    <w:rsid w:val="00126565"/>
    <w:rsid w:val="00126621"/>
    <w:rsid w:val="0012663E"/>
    <w:rsid w:val="00126B1D"/>
    <w:rsid w:val="00126C1D"/>
    <w:rsid w:val="00127A39"/>
    <w:rsid w:val="00127C10"/>
    <w:rsid w:val="001301E9"/>
    <w:rsid w:val="001302E1"/>
    <w:rsid w:val="00130353"/>
    <w:rsid w:val="00130B82"/>
    <w:rsid w:val="00131263"/>
    <w:rsid w:val="00131542"/>
    <w:rsid w:val="0013171B"/>
    <w:rsid w:val="00131BAA"/>
    <w:rsid w:val="00131CD6"/>
    <w:rsid w:val="00131D82"/>
    <w:rsid w:val="00132379"/>
    <w:rsid w:val="001324AE"/>
    <w:rsid w:val="00132B22"/>
    <w:rsid w:val="00133D36"/>
    <w:rsid w:val="00134FB6"/>
    <w:rsid w:val="0013536D"/>
    <w:rsid w:val="00135836"/>
    <w:rsid w:val="00135B22"/>
    <w:rsid w:val="0013629C"/>
    <w:rsid w:val="00136534"/>
    <w:rsid w:val="00136683"/>
    <w:rsid w:val="00136A43"/>
    <w:rsid w:val="00137645"/>
    <w:rsid w:val="0014015A"/>
    <w:rsid w:val="001406DA"/>
    <w:rsid w:val="00140807"/>
    <w:rsid w:val="00140E99"/>
    <w:rsid w:val="00141BC7"/>
    <w:rsid w:val="00142557"/>
    <w:rsid w:val="00142672"/>
    <w:rsid w:val="00142897"/>
    <w:rsid w:val="001430BD"/>
    <w:rsid w:val="001432BA"/>
    <w:rsid w:val="001433AD"/>
    <w:rsid w:val="001433B3"/>
    <w:rsid w:val="00143F67"/>
    <w:rsid w:val="001445E8"/>
    <w:rsid w:val="001451D3"/>
    <w:rsid w:val="00145234"/>
    <w:rsid w:val="00145540"/>
    <w:rsid w:val="001455EE"/>
    <w:rsid w:val="001456B0"/>
    <w:rsid w:val="00145A97"/>
    <w:rsid w:val="00145BE6"/>
    <w:rsid w:val="00145E1C"/>
    <w:rsid w:val="00145E68"/>
    <w:rsid w:val="00146374"/>
    <w:rsid w:val="0014731A"/>
    <w:rsid w:val="00147647"/>
    <w:rsid w:val="00150305"/>
    <w:rsid w:val="00150940"/>
    <w:rsid w:val="001516B6"/>
    <w:rsid w:val="00151737"/>
    <w:rsid w:val="001520E6"/>
    <w:rsid w:val="00152410"/>
    <w:rsid w:val="001524DD"/>
    <w:rsid w:val="00152C1A"/>
    <w:rsid w:val="0015352E"/>
    <w:rsid w:val="001537B4"/>
    <w:rsid w:val="00153BC2"/>
    <w:rsid w:val="001547AB"/>
    <w:rsid w:val="001548EC"/>
    <w:rsid w:val="00154993"/>
    <w:rsid w:val="00154FEE"/>
    <w:rsid w:val="00155D0B"/>
    <w:rsid w:val="001568A1"/>
    <w:rsid w:val="00156F8F"/>
    <w:rsid w:val="00157130"/>
    <w:rsid w:val="001571EB"/>
    <w:rsid w:val="00157438"/>
    <w:rsid w:val="001576B1"/>
    <w:rsid w:val="0015770C"/>
    <w:rsid w:val="00157B8E"/>
    <w:rsid w:val="0016047B"/>
    <w:rsid w:val="00160905"/>
    <w:rsid w:val="00160A4C"/>
    <w:rsid w:val="00160B0D"/>
    <w:rsid w:val="00160D32"/>
    <w:rsid w:val="00161E2C"/>
    <w:rsid w:val="00162324"/>
    <w:rsid w:val="00162913"/>
    <w:rsid w:val="00162C74"/>
    <w:rsid w:val="00162EB9"/>
    <w:rsid w:val="00163853"/>
    <w:rsid w:val="001639D5"/>
    <w:rsid w:val="00163EFF"/>
    <w:rsid w:val="00163F66"/>
    <w:rsid w:val="0016478E"/>
    <w:rsid w:val="00165243"/>
    <w:rsid w:val="001652AD"/>
    <w:rsid w:val="00165A8A"/>
    <w:rsid w:val="00165EC4"/>
    <w:rsid w:val="001661FB"/>
    <w:rsid w:val="00166311"/>
    <w:rsid w:val="001669DA"/>
    <w:rsid w:val="001669FB"/>
    <w:rsid w:val="00167039"/>
    <w:rsid w:val="0016703A"/>
    <w:rsid w:val="001671A0"/>
    <w:rsid w:val="0016726D"/>
    <w:rsid w:val="001673A4"/>
    <w:rsid w:val="0016746F"/>
    <w:rsid w:val="0016767F"/>
    <w:rsid w:val="00167D3C"/>
    <w:rsid w:val="00170638"/>
    <w:rsid w:val="00172CE2"/>
    <w:rsid w:val="00172D7B"/>
    <w:rsid w:val="0017316C"/>
    <w:rsid w:val="001733A0"/>
    <w:rsid w:val="00173565"/>
    <w:rsid w:val="0017397B"/>
    <w:rsid w:val="00173A69"/>
    <w:rsid w:val="00173B07"/>
    <w:rsid w:val="0017415E"/>
    <w:rsid w:val="0017437D"/>
    <w:rsid w:val="00175093"/>
    <w:rsid w:val="001751FA"/>
    <w:rsid w:val="00176791"/>
    <w:rsid w:val="00176CB1"/>
    <w:rsid w:val="00176E0E"/>
    <w:rsid w:val="0017722A"/>
    <w:rsid w:val="001777FF"/>
    <w:rsid w:val="00177F8A"/>
    <w:rsid w:val="0018063C"/>
    <w:rsid w:val="00180776"/>
    <w:rsid w:val="0018111F"/>
    <w:rsid w:val="00181421"/>
    <w:rsid w:val="001815EE"/>
    <w:rsid w:val="00181C10"/>
    <w:rsid w:val="00181CF5"/>
    <w:rsid w:val="00181D9C"/>
    <w:rsid w:val="00181FA0"/>
    <w:rsid w:val="0018249F"/>
    <w:rsid w:val="0018289F"/>
    <w:rsid w:val="00182938"/>
    <w:rsid w:val="001829E3"/>
    <w:rsid w:val="00182A79"/>
    <w:rsid w:val="00182C2F"/>
    <w:rsid w:val="001837FF"/>
    <w:rsid w:val="00183D91"/>
    <w:rsid w:val="00184109"/>
    <w:rsid w:val="0018429E"/>
    <w:rsid w:val="001844CE"/>
    <w:rsid w:val="001849DE"/>
    <w:rsid w:val="00184B0E"/>
    <w:rsid w:val="00185A0F"/>
    <w:rsid w:val="00185B63"/>
    <w:rsid w:val="001869B9"/>
    <w:rsid w:val="001869FC"/>
    <w:rsid w:val="001871A4"/>
    <w:rsid w:val="0018752F"/>
    <w:rsid w:val="00187BA2"/>
    <w:rsid w:val="001900DD"/>
    <w:rsid w:val="001902C0"/>
    <w:rsid w:val="00190356"/>
    <w:rsid w:val="001904DA"/>
    <w:rsid w:val="00190944"/>
    <w:rsid w:val="00190D4F"/>
    <w:rsid w:val="00191650"/>
    <w:rsid w:val="00191BD7"/>
    <w:rsid w:val="00191C64"/>
    <w:rsid w:val="00191E39"/>
    <w:rsid w:val="00192A4B"/>
    <w:rsid w:val="0019315D"/>
    <w:rsid w:val="00193838"/>
    <w:rsid w:val="00193CC4"/>
    <w:rsid w:val="0019496C"/>
    <w:rsid w:val="00194AD8"/>
    <w:rsid w:val="00194DD8"/>
    <w:rsid w:val="00195222"/>
    <w:rsid w:val="001953E8"/>
    <w:rsid w:val="00195452"/>
    <w:rsid w:val="001958FC"/>
    <w:rsid w:val="00195BF4"/>
    <w:rsid w:val="0019607E"/>
    <w:rsid w:val="00196464"/>
    <w:rsid w:val="00196C58"/>
    <w:rsid w:val="00196CD0"/>
    <w:rsid w:val="001971BA"/>
    <w:rsid w:val="001975D8"/>
    <w:rsid w:val="001978B1"/>
    <w:rsid w:val="00197CAB"/>
    <w:rsid w:val="001A01E5"/>
    <w:rsid w:val="001A020A"/>
    <w:rsid w:val="001A0BF7"/>
    <w:rsid w:val="001A109B"/>
    <w:rsid w:val="001A149D"/>
    <w:rsid w:val="001A178E"/>
    <w:rsid w:val="001A1CD4"/>
    <w:rsid w:val="001A1E66"/>
    <w:rsid w:val="001A1FE7"/>
    <w:rsid w:val="001A2397"/>
    <w:rsid w:val="001A2916"/>
    <w:rsid w:val="001A333E"/>
    <w:rsid w:val="001A3550"/>
    <w:rsid w:val="001A3D66"/>
    <w:rsid w:val="001A4332"/>
    <w:rsid w:val="001A43FA"/>
    <w:rsid w:val="001A47C1"/>
    <w:rsid w:val="001A47C5"/>
    <w:rsid w:val="001A4C30"/>
    <w:rsid w:val="001A522C"/>
    <w:rsid w:val="001A5527"/>
    <w:rsid w:val="001A59FB"/>
    <w:rsid w:val="001A5E9E"/>
    <w:rsid w:val="001A6354"/>
    <w:rsid w:val="001A6366"/>
    <w:rsid w:val="001A69B0"/>
    <w:rsid w:val="001A6D27"/>
    <w:rsid w:val="001A6DB3"/>
    <w:rsid w:val="001A6DB6"/>
    <w:rsid w:val="001A7662"/>
    <w:rsid w:val="001A78E2"/>
    <w:rsid w:val="001A7AE8"/>
    <w:rsid w:val="001A7D85"/>
    <w:rsid w:val="001B0437"/>
    <w:rsid w:val="001B096C"/>
    <w:rsid w:val="001B09C5"/>
    <w:rsid w:val="001B0CD8"/>
    <w:rsid w:val="001B1178"/>
    <w:rsid w:val="001B13F0"/>
    <w:rsid w:val="001B150F"/>
    <w:rsid w:val="001B19C9"/>
    <w:rsid w:val="001B1E16"/>
    <w:rsid w:val="001B1E1D"/>
    <w:rsid w:val="001B204E"/>
    <w:rsid w:val="001B2372"/>
    <w:rsid w:val="001B253F"/>
    <w:rsid w:val="001B2ABE"/>
    <w:rsid w:val="001B3443"/>
    <w:rsid w:val="001B3AE8"/>
    <w:rsid w:val="001B3EBC"/>
    <w:rsid w:val="001B4571"/>
    <w:rsid w:val="001B4982"/>
    <w:rsid w:val="001B4D20"/>
    <w:rsid w:val="001B515F"/>
    <w:rsid w:val="001B60E0"/>
    <w:rsid w:val="001B6D03"/>
    <w:rsid w:val="001B6D06"/>
    <w:rsid w:val="001B75EC"/>
    <w:rsid w:val="001B79AC"/>
    <w:rsid w:val="001B7D60"/>
    <w:rsid w:val="001B7F84"/>
    <w:rsid w:val="001C086D"/>
    <w:rsid w:val="001C096D"/>
    <w:rsid w:val="001C1237"/>
    <w:rsid w:val="001C1363"/>
    <w:rsid w:val="001C155F"/>
    <w:rsid w:val="001C1ABA"/>
    <w:rsid w:val="001C1E4C"/>
    <w:rsid w:val="001C2170"/>
    <w:rsid w:val="001C24CC"/>
    <w:rsid w:val="001C2A9B"/>
    <w:rsid w:val="001C2C03"/>
    <w:rsid w:val="001C3DD6"/>
    <w:rsid w:val="001C4299"/>
    <w:rsid w:val="001C4623"/>
    <w:rsid w:val="001C4865"/>
    <w:rsid w:val="001C4874"/>
    <w:rsid w:val="001C52BB"/>
    <w:rsid w:val="001C59AD"/>
    <w:rsid w:val="001C5A79"/>
    <w:rsid w:val="001C5E43"/>
    <w:rsid w:val="001C5F94"/>
    <w:rsid w:val="001C6DED"/>
    <w:rsid w:val="001C6E66"/>
    <w:rsid w:val="001C7CE1"/>
    <w:rsid w:val="001D0103"/>
    <w:rsid w:val="001D037C"/>
    <w:rsid w:val="001D091F"/>
    <w:rsid w:val="001D0F7A"/>
    <w:rsid w:val="001D1100"/>
    <w:rsid w:val="001D1391"/>
    <w:rsid w:val="001D1614"/>
    <w:rsid w:val="001D1821"/>
    <w:rsid w:val="001D1945"/>
    <w:rsid w:val="001D23CE"/>
    <w:rsid w:val="001D23D8"/>
    <w:rsid w:val="001D2594"/>
    <w:rsid w:val="001D25D7"/>
    <w:rsid w:val="001D29FA"/>
    <w:rsid w:val="001D3849"/>
    <w:rsid w:val="001D3C04"/>
    <w:rsid w:val="001D43FB"/>
    <w:rsid w:val="001D4EBF"/>
    <w:rsid w:val="001D50B2"/>
    <w:rsid w:val="001D6144"/>
    <w:rsid w:val="001D625E"/>
    <w:rsid w:val="001D6581"/>
    <w:rsid w:val="001D6CA9"/>
    <w:rsid w:val="001D71F4"/>
    <w:rsid w:val="001D7447"/>
    <w:rsid w:val="001D7645"/>
    <w:rsid w:val="001D7BFB"/>
    <w:rsid w:val="001D7C84"/>
    <w:rsid w:val="001E0A4C"/>
    <w:rsid w:val="001E0F4E"/>
    <w:rsid w:val="001E112C"/>
    <w:rsid w:val="001E1E86"/>
    <w:rsid w:val="001E1FDD"/>
    <w:rsid w:val="001E238E"/>
    <w:rsid w:val="001E2483"/>
    <w:rsid w:val="001E270B"/>
    <w:rsid w:val="001E2B1E"/>
    <w:rsid w:val="001E2CFF"/>
    <w:rsid w:val="001E2F24"/>
    <w:rsid w:val="001E30D4"/>
    <w:rsid w:val="001E31E4"/>
    <w:rsid w:val="001E34DF"/>
    <w:rsid w:val="001E413F"/>
    <w:rsid w:val="001E4549"/>
    <w:rsid w:val="001E4E84"/>
    <w:rsid w:val="001E52EB"/>
    <w:rsid w:val="001E54E6"/>
    <w:rsid w:val="001E5535"/>
    <w:rsid w:val="001E5679"/>
    <w:rsid w:val="001E5852"/>
    <w:rsid w:val="001E61D2"/>
    <w:rsid w:val="001E669A"/>
    <w:rsid w:val="001E695E"/>
    <w:rsid w:val="001E6B13"/>
    <w:rsid w:val="001E71F2"/>
    <w:rsid w:val="001E740C"/>
    <w:rsid w:val="001E7D13"/>
    <w:rsid w:val="001E7D1F"/>
    <w:rsid w:val="001F0A06"/>
    <w:rsid w:val="001F0D8B"/>
    <w:rsid w:val="001F1235"/>
    <w:rsid w:val="001F19AF"/>
    <w:rsid w:val="001F1C93"/>
    <w:rsid w:val="001F1CB3"/>
    <w:rsid w:val="001F2181"/>
    <w:rsid w:val="001F25A3"/>
    <w:rsid w:val="001F2A19"/>
    <w:rsid w:val="001F3068"/>
    <w:rsid w:val="001F33B6"/>
    <w:rsid w:val="001F38B5"/>
    <w:rsid w:val="001F3B00"/>
    <w:rsid w:val="001F3CC5"/>
    <w:rsid w:val="001F4081"/>
    <w:rsid w:val="001F44E8"/>
    <w:rsid w:val="001F4823"/>
    <w:rsid w:val="001F4A01"/>
    <w:rsid w:val="001F535E"/>
    <w:rsid w:val="001F5D7A"/>
    <w:rsid w:val="001F60A8"/>
    <w:rsid w:val="001F64EE"/>
    <w:rsid w:val="001F65B1"/>
    <w:rsid w:val="001F660B"/>
    <w:rsid w:val="001F6711"/>
    <w:rsid w:val="001F6910"/>
    <w:rsid w:val="001F6E7C"/>
    <w:rsid w:val="001F7077"/>
    <w:rsid w:val="001F707F"/>
    <w:rsid w:val="001F7361"/>
    <w:rsid w:val="00200539"/>
    <w:rsid w:val="00200B51"/>
    <w:rsid w:val="002011B0"/>
    <w:rsid w:val="0020170A"/>
    <w:rsid w:val="00201DD0"/>
    <w:rsid w:val="002020BE"/>
    <w:rsid w:val="00202420"/>
    <w:rsid w:val="00202F11"/>
    <w:rsid w:val="00203181"/>
    <w:rsid w:val="00203783"/>
    <w:rsid w:val="0020385F"/>
    <w:rsid w:val="00204164"/>
    <w:rsid w:val="00204620"/>
    <w:rsid w:val="00204FFB"/>
    <w:rsid w:val="0020532C"/>
    <w:rsid w:val="0020539F"/>
    <w:rsid w:val="00205786"/>
    <w:rsid w:val="002057F1"/>
    <w:rsid w:val="0020599E"/>
    <w:rsid w:val="002068A0"/>
    <w:rsid w:val="00206AAA"/>
    <w:rsid w:val="00207021"/>
    <w:rsid w:val="0020732F"/>
    <w:rsid w:val="00207B64"/>
    <w:rsid w:val="00207B7B"/>
    <w:rsid w:val="00207BB9"/>
    <w:rsid w:val="00207D00"/>
    <w:rsid w:val="002102E1"/>
    <w:rsid w:val="002104F3"/>
    <w:rsid w:val="002105A4"/>
    <w:rsid w:val="002105C1"/>
    <w:rsid w:val="00210904"/>
    <w:rsid w:val="00210A88"/>
    <w:rsid w:val="002114FF"/>
    <w:rsid w:val="002116FD"/>
    <w:rsid w:val="00211730"/>
    <w:rsid w:val="00211B12"/>
    <w:rsid w:val="0021350E"/>
    <w:rsid w:val="00213C31"/>
    <w:rsid w:val="00213CBF"/>
    <w:rsid w:val="00213EF5"/>
    <w:rsid w:val="002143DE"/>
    <w:rsid w:val="00214651"/>
    <w:rsid w:val="00214C78"/>
    <w:rsid w:val="00215378"/>
    <w:rsid w:val="00215E8F"/>
    <w:rsid w:val="0021614D"/>
    <w:rsid w:val="002166A8"/>
    <w:rsid w:val="00216997"/>
    <w:rsid w:val="002169BF"/>
    <w:rsid w:val="00216BF5"/>
    <w:rsid w:val="00217AB8"/>
    <w:rsid w:val="00217B0C"/>
    <w:rsid w:val="00217BD0"/>
    <w:rsid w:val="00217F6A"/>
    <w:rsid w:val="00220029"/>
    <w:rsid w:val="00220D4A"/>
    <w:rsid w:val="00220E89"/>
    <w:rsid w:val="00221838"/>
    <w:rsid w:val="00221A1D"/>
    <w:rsid w:val="00221F9E"/>
    <w:rsid w:val="002223CF"/>
    <w:rsid w:val="00222538"/>
    <w:rsid w:val="00222598"/>
    <w:rsid w:val="0022266B"/>
    <w:rsid w:val="0022309C"/>
    <w:rsid w:val="002236C8"/>
    <w:rsid w:val="0022380D"/>
    <w:rsid w:val="00223B49"/>
    <w:rsid w:val="00223D5A"/>
    <w:rsid w:val="00224DD4"/>
    <w:rsid w:val="00224F46"/>
    <w:rsid w:val="0022609C"/>
    <w:rsid w:val="00227711"/>
    <w:rsid w:val="002278A0"/>
    <w:rsid w:val="00227D37"/>
    <w:rsid w:val="0023084D"/>
    <w:rsid w:val="002309CC"/>
    <w:rsid w:val="00230B7C"/>
    <w:rsid w:val="0023181F"/>
    <w:rsid w:val="00231ADE"/>
    <w:rsid w:val="00231BA9"/>
    <w:rsid w:val="00231D6D"/>
    <w:rsid w:val="00231D8B"/>
    <w:rsid w:val="0023209F"/>
    <w:rsid w:val="00232199"/>
    <w:rsid w:val="00232A5C"/>
    <w:rsid w:val="00232E52"/>
    <w:rsid w:val="0023396B"/>
    <w:rsid w:val="00233C01"/>
    <w:rsid w:val="0023413C"/>
    <w:rsid w:val="002346F0"/>
    <w:rsid w:val="00234B07"/>
    <w:rsid w:val="00234DBE"/>
    <w:rsid w:val="00234DEF"/>
    <w:rsid w:val="00234F70"/>
    <w:rsid w:val="002351A8"/>
    <w:rsid w:val="002352FA"/>
    <w:rsid w:val="00235676"/>
    <w:rsid w:val="002356C4"/>
    <w:rsid w:val="00235961"/>
    <w:rsid w:val="00235A65"/>
    <w:rsid w:val="0023629D"/>
    <w:rsid w:val="002364D3"/>
    <w:rsid w:val="002367C2"/>
    <w:rsid w:val="00236EB7"/>
    <w:rsid w:val="00237220"/>
    <w:rsid w:val="00237255"/>
    <w:rsid w:val="002375AD"/>
    <w:rsid w:val="00237602"/>
    <w:rsid w:val="0023794D"/>
    <w:rsid w:val="002379C3"/>
    <w:rsid w:val="00240A7D"/>
    <w:rsid w:val="0024117B"/>
    <w:rsid w:val="002415D8"/>
    <w:rsid w:val="00242124"/>
    <w:rsid w:val="002424AF"/>
    <w:rsid w:val="0024253A"/>
    <w:rsid w:val="002427C9"/>
    <w:rsid w:val="00242921"/>
    <w:rsid w:val="00242950"/>
    <w:rsid w:val="00242A93"/>
    <w:rsid w:val="00242CB8"/>
    <w:rsid w:val="00242F16"/>
    <w:rsid w:val="0024300B"/>
    <w:rsid w:val="002439DC"/>
    <w:rsid w:val="002440C7"/>
    <w:rsid w:val="002441D2"/>
    <w:rsid w:val="00244578"/>
    <w:rsid w:val="002445DB"/>
    <w:rsid w:val="00244DC8"/>
    <w:rsid w:val="00244E45"/>
    <w:rsid w:val="00244E69"/>
    <w:rsid w:val="002458BA"/>
    <w:rsid w:val="002459AB"/>
    <w:rsid w:val="002459E4"/>
    <w:rsid w:val="00245CE9"/>
    <w:rsid w:val="00246297"/>
    <w:rsid w:val="0024636C"/>
    <w:rsid w:val="0024637C"/>
    <w:rsid w:val="002470CD"/>
    <w:rsid w:val="002474E4"/>
    <w:rsid w:val="002475E7"/>
    <w:rsid w:val="00247925"/>
    <w:rsid w:val="0025087C"/>
    <w:rsid w:val="002508FD"/>
    <w:rsid w:val="00250B6A"/>
    <w:rsid w:val="00251006"/>
    <w:rsid w:val="0025181B"/>
    <w:rsid w:val="00251B45"/>
    <w:rsid w:val="0025212B"/>
    <w:rsid w:val="002524D5"/>
    <w:rsid w:val="002524DE"/>
    <w:rsid w:val="002527FB"/>
    <w:rsid w:val="002528CD"/>
    <w:rsid w:val="00252FAD"/>
    <w:rsid w:val="00253B1D"/>
    <w:rsid w:val="00254D2F"/>
    <w:rsid w:val="00254DCF"/>
    <w:rsid w:val="0025534B"/>
    <w:rsid w:val="002558FF"/>
    <w:rsid w:val="00255BB7"/>
    <w:rsid w:val="00256828"/>
    <w:rsid w:val="00257541"/>
    <w:rsid w:val="0025798D"/>
    <w:rsid w:val="00257A39"/>
    <w:rsid w:val="00257AC4"/>
    <w:rsid w:val="00257BBE"/>
    <w:rsid w:val="00260122"/>
    <w:rsid w:val="00260D5A"/>
    <w:rsid w:val="00261204"/>
    <w:rsid w:val="002618EA"/>
    <w:rsid w:val="0026199E"/>
    <w:rsid w:val="00261EEF"/>
    <w:rsid w:val="00262542"/>
    <w:rsid w:val="00262777"/>
    <w:rsid w:val="00262A1A"/>
    <w:rsid w:val="00262A87"/>
    <w:rsid w:val="00262D6D"/>
    <w:rsid w:val="00262E9B"/>
    <w:rsid w:val="00263730"/>
    <w:rsid w:val="00263DF2"/>
    <w:rsid w:val="00264D26"/>
    <w:rsid w:val="00265E4D"/>
    <w:rsid w:val="00267397"/>
    <w:rsid w:val="00267642"/>
    <w:rsid w:val="00267AEA"/>
    <w:rsid w:val="00267E9B"/>
    <w:rsid w:val="002700E6"/>
    <w:rsid w:val="0027051C"/>
    <w:rsid w:val="00270911"/>
    <w:rsid w:val="002711DB"/>
    <w:rsid w:val="00271BF5"/>
    <w:rsid w:val="00272117"/>
    <w:rsid w:val="0027294B"/>
    <w:rsid w:val="002735ED"/>
    <w:rsid w:val="00273EB4"/>
    <w:rsid w:val="00273F3F"/>
    <w:rsid w:val="00274646"/>
    <w:rsid w:val="00274682"/>
    <w:rsid w:val="00274690"/>
    <w:rsid w:val="0027499F"/>
    <w:rsid w:val="0027501C"/>
    <w:rsid w:val="00275158"/>
    <w:rsid w:val="002757CD"/>
    <w:rsid w:val="00275C5A"/>
    <w:rsid w:val="00275E69"/>
    <w:rsid w:val="0027640B"/>
    <w:rsid w:val="00276BF4"/>
    <w:rsid w:val="0027754F"/>
    <w:rsid w:val="0028043C"/>
    <w:rsid w:val="00280889"/>
    <w:rsid w:val="00280C4B"/>
    <w:rsid w:val="00281014"/>
    <w:rsid w:val="002811C2"/>
    <w:rsid w:val="00281424"/>
    <w:rsid w:val="00281715"/>
    <w:rsid w:val="00281BAD"/>
    <w:rsid w:val="002825D5"/>
    <w:rsid w:val="00282A08"/>
    <w:rsid w:val="00282A4E"/>
    <w:rsid w:val="00283232"/>
    <w:rsid w:val="0028383C"/>
    <w:rsid w:val="00283B24"/>
    <w:rsid w:val="00283E06"/>
    <w:rsid w:val="00283F48"/>
    <w:rsid w:val="0028428C"/>
    <w:rsid w:val="00284698"/>
    <w:rsid w:val="0028495B"/>
    <w:rsid w:val="00284BCC"/>
    <w:rsid w:val="002851DD"/>
    <w:rsid w:val="002853CD"/>
    <w:rsid w:val="00285BB4"/>
    <w:rsid w:val="00285BCE"/>
    <w:rsid w:val="00285EDD"/>
    <w:rsid w:val="00286091"/>
    <w:rsid w:val="002862E8"/>
    <w:rsid w:val="0028665D"/>
    <w:rsid w:val="002866DB"/>
    <w:rsid w:val="002867BD"/>
    <w:rsid w:val="00286AE0"/>
    <w:rsid w:val="00286D0F"/>
    <w:rsid w:val="00287465"/>
    <w:rsid w:val="0028797E"/>
    <w:rsid w:val="00290252"/>
    <w:rsid w:val="002904C3"/>
    <w:rsid w:val="0029113D"/>
    <w:rsid w:val="00291308"/>
    <w:rsid w:val="00291408"/>
    <w:rsid w:val="0029287D"/>
    <w:rsid w:val="00292A88"/>
    <w:rsid w:val="00293C9C"/>
    <w:rsid w:val="00294AA4"/>
    <w:rsid w:val="00294E53"/>
    <w:rsid w:val="00295AEC"/>
    <w:rsid w:val="00295CE0"/>
    <w:rsid w:val="00296005"/>
    <w:rsid w:val="002968A6"/>
    <w:rsid w:val="002968DC"/>
    <w:rsid w:val="00296CBC"/>
    <w:rsid w:val="00297630"/>
    <w:rsid w:val="002976B0"/>
    <w:rsid w:val="002A03B1"/>
    <w:rsid w:val="002A14AB"/>
    <w:rsid w:val="002A179C"/>
    <w:rsid w:val="002A1A3C"/>
    <w:rsid w:val="002A2ADE"/>
    <w:rsid w:val="002A2CFD"/>
    <w:rsid w:val="002A2F50"/>
    <w:rsid w:val="002A3111"/>
    <w:rsid w:val="002A42C5"/>
    <w:rsid w:val="002A435E"/>
    <w:rsid w:val="002A44B3"/>
    <w:rsid w:val="002A4EF2"/>
    <w:rsid w:val="002A509F"/>
    <w:rsid w:val="002A543B"/>
    <w:rsid w:val="002A6594"/>
    <w:rsid w:val="002A6C5C"/>
    <w:rsid w:val="002A717E"/>
    <w:rsid w:val="002A76B3"/>
    <w:rsid w:val="002A7943"/>
    <w:rsid w:val="002A7956"/>
    <w:rsid w:val="002A79BD"/>
    <w:rsid w:val="002B001C"/>
    <w:rsid w:val="002B03A9"/>
    <w:rsid w:val="002B05A1"/>
    <w:rsid w:val="002B09A4"/>
    <w:rsid w:val="002B0C27"/>
    <w:rsid w:val="002B0D51"/>
    <w:rsid w:val="002B100B"/>
    <w:rsid w:val="002B1466"/>
    <w:rsid w:val="002B153A"/>
    <w:rsid w:val="002B1C1F"/>
    <w:rsid w:val="002B2211"/>
    <w:rsid w:val="002B3060"/>
    <w:rsid w:val="002B3436"/>
    <w:rsid w:val="002B3BAA"/>
    <w:rsid w:val="002B432F"/>
    <w:rsid w:val="002B4DF0"/>
    <w:rsid w:val="002B4F8F"/>
    <w:rsid w:val="002B52DA"/>
    <w:rsid w:val="002B546C"/>
    <w:rsid w:val="002B554B"/>
    <w:rsid w:val="002B5B98"/>
    <w:rsid w:val="002B5F40"/>
    <w:rsid w:val="002B5F7B"/>
    <w:rsid w:val="002B62B3"/>
    <w:rsid w:val="002B64B5"/>
    <w:rsid w:val="002B64C7"/>
    <w:rsid w:val="002B6754"/>
    <w:rsid w:val="002B6918"/>
    <w:rsid w:val="002B6CCE"/>
    <w:rsid w:val="002B7168"/>
    <w:rsid w:val="002B73BE"/>
    <w:rsid w:val="002B7410"/>
    <w:rsid w:val="002B756D"/>
    <w:rsid w:val="002B7639"/>
    <w:rsid w:val="002B7792"/>
    <w:rsid w:val="002C0770"/>
    <w:rsid w:val="002C0F3B"/>
    <w:rsid w:val="002C1C59"/>
    <w:rsid w:val="002C2510"/>
    <w:rsid w:val="002C2775"/>
    <w:rsid w:val="002C27C1"/>
    <w:rsid w:val="002C2C4C"/>
    <w:rsid w:val="002C36E3"/>
    <w:rsid w:val="002C425A"/>
    <w:rsid w:val="002C42F6"/>
    <w:rsid w:val="002C4D74"/>
    <w:rsid w:val="002C5099"/>
    <w:rsid w:val="002C521B"/>
    <w:rsid w:val="002C5889"/>
    <w:rsid w:val="002C58D2"/>
    <w:rsid w:val="002C623C"/>
    <w:rsid w:val="002C6F98"/>
    <w:rsid w:val="002C71CE"/>
    <w:rsid w:val="002C7C5F"/>
    <w:rsid w:val="002D06D5"/>
    <w:rsid w:val="002D07E4"/>
    <w:rsid w:val="002D08F8"/>
    <w:rsid w:val="002D1745"/>
    <w:rsid w:val="002D180C"/>
    <w:rsid w:val="002D1ABE"/>
    <w:rsid w:val="002D1B44"/>
    <w:rsid w:val="002D3261"/>
    <w:rsid w:val="002D343B"/>
    <w:rsid w:val="002D3B95"/>
    <w:rsid w:val="002D45F0"/>
    <w:rsid w:val="002D4A3B"/>
    <w:rsid w:val="002D4E6D"/>
    <w:rsid w:val="002D4EA4"/>
    <w:rsid w:val="002D4F9C"/>
    <w:rsid w:val="002D5348"/>
    <w:rsid w:val="002D5566"/>
    <w:rsid w:val="002D577C"/>
    <w:rsid w:val="002D6292"/>
    <w:rsid w:val="002D7553"/>
    <w:rsid w:val="002D7832"/>
    <w:rsid w:val="002E0385"/>
    <w:rsid w:val="002E062E"/>
    <w:rsid w:val="002E1014"/>
    <w:rsid w:val="002E1071"/>
    <w:rsid w:val="002E15B9"/>
    <w:rsid w:val="002E20C2"/>
    <w:rsid w:val="002E2158"/>
    <w:rsid w:val="002E2183"/>
    <w:rsid w:val="002E2455"/>
    <w:rsid w:val="002E2465"/>
    <w:rsid w:val="002E247F"/>
    <w:rsid w:val="002E2EEF"/>
    <w:rsid w:val="002E3872"/>
    <w:rsid w:val="002E4453"/>
    <w:rsid w:val="002E44A1"/>
    <w:rsid w:val="002E466F"/>
    <w:rsid w:val="002E4EE3"/>
    <w:rsid w:val="002E4F02"/>
    <w:rsid w:val="002E59A1"/>
    <w:rsid w:val="002E5AA7"/>
    <w:rsid w:val="002E61B8"/>
    <w:rsid w:val="002E6B7A"/>
    <w:rsid w:val="002E6B81"/>
    <w:rsid w:val="002E726D"/>
    <w:rsid w:val="002E7722"/>
    <w:rsid w:val="002E77FC"/>
    <w:rsid w:val="002E7FE6"/>
    <w:rsid w:val="002F039D"/>
    <w:rsid w:val="002F07BA"/>
    <w:rsid w:val="002F0B89"/>
    <w:rsid w:val="002F0DA9"/>
    <w:rsid w:val="002F1014"/>
    <w:rsid w:val="002F137E"/>
    <w:rsid w:val="002F1E3B"/>
    <w:rsid w:val="002F2904"/>
    <w:rsid w:val="002F2CD7"/>
    <w:rsid w:val="002F3550"/>
    <w:rsid w:val="002F3747"/>
    <w:rsid w:val="002F459A"/>
    <w:rsid w:val="002F48FC"/>
    <w:rsid w:val="002F4939"/>
    <w:rsid w:val="002F4960"/>
    <w:rsid w:val="002F4CEE"/>
    <w:rsid w:val="002F4EFB"/>
    <w:rsid w:val="002F54DB"/>
    <w:rsid w:val="002F60A5"/>
    <w:rsid w:val="002F643C"/>
    <w:rsid w:val="002F65E9"/>
    <w:rsid w:val="002F6E0E"/>
    <w:rsid w:val="002F71C0"/>
    <w:rsid w:val="002F7377"/>
    <w:rsid w:val="002F74F1"/>
    <w:rsid w:val="002F7649"/>
    <w:rsid w:val="002F7F88"/>
    <w:rsid w:val="0030017F"/>
    <w:rsid w:val="00300397"/>
    <w:rsid w:val="00301017"/>
    <w:rsid w:val="0030155F"/>
    <w:rsid w:val="00301561"/>
    <w:rsid w:val="0030174D"/>
    <w:rsid w:val="00301EA0"/>
    <w:rsid w:val="00302226"/>
    <w:rsid w:val="00302288"/>
    <w:rsid w:val="003025E7"/>
    <w:rsid w:val="00302B44"/>
    <w:rsid w:val="003030F5"/>
    <w:rsid w:val="00303156"/>
    <w:rsid w:val="00303828"/>
    <w:rsid w:val="00303C8E"/>
    <w:rsid w:val="00303FBB"/>
    <w:rsid w:val="0030484C"/>
    <w:rsid w:val="00304B4E"/>
    <w:rsid w:val="0030587B"/>
    <w:rsid w:val="0030589F"/>
    <w:rsid w:val="003063FF"/>
    <w:rsid w:val="00306928"/>
    <w:rsid w:val="00306D98"/>
    <w:rsid w:val="00307793"/>
    <w:rsid w:val="0030786C"/>
    <w:rsid w:val="00307EFE"/>
    <w:rsid w:val="0031031A"/>
    <w:rsid w:val="0031061C"/>
    <w:rsid w:val="003108C5"/>
    <w:rsid w:val="00310981"/>
    <w:rsid w:val="00310E9B"/>
    <w:rsid w:val="00311249"/>
    <w:rsid w:val="003114E5"/>
    <w:rsid w:val="00311591"/>
    <w:rsid w:val="00311952"/>
    <w:rsid w:val="00311A55"/>
    <w:rsid w:val="00311D9B"/>
    <w:rsid w:val="003124D9"/>
    <w:rsid w:val="00312594"/>
    <w:rsid w:val="00312D4B"/>
    <w:rsid w:val="00312EF7"/>
    <w:rsid w:val="00312F45"/>
    <w:rsid w:val="00312FD9"/>
    <w:rsid w:val="003132BB"/>
    <w:rsid w:val="003147B8"/>
    <w:rsid w:val="00314C0C"/>
    <w:rsid w:val="00315498"/>
    <w:rsid w:val="003156FA"/>
    <w:rsid w:val="00315B64"/>
    <w:rsid w:val="00315B86"/>
    <w:rsid w:val="00315D08"/>
    <w:rsid w:val="00316474"/>
    <w:rsid w:val="00317F0F"/>
    <w:rsid w:val="00317FCA"/>
    <w:rsid w:val="00320962"/>
    <w:rsid w:val="00321049"/>
    <w:rsid w:val="00321B1D"/>
    <w:rsid w:val="00321C1B"/>
    <w:rsid w:val="00321FC8"/>
    <w:rsid w:val="00322107"/>
    <w:rsid w:val="00322355"/>
    <w:rsid w:val="00322773"/>
    <w:rsid w:val="00322846"/>
    <w:rsid w:val="00322BFC"/>
    <w:rsid w:val="00323AC8"/>
    <w:rsid w:val="00323C23"/>
    <w:rsid w:val="003247DC"/>
    <w:rsid w:val="00325BA5"/>
    <w:rsid w:val="00325FDC"/>
    <w:rsid w:val="00325FF3"/>
    <w:rsid w:val="003262DA"/>
    <w:rsid w:val="00326946"/>
    <w:rsid w:val="00326DA7"/>
    <w:rsid w:val="00327064"/>
    <w:rsid w:val="003270E4"/>
    <w:rsid w:val="00327F8B"/>
    <w:rsid w:val="00330030"/>
    <w:rsid w:val="0033009A"/>
    <w:rsid w:val="00330358"/>
    <w:rsid w:val="00330555"/>
    <w:rsid w:val="00330B58"/>
    <w:rsid w:val="00330DAA"/>
    <w:rsid w:val="00330F5C"/>
    <w:rsid w:val="00331099"/>
    <w:rsid w:val="00332392"/>
    <w:rsid w:val="00332807"/>
    <w:rsid w:val="00332AE4"/>
    <w:rsid w:val="00332D51"/>
    <w:rsid w:val="00333359"/>
    <w:rsid w:val="003334DA"/>
    <w:rsid w:val="00335070"/>
    <w:rsid w:val="00335360"/>
    <w:rsid w:val="00336474"/>
    <w:rsid w:val="003366C9"/>
    <w:rsid w:val="00336B45"/>
    <w:rsid w:val="00336D6E"/>
    <w:rsid w:val="003371B0"/>
    <w:rsid w:val="0033788B"/>
    <w:rsid w:val="003378B3"/>
    <w:rsid w:val="003407F3"/>
    <w:rsid w:val="00340DF1"/>
    <w:rsid w:val="0034113E"/>
    <w:rsid w:val="003411F9"/>
    <w:rsid w:val="00341ED6"/>
    <w:rsid w:val="00342C62"/>
    <w:rsid w:val="00342EE3"/>
    <w:rsid w:val="00342FCE"/>
    <w:rsid w:val="00343250"/>
    <w:rsid w:val="0034369F"/>
    <w:rsid w:val="00343D8B"/>
    <w:rsid w:val="00343DC6"/>
    <w:rsid w:val="00344F55"/>
    <w:rsid w:val="003451CA"/>
    <w:rsid w:val="003451D0"/>
    <w:rsid w:val="00345EBB"/>
    <w:rsid w:val="00347054"/>
    <w:rsid w:val="00347550"/>
    <w:rsid w:val="003478BA"/>
    <w:rsid w:val="00347AE1"/>
    <w:rsid w:val="00347E09"/>
    <w:rsid w:val="003505E0"/>
    <w:rsid w:val="003509DC"/>
    <w:rsid w:val="00350B62"/>
    <w:rsid w:val="00350D8B"/>
    <w:rsid w:val="0035127A"/>
    <w:rsid w:val="003517F9"/>
    <w:rsid w:val="003518E7"/>
    <w:rsid w:val="00351BA9"/>
    <w:rsid w:val="00351E3E"/>
    <w:rsid w:val="0035201C"/>
    <w:rsid w:val="003528B0"/>
    <w:rsid w:val="00352A27"/>
    <w:rsid w:val="00352D85"/>
    <w:rsid w:val="00353473"/>
    <w:rsid w:val="00354045"/>
    <w:rsid w:val="00354234"/>
    <w:rsid w:val="003543F2"/>
    <w:rsid w:val="0035441B"/>
    <w:rsid w:val="00354994"/>
    <w:rsid w:val="00354ABD"/>
    <w:rsid w:val="00354F64"/>
    <w:rsid w:val="00354FFF"/>
    <w:rsid w:val="003557CC"/>
    <w:rsid w:val="003558E0"/>
    <w:rsid w:val="0035620E"/>
    <w:rsid w:val="00356A4F"/>
    <w:rsid w:val="003573FE"/>
    <w:rsid w:val="003575B5"/>
    <w:rsid w:val="003575BE"/>
    <w:rsid w:val="003576D9"/>
    <w:rsid w:val="00357A1F"/>
    <w:rsid w:val="00357B17"/>
    <w:rsid w:val="00357BDE"/>
    <w:rsid w:val="00357C48"/>
    <w:rsid w:val="00360345"/>
    <w:rsid w:val="003603DF"/>
    <w:rsid w:val="00360775"/>
    <w:rsid w:val="00360961"/>
    <w:rsid w:val="00360B03"/>
    <w:rsid w:val="00360D17"/>
    <w:rsid w:val="00361076"/>
    <w:rsid w:val="003616B7"/>
    <w:rsid w:val="003619BC"/>
    <w:rsid w:val="00361A05"/>
    <w:rsid w:val="00361F96"/>
    <w:rsid w:val="00362105"/>
    <w:rsid w:val="00362491"/>
    <w:rsid w:val="003624C4"/>
    <w:rsid w:val="00362692"/>
    <w:rsid w:val="00362B42"/>
    <w:rsid w:val="00362FA5"/>
    <w:rsid w:val="003636B3"/>
    <w:rsid w:val="00363B00"/>
    <w:rsid w:val="00363C10"/>
    <w:rsid w:val="0036404F"/>
    <w:rsid w:val="00364442"/>
    <w:rsid w:val="00364DA2"/>
    <w:rsid w:val="003652B9"/>
    <w:rsid w:val="003654AC"/>
    <w:rsid w:val="00365567"/>
    <w:rsid w:val="0036570B"/>
    <w:rsid w:val="00365BB5"/>
    <w:rsid w:val="00365FF5"/>
    <w:rsid w:val="003669D2"/>
    <w:rsid w:val="0036779F"/>
    <w:rsid w:val="003679A5"/>
    <w:rsid w:val="00367BEA"/>
    <w:rsid w:val="00370661"/>
    <w:rsid w:val="003710CF"/>
    <w:rsid w:val="0037130D"/>
    <w:rsid w:val="00371E36"/>
    <w:rsid w:val="003721BB"/>
    <w:rsid w:val="0037309E"/>
    <w:rsid w:val="0037358A"/>
    <w:rsid w:val="003739E2"/>
    <w:rsid w:val="00373D0F"/>
    <w:rsid w:val="003746AA"/>
    <w:rsid w:val="0037490A"/>
    <w:rsid w:val="00374D09"/>
    <w:rsid w:val="003750F6"/>
    <w:rsid w:val="003751CB"/>
    <w:rsid w:val="00375858"/>
    <w:rsid w:val="003758A8"/>
    <w:rsid w:val="00375999"/>
    <w:rsid w:val="003760FC"/>
    <w:rsid w:val="00376CFC"/>
    <w:rsid w:val="00376F35"/>
    <w:rsid w:val="003778D5"/>
    <w:rsid w:val="00380D84"/>
    <w:rsid w:val="00380F80"/>
    <w:rsid w:val="003811D1"/>
    <w:rsid w:val="00381B27"/>
    <w:rsid w:val="00382280"/>
    <w:rsid w:val="00382289"/>
    <w:rsid w:val="00382BDF"/>
    <w:rsid w:val="0038365C"/>
    <w:rsid w:val="0038369B"/>
    <w:rsid w:val="00383B59"/>
    <w:rsid w:val="00383B78"/>
    <w:rsid w:val="00384163"/>
    <w:rsid w:val="003842AD"/>
    <w:rsid w:val="00384422"/>
    <w:rsid w:val="0038456B"/>
    <w:rsid w:val="003846DC"/>
    <w:rsid w:val="00385359"/>
    <w:rsid w:val="00385A9D"/>
    <w:rsid w:val="00385E09"/>
    <w:rsid w:val="00385FB2"/>
    <w:rsid w:val="003866A8"/>
    <w:rsid w:val="00386AA1"/>
    <w:rsid w:val="00386ABD"/>
    <w:rsid w:val="00386CFA"/>
    <w:rsid w:val="00386F80"/>
    <w:rsid w:val="00387121"/>
    <w:rsid w:val="0038718D"/>
    <w:rsid w:val="0038769D"/>
    <w:rsid w:val="00387937"/>
    <w:rsid w:val="00387BE7"/>
    <w:rsid w:val="00387DF9"/>
    <w:rsid w:val="003902B1"/>
    <w:rsid w:val="00390573"/>
    <w:rsid w:val="00390674"/>
    <w:rsid w:val="00391121"/>
    <w:rsid w:val="00391200"/>
    <w:rsid w:val="003913CC"/>
    <w:rsid w:val="0039147D"/>
    <w:rsid w:val="0039179C"/>
    <w:rsid w:val="00391A58"/>
    <w:rsid w:val="00391B07"/>
    <w:rsid w:val="0039290F"/>
    <w:rsid w:val="00392A39"/>
    <w:rsid w:val="00392A52"/>
    <w:rsid w:val="00392F46"/>
    <w:rsid w:val="00392F5D"/>
    <w:rsid w:val="0039377D"/>
    <w:rsid w:val="00393E23"/>
    <w:rsid w:val="00394049"/>
    <w:rsid w:val="00394074"/>
    <w:rsid w:val="003944D6"/>
    <w:rsid w:val="0039598F"/>
    <w:rsid w:val="00395DC0"/>
    <w:rsid w:val="00396058"/>
    <w:rsid w:val="00396896"/>
    <w:rsid w:val="00396FD0"/>
    <w:rsid w:val="00397AE7"/>
    <w:rsid w:val="00397D9A"/>
    <w:rsid w:val="003A03CD"/>
    <w:rsid w:val="003A04DD"/>
    <w:rsid w:val="003A0740"/>
    <w:rsid w:val="003A07BA"/>
    <w:rsid w:val="003A0972"/>
    <w:rsid w:val="003A0B22"/>
    <w:rsid w:val="003A10A9"/>
    <w:rsid w:val="003A1A7A"/>
    <w:rsid w:val="003A2392"/>
    <w:rsid w:val="003A24BB"/>
    <w:rsid w:val="003A25A6"/>
    <w:rsid w:val="003A2804"/>
    <w:rsid w:val="003A2831"/>
    <w:rsid w:val="003A348A"/>
    <w:rsid w:val="003A3CB6"/>
    <w:rsid w:val="003A3ED1"/>
    <w:rsid w:val="003A412E"/>
    <w:rsid w:val="003A44DB"/>
    <w:rsid w:val="003A4B7F"/>
    <w:rsid w:val="003A4C14"/>
    <w:rsid w:val="003A53C4"/>
    <w:rsid w:val="003A5BE8"/>
    <w:rsid w:val="003A5E8B"/>
    <w:rsid w:val="003A6F4A"/>
    <w:rsid w:val="003A737C"/>
    <w:rsid w:val="003B0AF9"/>
    <w:rsid w:val="003B1E9B"/>
    <w:rsid w:val="003B28E9"/>
    <w:rsid w:val="003B366E"/>
    <w:rsid w:val="003B3971"/>
    <w:rsid w:val="003B4A32"/>
    <w:rsid w:val="003B4F52"/>
    <w:rsid w:val="003B4F5B"/>
    <w:rsid w:val="003B5434"/>
    <w:rsid w:val="003B55D1"/>
    <w:rsid w:val="003B5B61"/>
    <w:rsid w:val="003B5F7F"/>
    <w:rsid w:val="003B62D7"/>
    <w:rsid w:val="003B6EA0"/>
    <w:rsid w:val="003C0040"/>
    <w:rsid w:val="003C0646"/>
    <w:rsid w:val="003C0F2D"/>
    <w:rsid w:val="003C1654"/>
    <w:rsid w:val="003C1B99"/>
    <w:rsid w:val="003C1CC8"/>
    <w:rsid w:val="003C1F9C"/>
    <w:rsid w:val="003C22EC"/>
    <w:rsid w:val="003C277B"/>
    <w:rsid w:val="003C2BEB"/>
    <w:rsid w:val="003C31EC"/>
    <w:rsid w:val="003C3B05"/>
    <w:rsid w:val="003C3F28"/>
    <w:rsid w:val="003C4620"/>
    <w:rsid w:val="003C4B70"/>
    <w:rsid w:val="003C5542"/>
    <w:rsid w:val="003C5D16"/>
    <w:rsid w:val="003C6135"/>
    <w:rsid w:val="003C63F6"/>
    <w:rsid w:val="003C654B"/>
    <w:rsid w:val="003C6799"/>
    <w:rsid w:val="003C7397"/>
    <w:rsid w:val="003C7C15"/>
    <w:rsid w:val="003C7D19"/>
    <w:rsid w:val="003C7D2F"/>
    <w:rsid w:val="003D03E2"/>
    <w:rsid w:val="003D046A"/>
    <w:rsid w:val="003D0C5A"/>
    <w:rsid w:val="003D178B"/>
    <w:rsid w:val="003D1828"/>
    <w:rsid w:val="003D1AAD"/>
    <w:rsid w:val="003D1DE4"/>
    <w:rsid w:val="003D1E51"/>
    <w:rsid w:val="003D1E9A"/>
    <w:rsid w:val="003D2011"/>
    <w:rsid w:val="003D2422"/>
    <w:rsid w:val="003D2A59"/>
    <w:rsid w:val="003D2C5A"/>
    <w:rsid w:val="003D39A1"/>
    <w:rsid w:val="003D3FBF"/>
    <w:rsid w:val="003D4626"/>
    <w:rsid w:val="003D4A30"/>
    <w:rsid w:val="003D4DD0"/>
    <w:rsid w:val="003D5736"/>
    <w:rsid w:val="003D5AE1"/>
    <w:rsid w:val="003D64C3"/>
    <w:rsid w:val="003D7143"/>
    <w:rsid w:val="003D71A9"/>
    <w:rsid w:val="003D724F"/>
    <w:rsid w:val="003D7452"/>
    <w:rsid w:val="003D79A8"/>
    <w:rsid w:val="003D79BB"/>
    <w:rsid w:val="003D7B8B"/>
    <w:rsid w:val="003D7C98"/>
    <w:rsid w:val="003D7D9D"/>
    <w:rsid w:val="003E0543"/>
    <w:rsid w:val="003E0D35"/>
    <w:rsid w:val="003E163E"/>
    <w:rsid w:val="003E1689"/>
    <w:rsid w:val="003E1AEB"/>
    <w:rsid w:val="003E20EF"/>
    <w:rsid w:val="003E3554"/>
    <w:rsid w:val="003E3ADE"/>
    <w:rsid w:val="003E4BD9"/>
    <w:rsid w:val="003E4D02"/>
    <w:rsid w:val="003E50CE"/>
    <w:rsid w:val="003E5603"/>
    <w:rsid w:val="003E5A81"/>
    <w:rsid w:val="003E5AA7"/>
    <w:rsid w:val="003E5E96"/>
    <w:rsid w:val="003E6A65"/>
    <w:rsid w:val="003E6B62"/>
    <w:rsid w:val="003E7159"/>
    <w:rsid w:val="003E7257"/>
    <w:rsid w:val="003E749E"/>
    <w:rsid w:val="003E7980"/>
    <w:rsid w:val="003E7E51"/>
    <w:rsid w:val="003F0277"/>
    <w:rsid w:val="003F0301"/>
    <w:rsid w:val="003F1602"/>
    <w:rsid w:val="003F1AFF"/>
    <w:rsid w:val="003F20D1"/>
    <w:rsid w:val="003F25E2"/>
    <w:rsid w:val="003F3845"/>
    <w:rsid w:val="003F38ED"/>
    <w:rsid w:val="003F391E"/>
    <w:rsid w:val="003F3FAD"/>
    <w:rsid w:val="003F4156"/>
    <w:rsid w:val="003F4776"/>
    <w:rsid w:val="003F5ADF"/>
    <w:rsid w:val="003F5F8A"/>
    <w:rsid w:val="003F60F9"/>
    <w:rsid w:val="003F6124"/>
    <w:rsid w:val="003F6451"/>
    <w:rsid w:val="003F6463"/>
    <w:rsid w:val="003F67D9"/>
    <w:rsid w:val="003F76F6"/>
    <w:rsid w:val="003F7FB4"/>
    <w:rsid w:val="004002EA"/>
    <w:rsid w:val="00400446"/>
    <w:rsid w:val="00400B29"/>
    <w:rsid w:val="00400B9C"/>
    <w:rsid w:val="00400DBB"/>
    <w:rsid w:val="00401E59"/>
    <w:rsid w:val="00401EB7"/>
    <w:rsid w:val="00402485"/>
    <w:rsid w:val="00402812"/>
    <w:rsid w:val="004028AE"/>
    <w:rsid w:val="00402D7D"/>
    <w:rsid w:val="004039D2"/>
    <w:rsid w:val="004045B7"/>
    <w:rsid w:val="00404927"/>
    <w:rsid w:val="00404D5B"/>
    <w:rsid w:val="0040504B"/>
    <w:rsid w:val="004050F3"/>
    <w:rsid w:val="004052A2"/>
    <w:rsid w:val="004059F4"/>
    <w:rsid w:val="00405E26"/>
    <w:rsid w:val="00405FBA"/>
    <w:rsid w:val="00406F33"/>
    <w:rsid w:val="0040737E"/>
    <w:rsid w:val="00407609"/>
    <w:rsid w:val="00407ED2"/>
    <w:rsid w:val="00407FE5"/>
    <w:rsid w:val="004101B0"/>
    <w:rsid w:val="00410326"/>
    <w:rsid w:val="004106FE"/>
    <w:rsid w:val="00410708"/>
    <w:rsid w:val="00410BEC"/>
    <w:rsid w:val="00410C77"/>
    <w:rsid w:val="00410EC7"/>
    <w:rsid w:val="00410FC5"/>
    <w:rsid w:val="00411296"/>
    <w:rsid w:val="00411B39"/>
    <w:rsid w:val="00411F89"/>
    <w:rsid w:val="00411FAB"/>
    <w:rsid w:val="004125BC"/>
    <w:rsid w:val="004127A7"/>
    <w:rsid w:val="00412BF4"/>
    <w:rsid w:val="00413111"/>
    <w:rsid w:val="00413567"/>
    <w:rsid w:val="00413820"/>
    <w:rsid w:val="00413A1E"/>
    <w:rsid w:val="00413B65"/>
    <w:rsid w:val="00413C4A"/>
    <w:rsid w:val="00413DD4"/>
    <w:rsid w:val="00414476"/>
    <w:rsid w:val="004144C6"/>
    <w:rsid w:val="00414C2E"/>
    <w:rsid w:val="00415152"/>
    <w:rsid w:val="004151CF"/>
    <w:rsid w:val="00416364"/>
    <w:rsid w:val="00416660"/>
    <w:rsid w:val="0041692D"/>
    <w:rsid w:val="0041697E"/>
    <w:rsid w:val="00416C37"/>
    <w:rsid w:val="00416F6F"/>
    <w:rsid w:val="00417D2F"/>
    <w:rsid w:val="00417E71"/>
    <w:rsid w:val="0042047F"/>
    <w:rsid w:val="00420957"/>
    <w:rsid w:val="00420AA6"/>
    <w:rsid w:val="00420B8E"/>
    <w:rsid w:val="00420B9F"/>
    <w:rsid w:val="0042192C"/>
    <w:rsid w:val="00422260"/>
    <w:rsid w:val="00423243"/>
    <w:rsid w:val="00423F12"/>
    <w:rsid w:val="0042413F"/>
    <w:rsid w:val="004245BA"/>
    <w:rsid w:val="0042483B"/>
    <w:rsid w:val="00424881"/>
    <w:rsid w:val="00424EC6"/>
    <w:rsid w:val="0042516E"/>
    <w:rsid w:val="0042567B"/>
    <w:rsid w:val="00425DB5"/>
    <w:rsid w:val="00426257"/>
    <w:rsid w:val="00426925"/>
    <w:rsid w:val="004269DF"/>
    <w:rsid w:val="00427A29"/>
    <w:rsid w:val="00427F60"/>
    <w:rsid w:val="004300ED"/>
    <w:rsid w:val="004315F7"/>
    <w:rsid w:val="004316F1"/>
    <w:rsid w:val="004319F8"/>
    <w:rsid w:val="00431D1C"/>
    <w:rsid w:val="00431E55"/>
    <w:rsid w:val="00432129"/>
    <w:rsid w:val="004321F6"/>
    <w:rsid w:val="004325EA"/>
    <w:rsid w:val="00432825"/>
    <w:rsid w:val="0043288D"/>
    <w:rsid w:val="004328A0"/>
    <w:rsid w:val="00432C41"/>
    <w:rsid w:val="00432E1F"/>
    <w:rsid w:val="00432E55"/>
    <w:rsid w:val="00432F9B"/>
    <w:rsid w:val="00433044"/>
    <w:rsid w:val="004331CD"/>
    <w:rsid w:val="004332CC"/>
    <w:rsid w:val="00434088"/>
    <w:rsid w:val="00434737"/>
    <w:rsid w:val="00434EC0"/>
    <w:rsid w:val="00435630"/>
    <w:rsid w:val="00435887"/>
    <w:rsid w:val="00435CE5"/>
    <w:rsid w:val="0043686E"/>
    <w:rsid w:val="004375B9"/>
    <w:rsid w:val="004377C8"/>
    <w:rsid w:val="0043782E"/>
    <w:rsid w:val="00437871"/>
    <w:rsid w:val="00437C60"/>
    <w:rsid w:val="00437DF8"/>
    <w:rsid w:val="004401F9"/>
    <w:rsid w:val="00440357"/>
    <w:rsid w:val="00440E4F"/>
    <w:rsid w:val="00442488"/>
    <w:rsid w:val="00442690"/>
    <w:rsid w:val="004428D0"/>
    <w:rsid w:val="00442916"/>
    <w:rsid w:val="00442CEA"/>
    <w:rsid w:val="00443084"/>
    <w:rsid w:val="004438DF"/>
    <w:rsid w:val="00443C3F"/>
    <w:rsid w:val="00443DF5"/>
    <w:rsid w:val="00444185"/>
    <w:rsid w:val="004443A7"/>
    <w:rsid w:val="0044442C"/>
    <w:rsid w:val="0044445E"/>
    <w:rsid w:val="0044491B"/>
    <w:rsid w:val="00445567"/>
    <w:rsid w:val="00445672"/>
    <w:rsid w:val="00445941"/>
    <w:rsid w:val="004464EB"/>
    <w:rsid w:val="004465B5"/>
    <w:rsid w:val="00446838"/>
    <w:rsid w:val="00446916"/>
    <w:rsid w:val="00446936"/>
    <w:rsid w:val="00446CE0"/>
    <w:rsid w:val="0044723C"/>
    <w:rsid w:val="00447CEF"/>
    <w:rsid w:val="00447D16"/>
    <w:rsid w:val="00447D26"/>
    <w:rsid w:val="00447DFC"/>
    <w:rsid w:val="00452239"/>
    <w:rsid w:val="00452463"/>
    <w:rsid w:val="0045306C"/>
    <w:rsid w:val="004538B5"/>
    <w:rsid w:val="00453E1C"/>
    <w:rsid w:val="004541EA"/>
    <w:rsid w:val="004547BC"/>
    <w:rsid w:val="00454822"/>
    <w:rsid w:val="004548A7"/>
    <w:rsid w:val="00454928"/>
    <w:rsid w:val="00454BC4"/>
    <w:rsid w:val="00454EA4"/>
    <w:rsid w:val="00454FC9"/>
    <w:rsid w:val="0045579E"/>
    <w:rsid w:val="004557CD"/>
    <w:rsid w:val="00455D45"/>
    <w:rsid w:val="00460AE8"/>
    <w:rsid w:val="00461061"/>
    <w:rsid w:val="004612A4"/>
    <w:rsid w:val="0046132B"/>
    <w:rsid w:val="0046141D"/>
    <w:rsid w:val="0046164C"/>
    <w:rsid w:val="00461C3F"/>
    <w:rsid w:val="0046306B"/>
    <w:rsid w:val="00463500"/>
    <w:rsid w:val="004637BB"/>
    <w:rsid w:val="00463EFD"/>
    <w:rsid w:val="00464237"/>
    <w:rsid w:val="00464595"/>
    <w:rsid w:val="00464650"/>
    <w:rsid w:val="004649B2"/>
    <w:rsid w:val="00464BA3"/>
    <w:rsid w:val="004658B5"/>
    <w:rsid w:val="00466688"/>
    <w:rsid w:val="004669DF"/>
    <w:rsid w:val="00466B47"/>
    <w:rsid w:val="00466FB4"/>
    <w:rsid w:val="0046731B"/>
    <w:rsid w:val="004676C4"/>
    <w:rsid w:val="004678E4"/>
    <w:rsid w:val="00467D87"/>
    <w:rsid w:val="0047069E"/>
    <w:rsid w:val="00470954"/>
    <w:rsid w:val="0047098A"/>
    <w:rsid w:val="00470AFD"/>
    <w:rsid w:val="00470FA0"/>
    <w:rsid w:val="0047178E"/>
    <w:rsid w:val="0047194C"/>
    <w:rsid w:val="00471DE9"/>
    <w:rsid w:val="00471EA5"/>
    <w:rsid w:val="004729E3"/>
    <w:rsid w:val="00472A79"/>
    <w:rsid w:val="00472D92"/>
    <w:rsid w:val="004734B7"/>
    <w:rsid w:val="004737E0"/>
    <w:rsid w:val="0047385C"/>
    <w:rsid w:val="00473F19"/>
    <w:rsid w:val="004744B2"/>
    <w:rsid w:val="00474BC8"/>
    <w:rsid w:val="00474DD3"/>
    <w:rsid w:val="00474DDC"/>
    <w:rsid w:val="00475841"/>
    <w:rsid w:val="00475B7C"/>
    <w:rsid w:val="00475C04"/>
    <w:rsid w:val="00475C3D"/>
    <w:rsid w:val="00475E22"/>
    <w:rsid w:val="0047621A"/>
    <w:rsid w:val="004765E8"/>
    <w:rsid w:val="00476644"/>
    <w:rsid w:val="00476871"/>
    <w:rsid w:val="004801BB"/>
    <w:rsid w:val="0048088E"/>
    <w:rsid w:val="00480C15"/>
    <w:rsid w:val="00480F2B"/>
    <w:rsid w:val="00481D00"/>
    <w:rsid w:val="00482069"/>
    <w:rsid w:val="0048208B"/>
    <w:rsid w:val="004821E0"/>
    <w:rsid w:val="004825C3"/>
    <w:rsid w:val="00482720"/>
    <w:rsid w:val="00482B0F"/>
    <w:rsid w:val="004835E7"/>
    <w:rsid w:val="004839F7"/>
    <w:rsid w:val="00483C04"/>
    <w:rsid w:val="004844A5"/>
    <w:rsid w:val="00484741"/>
    <w:rsid w:val="00484AD7"/>
    <w:rsid w:val="00484D57"/>
    <w:rsid w:val="00485116"/>
    <w:rsid w:val="004854A0"/>
    <w:rsid w:val="004854FD"/>
    <w:rsid w:val="004859E1"/>
    <w:rsid w:val="00486196"/>
    <w:rsid w:val="004867E2"/>
    <w:rsid w:val="00487B13"/>
    <w:rsid w:val="0049081F"/>
    <w:rsid w:val="004909F8"/>
    <w:rsid w:val="00490B17"/>
    <w:rsid w:val="00490B1F"/>
    <w:rsid w:val="00490B82"/>
    <w:rsid w:val="00491B3A"/>
    <w:rsid w:val="004923FD"/>
    <w:rsid w:val="00492452"/>
    <w:rsid w:val="004924D3"/>
    <w:rsid w:val="0049254E"/>
    <w:rsid w:val="00492A06"/>
    <w:rsid w:val="00492CFD"/>
    <w:rsid w:val="004930FF"/>
    <w:rsid w:val="00493591"/>
    <w:rsid w:val="00493759"/>
    <w:rsid w:val="00493ABC"/>
    <w:rsid w:val="00494115"/>
    <w:rsid w:val="00494207"/>
    <w:rsid w:val="0049436A"/>
    <w:rsid w:val="00494589"/>
    <w:rsid w:val="00494DD5"/>
    <w:rsid w:val="004952FC"/>
    <w:rsid w:val="0049546B"/>
    <w:rsid w:val="00495C64"/>
    <w:rsid w:val="004962D2"/>
    <w:rsid w:val="00496396"/>
    <w:rsid w:val="004965EA"/>
    <w:rsid w:val="00496C65"/>
    <w:rsid w:val="0049740F"/>
    <w:rsid w:val="00497550"/>
    <w:rsid w:val="00497572"/>
    <w:rsid w:val="0049792C"/>
    <w:rsid w:val="004A0196"/>
    <w:rsid w:val="004A03F4"/>
    <w:rsid w:val="004A0DA1"/>
    <w:rsid w:val="004A0DC6"/>
    <w:rsid w:val="004A101F"/>
    <w:rsid w:val="004A13D6"/>
    <w:rsid w:val="004A15F7"/>
    <w:rsid w:val="004A169C"/>
    <w:rsid w:val="004A280D"/>
    <w:rsid w:val="004A3712"/>
    <w:rsid w:val="004A3B62"/>
    <w:rsid w:val="004A409E"/>
    <w:rsid w:val="004A4660"/>
    <w:rsid w:val="004A47C9"/>
    <w:rsid w:val="004A49FC"/>
    <w:rsid w:val="004A4B6C"/>
    <w:rsid w:val="004A512D"/>
    <w:rsid w:val="004A5296"/>
    <w:rsid w:val="004A52E9"/>
    <w:rsid w:val="004A5ADA"/>
    <w:rsid w:val="004A5C2A"/>
    <w:rsid w:val="004A6040"/>
    <w:rsid w:val="004A6597"/>
    <w:rsid w:val="004A6A8A"/>
    <w:rsid w:val="004A6B3D"/>
    <w:rsid w:val="004A6F44"/>
    <w:rsid w:val="004A6F97"/>
    <w:rsid w:val="004A7047"/>
    <w:rsid w:val="004A7121"/>
    <w:rsid w:val="004A7557"/>
    <w:rsid w:val="004A7848"/>
    <w:rsid w:val="004A793B"/>
    <w:rsid w:val="004B00D6"/>
    <w:rsid w:val="004B0583"/>
    <w:rsid w:val="004B07B3"/>
    <w:rsid w:val="004B07C2"/>
    <w:rsid w:val="004B0A34"/>
    <w:rsid w:val="004B0B1A"/>
    <w:rsid w:val="004B0C51"/>
    <w:rsid w:val="004B0C60"/>
    <w:rsid w:val="004B11B3"/>
    <w:rsid w:val="004B11BB"/>
    <w:rsid w:val="004B1A6D"/>
    <w:rsid w:val="004B1C48"/>
    <w:rsid w:val="004B1CB4"/>
    <w:rsid w:val="004B1D4C"/>
    <w:rsid w:val="004B1F24"/>
    <w:rsid w:val="004B2927"/>
    <w:rsid w:val="004B2D6D"/>
    <w:rsid w:val="004B2E8E"/>
    <w:rsid w:val="004B2F18"/>
    <w:rsid w:val="004B2F4B"/>
    <w:rsid w:val="004B37AB"/>
    <w:rsid w:val="004B39E6"/>
    <w:rsid w:val="004B3BD6"/>
    <w:rsid w:val="004B3DBD"/>
    <w:rsid w:val="004B3DDB"/>
    <w:rsid w:val="004B431A"/>
    <w:rsid w:val="004B44FD"/>
    <w:rsid w:val="004B4528"/>
    <w:rsid w:val="004B48DF"/>
    <w:rsid w:val="004B4D75"/>
    <w:rsid w:val="004B5837"/>
    <w:rsid w:val="004B5878"/>
    <w:rsid w:val="004B5BB3"/>
    <w:rsid w:val="004B5CFC"/>
    <w:rsid w:val="004B64F3"/>
    <w:rsid w:val="004B6886"/>
    <w:rsid w:val="004B6E8B"/>
    <w:rsid w:val="004B6F79"/>
    <w:rsid w:val="004B6FA2"/>
    <w:rsid w:val="004B774D"/>
    <w:rsid w:val="004B7A7C"/>
    <w:rsid w:val="004C0787"/>
    <w:rsid w:val="004C0F46"/>
    <w:rsid w:val="004C0F6B"/>
    <w:rsid w:val="004C194F"/>
    <w:rsid w:val="004C1B98"/>
    <w:rsid w:val="004C22FB"/>
    <w:rsid w:val="004C24EA"/>
    <w:rsid w:val="004C2AC2"/>
    <w:rsid w:val="004C2AE8"/>
    <w:rsid w:val="004C3E76"/>
    <w:rsid w:val="004C4181"/>
    <w:rsid w:val="004C4AED"/>
    <w:rsid w:val="004C4CE9"/>
    <w:rsid w:val="004C4F49"/>
    <w:rsid w:val="004C659D"/>
    <w:rsid w:val="004C6A9F"/>
    <w:rsid w:val="004C71F4"/>
    <w:rsid w:val="004C751C"/>
    <w:rsid w:val="004C758A"/>
    <w:rsid w:val="004C78B4"/>
    <w:rsid w:val="004C78C0"/>
    <w:rsid w:val="004C7F6D"/>
    <w:rsid w:val="004C7FBC"/>
    <w:rsid w:val="004D05C2"/>
    <w:rsid w:val="004D06B3"/>
    <w:rsid w:val="004D0A95"/>
    <w:rsid w:val="004D0B96"/>
    <w:rsid w:val="004D0D52"/>
    <w:rsid w:val="004D0E24"/>
    <w:rsid w:val="004D1256"/>
    <w:rsid w:val="004D1CDF"/>
    <w:rsid w:val="004D218E"/>
    <w:rsid w:val="004D25F6"/>
    <w:rsid w:val="004D2BD9"/>
    <w:rsid w:val="004D2C2D"/>
    <w:rsid w:val="004D2DBE"/>
    <w:rsid w:val="004D373D"/>
    <w:rsid w:val="004D4267"/>
    <w:rsid w:val="004D42AD"/>
    <w:rsid w:val="004D476C"/>
    <w:rsid w:val="004D4A32"/>
    <w:rsid w:val="004D4B2C"/>
    <w:rsid w:val="004D4D81"/>
    <w:rsid w:val="004D4E58"/>
    <w:rsid w:val="004D5444"/>
    <w:rsid w:val="004D59A6"/>
    <w:rsid w:val="004D65A3"/>
    <w:rsid w:val="004D69B5"/>
    <w:rsid w:val="004D7062"/>
    <w:rsid w:val="004D7227"/>
    <w:rsid w:val="004D7995"/>
    <w:rsid w:val="004D7B5E"/>
    <w:rsid w:val="004D7E44"/>
    <w:rsid w:val="004E03F5"/>
    <w:rsid w:val="004E06D8"/>
    <w:rsid w:val="004E0E32"/>
    <w:rsid w:val="004E0E7F"/>
    <w:rsid w:val="004E0EB8"/>
    <w:rsid w:val="004E1136"/>
    <w:rsid w:val="004E1314"/>
    <w:rsid w:val="004E18E9"/>
    <w:rsid w:val="004E1983"/>
    <w:rsid w:val="004E1A1B"/>
    <w:rsid w:val="004E1A4E"/>
    <w:rsid w:val="004E2ADC"/>
    <w:rsid w:val="004E2C97"/>
    <w:rsid w:val="004E3786"/>
    <w:rsid w:val="004E3F51"/>
    <w:rsid w:val="004E423A"/>
    <w:rsid w:val="004E43B2"/>
    <w:rsid w:val="004E469F"/>
    <w:rsid w:val="004E4C01"/>
    <w:rsid w:val="004E4EC4"/>
    <w:rsid w:val="004E5202"/>
    <w:rsid w:val="004E6386"/>
    <w:rsid w:val="004E639F"/>
    <w:rsid w:val="004E675A"/>
    <w:rsid w:val="004E68CB"/>
    <w:rsid w:val="004E6C6C"/>
    <w:rsid w:val="004E6D94"/>
    <w:rsid w:val="004E6DD7"/>
    <w:rsid w:val="004E6E17"/>
    <w:rsid w:val="004E71E1"/>
    <w:rsid w:val="004E77A7"/>
    <w:rsid w:val="004E78BD"/>
    <w:rsid w:val="004E7FE6"/>
    <w:rsid w:val="004F04D1"/>
    <w:rsid w:val="004F05A4"/>
    <w:rsid w:val="004F0733"/>
    <w:rsid w:val="004F0BEC"/>
    <w:rsid w:val="004F0FCA"/>
    <w:rsid w:val="004F12B6"/>
    <w:rsid w:val="004F1335"/>
    <w:rsid w:val="004F13EE"/>
    <w:rsid w:val="004F1D02"/>
    <w:rsid w:val="004F2679"/>
    <w:rsid w:val="004F290B"/>
    <w:rsid w:val="004F2E64"/>
    <w:rsid w:val="004F2F21"/>
    <w:rsid w:val="004F3023"/>
    <w:rsid w:val="004F33C3"/>
    <w:rsid w:val="004F3DE5"/>
    <w:rsid w:val="004F41C4"/>
    <w:rsid w:val="004F41F5"/>
    <w:rsid w:val="004F43E0"/>
    <w:rsid w:val="004F4D87"/>
    <w:rsid w:val="004F58A1"/>
    <w:rsid w:val="004F5AEB"/>
    <w:rsid w:val="004F5B1B"/>
    <w:rsid w:val="004F5E28"/>
    <w:rsid w:val="004F5F40"/>
    <w:rsid w:val="004F5FE2"/>
    <w:rsid w:val="004F6221"/>
    <w:rsid w:val="004F6229"/>
    <w:rsid w:val="004F6913"/>
    <w:rsid w:val="004F6E6F"/>
    <w:rsid w:val="004F7602"/>
    <w:rsid w:val="004F7865"/>
    <w:rsid w:val="005001FC"/>
    <w:rsid w:val="00500AD8"/>
    <w:rsid w:val="005010F9"/>
    <w:rsid w:val="0050174E"/>
    <w:rsid w:val="00501854"/>
    <w:rsid w:val="00501A5E"/>
    <w:rsid w:val="0050203F"/>
    <w:rsid w:val="0050219B"/>
    <w:rsid w:val="00502B98"/>
    <w:rsid w:val="00502D99"/>
    <w:rsid w:val="00502DE4"/>
    <w:rsid w:val="005036D9"/>
    <w:rsid w:val="005037C0"/>
    <w:rsid w:val="00503F17"/>
    <w:rsid w:val="00503F3A"/>
    <w:rsid w:val="00504431"/>
    <w:rsid w:val="00504B2A"/>
    <w:rsid w:val="00505176"/>
    <w:rsid w:val="0050611D"/>
    <w:rsid w:val="00506176"/>
    <w:rsid w:val="0050633E"/>
    <w:rsid w:val="005063E1"/>
    <w:rsid w:val="00506928"/>
    <w:rsid w:val="00506A05"/>
    <w:rsid w:val="00506AD5"/>
    <w:rsid w:val="00506DC2"/>
    <w:rsid w:val="00506DDC"/>
    <w:rsid w:val="00506E4C"/>
    <w:rsid w:val="00506F42"/>
    <w:rsid w:val="00507067"/>
    <w:rsid w:val="0050713F"/>
    <w:rsid w:val="00507274"/>
    <w:rsid w:val="005077EF"/>
    <w:rsid w:val="00507DEB"/>
    <w:rsid w:val="00507E33"/>
    <w:rsid w:val="00510036"/>
    <w:rsid w:val="005104E3"/>
    <w:rsid w:val="00510B6A"/>
    <w:rsid w:val="00510CB5"/>
    <w:rsid w:val="00510D5C"/>
    <w:rsid w:val="005119FC"/>
    <w:rsid w:val="00511AD5"/>
    <w:rsid w:val="00511B94"/>
    <w:rsid w:val="00511CC0"/>
    <w:rsid w:val="00511DC7"/>
    <w:rsid w:val="00511E26"/>
    <w:rsid w:val="005126B5"/>
    <w:rsid w:val="00512931"/>
    <w:rsid w:val="00512E4D"/>
    <w:rsid w:val="00512E75"/>
    <w:rsid w:val="00512E85"/>
    <w:rsid w:val="00512EE8"/>
    <w:rsid w:val="00513079"/>
    <w:rsid w:val="00513239"/>
    <w:rsid w:val="0051351A"/>
    <w:rsid w:val="00513599"/>
    <w:rsid w:val="00513857"/>
    <w:rsid w:val="0051386E"/>
    <w:rsid w:val="00513D48"/>
    <w:rsid w:val="005142C5"/>
    <w:rsid w:val="00514EE8"/>
    <w:rsid w:val="0051501B"/>
    <w:rsid w:val="00515032"/>
    <w:rsid w:val="0051510F"/>
    <w:rsid w:val="005152B5"/>
    <w:rsid w:val="00515886"/>
    <w:rsid w:val="0051624C"/>
    <w:rsid w:val="00516D6E"/>
    <w:rsid w:val="0051757F"/>
    <w:rsid w:val="005177FC"/>
    <w:rsid w:val="00517AAC"/>
    <w:rsid w:val="00520368"/>
    <w:rsid w:val="0052088E"/>
    <w:rsid w:val="00521054"/>
    <w:rsid w:val="0052123C"/>
    <w:rsid w:val="00521319"/>
    <w:rsid w:val="0052155B"/>
    <w:rsid w:val="00522B06"/>
    <w:rsid w:val="00522BC8"/>
    <w:rsid w:val="005232D1"/>
    <w:rsid w:val="00523C28"/>
    <w:rsid w:val="00524061"/>
    <w:rsid w:val="0052426D"/>
    <w:rsid w:val="005251FD"/>
    <w:rsid w:val="0052566B"/>
    <w:rsid w:val="00525C84"/>
    <w:rsid w:val="005265CF"/>
    <w:rsid w:val="0052689A"/>
    <w:rsid w:val="00526D2A"/>
    <w:rsid w:val="00526D9D"/>
    <w:rsid w:val="00526E22"/>
    <w:rsid w:val="005272CB"/>
    <w:rsid w:val="0052744A"/>
    <w:rsid w:val="00527A02"/>
    <w:rsid w:val="00527CDA"/>
    <w:rsid w:val="00527F1B"/>
    <w:rsid w:val="0053144B"/>
    <w:rsid w:val="0053176B"/>
    <w:rsid w:val="00532A26"/>
    <w:rsid w:val="005334AF"/>
    <w:rsid w:val="005337EE"/>
    <w:rsid w:val="005341B3"/>
    <w:rsid w:val="0053442E"/>
    <w:rsid w:val="005346F0"/>
    <w:rsid w:val="00534A6A"/>
    <w:rsid w:val="00534B16"/>
    <w:rsid w:val="00534BD3"/>
    <w:rsid w:val="00534C81"/>
    <w:rsid w:val="00534CB9"/>
    <w:rsid w:val="00535244"/>
    <w:rsid w:val="005359B7"/>
    <w:rsid w:val="0053646A"/>
    <w:rsid w:val="00536C1B"/>
    <w:rsid w:val="00536DED"/>
    <w:rsid w:val="00536F42"/>
    <w:rsid w:val="00537182"/>
    <w:rsid w:val="005373DC"/>
    <w:rsid w:val="00537651"/>
    <w:rsid w:val="0053778F"/>
    <w:rsid w:val="005377AF"/>
    <w:rsid w:val="005377E6"/>
    <w:rsid w:val="00537858"/>
    <w:rsid w:val="00537C4D"/>
    <w:rsid w:val="00537EEB"/>
    <w:rsid w:val="00540CFE"/>
    <w:rsid w:val="00541870"/>
    <w:rsid w:val="00541EDD"/>
    <w:rsid w:val="00542128"/>
    <w:rsid w:val="00542743"/>
    <w:rsid w:val="00542C2D"/>
    <w:rsid w:val="00542C6C"/>
    <w:rsid w:val="00542DE1"/>
    <w:rsid w:val="00543081"/>
    <w:rsid w:val="00543285"/>
    <w:rsid w:val="005440AE"/>
    <w:rsid w:val="0054467B"/>
    <w:rsid w:val="00544C8E"/>
    <w:rsid w:val="00544DA7"/>
    <w:rsid w:val="00545535"/>
    <w:rsid w:val="00545649"/>
    <w:rsid w:val="00546357"/>
    <w:rsid w:val="005468E3"/>
    <w:rsid w:val="00546DE7"/>
    <w:rsid w:val="00547470"/>
    <w:rsid w:val="005476E8"/>
    <w:rsid w:val="005478BD"/>
    <w:rsid w:val="00547993"/>
    <w:rsid w:val="005479E3"/>
    <w:rsid w:val="00550AA6"/>
    <w:rsid w:val="00551985"/>
    <w:rsid w:val="00551A97"/>
    <w:rsid w:val="00552A2D"/>
    <w:rsid w:val="00552BD3"/>
    <w:rsid w:val="005532A0"/>
    <w:rsid w:val="005536AE"/>
    <w:rsid w:val="00553895"/>
    <w:rsid w:val="00553B19"/>
    <w:rsid w:val="00554058"/>
    <w:rsid w:val="00554A9C"/>
    <w:rsid w:val="00555109"/>
    <w:rsid w:val="005551D7"/>
    <w:rsid w:val="005555A0"/>
    <w:rsid w:val="00555A1E"/>
    <w:rsid w:val="005561EC"/>
    <w:rsid w:val="00556658"/>
    <w:rsid w:val="00556B35"/>
    <w:rsid w:val="0055741A"/>
    <w:rsid w:val="00560C47"/>
    <w:rsid w:val="00561121"/>
    <w:rsid w:val="005611B7"/>
    <w:rsid w:val="005616B4"/>
    <w:rsid w:val="005618D4"/>
    <w:rsid w:val="00561928"/>
    <w:rsid w:val="005621BD"/>
    <w:rsid w:val="00562519"/>
    <w:rsid w:val="005627F1"/>
    <w:rsid w:val="00562C8B"/>
    <w:rsid w:val="0056315E"/>
    <w:rsid w:val="005632EA"/>
    <w:rsid w:val="00563B4A"/>
    <w:rsid w:val="00563F40"/>
    <w:rsid w:val="0056468F"/>
    <w:rsid w:val="00564732"/>
    <w:rsid w:val="00564867"/>
    <w:rsid w:val="00564AE3"/>
    <w:rsid w:val="00564EAE"/>
    <w:rsid w:val="00565285"/>
    <w:rsid w:val="0056559D"/>
    <w:rsid w:val="0056586C"/>
    <w:rsid w:val="00565C79"/>
    <w:rsid w:val="00565CE7"/>
    <w:rsid w:val="00565DF0"/>
    <w:rsid w:val="0056640B"/>
    <w:rsid w:val="0056696F"/>
    <w:rsid w:val="00567116"/>
    <w:rsid w:val="0056773F"/>
    <w:rsid w:val="00567A3E"/>
    <w:rsid w:val="00567B72"/>
    <w:rsid w:val="00567E00"/>
    <w:rsid w:val="0057001E"/>
    <w:rsid w:val="0057084F"/>
    <w:rsid w:val="00570CBC"/>
    <w:rsid w:val="00571017"/>
    <w:rsid w:val="00571458"/>
    <w:rsid w:val="00571FA1"/>
    <w:rsid w:val="00572131"/>
    <w:rsid w:val="00572269"/>
    <w:rsid w:val="0057244A"/>
    <w:rsid w:val="00572905"/>
    <w:rsid w:val="00572F26"/>
    <w:rsid w:val="005734A5"/>
    <w:rsid w:val="00574278"/>
    <w:rsid w:val="00574372"/>
    <w:rsid w:val="0057437F"/>
    <w:rsid w:val="00574414"/>
    <w:rsid w:val="0057454F"/>
    <w:rsid w:val="00574858"/>
    <w:rsid w:val="00574975"/>
    <w:rsid w:val="00574AD8"/>
    <w:rsid w:val="00575063"/>
    <w:rsid w:val="005750C5"/>
    <w:rsid w:val="005752C5"/>
    <w:rsid w:val="005752DE"/>
    <w:rsid w:val="0057563D"/>
    <w:rsid w:val="00575751"/>
    <w:rsid w:val="00575D60"/>
    <w:rsid w:val="00575D8D"/>
    <w:rsid w:val="00576972"/>
    <w:rsid w:val="00576E19"/>
    <w:rsid w:val="00577248"/>
    <w:rsid w:val="00577949"/>
    <w:rsid w:val="00577F75"/>
    <w:rsid w:val="00581124"/>
    <w:rsid w:val="005823C9"/>
    <w:rsid w:val="00583109"/>
    <w:rsid w:val="005832DD"/>
    <w:rsid w:val="00583699"/>
    <w:rsid w:val="00583956"/>
    <w:rsid w:val="00583D19"/>
    <w:rsid w:val="00583EC6"/>
    <w:rsid w:val="0058470B"/>
    <w:rsid w:val="005847A4"/>
    <w:rsid w:val="00585515"/>
    <w:rsid w:val="005856C0"/>
    <w:rsid w:val="00585C12"/>
    <w:rsid w:val="00585CDD"/>
    <w:rsid w:val="005863F8"/>
    <w:rsid w:val="0058677C"/>
    <w:rsid w:val="00587058"/>
    <w:rsid w:val="005870E9"/>
    <w:rsid w:val="0058738A"/>
    <w:rsid w:val="0058778B"/>
    <w:rsid w:val="00590AA1"/>
    <w:rsid w:val="00591334"/>
    <w:rsid w:val="0059176A"/>
    <w:rsid w:val="00591957"/>
    <w:rsid w:val="00591A4F"/>
    <w:rsid w:val="00591FB4"/>
    <w:rsid w:val="00592DBD"/>
    <w:rsid w:val="005931BD"/>
    <w:rsid w:val="005935F4"/>
    <w:rsid w:val="0059376C"/>
    <w:rsid w:val="0059411B"/>
    <w:rsid w:val="00594558"/>
    <w:rsid w:val="00594873"/>
    <w:rsid w:val="00594CF1"/>
    <w:rsid w:val="0059501E"/>
    <w:rsid w:val="0059540C"/>
    <w:rsid w:val="00595467"/>
    <w:rsid w:val="005956ED"/>
    <w:rsid w:val="005958DF"/>
    <w:rsid w:val="0059615D"/>
    <w:rsid w:val="005967AF"/>
    <w:rsid w:val="0059693C"/>
    <w:rsid w:val="00597BF9"/>
    <w:rsid w:val="00597CA7"/>
    <w:rsid w:val="005A0115"/>
    <w:rsid w:val="005A0149"/>
    <w:rsid w:val="005A0969"/>
    <w:rsid w:val="005A0C11"/>
    <w:rsid w:val="005A0CD6"/>
    <w:rsid w:val="005A1C77"/>
    <w:rsid w:val="005A2455"/>
    <w:rsid w:val="005A2DEF"/>
    <w:rsid w:val="005A2E40"/>
    <w:rsid w:val="005A309A"/>
    <w:rsid w:val="005A3737"/>
    <w:rsid w:val="005A373D"/>
    <w:rsid w:val="005A42A3"/>
    <w:rsid w:val="005A4360"/>
    <w:rsid w:val="005A49B3"/>
    <w:rsid w:val="005A4C8F"/>
    <w:rsid w:val="005A4FAD"/>
    <w:rsid w:val="005A500F"/>
    <w:rsid w:val="005A5261"/>
    <w:rsid w:val="005A552A"/>
    <w:rsid w:val="005A5A81"/>
    <w:rsid w:val="005A5DD9"/>
    <w:rsid w:val="005A619E"/>
    <w:rsid w:val="005A6563"/>
    <w:rsid w:val="005A76B8"/>
    <w:rsid w:val="005A7CCC"/>
    <w:rsid w:val="005B0AA5"/>
    <w:rsid w:val="005B0B1D"/>
    <w:rsid w:val="005B0B58"/>
    <w:rsid w:val="005B0C0D"/>
    <w:rsid w:val="005B0ED7"/>
    <w:rsid w:val="005B18E1"/>
    <w:rsid w:val="005B23CA"/>
    <w:rsid w:val="005B27FE"/>
    <w:rsid w:val="005B2998"/>
    <w:rsid w:val="005B33BA"/>
    <w:rsid w:val="005B3503"/>
    <w:rsid w:val="005B38A9"/>
    <w:rsid w:val="005B3D7F"/>
    <w:rsid w:val="005B4A88"/>
    <w:rsid w:val="005B4D37"/>
    <w:rsid w:val="005B4E53"/>
    <w:rsid w:val="005B50A9"/>
    <w:rsid w:val="005B54AC"/>
    <w:rsid w:val="005B579B"/>
    <w:rsid w:val="005B5857"/>
    <w:rsid w:val="005B5890"/>
    <w:rsid w:val="005B6888"/>
    <w:rsid w:val="005C0257"/>
    <w:rsid w:val="005C1195"/>
    <w:rsid w:val="005C126B"/>
    <w:rsid w:val="005C1346"/>
    <w:rsid w:val="005C1782"/>
    <w:rsid w:val="005C1909"/>
    <w:rsid w:val="005C19C4"/>
    <w:rsid w:val="005C1B83"/>
    <w:rsid w:val="005C2236"/>
    <w:rsid w:val="005C2547"/>
    <w:rsid w:val="005C25FF"/>
    <w:rsid w:val="005C2D55"/>
    <w:rsid w:val="005C330C"/>
    <w:rsid w:val="005C33B4"/>
    <w:rsid w:val="005C346B"/>
    <w:rsid w:val="005C5403"/>
    <w:rsid w:val="005C5527"/>
    <w:rsid w:val="005C5ABC"/>
    <w:rsid w:val="005C5C3A"/>
    <w:rsid w:val="005C5D78"/>
    <w:rsid w:val="005C6B80"/>
    <w:rsid w:val="005C6DFA"/>
    <w:rsid w:val="005C7A07"/>
    <w:rsid w:val="005C7C0F"/>
    <w:rsid w:val="005C7D2A"/>
    <w:rsid w:val="005D0338"/>
    <w:rsid w:val="005D03C5"/>
    <w:rsid w:val="005D044D"/>
    <w:rsid w:val="005D0A31"/>
    <w:rsid w:val="005D0ABD"/>
    <w:rsid w:val="005D141A"/>
    <w:rsid w:val="005D15F6"/>
    <w:rsid w:val="005D1669"/>
    <w:rsid w:val="005D18AD"/>
    <w:rsid w:val="005D1BB3"/>
    <w:rsid w:val="005D1BD2"/>
    <w:rsid w:val="005D21C2"/>
    <w:rsid w:val="005D26B4"/>
    <w:rsid w:val="005D2F0D"/>
    <w:rsid w:val="005D30B6"/>
    <w:rsid w:val="005D31E0"/>
    <w:rsid w:val="005D338A"/>
    <w:rsid w:val="005D35F2"/>
    <w:rsid w:val="005D3795"/>
    <w:rsid w:val="005D3BA1"/>
    <w:rsid w:val="005D3FE2"/>
    <w:rsid w:val="005D411A"/>
    <w:rsid w:val="005D46B0"/>
    <w:rsid w:val="005D4D66"/>
    <w:rsid w:val="005D4E3D"/>
    <w:rsid w:val="005D4F69"/>
    <w:rsid w:val="005D5763"/>
    <w:rsid w:val="005D6089"/>
    <w:rsid w:val="005D75D1"/>
    <w:rsid w:val="005D7B2B"/>
    <w:rsid w:val="005D7D22"/>
    <w:rsid w:val="005D7D8B"/>
    <w:rsid w:val="005E07C9"/>
    <w:rsid w:val="005E0C18"/>
    <w:rsid w:val="005E1835"/>
    <w:rsid w:val="005E1995"/>
    <w:rsid w:val="005E1D3F"/>
    <w:rsid w:val="005E2979"/>
    <w:rsid w:val="005E2C39"/>
    <w:rsid w:val="005E371C"/>
    <w:rsid w:val="005E4300"/>
    <w:rsid w:val="005E48A4"/>
    <w:rsid w:val="005E4E59"/>
    <w:rsid w:val="005E4F03"/>
    <w:rsid w:val="005E4FBD"/>
    <w:rsid w:val="005E512B"/>
    <w:rsid w:val="005E5C0E"/>
    <w:rsid w:val="005E5EC5"/>
    <w:rsid w:val="005E600F"/>
    <w:rsid w:val="005E6A25"/>
    <w:rsid w:val="005E6A4A"/>
    <w:rsid w:val="005E6CBC"/>
    <w:rsid w:val="005E72FF"/>
    <w:rsid w:val="005E73C0"/>
    <w:rsid w:val="005F07ED"/>
    <w:rsid w:val="005F08C6"/>
    <w:rsid w:val="005F0E0B"/>
    <w:rsid w:val="005F1386"/>
    <w:rsid w:val="005F1528"/>
    <w:rsid w:val="005F1EB5"/>
    <w:rsid w:val="005F2706"/>
    <w:rsid w:val="005F2EDA"/>
    <w:rsid w:val="005F349D"/>
    <w:rsid w:val="005F3C43"/>
    <w:rsid w:val="005F420D"/>
    <w:rsid w:val="005F4782"/>
    <w:rsid w:val="005F5DB7"/>
    <w:rsid w:val="005F5F69"/>
    <w:rsid w:val="005F66AE"/>
    <w:rsid w:val="005F6A8F"/>
    <w:rsid w:val="005F6BB7"/>
    <w:rsid w:val="005F6F0D"/>
    <w:rsid w:val="005F7588"/>
    <w:rsid w:val="005F7BD4"/>
    <w:rsid w:val="006004AA"/>
    <w:rsid w:val="006005A0"/>
    <w:rsid w:val="00600A90"/>
    <w:rsid w:val="006014A6"/>
    <w:rsid w:val="00602D94"/>
    <w:rsid w:val="00603078"/>
    <w:rsid w:val="00603101"/>
    <w:rsid w:val="006034E9"/>
    <w:rsid w:val="00603A98"/>
    <w:rsid w:val="00603C69"/>
    <w:rsid w:val="00603DB9"/>
    <w:rsid w:val="006040EA"/>
    <w:rsid w:val="00604533"/>
    <w:rsid w:val="00604ABB"/>
    <w:rsid w:val="0060551B"/>
    <w:rsid w:val="00605867"/>
    <w:rsid w:val="00605A50"/>
    <w:rsid w:val="006062CD"/>
    <w:rsid w:val="00606889"/>
    <w:rsid w:val="00606FBA"/>
    <w:rsid w:val="006070C0"/>
    <w:rsid w:val="00607266"/>
    <w:rsid w:val="00607336"/>
    <w:rsid w:val="00607669"/>
    <w:rsid w:val="006076F4"/>
    <w:rsid w:val="006077EA"/>
    <w:rsid w:val="00607AFD"/>
    <w:rsid w:val="00607FA1"/>
    <w:rsid w:val="00610161"/>
    <w:rsid w:val="00610265"/>
    <w:rsid w:val="00611B12"/>
    <w:rsid w:val="00611B1B"/>
    <w:rsid w:val="00612633"/>
    <w:rsid w:val="00612E5D"/>
    <w:rsid w:val="00612F97"/>
    <w:rsid w:val="0061345D"/>
    <w:rsid w:val="006141BA"/>
    <w:rsid w:val="0061478C"/>
    <w:rsid w:val="00614C50"/>
    <w:rsid w:val="0061549B"/>
    <w:rsid w:val="00616802"/>
    <w:rsid w:val="00617C94"/>
    <w:rsid w:val="00617E12"/>
    <w:rsid w:val="0062043A"/>
    <w:rsid w:val="0062068E"/>
    <w:rsid w:val="00620728"/>
    <w:rsid w:val="00620AA3"/>
    <w:rsid w:val="00620C25"/>
    <w:rsid w:val="00620F0A"/>
    <w:rsid w:val="00620FA6"/>
    <w:rsid w:val="00621477"/>
    <w:rsid w:val="00621ADA"/>
    <w:rsid w:val="00621CD7"/>
    <w:rsid w:val="00623707"/>
    <w:rsid w:val="00623708"/>
    <w:rsid w:val="00623F7B"/>
    <w:rsid w:val="006248FD"/>
    <w:rsid w:val="00624BD4"/>
    <w:rsid w:val="00624DCA"/>
    <w:rsid w:val="00624FD7"/>
    <w:rsid w:val="006254D3"/>
    <w:rsid w:val="00625695"/>
    <w:rsid w:val="006256A4"/>
    <w:rsid w:val="00626153"/>
    <w:rsid w:val="006265F4"/>
    <w:rsid w:val="00626624"/>
    <w:rsid w:val="00626BDB"/>
    <w:rsid w:val="00627591"/>
    <w:rsid w:val="006278DE"/>
    <w:rsid w:val="00627C7A"/>
    <w:rsid w:val="00627FD7"/>
    <w:rsid w:val="006300BF"/>
    <w:rsid w:val="00630297"/>
    <w:rsid w:val="006308CB"/>
    <w:rsid w:val="006313F7"/>
    <w:rsid w:val="0063158F"/>
    <w:rsid w:val="006318EC"/>
    <w:rsid w:val="00631D6B"/>
    <w:rsid w:val="00631F61"/>
    <w:rsid w:val="00632183"/>
    <w:rsid w:val="00632BD7"/>
    <w:rsid w:val="00632FE9"/>
    <w:rsid w:val="006330A1"/>
    <w:rsid w:val="006333EC"/>
    <w:rsid w:val="00633B63"/>
    <w:rsid w:val="0063426C"/>
    <w:rsid w:val="00634757"/>
    <w:rsid w:val="0063479F"/>
    <w:rsid w:val="00634954"/>
    <w:rsid w:val="00634CB2"/>
    <w:rsid w:val="006353F0"/>
    <w:rsid w:val="006357B5"/>
    <w:rsid w:val="00635DDC"/>
    <w:rsid w:val="0063634A"/>
    <w:rsid w:val="006363D0"/>
    <w:rsid w:val="006364A1"/>
    <w:rsid w:val="0063678E"/>
    <w:rsid w:val="00637298"/>
    <w:rsid w:val="006375C6"/>
    <w:rsid w:val="00637A3E"/>
    <w:rsid w:val="00637BFD"/>
    <w:rsid w:val="00637C5C"/>
    <w:rsid w:val="006400A3"/>
    <w:rsid w:val="00640183"/>
    <w:rsid w:val="00641C4E"/>
    <w:rsid w:val="00641C80"/>
    <w:rsid w:val="00641CB0"/>
    <w:rsid w:val="00641FB3"/>
    <w:rsid w:val="006420A3"/>
    <w:rsid w:val="00642481"/>
    <w:rsid w:val="00642844"/>
    <w:rsid w:val="00642F13"/>
    <w:rsid w:val="00643C9E"/>
    <w:rsid w:val="0064434C"/>
    <w:rsid w:val="00644B4F"/>
    <w:rsid w:val="00646859"/>
    <w:rsid w:val="006471CC"/>
    <w:rsid w:val="006472FE"/>
    <w:rsid w:val="006473CF"/>
    <w:rsid w:val="00647452"/>
    <w:rsid w:val="00647A29"/>
    <w:rsid w:val="00650295"/>
    <w:rsid w:val="0065078B"/>
    <w:rsid w:val="0065079F"/>
    <w:rsid w:val="00650B1D"/>
    <w:rsid w:val="0065125C"/>
    <w:rsid w:val="00651347"/>
    <w:rsid w:val="006514EA"/>
    <w:rsid w:val="0065175B"/>
    <w:rsid w:val="00651879"/>
    <w:rsid w:val="00651B77"/>
    <w:rsid w:val="00651E11"/>
    <w:rsid w:val="00651E60"/>
    <w:rsid w:val="00652A28"/>
    <w:rsid w:val="00652C3B"/>
    <w:rsid w:val="00652D3B"/>
    <w:rsid w:val="0065352B"/>
    <w:rsid w:val="0065379F"/>
    <w:rsid w:val="006538D9"/>
    <w:rsid w:val="006544A4"/>
    <w:rsid w:val="006555B0"/>
    <w:rsid w:val="00655635"/>
    <w:rsid w:val="00655D29"/>
    <w:rsid w:val="00656188"/>
    <w:rsid w:val="0065715A"/>
    <w:rsid w:val="006571CB"/>
    <w:rsid w:val="00657211"/>
    <w:rsid w:val="006572FC"/>
    <w:rsid w:val="00657791"/>
    <w:rsid w:val="006578B7"/>
    <w:rsid w:val="00657B93"/>
    <w:rsid w:val="00660113"/>
    <w:rsid w:val="006606CA"/>
    <w:rsid w:val="006610F1"/>
    <w:rsid w:val="0066181F"/>
    <w:rsid w:val="00661AEF"/>
    <w:rsid w:val="00661C6B"/>
    <w:rsid w:val="00661F89"/>
    <w:rsid w:val="006628E5"/>
    <w:rsid w:val="00662C13"/>
    <w:rsid w:val="00662D3E"/>
    <w:rsid w:val="00662DA4"/>
    <w:rsid w:val="00662EAE"/>
    <w:rsid w:val="006630F5"/>
    <w:rsid w:val="006635A8"/>
    <w:rsid w:val="00663A04"/>
    <w:rsid w:val="00663E4A"/>
    <w:rsid w:val="00664167"/>
    <w:rsid w:val="006641D1"/>
    <w:rsid w:val="0066427A"/>
    <w:rsid w:val="0066434D"/>
    <w:rsid w:val="0066435F"/>
    <w:rsid w:val="0066469D"/>
    <w:rsid w:val="00664757"/>
    <w:rsid w:val="00665067"/>
    <w:rsid w:val="006652F2"/>
    <w:rsid w:val="00665786"/>
    <w:rsid w:val="00666253"/>
    <w:rsid w:val="00666409"/>
    <w:rsid w:val="00666562"/>
    <w:rsid w:val="006672E9"/>
    <w:rsid w:val="00667A8B"/>
    <w:rsid w:val="00667BE3"/>
    <w:rsid w:val="00667CB4"/>
    <w:rsid w:val="00667D5B"/>
    <w:rsid w:val="00670990"/>
    <w:rsid w:val="00670AFC"/>
    <w:rsid w:val="00670B16"/>
    <w:rsid w:val="00671004"/>
    <w:rsid w:val="006710C4"/>
    <w:rsid w:val="006710D2"/>
    <w:rsid w:val="0067167D"/>
    <w:rsid w:val="006717BC"/>
    <w:rsid w:val="00671B99"/>
    <w:rsid w:val="00671BF2"/>
    <w:rsid w:val="00672357"/>
    <w:rsid w:val="00672646"/>
    <w:rsid w:val="00672C53"/>
    <w:rsid w:val="006742B6"/>
    <w:rsid w:val="006748C5"/>
    <w:rsid w:val="00674CE1"/>
    <w:rsid w:val="00674E35"/>
    <w:rsid w:val="00674E42"/>
    <w:rsid w:val="00675160"/>
    <w:rsid w:val="006754B1"/>
    <w:rsid w:val="0067582A"/>
    <w:rsid w:val="00675B8D"/>
    <w:rsid w:val="006760CC"/>
    <w:rsid w:val="0067618E"/>
    <w:rsid w:val="00676429"/>
    <w:rsid w:val="00676563"/>
    <w:rsid w:val="0067685F"/>
    <w:rsid w:val="00676C50"/>
    <w:rsid w:val="00676EC2"/>
    <w:rsid w:val="00677021"/>
    <w:rsid w:val="00677218"/>
    <w:rsid w:val="006775ED"/>
    <w:rsid w:val="00680001"/>
    <w:rsid w:val="006808C8"/>
    <w:rsid w:val="00680A27"/>
    <w:rsid w:val="00680D0A"/>
    <w:rsid w:val="006813F8"/>
    <w:rsid w:val="006820B6"/>
    <w:rsid w:val="00682112"/>
    <w:rsid w:val="0068256E"/>
    <w:rsid w:val="00682A23"/>
    <w:rsid w:val="00682A3E"/>
    <w:rsid w:val="00682BA6"/>
    <w:rsid w:val="00682D36"/>
    <w:rsid w:val="00682EE5"/>
    <w:rsid w:val="00682FC9"/>
    <w:rsid w:val="00684E1E"/>
    <w:rsid w:val="006850C8"/>
    <w:rsid w:val="006851EB"/>
    <w:rsid w:val="00685D88"/>
    <w:rsid w:val="00685EB1"/>
    <w:rsid w:val="00686127"/>
    <w:rsid w:val="0068681E"/>
    <w:rsid w:val="00686957"/>
    <w:rsid w:val="00686A95"/>
    <w:rsid w:val="00686E5A"/>
    <w:rsid w:val="006872BA"/>
    <w:rsid w:val="006876D7"/>
    <w:rsid w:val="00687B7B"/>
    <w:rsid w:val="00687BA8"/>
    <w:rsid w:val="00690429"/>
    <w:rsid w:val="00690795"/>
    <w:rsid w:val="00690D26"/>
    <w:rsid w:val="006911C9"/>
    <w:rsid w:val="006912EA"/>
    <w:rsid w:val="0069131D"/>
    <w:rsid w:val="00691648"/>
    <w:rsid w:val="006917D7"/>
    <w:rsid w:val="0069241B"/>
    <w:rsid w:val="0069321C"/>
    <w:rsid w:val="0069357E"/>
    <w:rsid w:val="00694336"/>
    <w:rsid w:val="0069434C"/>
    <w:rsid w:val="0069470C"/>
    <w:rsid w:val="00694F44"/>
    <w:rsid w:val="00695217"/>
    <w:rsid w:val="00695C73"/>
    <w:rsid w:val="00695EB1"/>
    <w:rsid w:val="0069614D"/>
    <w:rsid w:val="00696E16"/>
    <w:rsid w:val="00696EF9"/>
    <w:rsid w:val="00696F51"/>
    <w:rsid w:val="0069742D"/>
    <w:rsid w:val="00697768"/>
    <w:rsid w:val="006979A5"/>
    <w:rsid w:val="006A016F"/>
    <w:rsid w:val="006A0940"/>
    <w:rsid w:val="006A0DF7"/>
    <w:rsid w:val="006A195A"/>
    <w:rsid w:val="006A1C44"/>
    <w:rsid w:val="006A20B6"/>
    <w:rsid w:val="006A2326"/>
    <w:rsid w:val="006A2438"/>
    <w:rsid w:val="006A2573"/>
    <w:rsid w:val="006A328F"/>
    <w:rsid w:val="006A3EB0"/>
    <w:rsid w:val="006A4321"/>
    <w:rsid w:val="006A43D9"/>
    <w:rsid w:val="006A490C"/>
    <w:rsid w:val="006A59E1"/>
    <w:rsid w:val="006A6B99"/>
    <w:rsid w:val="006A7C10"/>
    <w:rsid w:val="006A7E5F"/>
    <w:rsid w:val="006A7F75"/>
    <w:rsid w:val="006B0182"/>
    <w:rsid w:val="006B052A"/>
    <w:rsid w:val="006B1BE9"/>
    <w:rsid w:val="006B1C2B"/>
    <w:rsid w:val="006B1E1E"/>
    <w:rsid w:val="006B1E2F"/>
    <w:rsid w:val="006B256E"/>
    <w:rsid w:val="006B261B"/>
    <w:rsid w:val="006B298D"/>
    <w:rsid w:val="006B2C90"/>
    <w:rsid w:val="006B304D"/>
    <w:rsid w:val="006B35E6"/>
    <w:rsid w:val="006B3BE0"/>
    <w:rsid w:val="006B3D39"/>
    <w:rsid w:val="006B465A"/>
    <w:rsid w:val="006B4C0C"/>
    <w:rsid w:val="006B522D"/>
    <w:rsid w:val="006B5629"/>
    <w:rsid w:val="006B590A"/>
    <w:rsid w:val="006B5B12"/>
    <w:rsid w:val="006B5E90"/>
    <w:rsid w:val="006B5F30"/>
    <w:rsid w:val="006B6400"/>
    <w:rsid w:val="006B6A2F"/>
    <w:rsid w:val="006B6DD0"/>
    <w:rsid w:val="006B716C"/>
    <w:rsid w:val="006B774D"/>
    <w:rsid w:val="006B7DD0"/>
    <w:rsid w:val="006C0399"/>
    <w:rsid w:val="006C07E2"/>
    <w:rsid w:val="006C1A3B"/>
    <w:rsid w:val="006C1D58"/>
    <w:rsid w:val="006C2037"/>
    <w:rsid w:val="006C2A8E"/>
    <w:rsid w:val="006C2E88"/>
    <w:rsid w:val="006C3255"/>
    <w:rsid w:val="006C3259"/>
    <w:rsid w:val="006C3553"/>
    <w:rsid w:val="006C3CB6"/>
    <w:rsid w:val="006C3D14"/>
    <w:rsid w:val="006C3D51"/>
    <w:rsid w:val="006C3F26"/>
    <w:rsid w:val="006C3F92"/>
    <w:rsid w:val="006C464A"/>
    <w:rsid w:val="006C566E"/>
    <w:rsid w:val="006C5E62"/>
    <w:rsid w:val="006C722B"/>
    <w:rsid w:val="006C7D54"/>
    <w:rsid w:val="006D004A"/>
    <w:rsid w:val="006D0D17"/>
    <w:rsid w:val="006D0E12"/>
    <w:rsid w:val="006D1EAE"/>
    <w:rsid w:val="006D268F"/>
    <w:rsid w:val="006D2F1F"/>
    <w:rsid w:val="006D2F67"/>
    <w:rsid w:val="006D3026"/>
    <w:rsid w:val="006D30D5"/>
    <w:rsid w:val="006D356A"/>
    <w:rsid w:val="006D3B5C"/>
    <w:rsid w:val="006D3C7D"/>
    <w:rsid w:val="006D4659"/>
    <w:rsid w:val="006D47D6"/>
    <w:rsid w:val="006D52A3"/>
    <w:rsid w:val="006D5311"/>
    <w:rsid w:val="006D5681"/>
    <w:rsid w:val="006D56F0"/>
    <w:rsid w:val="006D5D5F"/>
    <w:rsid w:val="006D66E6"/>
    <w:rsid w:val="006D6745"/>
    <w:rsid w:val="006D68FB"/>
    <w:rsid w:val="006D69B6"/>
    <w:rsid w:val="006D6BE5"/>
    <w:rsid w:val="006D6C36"/>
    <w:rsid w:val="006D7C5F"/>
    <w:rsid w:val="006D7F3D"/>
    <w:rsid w:val="006E0591"/>
    <w:rsid w:val="006E07E1"/>
    <w:rsid w:val="006E092E"/>
    <w:rsid w:val="006E2847"/>
    <w:rsid w:val="006E2868"/>
    <w:rsid w:val="006E2DEE"/>
    <w:rsid w:val="006E38C3"/>
    <w:rsid w:val="006E3F2E"/>
    <w:rsid w:val="006E4126"/>
    <w:rsid w:val="006E4802"/>
    <w:rsid w:val="006E4E5C"/>
    <w:rsid w:val="006E4EF2"/>
    <w:rsid w:val="006E56EB"/>
    <w:rsid w:val="006E5CDE"/>
    <w:rsid w:val="006E5EA3"/>
    <w:rsid w:val="006E6EA5"/>
    <w:rsid w:val="006E72DA"/>
    <w:rsid w:val="006E7600"/>
    <w:rsid w:val="006E7D6D"/>
    <w:rsid w:val="006E7E95"/>
    <w:rsid w:val="006E7F02"/>
    <w:rsid w:val="006F0153"/>
    <w:rsid w:val="006F07E4"/>
    <w:rsid w:val="006F1274"/>
    <w:rsid w:val="006F248C"/>
    <w:rsid w:val="006F25D7"/>
    <w:rsid w:val="006F27B7"/>
    <w:rsid w:val="006F306C"/>
    <w:rsid w:val="006F3343"/>
    <w:rsid w:val="006F3671"/>
    <w:rsid w:val="006F384A"/>
    <w:rsid w:val="006F3F4D"/>
    <w:rsid w:val="006F5EAB"/>
    <w:rsid w:val="006F5F34"/>
    <w:rsid w:val="006F63A5"/>
    <w:rsid w:val="006F65D6"/>
    <w:rsid w:val="006F6A8C"/>
    <w:rsid w:val="006F6D25"/>
    <w:rsid w:val="006F6F1D"/>
    <w:rsid w:val="006F7799"/>
    <w:rsid w:val="006F7847"/>
    <w:rsid w:val="006F7DB7"/>
    <w:rsid w:val="007008D0"/>
    <w:rsid w:val="00700D7B"/>
    <w:rsid w:val="00700F4D"/>
    <w:rsid w:val="0070142B"/>
    <w:rsid w:val="007015A0"/>
    <w:rsid w:val="00701746"/>
    <w:rsid w:val="00701D9E"/>
    <w:rsid w:val="0070276E"/>
    <w:rsid w:val="00702A41"/>
    <w:rsid w:val="00702E08"/>
    <w:rsid w:val="00702F8F"/>
    <w:rsid w:val="0070325E"/>
    <w:rsid w:val="007034FB"/>
    <w:rsid w:val="0070363A"/>
    <w:rsid w:val="0070378C"/>
    <w:rsid w:val="00703F1E"/>
    <w:rsid w:val="0070417B"/>
    <w:rsid w:val="007047F3"/>
    <w:rsid w:val="0070488D"/>
    <w:rsid w:val="00704D70"/>
    <w:rsid w:val="00704EF6"/>
    <w:rsid w:val="00705B1B"/>
    <w:rsid w:val="0070636B"/>
    <w:rsid w:val="00707243"/>
    <w:rsid w:val="0070749B"/>
    <w:rsid w:val="007079C7"/>
    <w:rsid w:val="007079FC"/>
    <w:rsid w:val="00710117"/>
    <w:rsid w:val="00710861"/>
    <w:rsid w:val="007109C5"/>
    <w:rsid w:val="00711016"/>
    <w:rsid w:val="007111C4"/>
    <w:rsid w:val="0071192D"/>
    <w:rsid w:val="00711A36"/>
    <w:rsid w:val="00711B99"/>
    <w:rsid w:val="00711F1D"/>
    <w:rsid w:val="007125D3"/>
    <w:rsid w:val="00712FE5"/>
    <w:rsid w:val="007133C9"/>
    <w:rsid w:val="007134AF"/>
    <w:rsid w:val="00713750"/>
    <w:rsid w:val="00713A2B"/>
    <w:rsid w:val="00713A67"/>
    <w:rsid w:val="00713AD0"/>
    <w:rsid w:val="00714C26"/>
    <w:rsid w:val="00714D79"/>
    <w:rsid w:val="00714FD9"/>
    <w:rsid w:val="0071529C"/>
    <w:rsid w:val="0071534A"/>
    <w:rsid w:val="00715CFD"/>
    <w:rsid w:val="0071664C"/>
    <w:rsid w:val="007170DA"/>
    <w:rsid w:val="007172AD"/>
    <w:rsid w:val="00717339"/>
    <w:rsid w:val="007173B4"/>
    <w:rsid w:val="00717546"/>
    <w:rsid w:val="0071763D"/>
    <w:rsid w:val="00717F37"/>
    <w:rsid w:val="007201BC"/>
    <w:rsid w:val="0072031B"/>
    <w:rsid w:val="00720801"/>
    <w:rsid w:val="00720ADE"/>
    <w:rsid w:val="00720D8C"/>
    <w:rsid w:val="00720F35"/>
    <w:rsid w:val="00720F70"/>
    <w:rsid w:val="007210A4"/>
    <w:rsid w:val="00721469"/>
    <w:rsid w:val="00721478"/>
    <w:rsid w:val="00721BB8"/>
    <w:rsid w:val="00722546"/>
    <w:rsid w:val="007225B5"/>
    <w:rsid w:val="00722B1B"/>
    <w:rsid w:val="007238B3"/>
    <w:rsid w:val="00723C01"/>
    <w:rsid w:val="00723C13"/>
    <w:rsid w:val="00723F4D"/>
    <w:rsid w:val="0072416F"/>
    <w:rsid w:val="00724ACB"/>
    <w:rsid w:val="00724C09"/>
    <w:rsid w:val="00725163"/>
    <w:rsid w:val="00725BD8"/>
    <w:rsid w:val="007261D3"/>
    <w:rsid w:val="00726634"/>
    <w:rsid w:val="00726741"/>
    <w:rsid w:val="00726BE9"/>
    <w:rsid w:val="00726FCA"/>
    <w:rsid w:val="007273E9"/>
    <w:rsid w:val="0072780E"/>
    <w:rsid w:val="007278F7"/>
    <w:rsid w:val="00727B30"/>
    <w:rsid w:val="00727C94"/>
    <w:rsid w:val="00727E88"/>
    <w:rsid w:val="007307C8"/>
    <w:rsid w:val="00730D9D"/>
    <w:rsid w:val="00731475"/>
    <w:rsid w:val="00731594"/>
    <w:rsid w:val="00731B0A"/>
    <w:rsid w:val="00731C4E"/>
    <w:rsid w:val="00731D18"/>
    <w:rsid w:val="00731EAE"/>
    <w:rsid w:val="0073205D"/>
    <w:rsid w:val="007325E0"/>
    <w:rsid w:val="00732886"/>
    <w:rsid w:val="00732B47"/>
    <w:rsid w:val="00732B7F"/>
    <w:rsid w:val="00732F4C"/>
    <w:rsid w:val="00732F7D"/>
    <w:rsid w:val="00733073"/>
    <w:rsid w:val="007330B0"/>
    <w:rsid w:val="00733F35"/>
    <w:rsid w:val="007342D4"/>
    <w:rsid w:val="00734C56"/>
    <w:rsid w:val="00735033"/>
    <w:rsid w:val="007351E8"/>
    <w:rsid w:val="00735328"/>
    <w:rsid w:val="0073537F"/>
    <w:rsid w:val="00735A96"/>
    <w:rsid w:val="00735CBA"/>
    <w:rsid w:val="00735CD4"/>
    <w:rsid w:val="00735EA9"/>
    <w:rsid w:val="007364DB"/>
    <w:rsid w:val="0073685B"/>
    <w:rsid w:val="0073736D"/>
    <w:rsid w:val="00740036"/>
    <w:rsid w:val="0074031F"/>
    <w:rsid w:val="00740322"/>
    <w:rsid w:val="00740355"/>
    <w:rsid w:val="0074090B"/>
    <w:rsid w:val="00740A2A"/>
    <w:rsid w:val="00741005"/>
    <w:rsid w:val="007413F5"/>
    <w:rsid w:val="00741E9F"/>
    <w:rsid w:val="00742136"/>
    <w:rsid w:val="00742271"/>
    <w:rsid w:val="007423E7"/>
    <w:rsid w:val="0074483D"/>
    <w:rsid w:val="007449BF"/>
    <w:rsid w:val="00744C35"/>
    <w:rsid w:val="00745447"/>
    <w:rsid w:val="007457C5"/>
    <w:rsid w:val="00745F7D"/>
    <w:rsid w:val="007463BD"/>
    <w:rsid w:val="007463FE"/>
    <w:rsid w:val="00746BC0"/>
    <w:rsid w:val="00746D22"/>
    <w:rsid w:val="00747EE6"/>
    <w:rsid w:val="00750080"/>
    <w:rsid w:val="007504C7"/>
    <w:rsid w:val="0075065B"/>
    <w:rsid w:val="00750A06"/>
    <w:rsid w:val="007510B4"/>
    <w:rsid w:val="0075140D"/>
    <w:rsid w:val="0075168B"/>
    <w:rsid w:val="0075197C"/>
    <w:rsid w:val="00752142"/>
    <w:rsid w:val="007523F9"/>
    <w:rsid w:val="00752C2C"/>
    <w:rsid w:val="0075357E"/>
    <w:rsid w:val="007536D8"/>
    <w:rsid w:val="0075391C"/>
    <w:rsid w:val="00753B29"/>
    <w:rsid w:val="00754047"/>
    <w:rsid w:val="007544C2"/>
    <w:rsid w:val="00754E83"/>
    <w:rsid w:val="00754FD4"/>
    <w:rsid w:val="00755540"/>
    <w:rsid w:val="00755823"/>
    <w:rsid w:val="00755943"/>
    <w:rsid w:val="00756917"/>
    <w:rsid w:val="00757277"/>
    <w:rsid w:val="007573E8"/>
    <w:rsid w:val="007575BE"/>
    <w:rsid w:val="007576DA"/>
    <w:rsid w:val="007601F5"/>
    <w:rsid w:val="0076079E"/>
    <w:rsid w:val="00760C4E"/>
    <w:rsid w:val="00760F9E"/>
    <w:rsid w:val="007613C3"/>
    <w:rsid w:val="007616E6"/>
    <w:rsid w:val="00761737"/>
    <w:rsid w:val="00761C63"/>
    <w:rsid w:val="007627BE"/>
    <w:rsid w:val="0076337D"/>
    <w:rsid w:val="007635C4"/>
    <w:rsid w:val="00763A2E"/>
    <w:rsid w:val="00764120"/>
    <w:rsid w:val="00764156"/>
    <w:rsid w:val="00764178"/>
    <w:rsid w:val="00764530"/>
    <w:rsid w:val="00764BF7"/>
    <w:rsid w:val="00764F03"/>
    <w:rsid w:val="0076552D"/>
    <w:rsid w:val="00765B1A"/>
    <w:rsid w:val="00765DC1"/>
    <w:rsid w:val="00765E18"/>
    <w:rsid w:val="007663DD"/>
    <w:rsid w:val="00766582"/>
    <w:rsid w:val="007667B0"/>
    <w:rsid w:val="0076697F"/>
    <w:rsid w:val="007677A7"/>
    <w:rsid w:val="00767880"/>
    <w:rsid w:val="00767C7A"/>
    <w:rsid w:val="0077043B"/>
    <w:rsid w:val="007707E6"/>
    <w:rsid w:val="00770868"/>
    <w:rsid w:val="00770B0A"/>
    <w:rsid w:val="007716DC"/>
    <w:rsid w:val="00771F2D"/>
    <w:rsid w:val="007724E3"/>
    <w:rsid w:val="00772C28"/>
    <w:rsid w:val="007737F1"/>
    <w:rsid w:val="00773B4C"/>
    <w:rsid w:val="00773E47"/>
    <w:rsid w:val="00774533"/>
    <w:rsid w:val="00774A85"/>
    <w:rsid w:val="00774BA5"/>
    <w:rsid w:val="00774F63"/>
    <w:rsid w:val="007752ED"/>
    <w:rsid w:val="00775A41"/>
    <w:rsid w:val="00775C8F"/>
    <w:rsid w:val="00776091"/>
    <w:rsid w:val="00776167"/>
    <w:rsid w:val="00776404"/>
    <w:rsid w:val="007765AF"/>
    <w:rsid w:val="00776DC7"/>
    <w:rsid w:val="00777335"/>
    <w:rsid w:val="007778CA"/>
    <w:rsid w:val="007800D7"/>
    <w:rsid w:val="00780908"/>
    <w:rsid w:val="0078098D"/>
    <w:rsid w:val="00780EF0"/>
    <w:rsid w:val="0078118F"/>
    <w:rsid w:val="00781402"/>
    <w:rsid w:val="007817FF"/>
    <w:rsid w:val="00781E13"/>
    <w:rsid w:val="00782674"/>
    <w:rsid w:val="00782813"/>
    <w:rsid w:val="00782C3E"/>
    <w:rsid w:val="007843F2"/>
    <w:rsid w:val="007846FA"/>
    <w:rsid w:val="00785A9F"/>
    <w:rsid w:val="0078613E"/>
    <w:rsid w:val="00786142"/>
    <w:rsid w:val="00786896"/>
    <w:rsid w:val="0078735F"/>
    <w:rsid w:val="00787C36"/>
    <w:rsid w:val="0079014E"/>
    <w:rsid w:val="0079031D"/>
    <w:rsid w:val="00790393"/>
    <w:rsid w:val="00790A53"/>
    <w:rsid w:val="0079137A"/>
    <w:rsid w:val="00791A06"/>
    <w:rsid w:val="00791A48"/>
    <w:rsid w:val="00791DE5"/>
    <w:rsid w:val="007925B0"/>
    <w:rsid w:val="007925DF"/>
    <w:rsid w:val="007926A9"/>
    <w:rsid w:val="00793320"/>
    <w:rsid w:val="0079334C"/>
    <w:rsid w:val="00793690"/>
    <w:rsid w:val="00793B3B"/>
    <w:rsid w:val="00793CAC"/>
    <w:rsid w:val="007942B7"/>
    <w:rsid w:val="00794878"/>
    <w:rsid w:val="007948C0"/>
    <w:rsid w:val="0079522D"/>
    <w:rsid w:val="00795236"/>
    <w:rsid w:val="0079579D"/>
    <w:rsid w:val="007958BF"/>
    <w:rsid w:val="00795CF1"/>
    <w:rsid w:val="00796281"/>
    <w:rsid w:val="00796F5F"/>
    <w:rsid w:val="007975FE"/>
    <w:rsid w:val="00797ED5"/>
    <w:rsid w:val="007A08AA"/>
    <w:rsid w:val="007A08EE"/>
    <w:rsid w:val="007A0A12"/>
    <w:rsid w:val="007A0A5E"/>
    <w:rsid w:val="007A0B4C"/>
    <w:rsid w:val="007A0C48"/>
    <w:rsid w:val="007A104B"/>
    <w:rsid w:val="007A12D5"/>
    <w:rsid w:val="007A132D"/>
    <w:rsid w:val="007A1345"/>
    <w:rsid w:val="007A16D2"/>
    <w:rsid w:val="007A1E36"/>
    <w:rsid w:val="007A2021"/>
    <w:rsid w:val="007A2314"/>
    <w:rsid w:val="007A2BA8"/>
    <w:rsid w:val="007A2BBA"/>
    <w:rsid w:val="007A2C0A"/>
    <w:rsid w:val="007A2DDB"/>
    <w:rsid w:val="007A3885"/>
    <w:rsid w:val="007A49B9"/>
    <w:rsid w:val="007A529D"/>
    <w:rsid w:val="007A529F"/>
    <w:rsid w:val="007A595C"/>
    <w:rsid w:val="007A6183"/>
    <w:rsid w:val="007A64D4"/>
    <w:rsid w:val="007A6783"/>
    <w:rsid w:val="007A6AFF"/>
    <w:rsid w:val="007A6D38"/>
    <w:rsid w:val="007A6FF9"/>
    <w:rsid w:val="007A70BA"/>
    <w:rsid w:val="007A739D"/>
    <w:rsid w:val="007A76E2"/>
    <w:rsid w:val="007B0D68"/>
    <w:rsid w:val="007B1432"/>
    <w:rsid w:val="007B21F0"/>
    <w:rsid w:val="007B251D"/>
    <w:rsid w:val="007B25DB"/>
    <w:rsid w:val="007B2DAA"/>
    <w:rsid w:val="007B3533"/>
    <w:rsid w:val="007B35F1"/>
    <w:rsid w:val="007B38B3"/>
    <w:rsid w:val="007B3DDF"/>
    <w:rsid w:val="007B4325"/>
    <w:rsid w:val="007B4791"/>
    <w:rsid w:val="007B4F58"/>
    <w:rsid w:val="007B528D"/>
    <w:rsid w:val="007B5E47"/>
    <w:rsid w:val="007B6148"/>
    <w:rsid w:val="007B63CA"/>
    <w:rsid w:val="007B6AA2"/>
    <w:rsid w:val="007B6CFC"/>
    <w:rsid w:val="007B6EB5"/>
    <w:rsid w:val="007B77D1"/>
    <w:rsid w:val="007B7DAA"/>
    <w:rsid w:val="007C0718"/>
    <w:rsid w:val="007C07C7"/>
    <w:rsid w:val="007C0AD2"/>
    <w:rsid w:val="007C0B88"/>
    <w:rsid w:val="007C104B"/>
    <w:rsid w:val="007C1CD9"/>
    <w:rsid w:val="007C27C0"/>
    <w:rsid w:val="007C2869"/>
    <w:rsid w:val="007C28D0"/>
    <w:rsid w:val="007C2989"/>
    <w:rsid w:val="007C29AF"/>
    <w:rsid w:val="007C2CDE"/>
    <w:rsid w:val="007C32EF"/>
    <w:rsid w:val="007C3357"/>
    <w:rsid w:val="007C3583"/>
    <w:rsid w:val="007C361D"/>
    <w:rsid w:val="007C41F1"/>
    <w:rsid w:val="007C4258"/>
    <w:rsid w:val="007C4453"/>
    <w:rsid w:val="007C4B84"/>
    <w:rsid w:val="007C4B9A"/>
    <w:rsid w:val="007C4E71"/>
    <w:rsid w:val="007C4FB9"/>
    <w:rsid w:val="007C50F9"/>
    <w:rsid w:val="007C59B2"/>
    <w:rsid w:val="007C5B37"/>
    <w:rsid w:val="007C6AA4"/>
    <w:rsid w:val="007C6E9B"/>
    <w:rsid w:val="007C6EAE"/>
    <w:rsid w:val="007C707F"/>
    <w:rsid w:val="007C70FF"/>
    <w:rsid w:val="007C7A4A"/>
    <w:rsid w:val="007C7A96"/>
    <w:rsid w:val="007C7C25"/>
    <w:rsid w:val="007C7E27"/>
    <w:rsid w:val="007D004F"/>
    <w:rsid w:val="007D035F"/>
    <w:rsid w:val="007D06B2"/>
    <w:rsid w:val="007D0B38"/>
    <w:rsid w:val="007D0B5B"/>
    <w:rsid w:val="007D1559"/>
    <w:rsid w:val="007D1D84"/>
    <w:rsid w:val="007D1E6D"/>
    <w:rsid w:val="007D2951"/>
    <w:rsid w:val="007D3522"/>
    <w:rsid w:val="007D38C7"/>
    <w:rsid w:val="007D3D99"/>
    <w:rsid w:val="007D3E98"/>
    <w:rsid w:val="007D43F8"/>
    <w:rsid w:val="007D5440"/>
    <w:rsid w:val="007D548D"/>
    <w:rsid w:val="007D5983"/>
    <w:rsid w:val="007D5E90"/>
    <w:rsid w:val="007D6336"/>
    <w:rsid w:val="007D6624"/>
    <w:rsid w:val="007D68FB"/>
    <w:rsid w:val="007D69EB"/>
    <w:rsid w:val="007D6D98"/>
    <w:rsid w:val="007D75E4"/>
    <w:rsid w:val="007E0E34"/>
    <w:rsid w:val="007E0E46"/>
    <w:rsid w:val="007E0ED2"/>
    <w:rsid w:val="007E128F"/>
    <w:rsid w:val="007E144C"/>
    <w:rsid w:val="007E1A7F"/>
    <w:rsid w:val="007E284E"/>
    <w:rsid w:val="007E2955"/>
    <w:rsid w:val="007E2DB7"/>
    <w:rsid w:val="007E3E32"/>
    <w:rsid w:val="007E404E"/>
    <w:rsid w:val="007E46C6"/>
    <w:rsid w:val="007E4A9E"/>
    <w:rsid w:val="007E4D5E"/>
    <w:rsid w:val="007E4EE9"/>
    <w:rsid w:val="007E500B"/>
    <w:rsid w:val="007E5D05"/>
    <w:rsid w:val="007E686A"/>
    <w:rsid w:val="007E6F66"/>
    <w:rsid w:val="007E7426"/>
    <w:rsid w:val="007E74E3"/>
    <w:rsid w:val="007E75E6"/>
    <w:rsid w:val="007E774B"/>
    <w:rsid w:val="007E7967"/>
    <w:rsid w:val="007F0691"/>
    <w:rsid w:val="007F06D7"/>
    <w:rsid w:val="007F07A7"/>
    <w:rsid w:val="007F0B4C"/>
    <w:rsid w:val="007F0B75"/>
    <w:rsid w:val="007F1017"/>
    <w:rsid w:val="007F1BBC"/>
    <w:rsid w:val="007F2317"/>
    <w:rsid w:val="007F2D28"/>
    <w:rsid w:val="007F2F40"/>
    <w:rsid w:val="007F3B5D"/>
    <w:rsid w:val="007F3DE7"/>
    <w:rsid w:val="007F4025"/>
    <w:rsid w:val="007F48CD"/>
    <w:rsid w:val="007F4A3F"/>
    <w:rsid w:val="007F4A61"/>
    <w:rsid w:val="007F4B9C"/>
    <w:rsid w:val="007F4D7B"/>
    <w:rsid w:val="007F5255"/>
    <w:rsid w:val="007F56CC"/>
    <w:rsid w:val="007F6086"/>
    <w:rsid w:val="007F61C2"/>
    <w:rsid w:val="007F65B0"/>
    <w:rsid w:val="007F6AAB"/>
    <w:rsid w:val="007F79A5"/>
    <w:rsid w:val="007F7AD4"/>
    <w:rsid w:val="00801869"/>
    <w:rsid w:val="00801976"/>
    <w:rsid w:val="00801977"/>
    <w:rsid w:val="00801C21"/>
    <w:rsid w:val="0080251B"/>
    <w:rsid w:val="00802D2C"/>
    <w:rsid w:val="008035D8"/>
    <w:rsid w:val="00803AC8"/>
    <w:rsid w:val="008045EE"/>
    <w:rsid w:val="008047C4"/>
    <w:rsid w:val="00804E0B"/>
    <w:rsid w:val="00804E2B"/>
    <w:rsid w:val="00804F77"/>
    <w:rsid w:val="00805142"/>
    <w:rsid w:val="00805FCE"/>
    <w:rsid w:val="00806126"/>
    <w:rsid w:val="00806174"/>
    <w:rsid w:val="00806ECC"/>
    <w:rsid w:val="00806F46"/>
    <w:rsid w:val="0080709C"/>
    <w:rsid w:val="0080751B"/>
    <w:rsid w:val="00807A8B"/>
    <w:rsid w:val="00807A8F"/>
    <w:rsid w:val="00807C4A"/>
    <w:rsid w:val="0081062B"/>
    <w:rsid w:val="00810AA7"/>
    <w:rsid w:val="00810B28"/>
    <w:rsid w:val="00810C0D"/>
    <w:rsid w:val="00810D0B"/>
    <w:rsid w:val="00811037"/>
    <w:rsid w:val="00811135"/>
    <w:rsid w:val="00811383"/>
    <w:rsid w:val="00811400"/>
    <w:rsid w:val="00811510"/>
    <w:rsid w:val="00811556"/>
    <w:rsid w:val="00812149"/>
    <w:rsid w:val="00812394"/>
    <w:rsid w:val="00812AC5"/>
    <w:rsid w:val="00812CAC"/>
    <w:rsid w:val="0081301D"/>
    <w:rsid w:val="00813386"/>
    <w:rsid w:val="00813593"/>
    <w:rsid w:val="00813C01"/>
    <w:rsid w:val="00814365"/>
    <w:rsid w:val="008145E0"/>
    <w:rsid w:val="00814B64"/>
    <w:rsid w:val="00814DFA"/>
    <w:rsid w:val="0081516E"/>
    <w:rsid w:val="0081621F"/>
    <w:rsid w:val="00816361"/>
    <w:rsid w:val="008166EF"/>
    <w:rsid w:val="00816DEA"/>
    <w:rsid w:val="00816FEF"/>
    <w:rsid w:val="0081722C"/>
    <w:rsid w:val="0081748E"/>
    <w:rsid w:val="00817BB7"/>
    <w:rsid w:val="00820707"/>
    <w:rsid w:val="00820A8C"/>
    <w:rsid w:val="00821388"/>
    <w:rsid w:val="008215FB"/>
    <w:rsid w:val="008220CC"/>
    <w:rsid w:val="00822208"/>
    <w:rsid w:val="008226BB"/>
    <w:rsid w:val="00823174"/>
    <w:rsid w:val="00823AC6"/>
    <w:rsid w:val="00823D0D"/>
    <w:rsid w:val="0082419B"/>
    <w:rsid w:val="008244B2"/>
    <w:rsid w:val="008249AA"/>
    <w:rsid w:val="00825751"/>
    <w:rsid w:val="00825A43"/>
    <w:rsid w:val="008264EB"/>
    <w:rsid w:val="008265C7"/>
    <w:rsid w:val="008268CE"/>
    <w:rsid w:val="00826FC0"/>
    <w:rsid w:val="00827487"/>
    <w:rsid w:val="00827BB6"/>
    <w:rsid w:val="00827C23"/>
    <w:rsid w:val="00830580"/>
    <w:rsid w:val="0083086F"/>
    <w:rsid w:val="00830897"/>
    <w:rsid w:val="00830ED4"/>
    <w:rsid w:val="00831362"/>
    <w:rsid w:val="008319FF"/>
    <w:rsid w:val="00831C49"/>
    <w:rsid w:val="008320E5"/>
    <w:rsid w:val="00832618"/>
    <w:rsid w:val="00832908"/>
    <w:rsid w:val="00832D9C"/>
    <w:rsid w:val="00832F17"/>
    <w:rsid w:val="00832F6E"/>
    <w:rsid w:val="008330B8"/>
    <w:rsid w:val="00833597"/>
    <w:rsid w:val="00833B05"/>
    <w:rsid w:val="008342D8"/>
    <w:rsid w:val="00834536"/>
    <w:rsid w:val="00834BA9"/>
    <w:rsid w:val="00836075"/>
    <w:rsid w:val="008360B2"/>
    <w:rsid w:val="008362B4"/>
    <w:rsid w:val="00836745"/>
    <w:rsid w:val="00837B5C"/>
    <w:rsid w:val="00840275"/>
    <w:rsid w:val="00840B60"/>
    <w:rsid w:val="00840BF1"/>
    <w:rsid w:val="00840C3E"/>
    <w:rsid w:val="00840CA2"/>
    <w:rsid w:val="00840D91"/>
    <w:rsid w:val="0084128B"/>
    <w:rsid w:val="0084130D"/>
    <w:rsid w:val="00841D94"/>
    <w:rsid w:val="0084207B"/>
    <w:rsid w:val="00842AF7"/>
    <w:rsid w:val="0084361C"/>
    <w:rsid w:val="00843726"/>
    <w:rsid w:val="0084374F"/>
    <w:rsid w:val="0084379F"/>
    <w:rsid w:val="008438A3"/>
    <w:rsid w:val="00844A22"/>
    <w:rsid w:val="00844CC8"/>
    <w:rsid w:val="00845308"/>
    <w:rsid w:val="00845318"/>
    <w:rsid w:val="00846039"/>
    <w:rsid w:val="008460EF"/>
    <w:rsid w:val="008466CE"/>
    <w:rsid w:val="00846929"/>
    <w:rsid w:val="00846B78"/>
    <w:rsid w:val="00846BC5"/>
    <w:rsid w:val="00847703"/>
    <w:rsid w:val="00847DF5"/>
    <w:rsid w:val="00847F56"/>
    <w:rsid w:val="00851F15"/>
    <w:rsid w:val="00852C2D"/>
    <w:rsid w:val="00853011"/>
    <w:rsid w:val="0085309D"/>
    <w:rsid w:val="0085455A"/>
    <w:rsid w:val="0085539A"/>
    <w:rsid w:val="008554E0"/>
    <w:rsid w:val="00855D1F"/>
    <w:rsid w:val="0085647A"/>
    <w:rsid w:val="00856897"/>
    <w:rsid w:val="00856E9A"/>
    <w:rsid w:val="00857578"/>
    <w:rsid w:val="00857638"/>
    <w:rsid w:val="00857696"/>
    <w:rsid w:val="00857F6F"/>
    <w:rsid w:val="0086075D"/>
    <w:rsid w:val="0086084F"/>
    <w:rsid w:val="008613E0"/>
    <w:rsid w:val="00861906"/>
    <w:rsid w:val="00861BA3"/>
    <w:rsid w:val="00861BA6"/>
    <w:rsid w:val="008621F2"/>
    <w:rsid w:val="00862502"/>
    <w:rsid w:val="00862B90"/>
    <w:rsid w:val="00862CC1"/>
    <w:rsid w:val="00862CE7"/>
    <w:rsid w:val="00862E1D"/>
    <w:rsid w:val="00862F64"/>
    <w:rsid w:val="00863275"/>
    <w:rsid w:val="0086408B"/>
    <w:rsid w:val="008642A7"/>
    <w:rsid w:val="0086439F"/>
    <w:rsid w:val="00864930"/>
    <w:rsid w:val="00864B29"/>
    <w:rsid w:val="00864C20"/>
    <w:rsid w:val="00865657"/>
    <w:rsid w:val="008660D4"/>
    <w:rsid w:val="008665F5"/>
    <w:rsid w:val="00867493"/>
    <w:rsid w:val="00867F0E"/>
    <w:rsid w:val="00870032"/>
    <w:rsid w:val="008704F6"/>
    <w:rsid w:val="008714F5"/>
    <w:rsid w:val="008715DC"/>
    <w:rsid w:val="0087188D"/>
    <w:rsid w:val="00871FA9"/>
    <w:rsid w:val="008723D7"/>
    <w:rsid w:val="00872547"/>
    <w:rsid w:val="008728E9"/>
    <w:rsid w:val="00872ACA"/>
    <w:rsid w:val="00872B45"/>
    <w:rsid w:val="00872E37"/>
    <w:rsid w:val="00873476"/>
    <w:rsid w:val="0087370D"/>
    <w:rsid w:val="00873779"/>
    <w:rsid w:val="00873BA1"/>
    <w:rsid w:val="00873C1E"/>
    <w:rsid w:val="00874379"/>
    <w:rsid w:val="00874DD0"/>
    <w:rsid w:val="00876BEE"/>
    <w:rsid w:val="008775E4"/>
    <w:rsid w:val="00877E64"/>
    <w:rsid w:val="00880B96"/>
    <w:rsid w:val="008815D7"/>
    <w:rsid w:val="008815FC"/>
    <w:rsid w:val="008818B0"/>
    <w:rsid w:val="00882874"/>
    <w:rsid w:val="00882E3C"/>
    <w:rsid w:val="00882F23"/>
    <w:rsid w:val="0088308A"/>
    <w:rsid w:val="00883227"/>
    <w:rsid w:val="0088330B"/>
    <w:rsid w:val="00883664"/>
    <w:rsid w:val="00883787"/>
    <w:rsid w:val="00884218"/>
    <w:rsid w:val="0088558C"/>
    <w:rsid w:val="008855E4"/>
    <w:rsid w:val="008857CD"/>
    <w:rsid w:val="0088588E"/>
    <w:rsid w:val="008863A2"/>
    <w:rsid w:val="008867BC"/>
    <w:rsid w:val="0088682B"/>
    <w:rsid w:val="00886C4C"/>
    <w:rsid w:val="00886CA8"/>
    <w:rsid w:val="00886CD2"/>
    <w:rsid w:val="0088780C"/>
    <w:rsid w:val="0089008A"/>
    <w:rsid w:val="00890A93"/>
    <w:rsid w:val="00890D4E"/>
    <w:rsid w:val="0089132F"/>
    <w:rsid w:val="00891A0C"/>
    <w:rsid w:val="00891E6F"/>
    <w:rsid w:val="008921D3"/>
    <w:rsid w:val="0089275D"/>
    <w:rsid w:val="00892A36"/>
    <w:rsid w:val="00893239"/>
    <w:rsid w:val="00893317"/>
    <w:rsid w:val="00893480"/>
    <w:rsid w:val="008934C1"/>
    <w:rsid w:val="00894489"/>
    <w:rsid w:val="008946ED"/>
    <w:rsid w:val="00894CD6"/>
    <w:rsid w:val="00894DDA"/>
    <w:rsid w:val="00895F5C"/>
    <w:rsid w:val="008961B4"/>
    <w:rsid w:val="008963A5"/>
    <w:rsid w:val="00896758"/>
    <w:rsid w:val="008967F0"/>
    <w:rsid w:val="008968D5"/>
    <w:rsid w:val="008969D1"/>
    <w:rsid w:val="00896D5D"/>
    <w:rsid w:val="008974DB"/>
    <w:rsid w:val="00897681"/>
    <w:rsid w:val="00897754"/>
    <w:rsid w:val="00897E04"/>
    <w:rsid w:val="008A0137"/>
    <w:rsid w:val="008A0986"/>
    <w:rsid w:val="008A0C1F"/>
    <w:rsid w:val="008A0D72"/>
    <w:rsid w:val="008A14B3"/>
    <w:rsid w:val="008A1505"/>
    <w:rsid w:val="008A1643"/>
    <w:rsid w:val="008A179F"/>
    <w:rsid w:val="008A19C9"/>
    <w:rsid w:val="008A217F"/>
    <w:rsid w:val="008A2C02"/>
    <w:rsid w:val="008A2FDA"/>
    <w:rsid w:val="008A3158"/>
    <w:rsid w:val="008A31EF"/>
    <w:rsid w:val="008A325B"/>
    <w:rsid w:val="008A32D9"/>
    <w:rsid w:val="008A3363"/>
    <w:rsid w:val="008A3371"/>
    <w:rsid w:val="008A3440"/>
    <w:rsid w:val="008A34CF"/>
    <w:rsid w:val="008A35F6"/>
    <w:rsid w:val="008A3693"/>
    <w:rsid w:val="008A3C3E"/>
    <w:rsid w:val="008A3C98"/>
    <w:rsid w:val="008A4579"/>
    <w:rsid w:val="008A4B18"/>
    <w:rsid w:val="008A4C47"/>
    <w:rsid w:val="008A52C5"/>
    <w:rsid w:val="008A5EDE"/>
    <w:rsid w:val="008A649B"/>
    <w:rsid w:val="008A70CC"/>
    <w:rsid w:val="008A76D9"/>
    <w:rsid w:val="008A79DE"/>
    <w:rsid w:val="008A7DA9"/>
    <w:rsid w:val="008B0206"/>
    <w:rsid w:val="008B0984"/>
    <w:rsid w:val="008B09E3"/>
    <w:rsid w:val="008B10F6"/>
    <w:rsid w:val="008B1128"/>
    <w:rsid w:val="008B1173"/>
    <w:rsid w:val="008B1757"/>
    <w:rsid w:val="008B1B41"/>
    <w:rsid w:val="008B1C33"/>
    <w:rsid w:val="008B1D83"/>
    <w:rsid w:val="008B1FA9"/>
    <w:rsid w:val="008B2677"/>
    <w:rsid w:val="008B2D7B"/>
    <w:rsid w:val="008B2EAB"/>
    <w:rsid w:val="008B338A"/>
    <w:rsid w:val="008B3BA1"/>
    <w:rsid w:val="008B406E"/>
    <w:rsid w:val="008B4113"/>
    <w:rsid w:val="008B4A2C"/>
    <w:rsid w:val="008B4B6F"/>
    <w:rsid w:val="008B4BAD"/>
    <w:rsid w:val="008B5245"/>
    <w:rsid w:val="008B53C1"/>
    <w:rsid w:val="008B5A1C"/>
    <w:rsid w:val="008B61A3"/>
    <w:rsid w:val="008B68A0"/>
    <w:rsid w:val="008B69F8"/>
    <w:rsid w:val="008B6A1C"/>
    <w:rsid w:val="008B6D20"/>
    <w:rsid w:val="008B6EDF"/>
    <w:rsid w:val="008B7992"/>
    <w:rsid w:val="008B7D27"/>
    <w:rsid w:val="008B7D7E"/>
    <w:rsid w:val="008C070E"/>
    <w:rsid w:val="008C0F3E"/>
    <w:rsid w:val="008C1130"/>
    <w:rsid w:val="008C122F"/>
    <w:rsid w:val="008C12A6"/>
    <w:rsid w:val="008C194E"/>
    <w:rsid w:val="008C2758"/>
    <w:rsid w:val="008C28A9"/>
    <w:rsid w:val="008C2E76"/>
    <w:rsid w:val="008C2E83"/>
    <w:rsid w:val="008C34C1"/>
    <w:rsid w:val="008C3837"/>
    <w:rsid w:val="008C4A3E"/>
    <w:rsid w:val="008C5485"/>
    <w:rsid w:val="008C5610"/>
    <w:rsid w:val="008C5739"/>
    <w:rsid w:val="008C6330"/>
    <w:rsid w:val="008C65FC"/>
    <w:rsid w:val="008C7282"/>
    <w:rsid w:val="008C7ECB"/>
    <w:rsid w:val="008C7F79"/>
    <w:rsid w:val="008D018A"/>
    <w:rsid w:val="008D0A82"/>
    <w:rsid w:val="008D0B9E"/>
    <w:rsid w:val="008D0CC6"/>
    <w:rsid w:val="008D1A5D"/>
    <w:rsid w:val="008D2E9A"/>
    <w:rsid w:val="008D313F"/>
    <w:rsid w:val="008D348E"/>
    <w:rsid w:val="008D3546"/>
    <w:rsid w:val="008D3A2C"/>
    <w:rsid w:val="008D3B57"/>
    <w:rsid w:val="008D3B86"/>
    <w:rsid w:val="008D3BAE"/>
    <w:rsid w:val="008D3D18"/>
    <w:rsid w:val="008D4034"/>
    <w:rsid w:val="008D439B"/>
    <w:rsid w:val="008D43B8"/>
    <w:rsid w:val="008D43FD"/>
    <w:rsid w:val="008D45B8"/>
    <w:rsid w:val="008D4755"/>
    <w:rsid w:val="008D4C3D"/>
    <w:rsid w:val="008D4C9E"/>
    <w:rsid w:val="008D4F9C"/>
    <w:rsid w:val="008D55E4"/>
    <w:rsid w:val="008D5FEC"/>
    <w:rsid w:val="008D680F"/>
    <w:rsid w:val="008D698C"/>
    <w:rsid w:val="008D6FEE"/>
    <w:rsid w:val="008D7356"/>
    <w:rsid w:val="008D743C"/>
    <w:rsid w:val="008D77A4"/>
    <w:rsid w:val="008D7E45"/>
    <w:rsid w:val="008E02CF"/>
    <w:rsid w:val="008E035E"/>
    <w:rsid w:val="008E0582"/>
    <w:rsid w:val="008E0D11"/>
    <w:rsid w:val="008E0D3C"/>
    <w:rsid w:val="008E199E"/>
    <w:rsid w:val="008E1A80"/>
    <w:rsid w:val="008E1B9E"/>
    <w:rsid w:val="008E1D29"/>
    <w:rsid w:val="008E1E9E"/>
    <w:rsid w:val="008E1FBE"/>
    <w:rsid w:val="008E2032"/>
    <w:rsid w:val="008E2F8D"/>
    <w:rsid w:val="008E3218"/>
    <w:rsid w:val="008E3258"/>
    <w:rsid w:val="008E32B6"/>
    <w:rsid w:val="008E3470"/>
    <w:rsid w:val="008E3AC7"/>
    <w:rsid w:val="008E3E95"/>
    <w:rsid w:val="008E44FC"/>
    <w:rsid w:val="008E4644"/>
    <w:rsid w:val="008E4D49"/>
    <w:rsid w:val="008E4D6D"/>
    <w:rsid w:val="008E55AB"/>
    <w:rsid w:val="008E5786"/>
    <w:rsid w:val="008E695F"/>
    <w:rsid w:val="008E6D70"/>
    <w:rsid w:val="008E6EBE"/>
    <w:rsid w:val="008F058B"/>
    <w:rsid w:val="008F0CC3"/>
    <w:rsid w:val="008F1060"/>
    <w:rsid w:val="008F120A"/>
    <w:rsid w:val="008F1E9B"/>
    <w:rsid w:val="008F24BB"/>
    <w:rsid w:val="008F25CA"/>
    <w:rsid w:val="008F27E0"/>
    <w:rsid w:val="008F3961"/>
    <w:rsid w:val="008F3AF0"/>
    <w:rsid w:val="008F46F1"/>
    <w:rsid w:val="008F48EB"/>
    <w:rsid w:val="008F490D"/>
    <w:rsid w:val="008F4AD8"/>
    <w:rsid w:val="008F4F0B"/>
    <w:rsid w:val="008F5352"/>
    <w:rsid w:val="008F5598"/>
    <w:rsid w:val="008F5DBC"/>
    <w:rsid w:val="008F698B"/>
    <w:rsid w:val="008F69AB"/>
    <w:rsid w:val="008F7618"/>
    <w:rsid w:val="008F7AE3"/>
    <w:rsid w:val="008F7E8D"/>
    <w:rsid w:val="009000E9"/>
    <w:rsid w:val="009006A1"/>
    <w:rsid w:val="00900D61"/>
    <w:rsid w:val="00900DF5"/>
    <w:rsid w:val="00901865"/>
    <w:rsid w:val="00903093"/>
    <w:rsid w:val="009031CE"/>
    <w:rsid w:val="0090426A"/>
    <w:rsid w:val="009046C4"/>
    <w:rsid w:val="009050A0"/>
    <w:rsid w:val="00905260"/>
    <w:rsid w:val="00905410"/>
    <w:rsid w:val="00905790"/>
    <w:rsid w:val="009058CB"/>
    <w:rsid w:val="00905934"/>
    <w:rsid w:val="00905E10"/>
    <w:rsid w:val="009062A5"/>
    <w:rsid w:val="009067EC"/>
    <w:rsid w:val="009069C3"/>
    <w:rsid w:val="00906A2C"/>
    <w:rsid w:val="00906B3C"/>
    <w:rsid w:val="00906C89"/>
    <w:rsid w:val="00907699"/>
    <w:rsid w:val="009104BC"/>
    <w:rsid w:val="009108DA"/>
    <w:rsid w:val="00910FA7"/>
    <w:rsid w:val="0091121A"/>
    <w:rsid w:val="00911272"/>
    <w:rsid w:val="00911339"/>
    <w:rsid w:val="00911813"/>
    <w:rsid w:val="009118C2"/>
    <w:rsid w:val="009129F9"/>
    <w:rsid w:val="009135D6"/>
    <w:rsid w:val="00913714"/>
    <w:rsid w:val="00913B49"/>
    <w:rsid w:val="00913C25"/>
    <w:rsid w:val="00913F77"/>
    <w:rsid w:val="0091469F"/>
    <w:rsid w:val="009147BE"/>
    <w:rsid w:val="009149EA"/>
    <w:rsid w:val="00914C77"/>
    <w:rsid w:val="00914D54"/>
    <w:rsid w:val="0091544A"/>
    <w:rsid w:val="00915841"/>
    <w:rsid w:val="00915AAB"/>
    <w:rsid w:val="00915C92"/>
    <w:rsid w:val="00915E23"/>
    <w:rsid w:val="00916D6A"/>
    <w:rsid w:val="00916E64"/>
    <w:rsid w:val="00916F98"/>
    <w:rsid w:val="00917B6F"/>
    <w:rsid w:val="009204C0"/>
    <w:rsid w:val="009208C4"/>
    <w:rsid w:val="00920E4B"/>
    <w:rsid w:val="0092159A"/>
    <w:rsid w:val="009215DA"/>
    <w:rsid w:val="0092187A"/>
    <w:rsid w:val="00921ACB"/>
    <w:rsid w:val="00922033"/>
    <w:rsid w:val="009224AE"/>
    <w:rsid w:val="0092369B"/>
    <w:rsid w:val="00923A00"/>
    <w:rsid w:val="00923DDB"/>
    <w:rsid w:val="009241D1"/>
    <w:rsid w:val="00924ED8"/>
    <w:rsid w:val="00924FB3"/>
    <w:rsid w:val="009250B9"/>
    <w:rsid w:val="009266D8"/>
    <w:rsid w:val="00926755"/>
    <w:rsid w:val="00927827"/>
    <w:rsid w:val="00927CCB"/>
    <w:rsid w:val="009317C7"/>
    <w:rsid w:val="00931C0A"/>
    <w:rsid w:val="00931FE6"/>
    <w:rsid w:val="009320FC"/>
    <w:rsid w:val="00932164"/>
    <w:rsid w:val="0093220D"/>
    <w:rsid w:val="009323F5"/>
    <w:rsid w:val="0093275E"/>
    <w:rsid w:val="0093328D"/>
    <w:rsid w:val="009336A6"/>
    <w:rsid w:val="00933A28"/>
    <w:rsid w:val="009347CE"/>
    <w:rsid w:val="00934988"/>
    <w:rsid w:val="0093620A"/>
    <w:rsid w:val="00936317"/>
    <w:rsid w:val="00937089"/>
    <w:rsid w:val="009378E3"/>
    <w:rsid w:val="00937CBA"/>
    <w:rsid w:val="0094053B"/>
    <w:rsid w:val="00940666"/>
    <w:rsid w:val="00940AEB"/>
    <w:rsid w:val="00940CAD"/>
    <w:rsid w:val="00941316"/>
    <w:rsid w:val="009419CA"/>
    <w:rsid w:val="00941F51"/>
    <w:rsid w:val="00942A73"/>
    <w:rsid w:val="00942C45"/>
    <w:rsid w:val="009434B2"/>
    <w:rsid w:val="00943803"/>
    <w:rsid w:val="00943DAE"/>
    <w:rsid w:val="009444CF"/>
    <w:rsid w:val="00944876"/>
    <w:rsid w:val="00944CD4"/>
    <w:rsid w:val="00944D93"/>
    <w:rsid w:val="00944EDC"/>
    <w:rsid w:val="00944F8A"/>
    <w:rsid w:val="00945A92"/>
    <w:rsid w:val="00945FBE"/>
    <w:rsid w:val="0094664C"/>
    <w:rsid w:val="0094666E"/>
    <w:rsid w:val="0094685E"/>
    <w:rsid w:val="00946C63"/>
    <w:rsid w:val="0094731A"/>
    <w:rsid w:val="009474AC"/>
    <w:rsid w:val="009475D3"/>
    <w:rsid w:val="0094771C"/>
    <w:rsid w:val="0095013F"/>
    <w:rsid w:val="009503D0"/>
    <w:rsid w:val="009507BA"/>
    <w:rsid w:val="009510A2"/>
    <w:rsid w:val="009511C8"/>
    <w:rsid w:val="0095190F"/>
    <w:rsid w:val="00951FD5"/>
    <w:rsid w:val="0095241A"/>
    <w:rsid w:val="009527FE"/>
    <w:rsid w:val="00952C94"/>
    <w:rsid w:val="00952F6B"/>
    <w:rsid w:val="00953200"/>
    <w:rsid w:val="00953257"/>
    <w:rsid w:val="009538A7"/>
    <w:rsid w:val="00954052"/>
    <w:rsid w:val="0095474C"/>
    <w:rsid w:val="00954863"/>
    <w:rsid w:val="00954962"/>
    <w:rsid w:val="00955163"/>
    <w:rsid w:val="00955A37"/>
    <w:rsid w:val="00955E1D"/>
    <w:rsid w:val="00955E9F"/>
    <w:rsid w:val="00956A5C"/>
    <w:rsid w:val="00956B26"/>
    <w:rsid w:val="00956DB3"/>
    <w:rsid w:val="009571A5"/>
    <w:rsid w:val="0095760C"/>
    <w:rsid w:val="00957BCB"/>
    <w:rsid w:val="00957D5D"/>
    <w:rsid w:val="00957D92"/>
    <w:rsid w:val="00957EA2"/>
    <w:rsid w:val="0096004D"/>
    <w:rsid w:val="009619D1"/>
    <w:rsid w:val="0096245F"/>
    <w:rsid w:val="00962CB9"/>
    <w:rsid w:val="00962CF2"/>
    <w:rsid w:val="00962FBA"/>
    <w:rsid w:val="0096329D"/>
    <w:rsid w:val="00963567"/>
    <w:rsid w:val="00964312"/>
    <w:rsid w:val="00965B8A"/>
    <w:rsid w:val="00965CEF"/>
    <w:rsid w:val="00965E6B"/>
    <w:rsid w:val="0096678D"/>
    <w:rsid w:val="00966A94"/>
    <w:rsid w:val="00967865"/>
    <w:rsid w:val="009706BA"/>
    <w:rsid w:val="0097071F"/>
    <w:rsid w:val="009707CF"/>
    <w:rsid w:val="009709B8"/>
    <w:rsid w:val="00970A22"/>
    <w:rsid w:val="009716BD"/>
    <w:rsid w:val="009717AC"/>
    <w:rsid w:val="00971808"/>
    <w:rsid w:val="0097182F"/>
    <w:rsid w:val="009722EF"/>
    <w:rsid w:val="009727D4"/>
    <w:rsid w:val="009729E3"/>
    <w:rsid w:val="00972A61"/>
    <w:rsid w:val="00972F3B"/>
    <w:rsid w:val="0097328D"/>
    <w:rsid w:val="0097334E"/>
    <w:rsid w:val="00973712"/>
    <w:rsid w:val="00973E62"/>
    <w:rsid w:val="00974308"/>
    <w:rsid w:val="00974AFF"/>
    <w:rsid w:val="00974FAB"/>
    <w:rsid w:val="00974FF8"/>
    <w:rsid w:val="009751C1"/>
    <w:rsid w:val="0097543B"/>
    <w:rsid w:val="0097583A"/>
    <w:rsid w:val="00975AF0"/>
    <w:rsid w:val="0097638A"/>
    <w:rsid w:val="0097759A"/>
    <w:rsid w:val="009778BA"/>
    <w:rsid w:val="00977F14"/>
    <w:rsid w:val="009800C7"/>
    <w:rsid w:val="00980736"/>
    <w:rsid w:val="00980A76"/>
    <w:rsid w:val="00980AF8"/>
    <w:rsid w:val="00980DC5"/>
    <w:rsid w:val="009811F1"/>
    <w:rsid w:val="00981707"/>
    <w:rsid w:val="00981D73"/>
    <w:rsid w:val="00982073"/>
    <w:rsid w:val="00982106"/>
    <w:rsid w:val="009828BB"/>
    <w:rsid w:val="00983E57"/>
    <w:rsid w:val="00984577"/>
    <w:rsid w:val="00984C5E"/>
    <w:rsid w:val="00984D90"/>
    <w:rsid w:val="009850DC"/>
    <w:rsid w:val="00985585"/>
    <w:rsid w:val="0098570F"/>
    <w:rsid w:val="00985DE2"/>
    <w:rsid w:val="0098675D"/>
    <w:rsid w:val="00987BA4"/>
    <w:rsid w:val="00987D81"/>
    <w:rsid w:val="00987E92"/>
    <w:rsid w:val="00990530"/>
    <w:rsid w:val="009907FA"/>
    <w:rsid w:val="009917B9"/>
    <w:rsid w:val="00991AA6"/>
    <w:rsid w:val="00991D4D"/>
    <w:rsid w:val="00991F94"/>
    <w:rsid w:val="0099253A"/>
    <w:rsid w:val="009926E0"/>
    <w:rsid w:val="009928C5"/>
    <w:rsid w:val="00992B51"/>
    <w:rsid w:val="00992C99"/>
    <w:rsid w:val="00993319"/>
    <w:rsid w:val="00993512"/>
    <w:rsid w:val="009937AF"/>
    <w:rsid w:val="00993E11"/>
    <w:rsid w:val="0099451E"/>
    <w:rsid w:val="009945DB"/>
    <w:rsid w:val="009948D0"/>
    <w:rsid w:val="009960FD"/>
    <w:rsid w:val="00996B1A"/>
    <w:rsid w:val="00996E0F"/>
    <w:rsid w:val="0099761C"/>
    <w:rsid w:val="0099766C"/>
    <w:rsid w:val="0099796F"/>
    <w:rsid w:val="00997F75"/>
    <w:rsid w:val="009A0293"/>
    <w:rsid w:val="009A05E4"/>
    <w:rsid w:val="009A078E"/>
    <w:rsid w:val="009A18F6"/>
    <w:rsid w:val="009A2DCC"/>
    <w:rsid w:val="009A2F2A"/>
    <w:rsid w:val="009A30F5"/>
    <w:rsid w:val="009A3147"/>
    <w:rsid w:val="009A35BB"/>
    <w:rsid w:val="009A385F"/>
    <w:rsid w:val="009A3D7B"/>
    <w:rsid w:val="009A3E5F"/>
    <w:rsid w:val="009A3FF0"/>
    <w:rsid w:val="009A554D"/>
    <w:rsid w:val="009A5ABC"/>
    <w:rsid w:val="009A60AE"/>
    <w:rsid w:val="009A63A8"/>
    <w:rsid w:val="009A643A"/>
    <w:rsid w:val="009A656E"/>
    <w:rsid w:val="009A672D"/>
    <w:rsid w:val="009A6B9B"/>
    <w:rsid w:val="009A770A"/>
    <w:rsid w:val="009A7B35"/>
    <w:rsid w:val="009A7F10"/>
    <w:rsid w:val="009B052D"/>
    <w:rsid w:val="009B090D"/>
    <w:rsid w:val="009B0A4C"/>
    <w:rsid w:val="009B0F0B"/>
    <w:rsid w:val="009B1558"/>
    <w:rsid w:val="009B15ED"/>
    <w:rsid w:val="009B1E71"/>
    <w:rsid w:val="009B1FA0"/>
    <w:rsid w:val="009B203B"/>
    <w:rsid w:val="009B2127"/>
    <w:rsid w:val="009B2803"/>
    <w:rsid w:val="009B29C0"/>
    <w:rsid w:val="009B2FA6"/>
    <w:rsid w:val="009B33FC"/>
    <w:rsid w:val="009B3E26"/>
    <w:rsid w:val="009B411A"/>
    <w:rsid w:val="009B4545"/>
    <w:rsid w:val="009B50F5"/>
    <w:rsid w:val="009B522E"/>
    <w:rsid w:val="009B5448"/>
    <w:rsid w:val="009B645A"/>
    <w:rsid w:val="009B66CE"/>
    <w:rsid w:val="009B6C30"/>
    <w:rsid w:val="009B6CF6"/>
    <w:rsid w:val="009B6E22"/>
    <w:rsid w:val="009B7AFC"/>
    <w:rsid w:val="009B7F4B"/>
    <w:rsid w:val="009C06CE"/>
    <w:rsid w:val="009C0FC7"/>
    <w:rsid w:val="009C1271"/>
    <w:rsid w:val="009C3706"/>
    <w:rsid w:val="009C3A3A"/>
    <w:rsid w:val="009C43F3"/>
    <w:rsid w:val="009C5012"/>
    <w:rsid w:val="009C5ED6"/>
    <w:rsid w:val="009C684A"/>
    <w:rsid w:val="009C685C"/>
    <w:rsid w:val="009C6BDA"/>
    <w:rsid w:val="009C6CEA"/>
    <w:rsid w:val="009C6D39"/>
    <w:rsid w:val="009C7591"/>
    <w:rsid w:val="009C77A4"/>
    <w:rsid w:val="009C7871"/>
    <w:rsid w:val="009C7B85"/>
    <w:rsid w:val="009D001F"/>
    <w:rsid w:val="009D0254"/>
    <w:rsid w:val="009D02A6"/>
    <w:rsid w:val="009D0EA9"/>
    <w:rsid w:val="009D1081"/>
    <w:rsid w:val="009D135B"/>
    <w:rsid w:val="009D199A"/>
    <w:rsid w:val="009D1A64"/>
    <w:rsid w:val="009D2B06"/>
    <w:rsid w:val="009D2E3B"/>
    <w:rsid w:val="009D311E"/>
    <w:rsid w:val="009D342C"/>
    <w:rsid w:val="009D37BA"/>
    <w:rsid w:val="009D3B55"/>
    <w:rsid w:val="009D3D5B"/>
    <w:rsid w:val="009D4425"/>
    <w:rsid w:val="009D4603"/>
    <w:rsid w:val="009D48D2"/>
    <w:rsid w:val="009D492D"/>
    <w:rsid w:val="009D50CF"/>
    <w:rsid w:val="009D54E5"/>
    <w:rsid w:val="009D5B91"/>
    <w:rsid w:val="009D5D79"/>
    <w:rsid w:val="009D5D9F"/>
    <w:rsid w:val="009D5EFF"/>
    <w:rsid w:val="009D69C9"/>
    <w:rsid w:val="009D6D92"/>
    <w:rsid w:val="009D763E"/>
    <w:rsid w:val="009D792E"/>
    <w:rsid w:val="009D7FD6"/>
    <w:rsid w:val="009E0465"/>
    <w:rsid w:val="009E0DFE"/>
    <w:rsid w:val="009E1DAC"/>
    <w:rsid w:val="009E1E80"/>
    <w:rsid w:val="009E261C"/>
    <w:rsid w:val="009E270F"/>
    <w:rsid w:val="009E2C06"/>
    <w:rsid w:val="009E2E6F"/>
    <w:rsid w:val="009E31F6"/>
    <w:rsid w:val="009E3596"/>
    <w:rsid w:val="009E3818"/>
    <w:rsid w:val="009E3896"/>
    <w:rsid w:val="009E44BC"/>
    <w:rsid w:val="009E45F2"/>
    <w:rsid w:val="009E4C07"/>
    <w:rsid w:val="009E5469"/>
    <w:rsid w:val="009E5B77"/>
    <w:rsid w:val="009E64AC"/>
    <w:rsid w:val="009E653B"/>
    <w:rsid w:val="009E65BF"/>
    <w:rsid w:val="009E6A52"/>
    <w:rsid w:val="009E6B21"/>
    <w:rsid w:val="009E6B4D"/>
    <w:rsid w:val="009E6BDB"/>
    <w:rsid w:val="009E6D40"/>
    <w:rsid w:val="009E6E6C"/>
    <w:rsid w:val="009E7362"/>
    <w:rsid w:val="009E777F"/>
    <w:rsid w:val="009F000C"/>
    <w:rsid w:val="009F0A8F"/>
    <w:rsid w:val="009F0BCF"/>
    <w:rsid w:val="009F0CA8"/>
    <w:rsid w:val="009F13AB"/>
    <w:rsid w:val="009F2032"/>
    <w:rsid w:val="009F230F"/>
    <w:rsid w:val="009F236E"/>
    <w:rsid w:val="009F2610"/>
    <w:rsid w:val="009F2633"/>
    <w:rsid w:val="009F26FF"/>
    <w:rsid w:val="009F293B"/>
    <w:rsid w:val="009F3FDB"/>
    <w:rsid w:val="009F56F3"/>
    <w:rsid w:val="009F5FCC"/>
    <w:rsid w:val="009F6120"/>
    <w:rsid w:val="009F62F0"/>
    <w:rsid w:val="009F665F"/>
    <w:rsid w:val="009F68A7"/>
    <w:rsid w:val="009F6ABF"/>
    <w:rsid w:val="009F6AFE"/>
    <w:rsid w:val="009F6BA8"/>
    <w:rsid w:val="009F6F12"/>
    <w:rsid w:val="009F6F25"/>
    <w:rsid w:val="009F714A"/>
    <w:rsid w:val="009F7187"/>
    <w:rsid w:val="009F7247"/>
    <w:rsid w:val="009F7575"/>
    <w:rsid w:val="009F7ABC"/>
    <w:rsid w:val="00A0074B"/>
    <w:rsid w:val="00A00D76"/>
    <w:rsid w:val="00A00DD9"/>
    <w:rsid w:val="00A01184"/>
    <w:rsid w:val="00A01449"/>
    <w:rsid w:val="00A01790"/>
    <w:rsid w:val="00A01C12"/>
    <w:rsid w:val="00A028A7"/>
    <w:rsid w:val="00A02AD5"/>
    <w:rsid w:val="00A02C25"/>
    <w:rsid w:val="00A037C2"/>
    <w:rsid w:val="00A03A6E"/>
    <w:rsid w:val="00A03D43"/>
    <w:rsid w:val="00A041FF"/>
    <w:rsid w:val="00A04380"/>
    <w:rsid w:val="00A04786"/>
    <w:rsid w:val="00A047DE"/>
    <w:rsid w:val="00A05472"/>
    <w:rsid w:val="00A05938"/>
    <w:rsid w:val="00A05C32"/>
    <w:rsid w:val="00A05D58"/>
    <w:rsid w:val="00A0653F"/>
    <w:rsid w:val="00A06E4C"/>
    <w:rsid w:val="00A0794C"/>
    <w:rsid w:val="00A07D2E"/>
    <w:rsid w:val="00A07D46"/>
    <w:rsid w:val="00A10485"/>
    <w:rsid w:val="00A10871"/>
    <w:rsid w:val="00A1090B"/>
    <w:rsid w:val="00A110C2"/>
    <w:rsid w:val="00A11648"/>
    <w:rsid w:val="00A117DE"/>
    <w:rsid w:val="00A117E1"/>
    <w:rsid w:val="00A11928"/>
    <w:rsid w:val="00A11CD0"/>
    <w:rsid w:val="00A1211F"/>
    <w:rsid w:val="00A129C8"/>
    <w:rsid w:val="00A12EDD"/>
    <w:rsid w:val="00A13090"/>
    <w:rsid w:val="00A136FE"/>
    <w:rsid w:val="00A13948"/>
    <w:rsid w:val="00A13AE0"/>
    <w:rsid w:val="00A13AFD"/>
    <w:rsid w:val="00A14498"/>
    <w:rsid w:val="00A14E44"/>
    <w:rsid w:val="00A1541A"/>
    <w:rsid w:val="00A1555B"/>
    <w:rsid w:val="00A155C5"/>
    <w:rsid w:val="00A15CAF"/>
    <w:rsid w:val="00A16290"/>
    <w:rsid w:val="00A162CF"/>
    <w:rsid w:val="00A165F8"/>
    <w:rsid w:val="00A16AD8"/>
    <w:rsid w:val="00A16E48"/>
    <w:rsid w:val="00A17876"/>
    <w:rsid w:val="00A17AC6"/>
    <w:rsid w:val="00A2021E"/>
    <w:rsid w:val="00A203BB"/>
    <w:rsid w:val="00A20E92"/>
    <w:rsid w:val="00A218F8"/>
    <w:rsid w:val="00A21A33"/>
    <w:rsid w:val="00A21A50"/>
    <w:rsid w:val="00A21C95"/>
    <w:rsid w:val="00A21CF3"/>
    <w:rsid w:val="00A21E76"/>
    <w:rsid w:val="00A21F7B"/>
    <w:rsid w:val="00A2216C"/>
    <w:rsid w:val="00A2388C"/>
    <w:rsid w:val="00A23A64"/>
    <w:rsid w:val="00A241BB"/>
    <w:rsid w:val="00A246B4"/>
    <w:rsid w:val="00A24813"/>
    <w:rsid w:val="00A24FFA"/>
    <w:rsid w:val="00A25BEA"/>
    <w:rsid w:val="00A25C91"/>
    <w:rsid w:val="00A2648C"/>
    <w:rsid w:val="00A2720F"/>
    <w:rsid w:val="00A27736"/>
    <w:rsid w:val="00A27AEC"/>
    <w:rsid w:val="00A27BA6"/>
    <w:rsid w:val="00A305D3"/>
    <w:rsid w:val="00A312AB"/>
    <w:rsid w:val="00A312B7"/>
    <w:rsid w:val="00A3186A"/>
    <w:rsid w:val="00A31A41"/>
    <w:rsid w:val="00A31AE9"/>
    <w:rsid w:val="00A320DB"/>
    <w:rsid w:val="00A3245C"/>
    <w:rsid w:val="00A327EC"/>
    <w:rsid w:val="00A32963"/>
    <w:rsid w:val="00A3330B"/>
    <w:rsid w:val="00A3354D"/>
    <w:rsid w:val="00A33625"/>
    <w:rsid w:val="00A33AD9"/>
    <w:rsid w:val="00A33D34"/>
    <w:rsid w:val="00A340F2"/>
    <w:rsid w:val="00A3472A"/>
    <w:rsid w:val="00A348F9"/>
    <w:rsid w:val="00A34AA2"/>
    <w:rsid w:val="00A35D16"/>
    <w:rsid w:val="00A35E04"/>
    <w:rsid w:val="00A365A2"/>
    <w:rsid w:val="00A37BCD"/>
    <w:rsid w:val="00A37E9E"/>
    <w:rsid w:val="00A402E7"/>
    <w:rsid w:val="00A40A87"/>
    <w:rsid w:val="00A40CB7"/>
    <w:rsid w:val="00A40CF6"/>
    <w:rsid w:val="00A40E3F"/>
    <w:rsid w:val="00A415CD"/>
    <w:rsid w:val="00A4163E"/>
    <w:rsid w:val="00A41689"/>
    <w:rsid w:val="00A41D73"/>
    <w:rsid w:val="00A420A6"/>
    <w:rsid w:val="00A422FE"/>
    <w:rsid w:val="00A42592"/>
    <w:rsid w:val="00A42766"/>
    <w:rsid w:val="00A42788"/>
    <w:rsid w:val="00A42DD2"/>
    <w:rsid w:val="00A4387D"/>
    <w:rsid w:val="00A43C59"/>
    <w:rsid w:val="00A44474"/>
    <w:rsid w:val="00A444C1"/>
    <w:rsid w:val="00A44628"/>
    <w:rsid w:val="00A446AC"/>
    <w:rsid w:val="00A447B6"/>
    <w:rsid w:val="00A45049"/>
    <w:rsid w:val="00A45509"/>
    <w:rsid w:val="00A4678F"/>
    <w:rsid w:val="00A46E51"/>
    <w:rsid w:val="00A471D3"/>
    <w:rsid w:val="00A4726D"/>
    <w:rsid w:val="00A47BF8"/>
    <w:rsid w:val="00A47D70"/>
    <w:rsid w:val="00A47FD0"/>
    <w:rsid w:val="00A50604"/>
    <w:rsid w:val="00A50E8D"/>
    <w:rsid w:val="00A50ECD"/>
    <w:rsid w:val="00A515B1"/>
    <w:rsid w:val="00A518F3"/>
    <w:rsid w:val="00A51A28"/>
    <w:rsid w:val="00A51B21"/>
    <w:rsid w:val="00A523AE"/>
    <w:rsid w:val="00A52567"/>
    <w:rsid w:val="00A52729"/>
    <w:rsid w:val="00A529AF"/>
    <w:rsid w:val="00A52C99"/>
    <w:rsid w:val="00A53675"/>
    <w:rsid w:val="00A540C6"/>
    <w:rsid w:val="00A54B1B"/>
    <w:rsid w:val="00A550CA"/>
    <w:rsid w:val="00A5546A"/>
    <w:rsid w:val="00A564D7"/>
    <w:rsid w:val="00A56B6A"/>
    <w:rsid w:val="00A571A8"/>
    <w:rsid w:val="00A571BE"/>
    <w:rsid w:val="00A573EA"/>
    <w:rsid w:val="00A5789D"/>
    <w:rsid w:val="00A578DC"/>
    <w:rsid w:val="00A57977"/>
    <w:rsid w:val="00A613E2"/>
    <w:rsid w:val="00A615F9"/>
    <w:rsid w:val="00A6191C"/>
    <w:rsid w:val="00A61A90"/>
    <w:rsid w:val="00A620D9"/>
    <w:rsid w:val="00A6229A"/>
    <w:rsid w:val="00A6244F"/>
    <w:rsid w:val="00A633F5"/>
    <w:rsid w:val="00A635F3"/>
    <w:rsid w:val="00A6364E"/>
    <w:rsid w:val="00A637C4"/>
    <w:rsid w:val="00A63882"/>
    <w:rsid w:val="00A640E2"/>
    <w:rsid w:val="00A647AD"/>
    <w:rsid w:val="00A64B66"/>
    <w:rsid w:val="00A64D65"/>
    <w:rsid w:val="00A65345"/>
    <w:rsid w:val="00A6664B"/>
    <w:rsid w:val="00A66A64"/>
    <w:rsid w:val="00A6725B"/>
    <w:rsid w:val="00A6763F"/>
    <w:rsid w:val="00A67EEC"/>
    <w:rsid w:val="00A702CE"/>
    <w:rsid w:val="00A703D6"/>
    <w:rsid w:val="00A70605"/>
    <w:rsid w:val="00A706B9"/>
    <w:rsid w:val="00A707E9"/>
    <w:rsid w:val="00A71156"/>
    <w:rsid w:val="00A71AFD"/>
    <w:rsid w:val="00A72190"/>
    <w:rsid w:val="00A72C38"/>
    <w:rsid w:val="00A73134"/>
    <w:rsid w:val="00A73220"/>
    <w:rsid w:val="00A7365A"/>
    <w:rsid w:val="00A75D2A"/>
    <w:rsid w:val="00A75D9D"/>
    <w:rsid w:val="00A76001"/>
    <w:rsid w:val="00A7645F"/>
    <w:rsid w:val="00A7676B"/>
    <w:rsid w:val="00A76805"/>
    <w:rsid w:val="00A76B00"/>
    <w:rsid w:val="00A77313"/>
    <w:rsid w:val="00A777B2"/>
    <w:rsid w:val="00A777F3"/>
    <w:rsid w:val="00A779D0"/>
    <w:rsid w:val="00A77E3E"/>
    <w:rsid w:val="00A81CF1"/>
    <w:rsid w:val="00A81D48"/>
    <w:rsid w:val="00A81D72"/>
    <w:rsid w:val="00A825D4"/>
    <w:rsid w:val="00A828F6"/>
    <w:rsid w:val="00A82A7F"/>
    <w:rsid w:val="00A82B73"/>
    <w:rsid w:val="00A8337A"/>
    <w:rsid w:val="00A8342E"/>
    <w:rsid w:val="00A8389A"/>
    <w:rsid w:val="00A83AE7"/>
    <w:rsid w:val="00A85659"/>
    <w:rsid w:val="00A85C0F"/>
    <w:rsid w:val="00A85D2F"/>
    <w:rsid w:val="00A85F50"/>
    <w:rsid w:val="00A86216"/>
    <w:rsid w:val="00A86E79"/>
    <w:rsid w:val="00A86E8B"/>
    <w:rsid w:val="00A87164"/>
    <w:rsid w:val="00A871A9"/>
    <w:rsid w:val="00A87679"/>
    <w:rsid w:val="00A879F8"/>
    <w:rsid w:val="00A87FF6"/>
    <w:rsid w:val="00A905B3"/>
    <w:rsid w:val="00A9100A"/>
    <w:rsid w:val="00A91C79"/>
    <w:rsid w:val="00A91D9A"/>
    <w:rsid w:val="00A92150"/>
    <w:rsid w:val="00A92260"/>
    <w:rsid w:val="00A923BF"/>
    <w:rsid w:val="00A92F14"/>
    <w:rsid w:val="00A93072"/>
    <w:rsid w:val="00A931AD"/>
    <w:rsid w:val="00A931B5"/>
    <w:rsid w:val="00A931C1"/>
    <w:rsid w:val="00A931FE"/>
    <w:rsid w:val="00A935C8"/>
    <w:rsid w:val="00A938BD"/>
    <w:rsid w:val="00A93953"/>
    <w:rsid w:val="00A93BED"/>
    <w:rsid w:val="00A94216"/>
    <w:rsid w:val="00A959D8"/>
    <w:rsid w:val="00A96252"/>
    <w:rsid w:val="00A9648D"/>
    <w:rsid w:val="00A96A3C"/>
    <w:rsid w:val="00A96BD5"/>
    <w:rsid w:val="00A96EB6"/>
    <w:rsid w:val="00A9703D"/>
    <w:rsid w:val="00A9760C"/>
    <w:rsid w:val="00A97A0B"/>
    <w:rsid w:val="00AA02AE"/>
    <w:rsid w:val="00AA113D"/>
    <w:rsid w:val="00AA1355"/>
    <w:rsid w:val="00AA1D6E"/>
    <w:rsid w:val="00AA1FEA"/>
    <w:rsid w:val="00AA2021"/>
    <w:rsid w:val="00AA27CA"/>
    <w:rsid w:val="00AA2E64"/>
    <w:rsid w:val="00AA3FCE"/>
    <w:rsid w:val="00AA44D4"/>
    <w:rsid w:val="00AA45E4"/>
    <w:rsid w:val="00AA468E"/>
    <w:rsid w:val="00AA473F"/>
    <w:rsid w:val="00AA5B4D"/>
    <w:rsid w:val="00AA5CE4"/>
    <w:rsid w:val="00AA5F3D"/>
    <w:rsid w:val="00AA5F5B"/>
    <w:rsid w:val="00AA6981"/>
    <w:rsid w:val="00AA6BD5"/>
    <w:rsid w:val="00AA6BD8"/>
    <w:rsid w:val="00AA6C64"/>
    <w:rsid w:val="00AA6C7D"/>
    <w:rsid w:val="00AA77BC"/>
    <w:rsid w:val="00AA796F"/>
    <w:rsid w:val="00AA7A7D"/>
    <w:rsid w:val="00AA7E17"/>
    <w:rsid w:val="00AA7EF7"/>
    <w:rsid w:val="00AA7FD6"/>
    <w:rsid w:val="00AB007A"/>
    <w:rsid w:val="00AB042A"/>
    <w:rsid w:val="00AB061F"/>
    <w:rsid w:val="00AB11AD"/>
    <w:rsid w:val="00AB19EF"/>
    <w:rsid w:val="00AB1A07"/>
    <w:rsid w:val="00AB1BB5"/>
    <w:rsid w:val="00AB2495"/>
    <w:rsid w:val="00AB2537"/>
    <w:rsid w:val="00AB281A"/>
    <w:rsid w:val="00AB2D34"/>
    <w:rsid w:val="00AB2E72"/>
    <w:rsid w:val="00AB2FC4"/>
    <w:rsid w:val="00AB3430"/>
    <w:rsid w:val="00AB37B9"/>
    <w:rsid w:val="00AB39AC"/>
    <w:rsid w:val="00AB3BA3"/>
    <w:rsid w:val="00AB40F4"/>
    <w:rsid w:val="00AB411C"/>
    <w:rsid w:val="00AB4AD1"/>
    <w:rsid w:val="00AB5317"/>
    <w:rsid w:val="00AB5645"/>
    <w:rsid w:val="00AB5E07"/>
    <w:rsid w:val="00AB64C1"/>
    <w:rsid w:val="00AB64FD"/>
    <w:rsid w:val="00AB7B48"/>
    <w:rsid w:val="00AB7CFA"/>
    <w:rsid w:val="00AB7D60"/>
    <w:rsid w:val="00AB7E54"/>
    <w:rsid w:val="00AC00D9"/>
    <w:rsid w:val="00AC00FB"/>
    <w:rsid w:val="00AC0373"/>
    <w:rsid w:val="00AC0A6E"/>
    <w:rsid w:val="00AC0BD1"/>
    <w:rsid w:val="00AC0E37"/>
    <w:rsid w:val="00AC115E"/>
    <w:rsid w:val="00AC1293"/>
    <w:rsid w:val="00AC26F9"/>
    <w:rsid w:val="00AC2A99"/>
    <w:rsid w:val="00AC30C8"/>
    <w:rsid w:val="00AC30CF"/>
    <w:rsid w:val="00AC3299"/>
    <w:rsid w:val="00AC38AA"/>
    <w:rsid w:val="00AC3D89"/>
    <w:rsid w:val="00AC4094"/>
    <w:rsid w:val="00AC428B"/>
    <w:rsid w:val="00AC45ED"/>
    <w:rsid w:val="00AC49BA"/>
    <w:rsid w:val="00AC4F92"/>
    <w:rsid w:val="00AC521E"/>
    <w:rsid w:val="00AC5549"/>
    <w:rsid w:val="00AC563A"/>
    <w:rsid w:val="00AC5B42"/>
    <w:rsid w:val="00AC5B48"/>
    <w:rsid w:val="00AC5F36"/>
    <w:rsid w:val="00AC6237"/>
    <w:rsid w:val="00AC6395"/>
    <w:rsid w:val="00AC6632"/>
    <w:rsid w:val="00AC6650"/>
    <w:rsid w:val="00AD03B9"/>
    <w:rsid w:val="00AD10B7"/>
    <w:rsid w:val="00AD1450"/>
    <w:rsid w:val="00AD15E8"/>
    <w:rsid w:val="00AD19FA"/>
    <w:rsid w:val="00AD2532"/>
    <w:rsid w:val="00AD28C2"/>
    <w:rsid w:val="00AD2977"/>
    <w:rsid w:val="00AD356D"/>
    <w:rsid w:val="00AD3E7E"/>
    <w:rsid w:val="00AD3FDA"/>
    <w:rsid w:val="00AD43DE"/>
    <w:rsid w:val="00AD4FE8"/>
    <w:rsid w:val="00AD53C0"/>
    <w:rsid w:val="00AD54F8"/>
    <w:rsid w:val="00AD5C74"/>
    <w:rsid w:val="00AD6227"/>
    <w:rsid w:val="00AD6502"/>
    <w:rsid w:val="00AD6622"/>
    <w:rsid w:val="00AD6943"/>
    <w:rsid w:val="00AD6DAD"/>
    <w:rsid w:val="00AD73E4"/>
    <w:rsid w:val="00AD7707"/>
    <w:rsid w:val="00AD77BA"/>
    <w:rsid w:val="00AD7D86"/>
    <w:rsid w:val="00AD7E05"/>
    <w:rsid w:val="00AE0388"/>
    <w:rsid w:val="00AE045D"/>
    <w:rsid w:val="00AE0695"/>
    <w:rsid w:val="00AE0729"/>
    <w:rsid w:val="00AE11AC"/>
    <w:rsid w:val="00AE17AE"/>
    <w:rsid w:val="00AE18DD"/>
    <w:rsid w:val="00AE2034"/>
    <w:rsid w:val="00AE28C8"/>
    <w:rsid w:val="00AE2F16"/>
    <w:rsid w:val="00AE33CB"/>
    <w:rsid w:val="00AE36F5"/>
    <w:rsid w:val="00AE3732"/>
    <w:rsid w:val="00AE3D31"/>
    <w:rsid w:val="00AE3DDF"/>
    <w:rsid w:val="00AE3E7E"/>
    <w:rsid w:val="00AE3F20"/>
    <w:rsid w:val="00AE4410"/>
    <w:rsid w:val="00AE46CD"/>
    <w:rsid w:val="00AE4793"/>
    <w:rsid w:val="00AE4A47"/>
    <w:rsid w:val="00AE564A"/>
    <w:rsid w:val="00AE5EFF"/>
    <w:rsid w:val="00AE6362"/>
    <w:rsid w:val="00AE66E6"/>
    <w:rsid w:val="00AE6A74"/>
    <w:rsid w:val="00AE6DE9"/>
    <w:rsid w:val="00AE7BFE"/>
    <w:rsid w:val="00AE7E53"/>
    <w:rsid w:val="00AF037B"/>
    <w:rsid w:val="00AF07E2"/>
    <w:rsid w:val="00AF07EF"/>
    <w:rsid w:val="00AF0DB3"/>
    <w:rsid w:val="00AF1315"/>
    <w:rsid w:val="00AF1596"/>
    <w:rsid w:val="00AF1645"/>
    <w:rsid w:val="00AF19BF"/>
    <w:rsid w:val="00AF1BA6"/>
    <w:rsid w:val="00AF27E5"/>
    <w:rsid w:val="00AF2DC3"/>
    <w:rsid w:val="00AF36FB"/>
    <w:rsid w:val="00AF42FD"/>
    <w:rsid w:val="00AF43C2"/>
    <w:rsid w:val="00AF638B"/>
    <w:rsid w:val="00AF65BF"/>
    <w:rsid w:val="00AF7409"/>
    <w:rsid w:val="00AF7F62"/>
    <w:rsid w:val="00B003FD"/>
    <w:rsid w:val="00B010F7"/>
    <w:rsid w:val="00B01458"/>
    <w:rsid w:val="00B01719"/>
    <w:rsid w:val="00B01BBD"/>
    <w:rsid w:val="00B01C3A"/>
    <w:rsid w:val="00B02754"/>
    <w:rsid w:val="00B033E5"/>
    <w:rsid w:val="00B0370A"/>
    <w:rsid w:val="00B0372E"/>
    <w:rsid w:val="00B03A63"/>
    <w:rsid w:val="00B0452A"/>
    <w:rsid w:val="00B04920"/>
    <w:rsid w:val="00B04A79"/>
    <w:rsid w:val="00B04BF8"/>
    <w:rsid w:val="00B05889"/>
    <w:rsid w:val="00B05A16"/>
    <w:rsid w:val="00B05E9D"/>
    <w:rsid w:val="00B07359"/>
    <w:rsid w:val="00B07AF3"/>
    <w:rsid w:val="00B07FDA"/>
    <w:rsid w:val="00B10230"/>
    <w:rsid w:val="00B1041E"/>
    <w:rsid w:val="00B105BB"/>
    <w:rsid w:val="00B10AFD"/>
    <w:rsid w:val="00B10B46"/>
    <w:rsid w:val="00B10BCE"/>
    <w:rsid w:val="00B10C76"/>
    <w:rsid w:val="00B11266"/>
    <w:rsid w:val="00B115E9"/>
    <w:rsid w:val="00B11618"/>
    <w:rsid w:val="00B1211A"/>
    <w:rsid w:val="00B129A4"/>
    <w:rsid w:val="00B12CA7"/>
    <w:rsid w:val="00B12EFB"/>
    <w:rsid w:val="00B12F59"/>
    <w:rsid w:val="00B143B2"/>
    <w:rsid w:val="00B14AB5"/>
    <w:rsid w:val="00B14D80"/>
    <w:rsid w:val="00B14FF9"/>
    <w:rsid w:val="00B15607"/>
    <w:rsid w:val="00B15B4B"/>
    <w:rsid w:val="00B16107"/>
    <w:rsid w:val="00B16640"/>
    <w:rsid w:val="00B16AA9"/>
    <w:rsid w:val="00B16E10"/>
    <w:rsid w:val="00B16EB0"/>
    <w:rsid w:val="00B16F05"/>
    <w:rsid w:val="00B16FA4"/>
    <w:rsid w:val="00B178CA"/>
    <w:rsid w:val="00B17934"/>
    <w:rsid w:val="00B17B9A"/>
    <w:rsid w:val="00B17BBD"/>
    <w:rsid w:val="00B17C6D"/>
    <w:rsid w:val="00B2006D"/>
    <w:rsid w:val="00B2011E"/>
    <w:rsid w:val="00B201A4"/>
    <w:rsid w:val="00B201D1"/>
    <w:rsid w:val="00B206B9"/>
    <w:rsid w:val="00B20938"/>
    <w:rsid w:val="00B21374"/>
    <w:rsid w:val="00B213A6"/>
    <w:rsid w:val="00B2246C"/>
    <w:rsid w:val="00B228E4"/>
    <w:rsid w:val="00B2294B"/>
    <w:rsid w:val="00B230A3"/>
    <w:rsid w:val="00B23167"/>
    <w:rsid w:val="00B23175"/>
    <w:rsid w:val="00B235B0"/>
    <w:rsid w:val="00B23A2B"/>
    <w:rsid w:val="00B23D62"/>
    <w:rsid w:val="00B23D7C"/>
    <w:rsid w:val="00B23F9A"/>
    <w:rsid w:val="00B24476"/>
    <w:rsid w:val="00B24616"/>
    <w:rsid w:val="00B246A5"/>
    <w:rsid w:val="00B249C1"/>
    <w:rsid w:val="00B24DF6"/>
    <w:rsid w:val="00B252B2"/>
    <w:rsid w:val="00B2531D"/>
    <w:rsid w:val="00B260BD"/>
    <w:rsid w:val="00B260F8"/>
    <w:rsid w:val="00B266AE"/>
    <w:rsid w:val="00B2685F"/>
    <w:rsid w:val="00B2730A"/>
    <w:rsid w:val="00B27A61"/>
    <w:rsid w:val="00B30806"/>
    <w:rsid w:val="00B313CD"/>
    <w:rsid w:val="00B31BED"/>
    <w:rsid w:val="00B31D0D"/>
    <w:rsid w:val="00B3249B"/>
    <w:rsid w:val="00B336CC"/>
    <w:rsid w:val="00B33944"/>
    <w:rsid w:val="00B33A51"/>
    <w:rsid w:val="00B34451"/>
    <w:rsid w:val="00B34D75"/>
    <w:rsid w:val="00B34FE2"/>
    <w:rsid w:val="00B35166"/>
    <w:rsid w:val="00B35408"/>
    <w:rsid w:val="00B357D8"/>
    <w:rsid w:val="00B360F4"/>
    <w:rsid w:val="00B361F1"/>
    <w:rsid w:val="00B36A00"/>
    <w:rsid w:val="00B375AA"/>
    <w:rsid w:val="00B3792B"/>
    <w:rsid w:val="00B37AEA"/>
    <w:rsid w:val="00B37BFC"/>
    <w:rsid w:val="00B37CC6"/>
    <w:rsid w:val="00B40358"/>
    <w:rsid w:val="00B4079A"/>
    <w:rsid w:val="00B40AE2"/>
    <w:rsid w:val="00B40E19"/>
    <w:rsid w:val="00B414B7"/>
    <w:rsid w:val="00B41614"/>
    <w:rsid w:val="00B41B15"/>
    <w:rsid w:val="00B41EFC"/>
    <w:rsid w:val="00B423A0"/>
    <w:rsid w:val="00B423E0"/>
    <w:rsid w:val="00B42772"/>
    <w:rsid w:val="00B42794"/>
    <w:rsid w:val="00B42851"/>
    <w:rsid w:val="00B42AC8"/>
    <w:rsid w:val="00B42B86"/>
    <w:rsid w:val="00B42F80"/>
    <w:rsid w:val="00B435CB"/>
    <w:rsid w:val="00B4439A"/>
    <w:rsid w:val="00B445B2"/>
    <w:rsid w:val="00B44720"/>
    <w:rsid w:val="00B4523A"/>
    <w:rsid w:val="00B4538E"/>
    <w:rsid w:val="00B45A7E"/>
    <w:rsid w:val="00B465EC"/>
    <w:rsid w:val="00B4707A"/>
    <w:rsid w:val="00B478AF"/>
    <w:rsid w:val="00B47A1E"/>
    <w:rsid w:val="00B505C8"/>
    <w:rsid w:val="00B50700"/>
    <w:rsid w:val="00B5093D"/>
    <w:rsid w:val="00B50DB8"/>
    <w:rsid w:val="00B51098"/>
    <w:rsid w:val="00B510FB"/>
    <w:rsid w:val="00B51430"/>
    <w:rsid w:val="00B51AF2"/>
    <w:rsid w:val="00B51B41"/>
    <w:rsid w:val="00B51C0E"/>
    <w:rsid w:val="00B5262A"/>
    <w:rsid w:val="00B52AA1"/>
    <w:rsid w:val="00B52F56"/>
    <w:rsid w:val="00B53654"/>
    <w:rsid w:val="00B5385C"/>
    <w:rsid w:val="00B53905"/>
    <w:rsid w:val="00B53DBD"/>
    <w:rsid w:val="00B546DB"/>
    <w:rsid w:val="00B54B5B"/>
    <w:rsid w:val="00B54E40"/>
    <w:rsid w:val="00B5562E"/>
    <w:rsid w:val="00B55862"/>
    <w:rsid w:val="00B55B8F"/>
    <w:rsid w:val="00B55D65"/>
    <w:rsid w:val="00B56305"/>
    <w:rsid w:val="00B56648"/>
    <w:rsid w:val="00B56EA6"/>
    <w:rsid w:val="00B57000"/>
    <w:rsid w:val="00B57038"/>
    <w:rsid w:val="00B576A2"/>
    <w:rsid w:val="00B57732"/>
    <w:rsid w:val="00B57DE9"/>
    <w:rsid w:val="00B57F37"/>
    <w:rsid w:val="00B60573"/>
    <w:rsid w:val="00B60939"/>
    <w:rsid w:val="00B60AFD"/>
    <w:rsid w:val="00B61A1D"/>
    <w:rsid w:val="00B61E85"/>
    <w:rsid w:val="00B624AE"/>
    <w:rsid w:val="00B62715"/>
    <w:rsid w:val="00B62DB0"/>
    <w:rsid w:val="00B63035"/>
    <w:rsid w:val="00B63154"/>
    <w:rsid w:val="00B63556"/>
    <w:rsid w:val="00B63642"/>
    <w:rsid w:val="00B63916"/>
    <w:rsid w:val="00B63A56"/>
    <w:rsid w:val="00B63B54"/>
    <w:rsid w:val="00B63DEC"/>
    <w:rsid w:val="00B64151"/>
    <w:rsid w:val="00B64CEF"/>
    <w:rsid w:val="00B65172"/>
    <w:rsid w:val="00B65611"/>
    <w:rsid w:val="00B66717"/>
    <w:rsid w:val="00B66877"/>
    <w:rsid w:val="00B67330"/>
    <w:rsid w:val="00B67344"/>
    <w:rsid w:val="00B67A8A"/>
    <w:rsid w:val="00B67DEF"/>
    <w:rsid w:val="00B67E62"/>
    <w:rsid w:val="00B700EF"/>
    <w:rsid w:val="00B70441"/>
    <w:rsid w:val="00B70518"/>
    <w:rsid w:val="00B70974"/>
    <w:rsid w:val="00B70D51"/>
    <w:rsid w:val="00B70E8E"/>
    <w:rsid w:val="00B71313"/>
    <w:rsid w:val="00B71574"/>
    <w:rsid w:val="00B71A18"/>
    <w:rsid w:val="00B71A76"/>
    <w:rsid w:val="00B71F16"/>
    <w:rsid w:val="00B72472"/>
    <w:rsid w:val="00B728D3"/>
    <w:rsid w:val="00B73233"/>
    <w:rsid w:val="00B736E3"/>
    <w:rsid w:val="00B73702"/>
    <w:rsid w:val="00B74740"/>
    <w:rsid w:val="00B748F0"/>
    <w:rsid w:val="00B74BC2"/>
    <w:rsid w:val="00B74C89"/>
    <w:rsid w:val="00B74EE1"/>
    <w:rsid w:val="00B751C3"/>
    <w:rsid w:val="00B758F5"/>
    <w:rsid w:val="00B76250"/>
    <w:rsid w:val="00B76260"/>
    <w:rsid w:val="00B76412"/>
    <w:rsid w:val="00B76581"/>
    <w:rsid w:val="00B76A09"/>
    <w:rsid w:val="00B76B52"/>
    <w:rsid w:val="00B76C92"/>
    <w:rsid w:val="00B76EF4"/>
    <w:rsid w:val="00B77E05"/>
    <w:rsid w:val="00B77EB9"/>
    <w:rsid w:val="00B80EFD"/>
    <w:rsid w:val="00B813DA"/>
    <w:rsid w:val="00B818A4"/>
    <w:rsid w:val="00B81C15"/>
    <w:rsid w:val="00B82948"/>
    <w:rsid w:val="00B83739"/>
    <w:rsid w:val="00B83780"/>
    <w:rsid w:val="00B8392B"/>
    <w:rsid w:val="00B84117"/>
    <w:rsid w:val="00B84219"/>
    <w:rsid w:val="00B84D05"/>
    <w:rsid w:val="00B851DC"/>
    <w:rsid w:val="00B85660"/>
    <w:rsid w:val="00B858F0"/>
    <w:rsid w:val="00B85AA2"/>
    <w:rsid w:val="00B8649C"/>
    <w:rsid w:val="00B867EE"/>
    <w:rsid w:val="00B8695D"/>
    <w:rsid w:val="00B86B1B"/>
    <w:rsid w:val="00B87314"/>
    <w:rsid w:val="00B87547"/>
    <w:rsid w:val="00B877BA"/>
    <w:rsid w:val="00B879DE"/>
    <w:rsid w:val="00B87F0A"/>
    <w:rsid w:val="00B904D2"/>
    <w:rsid w:val="00B90837"/>
    <w:rsid w:val="00B91257"/>
    <w:rsid w:val="00B91AC7"/>
    <w:rsid w:val="00B91E9B"/>
    <w:rsid w:val="00B92690"/>
    <w:rsid w:val="00B92D0B"/>
    <w:rsid w:val="00B92FA4"/>
    <w:rsid w:val="00B931D6"/>
    <w:rsid w:val="00B93B05"/>
    <w:rsid w:val="00B94349"/>
    <w:rsid w:val="00B94945"/>
    <w:rsid w:val="00B94DD6"/>
    <w:rsid w:val="00B95935"/>
    <w:rsid w:val="00B95E8B"/>
    <w:rsid w:val="00B96530"/>
    <w:rsid w:val="00B9695E"/>
    <w:rsid w:val="00B9727B"/>
    <w:rsid w:val="00B97400"/>
    <w:rsid w:val="00B9746E"/>
    <w:rsid w:val="00B97841"/>
    <w:rsid w:val="00B97EFD"/>
    <w:rsid w:val="00BA07B1"/>
    <w:rsid w:val="00BA08E4"/>
    <w:rsid w:val="00BA0A23"/>
    <w:rsid w:val="00BA1007"/>
    <w:rsid w:val="00BA10CA"/>
    <w:rsid w:val="00BA1D2C"/>
    <w:rsid w:val="00BA2471"/>
    <w:rsid w:val="00BA2C3C"/>
    <w:rsid w:val="00BA322D"/>
    <w:rsid w:val="00BA46AD"/>
    <w:rsid w:val="00BA559B"/>
    <w:rsid w:val="00BA63FA"/>
    <w:rsid w:val="00BA654C"/>
    <w:rsid w:val="00BA6B4A"/>
    <w:rsid w:val="00BA71BC"/>
    <w:rsid w:val="00BA734B"/>
    <w:rsid w:val="00BB00B3"/>
    <w:rsid w:val="00BB04ED"/>
    <w:rsid w:val="00BB0793"/>
    <w:rsid w:val="00BB0BDD"/>
    <w:rsid w:val="00BB1125"/>
    <w:rsid w:val="00BB1554"/>
    <w:rsid w:val="00BB176C"/>
    <w:rsid w:val="00BB1817"/>
    <w:rsid w:val="00BB1B5D"/>
    <w:rsid w:val="00BB1CA0"/>
    <w:rsid w:val="00BB1E8A"/>
    <w:rsid w:val="00BB2A35"/>
    <w:rsid w:val="00BB2A73"/>
    <w:rsid w:val="00BB2FA3"/>
    <w:rsid w:val="00BB2FDF"/>
    <w:rsid w:val="00BB33BE"/>
    <w:rsid w:val="00BB3548"/>
    <w:rsid w:val="00BB39D5"/>
    <w:rsid w:val="00BB3A45"/>
    <w:rsid w:val="00BB485C"/>
    <w:rsid w:val="00BB4A31"/>
    <w:rsid w:val="00BB4ACC"/>
    <w:rsid w:val="00BB5BD5"/>
    <w:rsid w:val="00BB6002"/>
    <w:rsid w:val="00BB61AD"/>
    <w:rsid w:val="00BB62A8"/>
    <w:rsid w:val="00BB703E"/>
    <w:rsid w:val="00BB7153"/>
    <w:rsid w:val="00BB732D"/>
    <w:rsid w:val="00BB7405"/>
    <w:rsid w:val="00BB7435"/>
    <w:rsid w:val="00BB7BE7"/>
    <w:rsid w:val="00BB7CF4"/>
    <w:rsid w:val="00BC0523"/>
    <w:rsid w:val="00BC12EC"/>
    <w:rsid w:val="00BC1634"/>
    <w:rsid w:val="00BC215B"/>
    <w:rsid w:val="00BC2ED7"/>
    <w:rsid w:val="00BC3286"/>
    <w:rsid w:val="00BC32E3"/>
    <w:rsid w:val="00BC3631"/>
    <w:rsid w:val="00BC365A"/>
    <w:rsid w:val="00BC376F"/>
    <w:rsid w:val="00BC3773"/>
    <w:rsid w:val="00BC39A9"/>
    <w:rsid w:val="00BC3C93"/>
    <w:rsid w:val="00BC469D"/>
    <w:rsid w:val="00BC591F"/>
    <w:rsid w:val="00BC6125"/>
    <w:rsid w:val="00BC6281"/>
    <w:rsid w:val="00BC6883"/>
    <w:rsid w:val="00BC6C21"/>
    <w:rsid w:val="00BC7A4F"/>
    <w:rsid w:val="00BC7AC4"/>
    <w:rsid w:val="00BC7D6D"/>
    <w:rsid w:val="00BD0726"/>
    <w:rsid w:val="00BD0AB8"/>
    <w:rsid w:val="00BD0BD1"/>
    <w:rsid w:val="00BD0D13"/>
    <w:rsid w:val="00BD2108"/>
    <w:rsid w:val="00BD25E5"/>
    <w:rsid w:val="00BD28B3"/>
    <w:rsid w:val="00BD2DAE"/>
    <w:rsid w:val="00BD2EB7"/>
    <w:rsid w:val="00BD2FB8"/>
    <w:rsid w:val="00BD3585"/>
    <w:rsid w:val="00BD3793"/>
    <w:rsid w:val="00BD3B50"/>
    <w:rsid w:val="00BD3FF6"/>
    <w:rsid w:val="00BD408B"/>
    <w:rsid w:val="00BD40A3"/>
    <w:rsid w:val="00BD504D"/>
    <w:rsid w:val="00BD533D"/>
    <w:rsid w:val="00BD59AD"/>
    <w:rsid w:val="00BD59BB"/>
    <w:rsid w:val="00BD68A3"/>
    <w:rsid w:val="00BD6938"/>
    <w:rsid w:val="00BD69DA"/>
    <w:rsid w:val="00BD6B04"/>
    <w:rsid w:val="00BD6CF3"/>
    <w:rsid w:val="00BD7778"/>
    <w:rsid w:val="00BD7823"/>
    <w:rsid w:val="00BD7C72"/>
    <w:rsid w:val="00BD7F72"/>
    <w:rsid w:val="00BD7FE6"/>
    <w:rsid w:val="00BE01DE"/>
    <w:rsid w:val="00BE0877"/>
    <w:rsid w:val="00BE0ACD"/>
    <w:rsid w:val="00BE0BCB"/>
    <w:rsid w:val="00BE0EBC"/>
    <w:rsid w:val="00BE0ECA"/>
    <w:rsid w:val="00BE1291"/>
    <w:rsid w:val="00BE1533"/>
    <w:rsid w:val="00BE179D"/>
    <w:rsid w:val="00BE2180"/>
    <w:rsid w:val="00BE21F2"/>
    <w:rsid w:val="00BE242E"/>
    <w:rsid w:val="00BE2B07"/>
    <w:rsid w:val="00BE3262"/>
    <w:rsid w:val="00BE3519"/>
    <w:rsid w:val="00BE3801"/>
    <w:rsid w:val="00BE4275"/>
    <w:rsid w:val="00BE4A65"/>
    <w:rsid w:val="00BE5226"/>
    <w:rsid w:val="00BE5562"/>
    <w:rsid w:val="00BE5899"/>
    <w:rsid w:val="00BE5C1C"/>
    <w:rsid w:val="00BE6780"/>
    <w:rsid w:val="00BE6930"/>
    <w:rsid w:val="00BE7598"/>
    <w:rsid w:val="00BE786B"/>
    <w:rsid w:val="00BF0031"/>
    <w:rsid w:val="00BF044D"/>
    <w:rsid w:val="00BF06AE"/>
    <w:rsid w:val="00BF0F95"/>
    <w:rsid w:val="00BF137B"/>
    <w:rsid w:val="00BF16D2"/>
    <w:rsid w:val="00BF1F13"/>
    <w:rsid w:val="00BF22C4"/>
    <w:rsid w:val="00BF2433"/>
    <w:rsid w:val="00BF2745"/>
    <w:rsid w:val="00BF28F2"/>
    <w:rsid w:val="00BF2B31"/>
    <w:rsid w:val="00BF2E6E"/>
    <w:rsid w:val="00BF383D"/>
    <w:rsid w:val="00BF390F"/>
    <w:rsid w:val="00BF3F10"/>
    <w:rsid w:val="00BF4B2F"/>
    <w:rsid w:val="00BF5A6A"/>
    <w:rsid w:val="00BF61C9"/>
    <w:rsid w:val="00BF6A70"/>
    <w:rsid w:val="00BF6A73"/>
    <w:rsid w:val="00BF6AF5"/>
    <w:rsid w:val="00BF6C94"/>
    <w:rsid w:val="00BF7D50"/>
    <w:rsid w:val="00C00424"/>
    <w:rsid w:val="00C005A9"/>
    <w:rsid w:val="00C00BB0"/>
    <w:rsid w:val="00C00FBE"/>
    <w:rsid w:val="00C02131"/>
    <w:rsid w:val="00C0246C"/>
    <w:rsid w:val="00C024E8"/>
    <w:rsid w:val="00C02548"/>
    <w:rsid w:val="00C03208"/>
    <w:rsid w:val="00C0324B"/>
    <w:rsid w:val="00C03545"/>
    <w:rsid w:val="00C0358E"/>
    <w:rsid w:val="00C03601"/>
    <w:rsid w:val="00C03606"/>
    <w:rsid w:val="00C037C3"/>
    <w:rsid w:val="00C03BA2"/>
    <w:rsid w:val="00C0441A"/>
    <w:rsid w:val="00C04EF9"/>
    <w:rsid w:val="00C05B2C"/>
    <w:rsid w:val="00C06859"/>
    <w:rsid w:val="00C068B5"/>
    <w:rsid w:val="00C06ABF"/>
    <w:rsid w:val="00C06DB1"/>
    <w:rsid w:val="00C07777"/>
    <w:rsid w:val="00C07876"/>
    <w:rsid w:val="00C10528"/>
    <w:rsid w:val="00C10953"/>
    <w:rsid w:val="00C10C89"/>
    <w:rsid w:val="00C10F0A"/>
    <w:rsid w:val="00C10F80"/>
    <w:rsid w:val="00C11491"/>
    <w:rsid w:val="00C11617"/>
    <w:rsid w:val="00C1179F"/>
    <w:rsid w:val="00C11CE0"/>
    <w:rsid w:val="00C120E5"/>
    <w:rsid w:val="00C1237D"/>
    <w:rsid w:val="00C127B9"/>
    <w:rsid w:val="00C128FA"/>
    <w:rsid w:val="00C12C14"/>
    <w:rsid w:val="00C12F61"/>
    <w:rsid w:val="00C1387E"/>
    <w:rsid w:val="00C13DF1"/>
    <w:rsid w:val="00C13E02"/>
    <w:rsid w:val="00C13E5D"/>
    <w:rsid w:val="00C1451B"/>
    <w:rsid w:val="00C14668"/>
    <w:rsid w:val="00C146FA"/>
    <w:rsid w:val="00C147AA"/>
    <w:rsid w:val="00C14DE2"/>
    <w:rsid w:val="00C15F04"/>
    <w:rsid w:val="00C165BA"/>
    <w:rsid w:val="00C16773"/>
    <w:rsid w:val="00C16C47"/>
    <w:rsid w:val="00C17544"/>
    <w:rsid w:val="00C179B3"/>
    <w:rsid w:val="00C17E3F"/>
    <w:rsid w:val="00C200AA"/>
    <w:rsid w:val="00C2049F"/>
    <w:rsid w:val="00C20646"/>
    <w:rsid w:val="00C207CD"/>
    <w:rsid w:val="00C20854"/>
    <w:rsid w:val="00C20AF6"/>
    <w:rsid w:val="00C21054"/>
    <w:rsid w:val="00C2116C"/>
    <w:rsid w:val="00C211CF"/>
    <w:rsid w:val="00C21A3D"/>
    <w:rsid w:val="00C21EC2"/>
    <w:rsid w:val="00C21FF3"/>
    <w:rsid w:val="00C228FF"/>
    <w:rsid w:val="00C22BE2"/>
    <w:rsid w:val="00C23271"/>
    <w:rsid w:val="00C237ED"/>
    <w:rsid w:val="00C244C4"/>
    <w:rsid w:val="00C24632"/>
    <w:rsid w:val="00C2530C"/>
    <w:rsid w:val="00C25418"/>
    <w:rsid w:val="00C25888"/>
    <w:rsid w:val="00C25D9C"/>
    <w:rsid w:val="00C25F2E"/>
    <w:rsid w:val="00C26C06"/>
    <w:rsid w:val="00C2778B"/>
    <w:rsid w:val="00C27A71"/>
    <w:rsid w:val="00C30787"/>
    <w:rsid w:val="00C30ADC"/>
    <w:rsid w:val="00C30DB1"/>
    <w:rsid w:val="00C31649"/>
    <w:rsid w:val="00C31CCF"/>
    <w:rsid w:val="00C329D9"/>
    <w:rsid w:val="00C32A00"/>
    <w:rsid w:val="00C32A29"/>
    <w:rsid w:val="00C32AF1"/>
    <w:rsid w:val="00C32AF8"/>
    <w:rsid w:val="00C338EB"/>
    <w:rsid w:val="00C33E6B"/>
    <w:rsid w:val="00C3434C"/>
    <w:rsid w:val="00C343FC"/>
    <w:rsid w:val="00C34982"/>
    <w:rsid w:val="00C350A3"/>
    <w:rsid w:val="00C3521D"/>
    <w:rsid w:val="00C357A1"/>
    <w:rsid w:val="00C358C1"/>
    <w:rsid w:val="00C36045"/>
    <w:rsid w:val="00C36185"/>
    <w:rsid w:val="00C361FB"/>
    <w:rsid w:val="00C36BF8"/>
    <w:rsid w:val="00C36EDE"/>
    <w:rsid w:val="00C3737D"/>
    <w:rsid w:val="00C374D2"/>
    <w:rsid w:val="00C402A1"/>
    <w:rsid w:val="00C40385"/>
    <w:rsid w:val="00C40FF6"/>
    <w:rsid w:val="00C414EE"/>
    <w:rsid w:val="00C41768"/>
    <w:rsid w:val="00C41B2C"/>
    <w:rsid w:val="00C41ED8"/>
    <w:rsid w:val="00C422AC"/>
    <w:rsid w:val="00C42907"/>
    <w:rsid w:val="00C42E08"/>
    <w:rsid w:val="00C4346C"/>
    <w:rsid w:val="00C43B69"/>
    <w:rsid w:val="00C44641"/>
    <w:rsid w:val="00C44BA4"/>
    <w:rsid w:val="00C44F7E"/>
    <w:rsid w:val="00C45346"/>
    <w:rsid w:val="00C453AC"/>
    <w:rsid w:val="00C45562"/>
    <w:rsid w:val="00C457C5"/>
    <w:rsid w:val="00C459C2"/>
    <w:rsid w:val="00C45ADD"/>
    <w:rsid w:val="00C45C7E"/>
    <w:rsid w:val="00C45F67"/>
    <w:rsid w:val="00C463F7"/>
    <w:rsid w:val="00C475AA"/>
    <w:rsid w:val="00C47DF0"/>
    <w:rsid w:val="00C5027D"/>
    <w:rsid w:val="00C507AF"/>
    <w:rsid w:val="00C50D84"/>
    <w:rsid w:val="00C51089"/>
    <w:rsid w:val="00C51117"/>
    <w:rsid w:val="00C511C8"/>
    <w:rsid w:val="00C5140E"/>
    <w:rsid w:val="00C52531"/>
    <w:rsid w:val="00C527C7"/>
    <w:rsid w:val="00C52D73"/>
    <w:rsid w:val="00C530A3"/>
    <w:rsid w:val="00C53615"/>
    <w:rsid w:val="00C53C98"/>
    <w:rsid w:val="00C53F6E"/>
    <w:rsid w:val="00C54903"/>
    <w:rsid w:val="00C5492D"/>
    <w:rsid w:val="00C54BFA"/>
    <w:rsid w:val="00C56FCF"/>
    <w:rsid w:val="00C57037"/>
    <w:rsid w:val="00C57280"/>
    <w:rsid w:val="00C57505"/>
    <w:rsid w:val="00C57B6C"/>
    <w:rsid w:val="00C57CEC"/>
    <w:rsid w:val="00C6007D"/>
    <w:rsid w:val="00C60804"/>
    <w:rsid w:val="00C6083F"/>
    <w:rsid w:val="00C60EFA"/>
    <w:rsid w:val="00C6141B"/>
    <w:rsid w:val="00C61511"/>
    <w:rsid w:val="00C6188C"/>
    <w:rsid w:val="00C61A59"/>
    <w:rsid w:val="00C62003"/>
    <w:rsid w:val="00C628A6"/>
    <w:rsid w:val="00C6290B"/>
    <w:rsid w:val="00C63B50"/>
    <w:rsid w:val="00C63E7D"/>
    <w:rsid w:val="00C64055"/>
    <w:rsid w:val="00C642FC"/>
    <w:rsid w:val="00C64344"/>
    <w:rsid w:val="00C6445D"/>
    <w:rsid w:val="00C64DE7"/>
    <w:rsid w:val="00C64ED1"/>
    <w:rsid w:val="00C65108"/>
    <w:rsid w:val="00C6556F"/>
    <w:rsid w:val="00C65576"/>
    <w:rsid w:val="00C65CD6"/>
    <w:rsid w:val="00C66165"/>
    <w:rsid w:val="00C66352"/>
    <w:rsid w:val="00C66F33"/>
    <w:rsid w:val="00C6796A"/>
    <w:rsid w:val="00C67F99"/>
    <w:rsid w:val="00C70106"/>
    <w:rsid w:val="00C7060A"/>
    <w:rsid w:val="00C70C84"/>
    <w:rsid w:val="00C7151A"/>
    <w:rsid w:val="00C71742"/>
    <w:rsid w:val="00C717E3"/>
    <w:rsid w:val="00C71E44"/>
    <w:rsid w:val="00C71EE0"/>
    <w:rsid w:val="00C71F60"/>
    <w:rsid w:val="00C72241"/>
    <w:rsid w:val="00C728B5"/>
    <w:rsid w:val="00C729C8"/>
    <w:rsid w:val="00C72C31"/>
    <w:rsid w:val="00C73AB1"/>
    <w:rsid w:val="00C74052"/>
    <w:rsid w:val="00C744AE"/>
    <w:rsid w:val="00C7458E"/>
    <w:rsid w:val="00C745FE"/>
    <w:rsid w:val="00C7482C"/>
    <w:rsid w:val="00C74CE0"/>
    <w:rsid w:val="00C750C8"/>
    <w:rsid w:val="00C75330"/>
    <w:rsid w:val="00C7560F"/>
    <w:rsid w:val="00C756CC"/>
    <w:rsid w:val="00C75A06"/>
    <w:rsid w:val="00C75F1D"/>
    <w:rsid w:val="00C76338"/>
    <w:rsid w:val="00C7696B"/>
    <w:rsid w:val="00C77125"/>
    <w:rsid w:val="00C778C0"/>
    <w:rsid w:val="00C77C6D"/>
    <w:rsid w:val="00C80447"/>
    <w:rsid w:val="00C80451"/>
    <w:rsid w:val="00C80796"/>
    <w:rsid w:val="00C80970"/>
    <w:rsid w:val="00C80A0E"/>
    <w:rsid w:val="00C8201B"/>
    <w:rsid w:val="00C8213F"/>
    <w:rsid w:val="00C825C3"/>
    <w:rsid w:val="00C826C6"/>
    <w:rsid w:val="00C82951"/>
    <w:rsid w:val="00C8303F"/>
    <w:rsid w:val="00C830EB"/>
    <w:rsid w:val="00C83C46"/>
    <w:rsid w:val="00C83D90"/>
    <w:rsid w:val="00C84063"/>
    <w:rsid w:val="00C8436B"/>
    <w:rsid w:val="00C85154"/>
    <w:rsid w:val="00C851A1"/>
    <w:rsid w:val="00C853F3"/>
    <w:rsid w:val="00C85579"/>
    <w:rsid w:val="00C85857"/>
    <w:rsid w:val="00C85A70"/>
    <w:rsid w:val="00C860A4"/>
    <w:rsid w:val="00C8723A"/>
    <w:rsid w:val="00C8797A"/>
    <w:rsid w:val="00C87DE1"/>
    <w:rsid w:val="00C900B8"/>
    <w:rsid w:val="00C90197"/>
    <w:rsid w:val="00C903BA"/>
    <w:rsid w:val="00C90C71"/>
    <w:rsid w:val="00C90D40"/>
    <w:rsid w:val="00C917FA"/>
    <w:rsid w:val="00C91FD1"/>
    <w:rsid w:val="00C9210C"/>
    <w:rsid w:val="00C92A48"/>
    <w:rsid w:val="00C93114"/>
    <w:rsid w:val="00C931CF"/>
    <w:rsid w:val="00C93229"/>
    <w:rsid w:val="00C934AD"/>
    <w:rsid w:val="00C938CF"/>
    <w:rsid w:val="00C93989"/>
    <w:rsid w:val="00C93C04"/>
    <w:rsid w:val="00C94053"/>
    <w:rsid w:val="00C940C2"/>
    <w:rsid w:val="00C94324"/>
    <w:rsid w:val="00C94454"/>
    <w:rsid w:val="00C945D4"/>
    <w:rsid w:val="00C94894"/>
    <w:rsid w:val="00C95271"/>
    <w:rsid w:val="00C95306"/>
    <w:rsid w:val="00C95596"/>
    <w:rsid w:val="00C95F7D"/>
    <w:rsid w:val="00C960EA"/>
    <w:rsid w:val="00C9617E"/>
    <w:rsid w:val="00C9624D"/>
    <w:rsid w:val="00C96333"/>
    <w:rsid w:val="00C9672E"/>
    <w:rsid w:val="00C969DA"/>
    <w:rsid w:val="00C971D9"/>
    <w:rsid w:val="00C97C46"/>
    <w:rsid w:val="00C97E1C"/>
    <w:rsid w:val="00CA0079"/>
    <w:rsid w:val="00CA07D4"/>
    <w:rsid w:val="00CA09B6"/>
    <w:rsid w:val="00CA0BB5"/>
    <w:rsid w:val="00CA13BB"/>
    <w:rsid w:val="00CA1ADE"/>
    <w:rsid w:val="00CA1C31"/>
    <w:rsid w:val="00CA1D8B"/>
    <w:rsid w:val="00CA1E95"/>
    <w:rsid w:val="00CA237B"/>
    <w:rsid w:val="00CA2C77"/>
    <w:rsid w:val="00CA2D45"/>
    <w:rsid w:val="00CA2F6B"/>
    <w:rsid w:val="00CA3726"/>
    <w:rsid w:val="00CA373F"/>
    <w:rsid w:val="00CA3A27"/>
    <w:rsid w:val="00CA3D7C"/>
    <w:rsid w:val="00CA4009"/>
    <w:rsid w:val="00CA4134"/>
    <w:rsid w:val="00CA444F"/>
    <w:rsid w:val="00CA5245"/>
    <w:rsid w:val="00CA5A5A"/>
    <w:rsid w:val="00CA5B71"/>
    <w:rsid w:val="00CA6003"/>
    <w:rsid w:val="00CA71F4"/>
    <w:rsid w:val="00CA775A"/>
    <w:rsid w:val="00CA7B09"/>
    <w:rsid w:val="00CA7E37"/>
    <w:rsid w:val="00CB0DFB"/>
    <w:rsid w:val="00CB0EF2"/>
    <w:rsid w:val="00CB0FED"/>
    <w:rsid w:val="00CB12A5"/>
    <w:rsid w:val="00CB1416"/>
    <w:rsid w:val="00CB147C"/>
    <w:rsid w:val="00CB1CAC"/>
    <w:rsid w:val="00CB1EBB"/>
    <w:rsid w:val="00CB1F29"/>
    <w:rsid w:val="00CB22CD"/>
    <w:rsid w:val="00CB28D0"/>
    <w:rsid w:val="00CB2F2A"/>
    <w:rsid w:val="00CB3253"/>
    <w:rsid w:val="00CB337F"/>
    <w:rsid w:val="00CB34C8"/>
    <w:rsid w:val="00CB3551"/>
    <w:rsid w:val="00CB4092"/>
    <w:rsid w:val="00CB4448"/>
    <w:rsid w:val="00CB4542"/>
    <w:rsid w:val="00CB459D"/>
    <w:rsid w:val="00CB4CD9"/>
    <w:rsid w:val="00CB4EFC"/>
    <w:rsid w:val="00CB5B1A"/>
    <w:rsid w:val="00CB5CBB"/>
    <w:rsid w:val="00CB5D7F"/>
    <w:rsid w:val="00CB5FF4"/>
    <w:rsid w:val="00CB622B"/>
    <w:rsid w:val="00CB6430"/>
    <w:rsid w:val="00CB64D9"/>
    <w:rsid w:val="00CB6B22"/>
    <w:rsid w:val="00CB6E4B"/>
    <w:rsid w:val="00CB70F6"/>
    <w:rsid w:val="00CB7A77"/>
    <w:rsid w:val="00CB7F5F"/>
    <w:rsid w:val="00CC06A0"/>
    <w:rsid w:val="00CC0EFE"/>
    <w:rsid w:val="00CC1329"/>
    <w:rsid w:val="00CC1960"/>
    <w:rsid w:val="00CC1A38"/>
    <w:rsid w:val="00CC1A9B"/>
    <w:rsid w:val="00CC1B39"/>
    <w:rsid w:val="00CC1BFA"/>
    <w:rsid w:val="00CC229B"/>
    <w:rsid w:val="00CC2E9F"/>
    <w:rsid w:val="00CC35EA"/>
    <w:rsid w:val="00CC3848"/>
    <w:rsid w:val="00CC39A1"/>
    <w:rsid w:val="00CC3EB2"/>
    <w:rsid w:val="00CC4B77"/>
    <w:rsid w:val="00CC5621"/>
    <w:rsid w:val="00CC5BC3"/>
    <w:rsid w:val="00CC5D50"/>
    <w:rsid w:val="00CC638E"/>
    <w:rsid w:val="00CC6B8D"/>
    <w:rsid w:val="00CC6D5E"/>
    <w:rsid w:val="00CC6FDE"/>
    <w:rsid w:val="00CC6FE8"/>
    <w:rsid w:val="00CC724F"/>
    <w:rsid w:val="00CC7407"/>
    <w:rsid w:val="00CC7AEB"/>
    <w:rsid w:val="00CC7B09"/>
    <w:rsid w:val="00CD0200"/>
    <w:rsid w:val="00CD043E"/>
    <w:rsid w:val="00CD0449"/>
    <w:rsid w:val="00CD04AC"/>
    <w:rsid w:val="00CD06B9"/>
    <w:rsid w:val="00CD09A0"/>
    <w:rsid w:val="00CD0AFE"/>
    <w:rsid w:val="00CD1483"/>
    <w:rsid w:val="00CD14EB"/>
    <w:rsid w:val="00CD24EA"/>
    <w:rsid w:val="00CD2A88"/>
    <w:rsid w:val="00CD33FF"/>
    <w:rsid w:val="00CD36A7"/>
    <w:rsid w:val="00CD3957"/>
    <w:rsid w:val="00CD3D0C"/>
    <w:rsid w:val="00CD3F26"/>
    <w:rsid w:val="00CD3F77"/>
    <w:rsid w:val="00CD4719"/>
    <w:rsid w:val="00CD47D2"/>
    <w:rsid w:val="00CD4E27"/>
    <w:rsid w:val="00CD4E2E"/>
    <w:rsid w:val="00CD591A"/>
    <w:rsid w:val="00CD5B89"/>
    <w:rsid w:val="00CD5DF8"/>
    <w:rsid w:val="00CD6063"/>
    <w:rsid w:val="00CD609F"/>
    <w:rsid w:val="00CD6ADC"/>
    <w:rsid w:val="00CD6F76"/>
    <w:rsid w:val="00CD7193"/>
    <w:rsid w:val="00CD798C"/>
    <w:rsid w:val="00CD7D17"/>
    <w:rsid w:val="00CE099C"/>
    <w:rsid w:val="00CE0D5F"/>
    <w:rsid w:val="00CE0EE1"/>
    <w:rsid w:val="00CE1102"/>
    <w:rsid w:val="00CE1709"/>
    <w:rsid w:val="00CE190E"/>
    <w:rsid w:val="00CE1F3C"/>
    <w:rsid w:val="00CE1FFD"/>
    <w:rsid w:val="00CE2202"/>
    <w:rsid w:val="00CE2BE3"/>
    <w:rsid w:val="00CE2C02"/>
    <w:rsid w:val="00CE2DB2"/>
    <w:rsid w:val="00CE356B"/>
    <w:rsid w:val="00CE38C8"/>
    <w:rsid w:val="00CE4741"/>
    <w:rsid w:val="00CE5092"/>
    <w:rsid w:val="00CE524F"/>
    <w:rsid w:val="00CE580B"/>
    <w:rsid w:val="00CE58CC"/>
    <w:rsid w:val="00CE6274"/>
    <w:rsid w:val="00CE654B"/>
    <w:rsid w:val="00CE6E94"/>
    <w:rsid w:val="00CE7553"/>
    <w:rsid w:val="00CE77B6"/>
    <w:rsid w:val="00CE7838"/>
    <w:rsid w:val="00CF094D"/>
    <w:rsid w:val="00CF158C"/>
    <w:rsid w:val="00CF1D75"/>
    <w:rsid w:val="00CF1D9B"/>
    <w:rsid w:val="00CF1F6A"/>
    <w:rsid w:val="00CF276B"/>
    <w:rsid w:val="00CF2B8D"/>
    <w:rsid w:val="00CF2E87"/>
    <w:rsid w:val="00CF39F7"/>
    <w:rsid w:val="00CF3A1B"/>
    <w:rsid w:val="00CF456B"/>
    <w:rsid w:val="00CF47BE"/>
    <w:rsid w:val="00CF4AF8"/>
    <w:rsid w:val="00CF4EDE"/>
    <w:rsid w:val="00CF5917"/>
    <w:rsid w:val="00CF5A22"/>
    <w:rsid w:val="00CF5AA9"/>
    <w:rsid w:val="00CF5BCC"/>
    <w:rsid w:val="00CF601A"/>
    <w:rsid w:val="00CF62B3"/>
    <w:rsid w:val="00CF716E"/>
    <w:rsid w:val="00CF7B53"/>
    <w:rsid w:val="00D0029B"/>
    <w:rsid w:val="00D008FB"/>
    <w:rsid w:val="00D024FD"/>
    <w:rsid w:val="00D02627"/>
    <w:rsid w:val="00D0262E"/>
    <w:rsid w:val="00D02A26"/>
    <w:rsid w:val="00D02A38"/>
    <w:rsid w:val="00D02AAC"/>
    <w:rsid w:val="00D02B6C"/>
    <w:rsid w:val="00D0316E"/>
    <w:rsid w:val="00D035AC"/>
    <w:rsid w:val="00D03679"/>
    <w:rsid w:val="00D03866"/>
    <w:rsid w:val="00D03953"/>
    <w:rsid w:val="00D03A7D"/>
    <w:rsid w:val="00D03D3E"/>
    <w:rsid w:val="00D04930"/>
    <w:rsid w:val="00D059C4"/>
    <w:rsid w:val="00D05E3D"/>
    <w:rsid w:val="00D06139"/>
    <w:rsid w:val="00D0619F"/>
    <w:rsid w:val="00D0677F"/>
    <w:rsid w:val="00D06BF0"/>
    <w:rsid w:val="00D075EB"/>
    <w:rsid w:val="00D077BE"/>
    <w:rsid w:val="00D079DB"/>
    <w:rsid w:val="00D1000D"/>
    <w:rsid w:val="00D1013C"/>
    <w:rsid w:val="00D1022E"/>
    <w:rsid w:val="00D104AD"/>
    <w:rsid w:val="00D1079C"/>
    <w:rsid w:val="00D10A4C"/>
    <w:rsid w:val="00D10C42"/>
    <w:rsid w:val="00D10C5A"/>
    <w:rsid w:val="00D10CB6"/>
    <w:rsid w:val="00D10EE3"/>
    <w:rsid w:val="00D110BD"/>
    <w:rsid w:val="00D11B42"/>
    <w:rsid w:val="00D11B9F"/>
    <w:rsid w:val="00D13675"/>
    <w:rsid w:val="00D137C4"/>
    <w:rsid w:val="00D13DB4"/>
    <w:rsid w:val="00D13F99"/>
    <w:rsid w:val="00D141E1"/>
    <w:rsid w:val="00D14CB7"/>
    <w:rsid w:val="00D15314"/>
    <w:rsid w:val="00D15460"/>
    <w:rsid w:val="00D15B48"/>
    <w:rsid w:val="00D15E02"/>
    <w:rsid w:val="00D15FA1"/>
    <w:rsid w:val="00D1642B"/>
    <w:rsid w:val="00D16501"/>
    <w:rsid w:val="00D166AB"/>
    <w:rsid w:val="00D16CD9"/>
    <w:rsid w:val="00D16CDD"/>
    <w:rsid w:val="00D17D6C"/>
    <w:rsid w:val="00D206ED"/>
    <w:rsid w:val="00D2081C"/>
    <w:rsid w:val="00D20A8A"/>
    <w:rsid w:val="00D20AE4"/>
    <w:rsid w:val="00D21254"/>
    <w:rsid w:val="00D21355"/>
    <w:rsid w:val="00D2155B"/>
    <w:rsid w:val="00D216F6"/>
    <w:rsid w:val="00D217FD"/>
    <w:rsid w:val="00D21A9B"/>
    <w:rsid w:val="00D22187"/>
    <w:rsid w:val="00D224DF"/>
    <w:rsid w:val="00D22DA2"/>
    <w:rsid w:val="00D22F4B"/>
    <w:rsid w:val="00D22FE5"/>
    <w:rsid w:val="00D2334D"/>
    <w:rsid w:val="00D234A5"/>
    <w:rsid w:val="00D23D11"/>
    <w:rsid w:val="00D23E08"/>
    <w:rsid w:val="00D244B6"/>
    <w:rsid w:val="00D245C6"/>
    <w:rsid w:val="00D24C52"/>
    <w:rsid w:val="00D24E7C"/>
    <w:rsid w:val="00D2615B"/>
    <w:rsid w:val="00D273E5"/>
    <w:rsid w:val="00D274A8"/>
    <w:rsid w:val="00D2754D"/>
    <w:rsid w:val="00D27B27"/>
    <w:rsid w:val="00D27EDC"/>
    <w:rsid w:val="00D27F95"/>
    <w:rsid w:val="00D3004A"/>
    <w:rsid w:val="00D3039A"/>
    <w:rsid w:val="00D30A12"/>
    <w:rsid w:val="00D30D5B"/>
    <w:rsid w:val="00D30DF6"/>
    <w:rsid w:val="00D31149"/>
    <w:rsid w:val="00D31209"/>
    <w:rsid w:val="00D3135A"/>
    <w:rsid w:val="00D31512"/>
    <w:rsid w:val="00D323F8"/>
    <w:rsid w:val="00D324EF"/>
    <w:rsid w:val="00D32AF1"/>
    <w:rsid w:val="00D331C8"/>
    <w:rsid w:val="00D33275"/>
    <w:rsid w:val="00D33BE9"/>
    <w:rsid w:val="00D33EAA"/>
    <w:rsid w:val="00D33F93"/>
    <w:rsid w:val="00D348ED"/>
    <w:rsid w:val="00D34AF1"/>
    <w:rsid w:val="00D34C6E"/>
    <w:rsid w:val="00D34E75"/>
    <w:rsid w:val="00D350E8"/>
    <w:rsid w:val="00D3520E"/>
    <w:rsid w:val="00D35436"/>
    <w:rsid w:val="00D357FF"/>
    <w:rsid w:val="00D35AE0"/>
    <w:rsid w:val="00D35D5A"/>
    <w:rsid w:val="00D36137"/>
    <w:rsid w:val="00D3675A"/>
    <w:rsid w:val="00D37EAD"/>
    <w:rsid w:val="00D37FE2"/>
    <w:rsid w:val="00D40071"/>
    <w:rsid w:val="00D4035C"/>
    <w:rsid w:val="00D4045B"/>
    <w:rsid w:val="00D40A2F"/>
    <w:rsid w:val="00D40F0C"/>
    <w:rsid w:val="00D4143A"/>
    <w:rsid w:val="00D414C5"/>
    <w:rsid w:val="00D41691"/>
    <w:rsid w:val="00D416BC"/>
    <w:rsid w:val="00D41ADA"/>
    <w:rsid w:val="00D41DF5"/>
    <w:rsid w:val="00D424C7"/>
    <w:rsid w:val="00D426B9"/>
    <w:rsid w:val="00D42A18"/>
    <w:rsid w:val="00D433A6"/>
    <w:rsid w:val="00D436C0"/>
    <w:rsid w:val="00D4379F"/>
    <w:rsid w:val="00D43B2A"/>
    <w:rsid w:val="00D43B67"/>
    <w:rsid w:val="00D43CF1"/>
    <w:rsid w:val="00D43D83"/>
    <w:rsid w:val="00D43DB3"/>
    <w:rsid w:val="00D440E5"/>
    <w:rsid w:val="00D44293"/>
    <w:rsid w:val="00D44BEF"/>
    <w:rsid w:val="00D44FEC"/>
    <w:rsid w:val="00D459D5"/>
    <w:rsid w:val="00D45ADD"/>
    <w:rsid w:val="00D45DA7"/>
    <w:rsid w:val="00D4628C"/>
    <w:rsid w:val="00D46531"/>
    <w:rsid w:val="00D46651"/>
    <w:rsid w:val="00D46E3A"/>
    <w:rsid w:val="00D47575"/>
    <w:rsid w:val="00D476AD"/>
    <w:rsid w:val="00D47BD9"/>
    <w:rsid w:val="00D47D38"/>
    <w:rsid w:val="00D47E07"/>
    <w:rsid w:val="00D50CD5"/>
    <w:rsid w:val="00D51583"/>
    <w:rsid w:val="00D51A4B"/>
    <w:rsid w:val="00D523C1"/>
    <w:rsid w:val="00D523E8"/>
    <w:rsid w:val="00D5243B"/>
    <w:rsid w:val="00D5264F"/>
    <w:rsid w:val="00D5275C"/>
    <w:rsid w:val="00D52DAB"/>
    <w:rsid w:val="00D53087"/>
    <w:rsid w:val="00D533EC"/>
    <w:rsid w:val="00D53530"/>
    <w:rsid w:val="00D53AD8"/>
    <w:rsid w:val="00D53BB5"/>
    <w:rsid w:val="00D54114"/>
    <w:rsid w:val="00D541D0"/>
    <w:rsid w:val="00D54CE7"/>
    <w:rsid w:val="00D55694"/>
    <w:rsid w:val="00D56088"/>
    <w:rsid w:val="00D561F0"/>
    <w:rsid w:val="00D563DD"/>
    <w:rsid w:val="00D564F7"/>
    <w:rsid w:val="00D56A95"/>
    <w:rsid w:val="00D56F96"/>
    <w:rsid w:val="00D5745B"/>
    <w:rsid w:val="00D5758B"/>
    <w:rsid w:val="00D6076E"/>
    <w:rsid w:val="00D607A2"/>
    <w:rsid w:val="00D612AD"/>
    <w:rsid w:val="00D61BD1"/>
    <w:rsid w:val="00D62365"/>
    <w:rsid w:val="00D62CC0"/>
    <w:rsid w:val="00D62E94"/>
    <w:rsid w:val="00D63866"/>
    <w:rsid w:val="00D63B7C"/>
    <w:rsid w:val="00D64505"/>
    <w:rsid w:val="00D64609"/>
    <w:rsid w:val="00D6472C"/>
    <w:rsid w:val="00D6493E"/>
    <w:rsid w:val="00D657F4"/>
    <w:rsid w:val="00D65B72"/>
    <w:rsid w:val="00D66899"/>
    <w:rsid w:val="00D66B8D"/>
    <w:rsid w:val="00D66D03"/>
    <w:rsid w:val="00D66E1C"/>
    <w:rsid w:val="00D66E60"/>
    <w:rsid w:val="00D67139"/>
    <w:rsid w:val="00D67237"/>
    <w:rsid w:val="00D67961"/>
    <w:rsid w:val="00D704D4"/>
    <w:rsid w:val="00D7056A"/>
    <w:rsid w:val="00D70804"/>
    <w:rsid w:val="00D70F16"/>
    <w:rsid w:val="00D71017"/>
    <w:rsid w:val="00D7145D"/>
    <w:rsid w:val="00D71823"/>
    <w:rsid w:val="00D71C60"/>
    <w:rsid w:val="00D71DDE"/>
    <w:rsid w:val="00D72120"/>
    <w:rsid w:val="00D72617"/>
    <w:rsid w:val="00D72E05"/>
    <w:rsid w:val="00D72F57"/>
    <w:rsid w:val="00D73592"/>
    <w:rsid w:val="00D7422B"/>
    <w:rsid w:val="00D75259"/>
    <w:rsid w:val="00D7588E"/>
    <w:rsid w:val="00D7594B"/>
    <w:rsid w:val="00D76250"/>
    <w:rsid w:val="00D76A44"/>
    <w:rsid w:val="00D76A84"/>
    <w:rsid w:val="00D77815"/>
    <w:rsid w:val="00D77C6C"/>
    <w:rsid w:val="00D77FBE"/>
    <w:rsid w:val="00D80DE6"/>
    <w:rsid w:val="00D81143"/>
    <w:rsid w:val="00D81527"/>
    <w:rsid w:val="00D81542"/>
    <w:rsid w:val="00D815EF"/>
    <w:rsid w:val="00D8183B"/>
    <w:rsid w:val="00D81949"/>
    <w:rsid w:val="00D81F26"/>
    <w:rsid w:val="00D81FC9"/>
    <w:rsid w:val="00D822E2"/>
    <w:rsid w:val="00D82AEE"/>
    <w:rsid w:val="00D82CE5"/>
    <w:rsid w:val="00D83602"/>
    <w:rsid w:val="00D83A69"/>
    <w:rsid w:val="00D8409F"/>
    <w:rsid w:val="00D843DF"/>
    <w:rsid w:val="00D843F2"/>
    <w:rsid w:val="00D846A4"/>
    <w:rsid w:val="00D8480D"/>
    <w:rsid w:val="00D84C7C"/>
    <w:rsid w:val="00D858E6"/>
    <w:rsid w:val="00D85CC7"/>
    <w:rsid w:val="00D85F58"/>
    <w:rsid w:val="00D86231"/>
    <w:rsid w:val="00D868A9"/>
    <w:rsid w:val="00D86980"/>
    <w:rsid w:val="00D86AFE"/>
    <w:rsid w:val="00D87AEF"/>
    <w:rsid w:val="00D90821"/>
    <w:rsid w:val="00D90C26"/>
    <w:rsid w:val="00D91042"/>
    <w:rsid w:val="00D912AB"/>
    <w:rsid w:val="00D917E7"/>
    <w:rsid w:val="00D91923"/>
    <w:rsid w:val="00D92124"/>
    <w:rsid w:val="00D92FEE"/>
    <w:rsid w:val="00D93753"/>
    <w:rsid w:val="00D93B7A"/>
    <w:rsid w:val="00D93C89"/>
    <w:rsid w:val="00D94C63"/>
    <w:rsid w:val="00D94EED"/>
    <w:rsid w:val="00D95195"/>
    <w:rsid w:val="00D96D42"/>
    <w:rsid w:val="00D96DD7"/>
    <w:rsid w:val="00D96E2F"/>
    <w:rsid w:val="00D96F5D"/>
    <w:rsid w:val="00D97488"/>
    <w:rsid w:val="00D977D0"/>
    <w:rsid w:val="00D97C2F"/>
    <w:rsid w:val="00DA0194"/>
    <w:rsid w:val="00DA0E4F"/>
    <w:rsid w:val="00DA1095"/>
    <w:rsid w:val="00DA1580"/>
    <w:rsid w:val="00DA1944"/>
    <w:rsid w:val="00DA1AA9"/>
    <w:rsid w:val="00DA1C69"/>
    <w:rsid w:val="00DA1D21"/>
    <w:rsid w:val="00DA2179"/>
    <w:rsid w:val="00DA241C"/>
    <w:rsid w:val="00DA268F"/>
    <w:rsid w:val="00DA29B9"/>
    <w:rsid w:val="00DA30CE"/>
    <w:rsid w:val="00DA3167"/>
    <w:rsid w:val="00DA326D"/>
    <w:rsid w:val="00DA331C"/>
    <w:rsid w:val="00DA3CF2"/>
    <w:rsid w:val="00DA3F93"/>
    <w:rsid w:val="00DA4379"/>
    <w:rsid w:val="00DA4DC3"/>
    <w:rsid w:val="00DA663C"/>
    <w:rsid w:val="00DA6B07"/>
    <w:rsid w:val="00DA6B1C"/>
    <w:rsid w:val="00DA6E1D"/>
    <w:rsid w:val="00DA738D"/>
    <w:rsid w:val="00DA77A5"/>
    <w:rsid w:val="00DA78B3"/>
    <w:rsid w:val="00DB024D"/>
    <w:rsid w:val="00DB035C"/>
    <w:rsid w:val="00DB055C"/>
    <w:rsid w:val="00DB06A3"/>
    <w:rsid w:val="00DB06AF"/>
    <w:rsid w:val="00DB06E1"/>
    <w:rsid w:val="00DB0AF0"/>
    <w:rsid w:val="00DB0DAA"/>
    <w:rsid w:val="00DB0E36"/>
    <w:rsid w:val="00DB134D"/>
    <w:rsid w:val="00DB1485"/>
    <w:rsid w:val="00DB165A"/>
    <w:rsid w:val="00DB17CB"/>
    <w:rsid w:val="00DB1D8E"/>
    <w:rsid w:val="00DB1DF9"/>
    <w:rsid w:val="00DB290E"/>
    <w:rsid w:val="00DB3007"/>
    <w:rsid w:val="00DB3DBF"/>
    <w:rsid w:val="00DB4306"/>
    <w:rsid w:val="00DB484F"/>
    <w:rsid w:val="00DB62DC"/>
    <w:rsid w:val="00DB6565"/>
    <w:rsid w:val="00DB65DF"/>
    <w:rsid w:val="00DB66EC"/>
    <w:rsid w:val="00DC00D0"/>
    <w:rsid w:val="00DC04F6"/>
    <w:rsid w:val="00DC0690"/>
    <w:rsid w:val="00DC07AC"/>
    <w:rsid w:val="00DC07FD"/>
    <w:rsid w:val="00DC0F56"/>
    <w:rsid w:val="00DC13DA"/>
    <w:rsid w:val="00DC182A"/>
    <w:rsid w:val="00DC1D65"/>
    <w:rsid w:val="00DC294D"/>
    <w:rsid w:val="00DC2A8F"/>
    <w:rsid w:val="00DC2C8D"/>
    <w:rsid w:val="00DC311B"/>
    <w:rsid w:val="00DC32AB"/>
    <w:rsid w:val="00DC395C"/>
    <w:rsid w:val="00DC3C57"/>
    <w:rsid w:val="00DC4225"/>
    <w:rsid w:val="00DC432E"/>
    <w:rsid w:val="00DC439F"/>
    <w:rsid w:val="00DC43A1"/>
    <w:rsid w:val="00DC5501"/>
    <w:rsid w:val="00DC5A97"/>
    <w:rsid w:val="00DC5DE4"/>
    <w:rsid w:val="00DC5F2F"/>
    <w:rsid w:val="00DC64F4"/>
    <w:rsid w:val="00DC6F1F"/>
    <w:rsid w:val="00DC6FD9"/>
    <w:rsid w:val="00DC7154"/>
    <w:rsid w:val="00DC76C5"/>
    <w:rsid w:val="00DC7E8A"/>
    <w:rsid w:val="00DD06D3"/>
    <w:rsid w:val="00DD0949"/>
    <w:rsid w:val="00DD09C7"/>
    <w:rsid w:val="00DD0C09"/>
    <w:rsid w:val="00DD0EA5"/>
    <w:rsid w:val="00DD0F78"/>
    <w:rsid w:val="00DD10E6"/>
    <w:rsid w:val="00DD1BB6"/>
    <w:rsid w:val="00DD1C64"/>
    <w:rsid w:val="00DD1D9D"/>
    <w:rsid w:val="00DD247F"/>
    <w:rsid w:val="00DD273C"/>
    <w:rsid w:val="00DD2C74"/>
    <w:rsid w:val="00DD3548"/>
    <w:rsid w:val="00DD3735"/>
    <w:rsid w:val="00DD386E"/>
    <w:rsid w:val="00DD3F28"/>
    <w:rsid w:val="00DD4446"/>
    <w:rsid w:val="00DD4537"/>
    <w:rsid w:val="00DD4E15"/>
    <w:rsid w:val="00DD4EBC"/>
    <w:rsid w:val="00DD5437"/>
    <w:rsid w:val="00DD5B0F"/>
    <w:rsid w:val="00DD64A1"/>
    <w:rsid w:val="00DD6736"/>
    <w:rsid w:val="00DD6864"/>
    <w:rsid w:val="00DD71B8"/>
    <w:rsid w:val="00DD76DB"/>
    <w:rsid w:val="00DD77C3"/>
    <w:rsid w:val="00DD7CDA"/>
    <w:rsid w:val="00DE07F2"/>
    <w:rsid w:val="00DE093F"/>
    <w:rsid w:val="00DE0CEA"/>
    <w:rsid w:val="00DE123D"/>
    <w:rsid w:val="00DE1246"/>
    <w:rsid w:val="00DE1669"/>
    <w:rsid w:val="00DE18BA"/>
    <w:rsid w:val="00DE1BD7"/>
    <w:rsid w:val="00DE2304"/>
    <w:rsid w:val="00DE29CD"/>
    <w:rsid w:val="00DE2CA9"/>
    <w:rsid w:val="00DE3138"/>
    <w:rsid w:val="00DE37F8"/>
    <w:rsid w:val="00DE39CA"/>
    <w:rsid w:val="00DE3E98"/>
    <w:rsid w:val="00DE3F10"/>
    <w:rsid w:val="00DE423C"/>
    <w:rsid w:val="00DE4273"/>
    <w:rsid w:val="00DE45FC"/>
    <w:rsid w:val="00DE4FCB"/>
    <w:rsid w:val="00DE5629"/>
    <w:rsid w:val="00DE5BC7"/>
    <w:rsid w:val="00DE5D07"/>
    <w:rsid w:val="00DE5D32"/>
    <w:rsid w:val="00DE69C8"/>
    <w:rsid w:val="00DE6C64"/>
    <w:rsid w:val="00DE6DE7"/>
    <w:rsid w:val="00DE705D"/>
    <w:rsid w:val="00DE72A7"/>
    <w:rsid w:val="00DE7821"/>
    <w:rsid w:val="00DE7832"/>
    <w:rsid w:val="00DE7928"/>
    <w:rsid w:val="00DE7E37"/>
    <w:rsid w:val="00DE7FB0"/>
    <w:rsid w:val="00DF0891"/>
    <w:rsid w:val="00DF0BD9"/>
    <w:rsid w:val="00DF1860"/>
    <w:rsid w:val="00DF18FC"/>
    <w:rsid w:val="00DF1B52"/>
    <w:rsid w:val="00DF1BAC"/>
    <w:rsid w:val="00DF1D58"/>
    <w:rsid w:val="00DF202E"/>
    <w:rsid w:val="00DF26A7"/>
    <w:rsid w:val="00DF3633"/>
    <w:rsid w:val="00DF3856"/>
    <w:rsid w:val="00DF3BC7"/>
    <w:rsid w:val="00DF3CF3"/>
    <w:rsid w:val="00DF48C9"/>
    <w:rsid w:val="00DF5791"/>
    <w:rsid w:val="00DF58FF"/>
    <w:rsid w:val="00DF59DF"/>
    <w:rsid w:val="00DF5C52"/>
    <w:rsid w:val="00DF5D2B"/>
    <w:rsid w:val="00DF61C4"/>
    <w:rsid w:val="00DF61CC"/>
    <w:rsid w:val="00DF6215"/>
    <w:rsid w:val="00DF6341"/>
    <w:rsid w:val="00DF64BA"/>
    <w:rsid w:val="00DF69FB"/>
    <w:rsid w:val="00DF7DED"/>
    <w:rsid w:val="00E0007B"/>
    <w:rsid w:val="00E00571"/>
    <w:rsid w:val="00E007D7"/>
    <w:rsid w:val="00E00BCA"/>
    <w:rsid w:val="00E00CF0"/>
    <w:rsid w:val="00E00E8E"/>
    <w:rsid w:val="00E01FBE"/>
    <w:rsid w:val="00E02FB1"/>
    <w:rsid w:val="00E030BC"/>
    <w:rsid w:val="00E03F06"/>
    <w:rsid w:val="00E047BF"/>
    <w:rsid w:val="00E05630"/>
    <w:rsid w:val="00E06036"/>
    <w:rsid w:val="00E06D17"/>
    <w:rsid w:val="00E06DBB"/>
    <w:rsid w:val="00E10149"/>
    <w:rsid w:val="00E109BA"/>
    <w:rsid w:val="00E11340"/>
    <w:rsid w:val="00E1222A"/>
    <w:rsid w:val="00E1225A"/>
    <w:rsid w:val="00E122A1"/>
    <w:rsid w:val="00E12AA0"/>
    <w:rsid w:val="00E132E4"/>
    <w:rsid w:val="00E137E0"/>
    <w:rsid w:val="00E144B6"/>
    <w:rsid w:val="00E145CF"/>
    <w:rsid w:val="00E152ED"/>
    <w:rsid w:val="00E16154"/>
    <w:rsid w:val="00E162E5"/>
    <w:rsid w:val="00E1631E"/>
    <w:rsid w:val="00E16372"/>
    <w:rsid w:val="00E163E6"/>
    <w:rsid w:val="00E16AD8"/>
    <w:rsid w:val="00E16B80"/>
    <w:rsid w:val="00E16FE1"/>
    <w:rsid w:val="00E17305"/>
    <w:rsid w:val="00E17D31"/>
    <w:rsid w:val="00E17FFA"/>
    <w:rsid w:val="00E203AC"/>
    <w:rsid w:val="00E20547"/>
    <w:rsid w:val="00E20E4D"/>
    <w:rsid w:val="00E20ED6"/>
    <w:rsid w:val="00E212FC"/>
    <w:rsid w:val="00E21358"/>
    <w:rsid w:val="00E21522"/>
    <w:rsid w:val="00E217A3"/>
    <w:rsid w:val="00E21806"/>
    <w:rsid w:val="00E22128"/>
    <w:rsid w:val="00E222F9"/>
    <w:rsid w:val="00E2249B"/>
    <w:rsid w:val="00E227D0"/>
    <w:rsid w:val="00E22A0D"/>
    <w:rsid w:val="00E22C3E"/>
    <w:rsid w:val="00E22E2D"/>
    <w:rsid w:val="00E2315B"/>
    <w:rsid w:val="00E231CC"/>
    <w:rsid w:val="00E23929"/>
    <w:rsid w:val="00E2399C"/>
    <w:rsid w:val="00E239AF"/>
    <w:rsid w:val="00E23C12"/>
    <w:rsid w:val="00E24181"/>
    <w:rsid w:val="00E2430D"/>
    <w:rsid w:val="00E244F6"/>
    <w:rsid w:val="00E245E2"/>
    <w:rsid w:val="00E24D24"/>
    <w:rsid w:val="00E25069"/>
    <w:rsid w:val="00E2506D"/>
    <w:rsid w:val="00E258DB"/>
    <w:rsid w:val="00E25D51"/>
    <w:rsid w:val="00E2771E"/>
    <w:rsid w:val="00E27F19"/>
    <w:rsid w:val="00E3023C"/>
    <w:rsid w:val="00E3086E"/>
    <w:rsid w:val="00E30870"/>
    <w:rsid w:val="00E311EF"/>
    <w:rsid w:val="00E32180"/>
    <w:rsid w:val="00E33402"/>
    <w:rsid w:val="00E34123"/>
    <w:rsid w:val="00E341B6"/>
    <w:rsid w:val="00E34948"/>
    <w:rsid w:val="00E34A62"/>
    <w:rsid w:val="00E35010"/>
    <w:rsid w:val="00E35620"/>
    <w:rsid w:val="00E36379"/>
    <w:rsid w:val="00E36958"/>
    <w:rsid w:val="00E37569"/>
    <w:rsid w:val="00E37AE2"/>
    <w:rsid w:val="00E401B2"/>
    <w:rsid w:val="00E4022B"/>
    <w:rsid w:val="00E411F8"/>
    <w:rsid w:val="00E41243"/>
    <w:rsid w:val="00E4159F"/>
    <w:rsid w:val="00E41DBD"/>
    <w:rsid w:val="00E41E30"/>
    <w:rsid w:val="00E41FEC"/>
    <w:rsid w:val="00E423CE"/>
    <w:rsid w:val="00E42ABA"/>
    <w:rsid w:val="00E42F73"/>
    <w:rsid w:val="00E433EB"/>
    <w:rsid w:val="00E4345A"/>
    <w:rsid w:val="00E435B1"/>
    <w:rsid w:val="00E438CD"/>
    <w:rsid w:val="00E43D70"/>
    <w:rsid w:val="00E44578"/>
    <w:rsid w:val="00E4527B"/>
    <w:rsid w:val="00E45AB8"/>
    <w:rsid w:val="00E45B9A"/>
    <w:rsid w:val="00E45C56"/>
    <w:rsid w:val="00E462C6"/>
    <w:rsid w:val="00E466F3"/>
    <w:rsid w:val="00E467C9"/>
    <w:rsid w:val="00E473DE"/>
    <w:rsid w:val="00E47667"/>
    <w:rsid w:val="00E47B2C"/>
    <w:rsid w:val="00E504B3"/>
    <w:rsid w:val="00E50AAD"/>
    <w:rsid w:val="00E5154E"/>
    <w:rsid w:val="00E51560"/>
    <w:rsid w:val="00E5158A"/>
    <w:rsid w:val="00E5169D"/>
    <w:rsid w:val="00E51766"/>
    <w:rsid w:val="00E51821"/>
    <w:rsid w:val="00E51ACD"/>
    <w:rsid w:val="00E52198"/>
    <w:rsid w:val="00E522D1"/>
    <w:rsid w:val="00E52401"/>
    <w:rsid w:val="00E52403"/>
    <w:rsid w:val="00E52446"/>
    <w:rsid w:val="00E5260F"/>
    <w:rsid w:val="00E5268F"/>
    <w:rsid w:val="00E52A14"/>
    <w:rsid w:val="00E53F88"/>
    <w:rsid w:val="00E53FC8"/>
    <w:rsid w:val="00E54347"/>
    <w:rsid w:val="00E54B9B"/>
    <w:rsid w:val="00E55038"/>
    <w:rsid w:val="00E55424"/>
    <w:rsid w:val="00E5575A"/>
    <w:rsid w:val="00E558E9"/>
    <w:rsid w:val="00E55915"/>
    <w:rsid w:val="00E55BB5"/>
    <w:rsid w:val="00E55CB3"/>
    <w:rsid w:val="00E55E3F"/>
    <w:rsid w:val="00E56764"/>
    <w:rsid w:val="00E5694C"/>
    <w:rsid w:val="00E56AAC"/>
    <w:rsid w:val="00E56FFD"/>
    <w:rsid w:val="00E5708B"/>
    <w:rsid w:val="00E57686"/>
    <w:rsid w:val="00E57958"/>
    <w:rsid w:val="00E57D83"/>
    <w:rsid w:val="00E60089"/>
    <w:rsid w:val="00E604C4"/>
    <w:rsid w:val="00E60579"/>
    <w:rsid w:val="00E608E3"/>
    <w:rsid w:val="00E60F24"/>
    <w:rsid w:val="00E611DF"/>
    <w:rsid w:val="00E61B1A"/>
    <w:rsid w:val="00E62865"/>
    <w:rsid w:val="00E62FC8"/>
    <w:rsid w:val="00E64583"/>
    <w:rsid w:val="00E64BB8"/>
    <w:rsid w:val="00E64D61"/>
    <w:rsid w:val="00E64ED0"/>
    <w:rsid w:val="00E65791"/>
    <w:rsid w:val="00E65CC6"/>
    <w:rsid w:val="00E65D9D"/>
    <w:rsid w:val="00E65E79"/>
    <w:rsid w:val="00E662BC"/>
    <w:rsid w:val="00E669DD"/>
    <w:rsid w:val="00E66BA2"/>
    <w:rsid w:val="00E66E66"/>
    <w:rsid w:val="00E66F49"/>
    <w:rsid w:val="00E67384"/>
    <w:rsid w:val="00E67416"/>
    <w:rsid w:val="00E67A36"/>
    <w:rsid w:val="00E70BBC"/>
    <w:rsid w:val="00E70D53"/>
    <w:rsid w:val="00E70E6E"/>
    <w:rsid w:val="00E715DA"/>
    <w:rsid w:val="00E718B6"/>
    <w:rsid w:val="00E721D2"/>
    <w:rsid w:val="00E723BA"/>
    <w:rsid w:val="00E73581"/>
    <w:rsid w:val="00E7358F"/>
    <w:rsid w:val="00E740F0"/>
    <w:rsid w:val="00E74631"/>
    <w:rsid w:val="00E7468F"/>
    <w:rsid w:val="00E74B99"/>
    <w:rsid w:val="00E751CC"/>
    <w:rsid w:val="00E75520"/>
    <w:rsid w:val="00E759A9"/>
    <w:rsid w:val="00E764A3"/>
    <w:rsid w:val="00E76600"/>
    <w:rsid w:val="00E768F2"/>
    <w:rsid w:val="00E76CAD"/>
    <w:rsid w:val="00E76D1A"/>
    <w:rsid w:val="00E77066"/>
    <w:rsid w:val="00E77394"/>
    <w:rsid w:val="00E77650"/>
    <w:rsid w:val="00E77ED5"/>
    <w:rsid w:val="00E8002F"/>
    <w:rsid w:val="00E801A4"/>
    <w:rsid w:val="00E80930"/>
    <w:rsid w:val="00E80C5D"/>
    <w:rsid w:val="00E80C66"/>
    <w:rsid w:val="00E80D9B"/>
    <w:rsid w:val="00E814D5"/>
    <w:rsid w:val="00E81DB0"/>
    <w:rsid w:val="00E8204C"/>
    <w:rsid w:val="00E8287E"/>
    <w:rsid w:val="00E82918"/>
    <w:rsid w:val="00E831B7"/>
    <w:rsid w:val="00E833F7"/>
    <w:rsid w:val="00E8343C"/>
    <w:rsid w:val="00E83B9A"/>
    <w:rsid w:val="00E83BDF"/>
    <w:rsid w:val="00E83CB5"/>
    <w:rsid w:val="00E83FC0"/>
    <w:rsid w:val="00E841B6"/>
    <w:rsid w:val="00E843D8"/>
    <w:rsid w:val="00E84E81"/>
    <w:rsid w:val="00E853EA"/>
    <w:rsid w:val="00E85BC4"/>
    <w:rsid w:val="00E85FBA"/>
    <w:rsid w:val="00E86141"/>
    <w:rsid w:val="00E863B4"/>
    <w:rsid w:val="00E867B2"/>
    <w:rsid w:val="00E867CC"/>
    <w:rsid w:val="00E867D4"/>
    <w:rsid w:val="00E86CA0"/>
    <w:rsid w:val="00E86FCB"/>
    <w:rsid w:val="00E86FCC"/>
    <w:rsid w:val="00E8749E"/>
    <w:rsid w:val="00E874C2"/>
    <w:rsid w:val="00E87A1D"/>
    <w:rsid w:val="00E87ACC"/>
    <w:rsid w:val="00E87B24"/>
    <w:rsid w:val="00E9012A"/>
    <w:rsid w:val="00E905F3"/>
    <w:rsid w:val="00E9094A"/>
    <w:rsid w:val="00E9099D"/>
    <w:rsid w:val="00E913E2"/>
    <w:rsid w:val="00E91D35"/>
    <w:rsid w:val="00E926A5"/>
    <w:rsid w:val="00E92B56"/>
    <w:rsid w:val="00E93024"/>
    <w:rsid w:val="00E93433"/>
    <w:rsid w:val="00E9395F"/>
    <w:rsid w:val="00E96064"/>
    <w:rsid w:val="00E962CC"/>
    <w:rsid w:val="00E963FE"/>
    <w:rsid w:val="00E970F0"/>
    <w:rsid w:val="00E97540"/>
    <w:rsid w:val="00E979EC"/>
    <w:rsid w:val="00EA00A5"/>
    <w:rsid w:val="00EA104C"/>
    <w:rsid w:val="00EA17C3"/>
    <w:rsid w:val="00EA1C05"/>
    <w:rsid w:val="00EA20D4"/>
    <w:rsid w:val="00EA2488"/>
    <w:rsid w:val="00EA2681"/>
    <w:rsid w:val="00EA276F"/>
    <w:rsid w:val="00EA2CAA"/>
    <w:rsid w:val="00EA3864"/>
    <w:rsid w:val="00EA3ED8"/>
    <w:rsid w:val="00EA4B36"/>
    <w:rsid w:val="00EA4D94"/>
    <w:rsid w:val="00EA6190"/>
    <w:rsid w:val="00EA6A83"/>
    <w:rsid w:val="00EA78CB"/>
    <w:rsid w:val="00EA7F1C"/>
    <w:rsid w:val="00EA7F1F"/>
    <w:rsid w:val="00EB0378"/>
    <w:rsid w:val="00EB0562"/>
    <w:rsid w:val="00EB1196"/>
    <w:rsid w:val="00EB15B6"/>
    <w:rsid w:val="00EB238F"/>
    <w:rsid w:val="00EB28E6"/>
    <w:rsid w:val="00EB324F"/>
    <w:rsid w:val="00EB386F"/>
    <w:rsid w:val="00EB3D06"/>
    <w:rsid w:val="00EB4916"/>
    <w:rsid w:val="00EB49D8"/>
    <w:rsid w:val="00EB5378"/>
    <w:rsid w:val="00EB587E"/>
    <w:rsid w:val="00EB58C0"/>
    <w:rsid w:val="00EB5998"/>
    <w:rsid w:val="00EB5EDD"/>
    <w:rsid w:val="00EB6512"/>
    <w:rsid w:val="00EB69D7"/>
    <w:rsid w:val="00EB6A07"/>
    <w:rsid w:val="00EB6E35"/>
    <w:rsid w:val="00EB7421"/>
    <w:rsid w:val="00EB76F0"/>
    <w:rsid w:val="00EC00C9"/>
    <w:rsid w:val="00EC0325"/>
    <w:rsid w:val="00EC079E"/>
    <w:rsid w:val="00EC0C40"/>
    <w:rsid w:val="00EC0DD9"/>
    <w:rsid w:val="00EC108B"/>
    <w:rsid w:val="00EC1726"/>
    <w:rsid w:val="00EC18C7"/>
    <w:rsid w:val="00EC1E2B"/>
    <w:rsid w:val="00EC24EE"/>
    <w:rsid w:val="00EC2649"/>
    <w:rsid w:val="00EC30E8"/>
    <w:rsid w:val="00EC31ED"/>
    <w:rsid w:val="00EC3D99"/>
    <w:rsid w:val="00EC3FEB"/>
    <w:rsid w:val="00EC4631"/>
    <w:rsid w:val="00EC49A1"/>
    <w:rsid w:val="00EC5836"/>
    <w:rsid w:val="00EC592B"/>
    <w:rsid w:val="00EC5B6D"/>
    <w:rsid w:val="00EC5E3B"/>
    <w:rsid w:val="00EC5FA6"/>
    <w:rsid w:val="00EC66A7"/>
    <w:rsid w:val="00EC688C"/>
    <w:rsid w:val="00EC6A4F"/>
    <w:rsid w:val="00EC74D1"/>
    <w:rsid w:val="00ED11D0"/>
    <w:rsid w:val="00ED12E3"/>
    <w:rsid w:val="00ED1664"/>
    <w:rsid w:val="00ED19B1"/>
    <w:rsid w:val="00ED1B58"/>
    <w:rsid w:val="00ED1C49"/>
    <w:rsid w:val="00ED227A"/>
    <w:rsid w:val="00ED2320"/>
    <w:rsid w:val="00ED2821"/>
    <w:rsid w:val="00ED2F2E"/>
    <w:rsid w:val="00ED31D8"/>
    <w:rsid w:val="00ED35AB"/>
    <w:rsid w:val="00ED35DD"/>
    <w:rsid w:val="00ED4246"/>
    <w:rsid w:val="00ED4A8E"/>
    <w:rsid w:val="00ED4B04"/>
    <w:rsid w:val="00ED4C81"/>
    <w:rsid w:val="00ED504B"/>
    <w:rsid w:val="00ED57EA"/>
    <w:rsid w:val="00ED5B0F"/>
    <w:rsid w:val="00ED5BD4"/>
    <w:rsid w:val="00ED637E"/>
    <w:rsid w:val="00ED6A60"/>
    <w:rsid w:val="00ED6B04"/>
    <w:rsid w:val="00ED74F4"/>
    <w:rsid w:val="00ED778A"/>
    <w:rsid w:val="00ED7C64"/>
    <w:rsid w:val="00EE032A"/>
    <w:rsid w:val="00EE0575"/>
    <w:rsid w:val="00EE07D3"/>
    <w:rsid w:val="00EE0D72"/>
    <w:rsid w:val="00EE1044"/>
    <w:rsid w:val="00EE18FE"/>
    <w:rsid w:val="00EE1996"/>
    <w:rsid w:val="00EE1C01"/>
    <w:rsid w:val="00EE1F88"/>
    <w:rsid w:val="00EE22AF"/>
    <w:rsid w:val="00EE3235"/>
    <w:rsid w:val="00EE3553"/>
    <w:rsid w:val="00EE37BF"/>
    <w:rsid w:val="00EE3C24"/>
    <w:rsid w:val="00EE5629"/>
    <w:rsid w:val="00EE58B5"/>
    <w:rsid w:val="00EE6260"/>
    <w:rsid w:val="00EE6414"/>
    <w:rsid w:val="00EE64B8"/>
    <w:rsid w:val="00EE6A0E"/>
    <w:rsid w:val="00EE7886"/>
    <w:rsid w:val="00EF0171"/>
    <w:rsid w:val="00EF0682"/>
    <w:rsid w:val="00EF0A60"/>
    <w:rsid w:val="00EF139E"/>
    <w:rsid w:val="00EF1B25"/>
    <w:rsid w:val="00EF1DA0"/>
    <w:rsid w:val="00EF2038"/>
    <w:rsid w:val="00EF2B02"/>
    <w:rsid w:val="00EF2E6F"/>
    <w:rsid w:val="00EF385E"/>
    <w:rsid w:val="00EF3CAD"/>
    <w:rsid w:val="00EF4747"/>
    <w:rsid w:val="00EF4998"/>
    <w:rsid w:val="00EF4BF8"/>
    <w:rsid w:val="00EF5EC5"/>
    <w:rsid w:val="00EF6A83"/>
    <w:rsid w:val="00EF6CAC"/>
    <w:rsid w:val="00EF6D71"/>
    <w:rsid w:val="00EF718E"/>
    <w:rsid w:val="00EF7ED7"/>
    <w:rsid w:val="00F00DE2"/>
    <w:rsid w:val="00F01743"/>
    <w:rsid w:val="00F01820"/>
    <w:rsid w:val="00F018A6"/>
    <w:rsid w:val="00F018E3"/>
    <w:rsid w:val="00F01983"/>
    <w:rsid w:val="00F02253"/>
    <w:rsid w:val="00F023ED"/>
    <w:rsid w:val="00F02647"/>
    <w:rsid w:val="00F02863"/>
    <w:rsid w:val="00F031B6"/>
    <w:rsid w:val="00F03224"/>
    <w:rsid w:val="00F03C2E"/>
    <w:rsid w:val="00F03E02"/>
    <w:rsid w:val="00F0498F"/>
    <w:rsid w:val="00F04A66"/>
    <w:rsid w:val="00F04B4B"/>
    <w:rsid w:val="00F04B72"/>
    <w:rsid w:val="00F0516C"/>
    <w:rsid w:val="00F0542C"/>
    <w:rsid w:val="00F05A0F"/>
    <w:rsid w:val="00F06024"/>
    <w:rsid w:val="00F063D8"/>
    <w:rsid w:val="00F06402"/>
    <w:rsid w:val="00F067A2"/>
    <w:rsid w:val="00F06A4C"/>
    <w:rsid w:val="00F06C41"/>
    <w:rsid w:val="00F0710D"/>
    <w:rsid w:val="00F07B9E"/>
    <w:rsid w:val="00F105C5"/>
    <w:rsid w:val="00F10830"/>
    <w:rsid w:val="00F110E0"/>
    <w:rsid w:val="00F110EF"/>
    <w:rsid w:val="00F1116F"/>
    <w:rsid w:val="00F11AC1"/>
    <w:rsid w:val="00F1263A"/>
    <w:rsid w:val="00F127A8"/>
    <w:rsid w:val="00F12B5E"/>
    <w:rsid w:val="00F1379D"/>
    <w:rsid w:val="00F139C5"/>
    <w:rsid w:val="00F13A20"/>
    <w:rsid w:val="00F13FFB"/>
    <w:rsid w:val="00F144BE"/>
    <w:rsid w:val="00F15502"/>
    <w:rsid w:val="00F15598"/>
    <w:rsid w:val="00F15B77"/>
    <w:rsid w:val="00F15D67"/>
    <w:rsid w:val="00F16767"/>
    <w:rsid w:val="00F16CCC"/>
    <w:rsid w:val="00F170DC"/>
    <w:rsid w:val="00F171AE"/>
    <w:rsid w:val="00F174D4"/>
    <w:rsid w:val="00F17D07"/>
    <w:rsid w:val="00F17D98"/>
    <w:rsid w:val="00F17DD2"/>
    <w:rsid w:val="00F17E3D"/>
    <w:rsid w:val="00F17E50"/>
    <w:rsid w:val="00F201B2"/>
    <w:rsid w:val="00F210C8"/>
    <w:rsid w:val="00F21236"/>
    <w:rsid w:val="00F214D5"/>
    <w:rsid w:val="00F215C2"/>
    <w:rsid w:val="00F2187B"/>
    <w:rsid w:val="00F21C8B"/>
    <w:rsid w:val="00F239DF"/>
    <w:rsid w:val="00F243FF"/>
    <w:rsid w:val="00F24689"/>
    <w:rsid w:val="00F24837"/>
    <w:rsid w:val="00F2495F"/>
    <w:rsid w:val="00F24ABD"/>
    <w:rsid w:val="00F24D8E"/>
    <w:rsid w:val="00F2575F"/>
    <w:rsid w:val="00F257CD"/>
    <w:rsid w:val="00F25F46"/>
    <w:rsid w:val="00F27565"/>
    <w:rsid w:val="00F3080A"/>
    <w:rsid w:val="00F30BE6"/>
    <w:rsid w:val="00F30FFA"/>
    <w:rsid w:val="00F310D4"/>
    <w:rsid w:val="00F31D5A"/>
    <w:rsid w:val="00F3221C"/>
    <w:rsid w:val="00F3246B"/>
    <w:rsid w:val="00F334B1"/>
    <w:rsid w:val="00F335A4"/>
    <w:rsid w:val="00F33959"/>
    <w:rsid w:val="00F33975"/>
    <w:rsid w:val="00F33A89"/>
    <w:rsid w:val="00F33DE9"/>
    <w:rsid w:val="00F348D9"/>
    <w:rsid w:val="00F34C12"/>
    <w:rsid w:val="00F34F15"/>
    <w:rsid w:val="00F353E3"/>
    <w:rsid w:val="00F3575C"/>
    <w:rsid w:val="00F35896"/>
    <w:rsid w:val="00F35E6D"/>
    <w:rsid w:val="00F35FBA"/>
    <w:rsid w:val="00F3619A"/>
    <w:rsid w:val="00F36658"/>
    <w:rsid w:val="00F3710E"/>
    <w:rsid w:val="00F37F5A"/>
    <w:rsid w:val="00F37F6D"/>
    <w:rsid w:val="00F402CA"/>
    <w:rsid w:val="00F4073D"/>
    <w:rsid w:val="00F40AAA"/>
    <w:rsid w:val="00F40BA7"/>
    <w:rsid w:val="00F40F86"/>
    <w:rsid w:val="00F40F9D"/>
    <w:rsid w:val="00F41156"/>
    <w:rsid w:val="00F41549"/>
    <w:rsid w:val="00F4154B"/>
    <w:rsid w:val="00F4193B"/>
    <w:rsid w:val="00F41ACD"/>
    <w:rsid w:val="00F41D0E"/>
    <w:rsid w:val="00F42470"/>
    <w:rsid w:val="00F42633"/>
    <w:rsid w:val="00F42928"/>
    <w:rsid w:val="00F42BA7"/>
    <w:rsid w:val="00F43028"/>
    <w:rsid w:val="00F4308E"/>
    <w:rsid w:val="00F435E6"/>
    <w:rsid w:val="00F43AC1"/>
    <w:rsid w:val="00F44782"/>
    <w:rsid w:val="00F4495A"/>
    <w:rsid w:val="00F44C78"/>
    <w:rsid w:val="00F458BF"/>
    <w:rsid w:val="00F465CE"/>
    <w:rsid w:val="00F46CB6"/>
    <w:rsid w:val="00F46E1B"/>
    <w:rsid w:val="00F47385"/>
    <w:rsid w:val="00F47543"/>
    <w:rsid w:val="00F4756D"/>
    <w:rsid w:val="00F47DE8"/>
    <w:rsid w:val="00F47EEE"/>
    <w:rsid w:val="00F5056A"/>
    <w:rsid w:val="00F50921"/>
    <w:rsid w:val="00F50F47"/>
    <w:rsid w:val="00F5114C"/>
    <w:rsid w:val="00F51DEA"/>
    <w:rsid w:val="00F52B38"/>
    <w:rsid w:val="00F52BF1"/>
    <w:rsid w:val="00F52FB3"/>
    <w:rsid w:val="00F531BB"/>
    <w:rsid w:val="00F53321"/>
    <w:rsid w:val="00F53625"/>
    <w:rsid w:val="00F53A4E"/>
    <w:rsid w:val="00F53AB4"/>
    <w:rsid w:val="00F53D27"/>
    <w:rsid w:val="00F542C1"/>
    <w:rsid w:val="00F550E3"/>
    <w:rsid w:val="00F5554A"/>
    <w:rsid w:val="00F557D7"/>
    <w:rsid w:val="00F55E73"/>
    <w:rsid w:val="00F55EDA"/>
    <w:rsid w:val="00F55EE2"/>
    <w:rsid w:val="00F56BC0"/>
    <w:rsid w:val="00F56BEF"/>
    <w:rsid w:val="00F56C80"/>
    <w:rsid w:val="00F57501"/>
    <w:rsid w:val="00F60081"/>
    <w:rsid w:val="00F60092"/>
    <w:rsid w:val="00F604D3"/>
    <w:rsid w:val="00F60612"/>
    <w:rsid w:val="00F6084D"/>
    <w:rsid w:val="00F60A0F"/>
    <w:rsid w:val="00F60CFC"/>
    <w:rsid w:val="00F615F7"/>
    <w:rsid w:val="00F61C18"/>
    <w:rsid w:val="00F63851"/>
    <w:rsid w:val="00F63EF6"/>
    <w:rsid w:val="00F6426E"/>
    <w:rsid w:val="00F6468B"/>
    <w:rsid w:val="00F649AB"/>
    <w:rsid w:val="00F650E0"/>
    <w:rsid w:val="00F65120"/>
    <w:rsid w:val="00F65564"/>
    <w:rsid w:val="00F65A74"/>
    <w:rsid w:val="00F65F4B"/>
    <w:rsid w:val="00F670A2"/>
    <w:rsid w:val="00F67387"/>
    <w:rsid w:val="00F6796E"/>
    <w:rsid w:val="00F67A69"/>
    <w:rsid w:val="00F67EF9"/>
    <w:rsid w:val="00F70BFF"/>
    <w:rsid w:val="00F70C9D"/>
    <w:rsid w:val="00F71387"/>
    <w:rsid w:val="00F71B00"/>
    <w:rsid w:val="00F71B97"/>
    <w:rsid w:val="00F720CF"/>
    <w:rsid w:val="00F73E08"/>
    <w:rsid w:val="00F73EC1"/>
    <w:rsid w:val="00F74272"/>
    <w:rsid w:val="00F74702"/>
    <w:rsid w:val="00F74A0B"/>
    <w:rsid w:val="00F74CD9"/>
    <w:rsid w:val="00F74EB3"/>
    <w:rsid w:val="00F75134"/>
    <w:rsid w:val="00F75889"/>
    <w:rsid w:val="00F758EB"/>
    <w:rsid w:val="00F7683A"/>
    <w:rsid w:val="00F77336"/>
    <w:rsid w:val="00F77338"/>
    <w:rsid w:val="00F77886"/>
    <w:rsid w:val="00F80A7B"/>
    <w:rsid w:val="00F80E5D"/>
    <w:rsid w:val="00F81521"/>
    <w:rsid w:val="00F81568"/>
    <w:rsid w:val="00F81E78"/>
    <w:rsid w:val="00F81FF2"/>
    <w:rsid w:val="00F8288A"/>
    <w:rsid w:val="00F82DE5"/>
    <w:rsid w:val="00F82DE9"/>
    <w:rsid w:val="00F831F0"/>
    <w:rsid w:val="00F83449"/>
    <w:rsid w:val="00F83916"/>
    <w:rsid w:val="00F83B28"/>
    <w:rsid w:val="00F846F5"/>
    <w:rsid w:val="00F851AC"/>
    <w:rsid w:val="00F851CE"/>
    <w:rsid w:val="00F8574F"/>
    <w:rsid w:val="00F85EA4"/>
    <w:rsid w:val="00F8630D"/>
    <w:rsid w:val="00F8647B"/>
    <w:rsid w:val="00F86E46"/>
    <w:rsid w:val="00F8706D"/>
    <w:rsid w:val="00F878D7"/>
    <w:rsid w:val="00F87975"/>
    <w:rsid w:val="00F87A9D"/>
    <w:rsid w:val="00F87BDD"/>
    <w:rsid w:val="00F87F18"/>
    <w:rsid w:val="00F90820"/>
    <w:rsid w:val="00F90BC2"/>
    <w:rsid w:val="00F91219"/>
    <w:rsid w:val="00F913FA"/>
    <w:rsid w:val="00F92444"/>
    <w:rsid w:val="00F92540"/>
    <w:rsid w:val="00F92E9B"/>
    <w:rsid w:val="00F93271"/>
    <w:rsid w:val="00F9385D"/>
    <w:rsid w:val="00F9393E"/>
    <w:rsid w:val="00F93CBC"/>
    <w:rsid w:val="00F94865"/>
    <w:rsid w:val="00F9492D"/>
    <w:rsid w:val="00F957A0"/>
    <w:rsid w:val="00F96424"/>
    <w:rsid w:val="00F96BD7"/>
    <w:rsid w:val="00F96C8C"/>
    <w:rsid w:val="00F96FA3"/>
    <w:rsid w:val="00F96FD0"/>
    <w:rsid w:val="00F97393"/>
    <w:rsid w:val="00F9768A"/>
    <w:rsid w:val="00F97A78"/>
    <w:rsid w:val="00F97ACB"/>
    <w:rsid w:val="00F97D67"/>
    <w:rsid w:val="00F97D79"/>
    <w:rsid w:val="00F97EBB"/>
    <w:rsid w:val="00FA00A1"/>
    <w:rsid w:val="00FA0226"/>
    <w:rsid w:val="00FA06BF"/>
    <w:rsid w:val="00FA0737"/>
    <w:rsid w:val="00FA0A6E"/>
    <w:rsid w:val="00FA0B20"/>
    <w:rsid w:val="00FA1264"/>
    <w:rsid w:val="00FA2393"/>
    <w:rsid w:val="00FA24E7"/>
    <w:rsid w:val="00FA312B"/>
    <w:rsid w:val="00FA3A5B"/>
    <w:rsid w:val="00FA3A93"/>
    <w:rsid w:val="00FA43FB"/>
    <w:rsid w:val="00FA466C"/>
    <w:rsid w:val="00FA4938"/>
    <w:rsid w:val="00FA497F"/>
    <w:rsid w:val="00FA4FFD"/>
    <w:rsid w:val="00FA50FF"/>
    <w:rsid w:val="00FA52CE"/>
    <w:rsid w:val="00FA5B9B"/>
    <w:rsid w:val="00FA5EE6"/>
    <w:rsid w:val="00FA65EF"/>
    <w:rsid w:val="00FA68E8"/>
    <w:rsid w:val="00FA6F9D"/>
    <w:rsid w:val="00FA71AA"/>
    <w:rsid w:val="00FA743B"/>
    <w:rsid w:val="00FA75FF"/>
    <w:rsid w:val="00FA7956"/>
    <w:rsid w:val="00FA7F9D"/>
    <w:rsid w:val="00FB04B3"/>
    <w:rsid w:val="00FB0824"/>
    <w:rsid w:val="00FB253B"/>
    <w:rsid w:val="00FB2FCB"/>
    <w:rsid w:val="00FB33BE"/>
    <w:rsid w:val="00FB341D"/>
    <w:rsid w:val="00FB43CB"/>
    <w:rsid w:val="00FB4739"/>
    <w:rsid w:val="00FB4C9C"/>
    <w:rsid w:val="00FB4CEC"/>
    <w:rsid w:val="00FB4D1D"/>
    <w:rsid w:val="00FB51DE"/>
    <w:rsid w:val="00FB524D"/>
    <w:rsid w:val="00FB54A9"/>
    <w:rsid w:val="00FB575F"/>
    <w:rsid w:val="00FB59BC"/>
    <w:rsid w:val="00FB631F"/>
    <w:rsid w:val="00FB698E"/>
    <w:rsid w:val="00FB7096"/>
    <w:rsid w:val="00FB763E"/>
    <w:rsid w:val="00FB7718"/>
    <w:rsid w:val="00FB7892"/>
    <w:rsid w:val="00FB7C55"/>
    <w:rsid w:val="00FC02F4"/>
    <w:rsid w:val="00FC04A4"/>
    <w:rsid w:val="00FC08B0"/>
    <w:rsid w:val="00FC09D8"/>
    <w:rsid w:val="00FC0C2E"/>
    <w:rsid w:val="00FC1074"/>
    <w:rsid w:val="00FC1884"/>
    <w:rsid w:val="00FC219B"/>
    <w:rsid w:val="00FC26E2"/>
    <w:rsid w:val="00FC2753"/>
    <w:rsid w:val="00FC2FB8"/>
    <w:rsid w:val="00FC3306"/>
    <w:rsid w:val="00FC3358"/>
    <w:rsid w:val="00FC371D"/>
    <w:rsid w:val="00FC3868"/>
    <w:rsid w:val="00FC43D0"/>
    <w:rsid w:val="00FC4DB5"/>
    <w:rsid w:val="00FC4DE7"/>
    <w:rsid w:val="00FC584C"/>
    <w:rsid w:val="00FC59F5"/>
    <w:rsid w:val="00FC5A92"/>
    <w:rsid w:val="00FC5F0B"/>
    <w:rsid w:val="00FC6D45"/>
    <w:rsid w:val="00FC734B"/>
    <w:rsid w:val="00FC7F0D"/>
    <w:rsid w:val="00FC7FA0"/>
    <w:rsid w:val="00FD0357"/>
    <w:rsid w:val="00FD0EE0"/>
    <w:rsid w:val="00FD113F"/>
    <w:rsid w:val="00FD157C"/>
    <w:rsid w:val="00FD1C83"/>
    <w:rsid w:val="00FD2100"/>
    <w:rsid w:val="00FD2AA3"/>
    <w:rsid w:val="00FD3316"/>
    <w:rsid w:val="00FD3846"/>
    <w:rsid w:val="00FD388B"/>
    <w:rsid w:val="00FD436C"/>
    <w:rsid w:val="00FD446D"/>
    <w:rsid w:val="00FD488C"/>
    <w:rsid w:val="00FD4AAC"/>
    <w:rsid w:val="00FD4F2C"/>
    <w:rsid w:val="00FD59B4"/>
    <w:rsid w:val="00FD5CC7"/>
    <w:rsid w:val="00FD6031"/>
    <w:rsid w:val="00FD6394"/>
    <w:rsid w:val="00FD66C7"/>
    <w:rsid w:val="00FD78E4"/>
    <w:rsid w:val="00FD7DA3"/>
    <w:rsid w:val="00FE045C"/>
    <w:rsid w:val="00FE075E"/>
    <w:rsid w:val="00FE0E6C"/>
    <w:rsid w:val="00FE1CDC"/>
    <w:rsid w:val="00FE217B"/>
    <w:rsid w:val="00FE2D49"/>
    <w:rsid w:val="00FE3931"/>
    <w:rsid w:val="00FE39BE"/>
    <w:rsid w:val="00FE3C57"/>
    <w:rsid w:val="00FE3DB0"/>
    <w:rsid w:val="00FE3F87"/>
    <w:rsid w:val="00FE5923"/>
    <w:rsid w:val="00FE634C"/>
    <w:rsid w:val="00FE65BE"/>
    <w:rsid w:val="00FE67E2"/>
    <w:rsid w:val="00FE680C"/>
    <w:rsid w:val="00FE6BE0"/>
    <w:rsid w:val="00FE6EE8"/>
    <w:rsid w:val="00FE70C3"/>
    <w:rsid w:val="00FE779B"/>
    <w:rsid w:val="00FE77AC"/>
    <w:rsid w:val="00FE793E"/>
    <w:rsid w:val="00FE7AC0"/>
    <w:rsid w:val="00FF075E"/>
    <w:rsid w:val="00FF0A57"/>
    <w:rsid w:val="00FF1161"/>
    <w:rsid w:val="00FF1A8B"/>
    <w:rsid w:val="00FF1C9D"/>
    <w:rsid w:val="00FF2AD9"/>
    <w:rsid w:val="00FF334B"/>
    <w:rsid w:val="00FF3422"/>
    <w:rsid w:val="00FF359F"/>
    <w:rsid w:val="00FF3DCF"/>
    <w:rsid w:val="00FF3E49"/>
    <w:rsid w:val="00FF4757"/>
    <w:rsid w:val="00FF48CF"/>
    <w:rsid w:val="00FF492C"/>
    <w:rsid w:val="00FF4A21"/>
    <w:rsid w:val="00FF4BAF"/>
    <w:rsid w:val="00FF5586"/>
    <w:rsid w:val="00FF5AA3"/>
    <w:rsid w:val="00FF5AD8"/>
    <w:rsid w:val="00FF5C26"/>
    <w:rsid w:val="00FF60F5"/>
    <w:rsid w:val="00FF66F1"/>
    <w:rsid w:val="00FF6716"/>
    <w:rsid w:val="00FF748D"/>
    <w:rsid w:val="00FF756D"/>
    <w:rsid w:val="00FF75E0"/>
    <w:rsid w:val="00FF77CC"/>
    <w:rsid w:val="00FF780E"/>
    <w:rsid w:val="00FF7D62"/>
    <w:rsid w:val="010A3885"/>
    <w:rsid w:val="01B08978"/>
    <w:rsid w:val="01E270F4"/>
    <w:rsid w:val="026EDCDD"/>
    <w:rsid w:val="0272061F"/>
    <w:rsid w:val="037A8AE9"/>
    <w:rsid w:val="03CF4CC7"/>
    <w:rsid w:val="04006F14"/>
    <w:rsid w:val="04CB31B5"/>
    <w:rsid w:val="0542B15D"/>
    <w:rsid w:val="0565FB3E"/>
    <w:rsid w:val="064F6898"/>
    <w:rsid w:val="075654A7"/>
    <w:rsid w:val="07C74E0A"/>
    <w:rsid w:val="08373ADB"/>
    <w:rsid w:val="085655C1"/>
    <w:rsid w:val="087011C3"/>
    <w:rsid w:val="087B1A16"/>
    <w:rsid w:val="090F9AB9"/>
    <w:rsid w:val="095722DE"/>
    <w:rsid w:val="0A22787B"/>
    <w:rsid w:val="0AB1FC5E"/>
    <w:rsid w:val="0B6CC46B"/>
    <w:rsid w:val="0C20258F"/>
    <w:rsid w:val="0C3AFBFC"/>
    <w:rsid w:val="0DCA6685"/>
    <w:rsid w:val="0E1611E0"/>
    <w:rsid w:val="0E948784"/>
    <w:rsid w:val="0EC3DE61"/>
    <w:rsid w:val="0F68912B"/>
    <w:rsid w:val="10AB8D6E"/>
    <w:rsid w:val="111E84C4"/>
    <w:rsid w:val="1166C4FF"/>
    <w:rsid w:val="1190F65C"/>
    <w:rsid w:val="11B0AF3D"/>
    <w:rsid w:val="11CEF3E1"/>
    <w:rsid w:val="12244CA5"/>
    <w:rsid w:val="1242E2BF"/>
    <w:rsid w:val="13C6DAA8"/>
    <w:rsid w:val="13D1A43A"/>
    <w:rsid w:val="1407E6C1"/>
    <w:rsid w:val="14540784"/>
    <w:rsid w:val="161A62D4"/>
    <w:rsid w:val="17BCD4D4"/>
    <w:rsid w:val="180900E3"/>
    <w:rsid w:val="18EA5EE6"/>
    <w:rsid w:val="1A0486CA"/>
    <w:rsid w:val="1ABD68DB"/>
    <w:rsid w:val="1B2CA9C1"/>
    <w:rsid w:val="1B35ECEC"/>
    <w:rsid w:val="1D2C351F"/>
    <w:rsid w:val="1D4FE4EB"/>
    <w:rsid w:val="1D88308C"/>
    <w:rsid w:val="1D91EDC0"/>
    <w:rsid w:val="1F414234"/>
    <w:rsid w:val="201ADC1D"/>
    <w:rsid w:val="20220578"/>
    <w:rsid w:val="2041934E"/>
    <w:rsid w:val="207CA86B"/>
    <w:rsid w:val="2102EC1B"/>
    <w:rsid w:val="229E529A"/>
    <w:rsid w:val="22CECE30"/>
    <w:rsid w:val="23066D54"/>
    <w:rsid w:val="2326EF00"/>
    <w:rsid w:val="23413999"/>
    <w:rsid w:val="2386CA99"/>
    <w:rsid w:val="25C15113"/>
    <w:rsid w:val="27645A4F"/>
    <w:rsid w:val="27920DB9"/>
    <w:rsid w:val="2852B575"/>
    <w:rsid w:val="288BCB98"/>
    <w:rsid w:val="28952413"/>
    <w:rsid w:val="29887521"/>
    <w:rsid w:val="2AA43316"/>
    <w:rsid w:val="2AFAA27D"/>
    <w:rsid w:val="2ECB2A27"/>
    <w:rsid w:val="30E666D7"/>
    <w:rsid w:val="31E454A6"/>
    <w:rsid w:val="31F0F551"/>
    <w:rsid w:val="336B07FB"/>
    <w:rsid w:val="33D21480"/>
    <w:rsid w:val="34346494"/>
    <w:rsid w:val="34852259"/>
    <w:rsid w:val="34D454A7"/>
    <w:rsid w:val="368006D5"/>
    <w:rsid w:val="36BC6DF5"/>
    <w:rsid w:val="36E983F5"/>
    <w:rsid w:val="37965250"/>
    <w:rsid w:val="3A2742E6"/>
    <w:rsid w:val="3B22581A"/>
    <w:rsid w:val="3BA6AD97"/>
    <w:rsid w:val="3C8C431F"/>
    <w:rsid w:val="3CDCE0F7"/>
    <w:rsid w:val="3D214E1C"/>
    <w:rsid w:val="3D2CEE5E"/>
    <w:rsid w:val="3E08A1DE"/>
    <w:rsid w:val="3E707E39"/>
    <w:rsid w:val="3E780D45"/>
    <w:rsid w:val="3EF1EDA4"/>
    <w:rsid w:val="3F7B79F0"/>
    <w:rsid w:val="3FE205D9"/>
    <w:rsid w:val="4158A0A7"/>
    <w:rsid w:val="4308771D"/>
    <w:rsid w:val="448AB54E"/>
    <w:rsid w:val="46B8DCA5"/>
    <w:rsid w:val="474AADFB"/>
    <w:rsid w:val="47712D8F"/>
    <w:rsid w:val="48F745DC"/>
    <w:rsid w:val="4B4A495E"/>
    <w:rsid w:val="4B907736"/>
    <w:rsid w:val="4BE5FCB9"/>
    <w:rsid w:val="4BEB0C3B"/>
    <w:rsid w:val="4F560452"/>
    <w:rsid w:val="4F621F49"/>
    <w:rsid w:val="5023B4CD"/>
    <w:rsid w:val="50310852"/>
    <w:rsid w:val="507C910F"/>
    <w:rsid w:val="5123DCD2"/>
    <w:rsid w:val="54937783"/>
    <w:rsid w:val="551E871A"/>
    <w:rsid w:val="554DF1B1"/>
    <w:rsid w:val="555108E0"/>
    <w:rsid w:val="559084DF"/>
    <w:rsid w:val="561831FB"/>
    <w:rsid w:val="567AAA30"/>
    <w:rsid w:val="56C3DB6B"/>
    <w:rsid w:val="57B640DA"/>
    <w:rsid w:val="583161B8"/>
    <w:rsid w:val="5911EDE8"/>
    <w:rsid w:val="596FB845"/>
    <w:rsid w:val="598C1FE5"/>
    <w:rsid w:val="5B548BD2"/>
    <w:rsid w:val="5C53F86B"/>
    <w:rsid w:val="5C776CE7"/>
    <w:rsid w:val="5CC3A6A9"/>
    <w:rsid w:val="5D222627"/>
    <w:rsid w:val="5F3C20C4"/>
    <w:rsid w:val="5F60FEF8"/>
    <w:rsid w:val="5FC4038B"/>
    <w:rsid w:val="60F43D0E"/>
    <w:rsid w:val="61DA7F1B"/>
    <w:rsid w:val="62B8A849"/>
    <w:rsid w:val="630BFF74"/>
    <w:rsid w:val="638A9DAC"/>
    <w:rsid w:val="638F81F5"/>
    <w:rsid w:val="65034A06"/>
    <w:rsid w:val="6583F27C"/>
    <w:rsid w:val="65A49458"/>
    <w:rsid w:val="65A77175"/>
    <w:rsid w:val="65C17A62"/>
    <w:rsid w:val="6728354C"/>
    <w:rsid w:val="6766E56B"/>
    <w:rsid w:val="682E5EEF"/>
    <w:rsid w:val="68500780"/>
    <w:rsid w:val="68518C54"/>
    <w:rsid w:val="68F0F423"/>
    <w:rsid w:val="6AE3AA23"/>
    <w:rsid w:val="6AEECA7E"/>
    <w:rsid w:val="6C0352D9"/>
    <w:rsid w:val="6C66B7BD"/>
    <w:rsid w:val="6D748581"/>
    <w:rsid w:val="6DFD6E8F"/>
    <w:rsid w:val="6E061D17"/>
    <w:rsid w:val="6E15C4BF"/>
    <w:rsid w:val="6F1A36BD"/>
    <w:rsid w:val="6FA9C1D5"/>
    <w:rsid w:val="71289EB2"/>
    <w:rsid w:val="7149BF9A"/>
    <w:rsid w:val="728D930B"/>
    <w:rsid w:val="732DCDAD"/>
    <w:rsid w:val="7359A269"/>
    <w:rsid w:val="738A349D"/>
    <w:rsid w:val="743AE58D"/>
    <w:rsid w:val="748DB610"/>
    <w:rsid w:val="74F1B629"/>
    <w:rsid w:val="75A47FD7"/>
    <w:rsid w:val="761B32D5"/>
    <w:rsid w:val="762C8D9F"/>
    <w:rsid w:val="774D65FA"/>
    <w:rsid w:val="77D810C0"/>
    <w:rsid w:val="788BA389"/>
    <w:rsid w:val="78D112CF"/>
    <w:rsid w:val="78F853CE"/>
    <w:rsid w:val="7A0E78CF"/>
    <w:rsid w:val="7A67D445"/>
    <w:rsid w:val="7B166201"/>
    <w:rsid w:val="7C0553D4"/>
    <w:rsid w:val="7C3A4A64"/>
    <w:rsid w:val="7D081755"/>
    <w:rsid w:val="7FC562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Figure_name,Numbered Indented Text,Bullet- First level,List NUmber,Listenabsatz1"/>
    <w:next w:val="ListBullet"/>
    <w:link w:val="ListParagraphChar"/>
    <w:uiPriority w:val="34"/>
    <w:qFormat/>
    <w:rsid w:val="00BB00B3"/>
    <w:pPr>
      <w:numPr>
        <w:numId w:val="4"/>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Figure_name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3"/>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2"/>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6"/>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31263"/>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31263"/>
    <w:rPr>
      <w:rFonts w:ascii="Arial Narrow" w:hAnsi="Arial Narrow" w:cs="Arial"/>
      <w:snapToGrid w:val="0"/>
      <w:sz w:val="18"/>
      <w:szCs w:val="22"/>
    </w:rPr>
  </w:style>
  <w:style w:type="paragraph" w:customStyle="1" w:styleId="PbacTableHeading">
    <w:name w:val="Pbac Table Heading"/>
    <w:basedOn w:val="Normal"/>
    <w:rsid w:val="00891A0C"/>
    <w:pPr>
      <w:spacing w:after="80"/>
      <w:jc w:val="left"/>
    </w:pPr>
    <w:rPr>
      <w:rFonts w:ascii="Arial Narrow" w:eastAsiaTheme="minorHAnsi" w:hAnsi="Arial Narrow"/>
      <w:b/>
      <w:sz w:val="20"/>
      <w:szCs w:val="20"/>
      <w:lang w:eastAsia="en-US"/>
    </w:rPr>
  </w:style>
  <w:style w:type="paragraph" w:customStyle="1" w:styleId="PBACTableText">
    <w:name w:val="PBAC Table Text"/>
    <w:basedOn w:val="Normal"/>
    <w:link w:val="PBACTableTextChar"/>
    <w:rsid w:val="00891A0C"/>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891A0C"/>
    <w:rPr>
      <w:rFonts w:ascii="Arial Narrow" w:hAnsi="Arial Narrow"/>
      <w:lang w:eastAsia="en-US"/>
    </w:rPr>
  </w:style>
  <w:style w:type="paragraph" w:customStyle="1" w:styleId="Dash">
    <w:name w:val="Dash"/>
    <w:basedOn w:val="bullet"/>
    <w:rsid w:val="00891A0C"/>
    <w:pPr>
      <w:numPr>
        <w:numId w:val="22"/>
      </w:numPr>
      <w:spacing w:after="40"/>
      <w:ind w:left="714" w:hanging="357"/>
      <w:jc w:val="left"/>
    </w:pPr>
    <w:rPr>
      <w:rFonts w:asciiTheme="minorHAnsi" w:eastAsiaTheme="minorHAnsi" w:hAnsiTheme="minorHAnsi"/>
      <w:i w:val="0"/>
    </w:rPr>
  </w:style>
  <w:style w:type="paragraph" w:styleId="FootnoteText">
    <w:name w:val="footnote text"/>
    <w:basedOn w:val="Normal"/>
    <w:link w:val="FootnoteTextChar"/>
    <w:semiHidden/>
    <w:unhideWhenUsed/>
    <w:rsid w:val="00D7588E"/>
    <w:rPr>
      <w:sz w:val="20"/>
      <w:szCs w:val="20"/>
    </w:rPr>
  </w:style>
  <w:style w:type="character" w:customStyle="1" w:styleId="FootnoteTextChar">
    <w:name w:val="Footnote Text Char"/>
    <w:basedOn w:val="DefaultParagraphFont"/>
    <w:link w:val="FootnoteText"/>
    <w:semiHidden/>
    <w:rsid w:val="00D7588E"/>
    <w:rPr>
      <w:rFonts w:ascii="Calibri" w:hAnsi="Calibri" w:cs="Arial"/>
    </w:rPr>
  </w:style>
  <w:style w:type="character" w:styleId="FootnoteReference">
    <w:name w:val="footnote reference"/>
    <w:basedOn w:val="DefaultParagraphFont"/>
    <w:semiHidden/>
    <w:unhideWhenUsed/>
    <w:rsid w:val="00D7588E"/>
    <w:rPr>
      <w:vertAlign w:val="superscript"/>
    </w:rPr>
  </w:style>
  <w:style w:type="character" w:styleId="UnresolvedMention">
    <w:name w:val="Unresolved Mention"/>
    <w:basedOn w:val="DefaultParagraphFont"/>
    <w:uiPriority w:val="99"/>
    <w:semiHidden/>
    <w:unhideWhenUsed/>
    <w:rsid w:val="00965E6B"/>
    <w:rPr>
      <w:color w:val="605E5C"/>
      <w:shd w:val="clear" w:color="auto" w:fill="E1DFDD"/>
    </w:rPr>
  </w:style>
  <w:style w:type="paragraph" w:customStyle="1" w:styleId="InstructionalText">
    <w:name w:val="Instructional Text"/>
    <w:basedOn w:val="Normal"/>
    <w:link w:val="InstructionalTextChar"/>
    <w:uiPriority w:val="3"/>
    <w:rsid w:val="004A6F44"/>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4A6F44"/>
    <w:rPr>
      <w:rFonts w:asciiTheme="minorHAnsi" w:eastAsiaTheme="minorHAnsi" w:hAnsiTheme="minorHAnsi" w:cstheme="minorHAnsi"/>
      <w:color w:val="3366FF"/>
      <w:sz w:val="24"/>
      <w:szCs w:val="22"/>
      <w:lang w:eastAsia="en-US"/>
    </w:rPr>
  </w:style>
  <w:style w:type="table" w:styleId="PlainTable2">
    <w:name w:val="Plain Table 2"/>
    <w:basedOn w:val="TableNormal"/>
    <w:uiPriority w:val="42"/>
    <w:rsid w:val="002E24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BACnormal">
    <w:name w:val="PBAC normal"/>
    <w:basedOn w:val="Normal"/>
    <w:link w:val="PBACnormalChar"/>
    <w:qFormat/>
    <w:rsid w:val="00C2049F"/>
    <w:pPr>
      <w:spacing w:after="160"/>
      <w:jc w:val="left"/>
    </w:pPr>
    <w:rPr>
      <w:rFonts w:ascii="Aptos" w:eastAsia="Calibri" w:hAnsi="Aptos"/>
      <w:sz w:val="22"/>
      <w:szCs w:val="20"/>
      <w:lang w:eastAsia="en-US"/>
    </w:rPr>
  </w:style>
  <w:style w:type="character" w:customStyle="1" w:styleId="PBACnormalChar">
    <w:name w:val="PBAC normal Char"/>
    <w:basedOn w:val="DefaultParagraphFont"/>
    <w:link w:val="PBACnormal"/>
    <w:rsid w:val="00C2049F"/>
    <w:rPr>
      <w:rFonts w:ascii="Aptos" w:eastAsia="Calibri" w:hAnsi="Aptos" w:cs="Arial"/>
      <w:sz w:val="22"/>
      <w:lang w:eastAsia="en-US"/>
    </w:rPr>
  </w:style>
  <w:style w:type="paragraph" w:customStyle="1" w:styleId="3-SubsectionHeading">
    <w:name w:val="3-Subsection Heading"/>
    <w:basedOn w:val="Heading2"/>
    <w:next w:val="Normal"/>
    <w:link w:val="3-SubsectionHeadingChar"/>
    <w:qFormat/>
    <w:rsid w:val="00A7645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7645F"/>
    <w:rPr>
      <w:rFonts w:asciiTheme="minorHAnsi" w:eastAsiaTheme="majorEastAsia" w:hAnsiTheme="minorHAnsi" w:cstheme="majorBidi"/>
      <w:b/>
      <w:i/>
      <w:snapToGrid/>
      <w:spacing w:val="5"/>
      <w:kern w:val="28"/>
      <w:sz w:val="28"/>
      <w:szCs w:val="36"/>
      <w:lang w:eastAsia="en-US"/>
    </w:rPr>
  </w:style>
  <w:style w:type="paragraph" w:customStyle="1" w:styleId="PBACESHeading1">
    <w:name w:val="PBAC ES Heading 1"/>
    <w:basedOn w:val="Heading1"/>
    <w:next w:val="ListParagraph"/>
    <w:uiPriority w:val="1"/>
    <w:qFormat/>
    <w:rsid w:val="001A6DB6"/>
    <w:pPr>
      <w:keepNext/>
      <w:keepLines/>
      <w:tabs>
        <w:tab w:val="left" w:pos="1077"/>
      </w:tabs>
      <w:spacing w:before="240"/>
      <w:jc w:val="left"/>
    </w:pPr>
    <w:rPr>
      <w:rFonts w:asciiTheme="minorHAnsi" w:hAnsiTheme="minorHAnsi" w:cstheme="minorHAnsi"/>
      <w:caps w:val="0"/>
      <w:snapToGrid w:val="0"/>
      <w:szCs w:val="32"/>
    </w:rPr>
  </w:style>
  <w:style w:type="paragraph" w:customStyle="1" w:styleId="PBACESHeading2">
    <w:name w:val="PBAC ES Heading 2"/>
    <w:basedOn w:val="Heading2"/>
    <w:uiPriority w:val="1"/>
    <w:qFormat/>
    <w:rsid w:val="001A6DB6"/>
    <w:pPr>
      <w:keepNext/>
      <w:keepLines/>
      <w:spacing w:before="360" w:after="120"/>
      <w:ind w:left="720" w:hanging="720"/>
      <w:jc w:val="left"/>
    </w:pPr>
    <w:rPr>
      <w:rFonts w:asciiTheme="majorHAnsi" w:eastAsiaTheme="majorEastAsia" w:hAnsiTheme="majorHAnsi" w:cstheme="majorBidi"/>
      <w:snapToGrid w:val="0"/>
      <w:color w:val="000000" w:themeColor="text1"/>
      <w:szCs w:val="28"/>
      <w:lang w:eastAsia="en-US"/>
    </w:rPr>
  </w:style>
  <w:style w:type="paragraph" w:customStyle="1" w:styleId="PBACESHeadingCAPS">
    <w:name w:val="PBAC ES Heading CAPS"/>
    <w:basedOn w:val="PBACESHeading2"/>
    <w:uiPriority w:val="1"/>
    <w:qFormat/>
    <w:rsid w:val="001A6DB6"/>
    <w:rPr>
      <w:i w:val="0"/>
      <w:smallCaps/>
      <w:sz w:val="32"/>
    </w:rPr>
  </w:style>
  <w:style w:type="paragraph" w:customStyle="1" w:styleId="PBACESHeading3">
    <w:name w:val="PBAC ES Heading 3"/>
    <w:basedOn w:val="PBACESHeading2"/>
    <w:uiPriority w:val="1"/>
    <w:qFormat/>
    <w:rsid w:val="001A6DB6"/>
    <w:pPr>
      <w:ind w:left="1080" w:hanging="1080"/>
    </w:pPr>
    <w:rPr>
      <w:i w:val="0"/>
      <w:sz w:val="24"/>
    </w:rPr>
  </w:style>
  <w:style w:type="paragraph" w:customStyle="1" w:styleId="MSACHeading1">
    <w:name w:val="MSAC Heading 1"/>
    <w:basedOn w:val="Heading1"/>
    <w:next w:val="Normal"/>
    <w:uiPriority w:val="1"/>
    <w:qFormat/>
    <w:rsid w:val="001A6DB6"/>
    <w:pPr>
      <w:keepNext/>
      <w:keepLines/>
      <w:spacing w:before="160" w:after="240" w:line="259" w:lineRule="auto"/>
      <w:jc w:val="left"/>
    </w:pPr>
    <w:rPr>
      <w:rFonts w:ascii="Arial" w:eastAsiaTheme="majorEastAsia" w:hAnsi="Arial" w:cs="Times New Roman"/>
      <w:caps w:val="0"/>
      <w:sz w:val="24"/>
    </w:rPr>
  </w:style>
  <w:style w:type="paragraph" w:customStyle="1" w:styleId="MSACESHeading2">
    <w:name w:val="MSAC ES Heading 2"/>
    <w:basedOn w:val="Heading2"/>
    <w:next w:val="Normal"/>
    <w:uiPriority w:val="1"/>
    <w:qFormat/>
    <w:rsid w:val="001A6DB6"/>
    <w:pPr>
      <w:keepNext/>
      <w:keepLines/>
      <w:spacing w:before="360" w:after="120"/>
      <w:ind w:left="720" w:hanging="720"/>
      <w:jc w:val="left"/>
    </w:pPr>
    <w:rPr>
      <w:rFonts w:ascii="Cambria" w:eastAsiaTheme="majorEastAsia" w:hAnsi="Cambria" w:cstheme="majorBidi"/>
      <w:i w:val="0"/>
      <w:snapToGrid w:val="0"/>
      <w:color w:val="000000" w:themeColor="text1"/>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98023718">
      <w:bodyDiv w:val="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324404503">
              <w:marLeft w:val="0"/>
              <w:marRight w:val="0"/>
              <w:marTop w:val="0"/>
              <w:marBottom w:val="0"/>
              <w:divBdr>
                <w:top w:val="none" w:sz="0" w:space="0" w:color="auto"/>
                <w:left w:val="none" w:sz="0" w:space="0" w:color="auto"/>
                <w:bottom w:val="none" w:sz="0" w:space="0" w:color="auto"/>
                <w:right w:val="none" w:sz="0" w:space="0" w:color="auto"/>
              </w:divBdr>
              <w:divsChild>
                <w:div w:id="1497964490">
                  <w:marLeft w:val="0"/>
                  <w:marRight w:val="0"/>
                  <w:marTop w:val="0"/>
                  <w:marBottom w:val="0"/>
                  <w:divBdr>
                    <w:top w:val="none" w:sz="0" w:space="0" w:color="auto"/>
                    <w:left w:val="none" w:sz="0" w:space="0" w:color="auto"/>
                    <w:bottom w:val="none" w:sz="0" w:space="0" w:color="auto"/>
                    <w:right w:val="none" w:sz="0" w:space="0" w:color="auto"/>
                  </w:divBdr>
                  <w:divsChild>
                    <w:div w:id="70006169">
                      <w:marLeft w:val="0"/>
                      <w:marRight w:val="0"/>
                      <w:marTop w:val="0"/>
                      <w:marBottom w:val="0"/>
                      <w:divBdr>
                        <w:top w:val="none" w:sz="0" w:space="0" w:color="auto"/>
                        <w:left w:val="none" w:sz="0" w:space="0" w:color="auto"/>
                        <w:bottom w:val="none" w:sz="0" w:space="0" w:color="auto"/>
                        <w:right w:val="none" w:sz="0" w:space="0" w:color="auto"/>
                      </w:divBdr>
                      <w:divsChild>
                        <w:div w:id="1524247692">
                          <w:marLeft w:val="0"/>
                          <w:marRight w:val="0"/>
                          <w:marTop w:val="0"/>
                          <w:marBottom w:val="0"/>
                          <w:divBdr>
                            <w:top w:val="none" w:sz="0" w:space="0" w:color="auto"/>
                            <w:left w:val="none" w:sz="0" w:space="0" w:color="auto"/>
                            <w:bottom w:val="none" w:sz="0" w:space="0" w:color="auto"/>
                            <w:right w:val="none" w:sz="0" w:space="0" w:color="auto"/>
                          </w:divBdr>
                          <w:divsChild>
                            <w:div w:id="14660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82807">
      <w:bodyDiv w:val="1"/>
      <w:marLeft w:val="0"/>
      <w:marRight w:val="0"/>
      <w:marTop w:val="0"/>
      <w:marBottom w:val="0"/>
      <w:divBdr>
        <w:top w:val="none" w:sz="0" w:space="0" w:color="auto"/>
        <w:left w:val="none" w:sz="0" w:space="0" w:color="auto"/>
        <w:bottom w:val="none" w:sz="0" w:space="0" w:color="auto"/>
        <w:right w:val="none" w:sz="0" w:space="0" w:color="auto"/>
      </w:divBdr>
    </w:div>
    <w:div w:id="80172550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0953763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519198769">
      <w:bodyDiv w:val="1"/>
      <w:marLeft w:val="0"/>
      <w:marRight w:val="0"/>
      <w:marTop w:val="0"/>
      <w:marBottom w:val="0"/>
      <w:divBdr>
        <w:top w:val="none" w:sz="0" w:space="0" w:color="auto"/>
        <w:left w:val="none" w:sz="0" w:space="0" w:color="auto"/>
        <w:bottom w:val="none" w:sz="0" w:space="0" w:color="auto"/>
        <w:right w:val="none" w:sz="0" w:space="0" w:color="auto"/>
      </w:divBdr>
      <w:divsChild>
        <w:div w:id="170997232">
          <w:marLeft w:val="0"/>
          <w:marRight w:val="0"/>
          <w:marTop w:val="0"/>
          <w:marBottom w:val="0"/>
          <w:divBdr>
            <w:top w:val="none" w:sz="0" w:space="0" w:color="auto"/>
            <w:left w:val="none" w:sz="0" w:space="0" w:color="auto"/>
            <w:bottom w:val="none" w:sz="0" w:space="0" w:color="auto"/>
            <w:right w:val="none" w:sz="0" w:space="0" w:color="auto"/>
          </w:divBdr>
          <w:divsChild>
            <w:div w:id="1218739322">
              <w:marLeft w:val="0"/>
              <w:marRight w:val="0"/>
              <w:marTop w:val="0"/>
              <w:marBottom w:val="0"/>
              <w:divBdr>
                <w:top w:val="none" w:sz="0" w:space="0" w:color="auto"/>
                <w:left w:val="none" w:sz="0" w:space="0" w:color="auto"/>
                <w:bottom w:val="none" w:sz="0" w:space="0" w:color="auto"/>
                <w:right w:val="none" w:sz="0" w:space="0" w:color="auto"/>
              </w:divBdr>
              <w:divsChild>
                <w:div w:id="1593658932">
                  <w:marLeft w:val="0"/>
                  <w:marRight w:val="0"/>
                  <w:marTop w:val="0"/>
                  <w:marBottom w:val="0"/>
                  <w:divBdr>
                    <w:top w:val="none" w:sz="0" w:space="0" w:color="auto"/>
                    <w:left w:val="none" w:sz="0" w:space="0" w:color="auto"/>
                    <w:bottom w:val="none" w:sz="0" w:space="0" w:color="auto"/>
                    <w:right w:val="none" w:sz="0" w:space="0" w:color="auto"/>
                  </w:divBdr>
                  <w:divsChild>
                    <w:div w:id="675956927">
                      <w:marLeft w:val="0"/>
                      <w:marRight w:val="0"/>
                      <w:marTop w:val="0"/>
                      <w:marBottom w:val="0"/>
                      <w:divBdr>
                        <w:top w:val="none" w:sz="0" w:space="0" w:color="auto"/>
                        <w:left w:val="none" w:sz="0" w:space="0" w:color="auto"/>
                        <w:bottom w:val="none" w:sz="0" w:space="0" w:color="auto"/>
                        <w:right w:val="none" w:sz="0" w:space="0" w:color="auto"/>
                      </w:divBdr>
                      <w:divsChild>
                        <w:div w:id="1077747595">
                          <w:marLeft w:val="0"/>
                          <w:marRight w:val="0"/>
                          <w:marTop w:val="0"/>
                          <w:marBottom w:val="0"/>
                          <w:divBdr>
                            <w:top w:val="none" w:sz="0" w:space="0" w:color="auto"/>
                            <w:left w:val="none" w:sz="0" w:space="0" w:color="auto"/>
                            <w:bottom w:val="none" w:sz="0" w:space="0" w:color="auto"/>
                            <w:right w:val="none" w:sz="0" w:space="0" w:color="auto"/>
                          </w:divBdr>
                          <w:divsChild>
                            <w:div w:id="19747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0695">
      <w:bodyDiv w:val="1"/>
      <w:marLeft w:val="0"/>
      <w:marRight w:val="0"/>
      <w:marTop w:val="0"/>
      <w:marBottom w:val="0"/>
      <w:divBdr>
        <w:top w:val="none" w:sz="0" w:space="0" w:color="auto"/>
        <w:left w:val="none" w:sz="0" w:space="0" w:color="auto"/>
        <w:bottom w:val="none" w:sz="0" w:space="0" w:color="auto"/>
        <w:right w:val="none" w:sz="0" w:space="0" w:color="auto"/>
      </w:divBdr>
    </w:div>
    <w:div w:id="192513890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867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2.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jto.org/article/S1556-0864(15)30735-8/pdf" TargetMode="External"/><Relationship Id="rId13" Type="http://schemas.openxmlformats.org/officeDocument/2006/relationships/hyperlink" Target="https://www.nccn.org/professionals/physician_gls/pdf/nscl.pdf" TargetMode="External"/><Relationship Id="rId3" Type="http://schemas.openxmlformats.org/officeDocument/2006/relationships/hyperlink" Target="https://ascopubs.org/doi/10.1200/JCO.2011.35.9638" TargetMode="External"/><Relationship Id="rId7" Type="http://schemas.openxmlformats.org/officeDocument/2006/relationships/hyperlink" Target="https://doi.org/10.21037/tlcr.2019.04.03" TargetMode="External"/><Relationship Id="rId12" Type="http://schemas.openxmlformats.org/officeDocument/2006/relationships/hyperlink" Target="https://m.pbs.gov.au/industry/listing/participants/public-release-docs/2017-02/tkis-nsclc-24-month-review-dusc-prd-2017-02.docx" TargetMode="External"/><Relationship Id="rId2" Type="http://schemas.openxmlformats.org/officeDocument/2006/relationships/hyperlink" Target="https://www.canceraustralia.gov.au/cancer-types/lung-cancer/types" TargetMode="External"/><Relationship Id="rId1" Type="http://schemas.openxmlformats.org/officeDocument/2006/relationships/hyperlink" Target="https://www.canceraustralia.gov.au/cancer-types/lung-cancer/statistics" TargetMode="External"/><Relationship Id="rId6" Type="http://schemas.openxmlformats.org/officeDocument/2006/relationships/hyperlink" Target="https://doi.org/10.3390/cancers14082019" TargetMode="External"/><Relationship Id="rId11" Type="http://schemas.openxmlformats.org/officeDocument/2006/relationships/hyperlink" Target="https://pubmed.ncbi.nlm.nih.gov/23833300/" TargetMode="External"/><Relationship Id="rId5" Type="http://schemas.openxmlformats.org/officeDocument/2006/relationships/hyperlink" Target="https://www.nccn.org/professionals/physician_gls/pdf/nscl.pdf" TargetMode="External"/><Relationship Id="rId10" Type="http://schemas.openxmlformats.org/officeDocument/2006/relationships/hyperlink" Target="https://doi.org/10.1200/jco.2011.35.9638" TargetMode="External"/><Relationship Id="rId4" Type="http://schemas.openxmlformats.org/officeDocument/2006/relationships/hyperlink" Target="https://doi.org/10.3978/j.issn.2218-6751.2014.08.08" TargetMode="External"/><Relationship Id="rId9" Type="http://schemas.openxmlformats.org/officeDocument/2006/relationships/hyperlink" Target="https://www.ema.europa.eu/en/documents/assessment-report/tafinlar-epar-public-assessment-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A008C852-06FA-4CD4-B339-5132892F92A4}"/>
</file>

<file path=customXml/itemProps3.xml><?xml version="1.0" encoding="utf-8"?>
<ds:datastoreItem xmlns:ds="http://schemas.openxmlformats.org/officeDocument/2006/customXml" ds:itemID="{2101F847-99EB-4EF8-8C90-C71220C203DD}"/>
</file>

<file path=customXml/itemProps4.xml><?xml version="1.0" encoding="utf-8"?>
<ds:datastoreItem xmlns:ds="http://schemas.openxmlformats.org/officeDocument/2006/customXml" ds:itemID="{79CF3782-A313-457B-97FA-D77E76B7B5FA}"/>
</file>

<file path=docProps/app.xml><?xml version="1.0" encoding="utf-8"?>
<Properties xmlns="http://schemas.openxmlformats.org/officeDocument/2006/extended-properties" xmlns:vt="http://schemas.openxmlformats.org/officeDocument/2006/docPropsVTypes">
  <Template>Normal.dotm</Template>
  <TotalTime>0</TotalTime>
  <Pages>37</Pages>
  <Words>12461</Words>
  <Characters>71033</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2025-06-26T04:29:00Z</dcterms:created>
  <dcterms:modified xsi:type="dcterms:W3CDTF">2025-06-26T04:30:00Z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